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600" w:lineRule="auto"/>
        <w:ind w:firstLine="0" w:firstLineChars="0"/>
        <w:jc w:val="center"/>
        <w:rPr>
          <w:rFonts w:cs="宋体"/>
          <w:b/>
          <w:bCs/>
          <w:color w:val="auto"/>
          <w:sz w:val="48"/>
          <w:szCs w:val="48"/>
        </w:rPr>
      </w:pPr>
      <w:r>
        <w:rPr>
          <w:rFonts w:hint="eastAsia" w:cs="宋体"/>
          <w:b/>
          <w:bCs/>
          <w:color w:val="auto"/>
          <w:sz w:val="48"/>
          <w:szCs w:val="48"/>
        </w:rPr>
        <w:t xml:space="preserve"> </w:t>
      </w:r>
    </w:p>
    <w:p>
      <w:pPr>
        <w:spacing w:line="600" w:lineRule="auto"/>
        <w:ind w:firstLine="0" w:firstLineChars="0"/>
        <w:jc w:val="center"/>
        <w:rPr>
          <w:rFonts w:cs="宋体"/>
          <w:b/>
          <w:bCs/>
          <w:color w:val="auto"/>
          <w:sz w:val="48"/>
          <w:szCs w:val="48"/>
        </w:rPr>
      </w:pPr>
      <w:r>
        <w:rPr>
          <w:rFonts w:hint="eastAsia" w:cs="宋体"/>
          <w:b/>
          <w:bCs/>
          <w:color w:val="auto"/>
          <w:sz w:val="48"/>
          <w:szCs w:val="48"/>
        </w:rPr>
        <w:t>浙江海洋大学</w:t>
      </w:r>
    </w:p>
    <w:p>
      <w:pPr>
        <w:spacing w:line="600" w:lineRule="auto"/>
        <w:ind w:firstLine="964"/>
        <w:jc w:val="center"/>
        <w:rPr>
          <w:rFonts w:cs="宋体"/>
          <w:b/>
          <w:bCs/>
          <w:color w:val="auto"/>
          <w:sz w:val="48"/>
          <w:szCs w:val="48"/>
        </w:rPr>
      </w:pPr>
    </w:p>
    <w:p>
      <w:pPr>
        <w:snapToGrid w:val="0"/>
        <w:ind w:firstLine="0" w:firstLineChars="0"/>
        <w:rPr>
          <w:rFonts w:cs="宋体"/>
          <w:b/>
          <w:color w:val="auto"/>
          <w:sz w:val="72"/>
          <w:szCs w:val="72"/>
        </w:rPr>
      </w:pPr>
    </w:p>
    <w:p>
      <w:pPr>
        <w:pStyle w:val="48"/>
        <w:rPr>
          <w:rFonts w:ascii="宋体" w:hAnsi="宋体" w:eastAsia="宋体" w:cs="宋体"/>
          <w:color w:val="auto"/>
        </w:rPr>
      </w:pPr>
      <w:r>
        <w:rPr>
          <w:rFonts w:hint="eastAsia" w:ascii="宋体" w:hAnsi="宋体" w:eastAsia="宋体" w:cs="宋体"/>
          <w:color w:val="auto"/>
        </w:rPr>
        <w:t xml:space="preserve"> </w:t>
      </w:r>
    </w:p>
    <w:p>
      <w:pPr>
        <w:snapToGrid w:val="0"/>
        <w:ind w:firstLine="0" w:firstLineChars="0"/>
        <w:jc w:val="center"/>
        <w:rPr>
          <w:rFonts w:cs="宋体"/>
          <w:b/>
          <w:color w:val="auto"/>
          <w:sz w:val="72"/>
          <w:szCs w:val="72"/>
        </w:rPr>
      </w:pPr>
      <w:r>
        <w:rPr>
          <w:rFonts w:hint="eastAsia" w:cs="宋体"/>
          <w:b/>
          <w:color w:val="auto"/>
          <w:sz w:val="72"/>
          <w:szCs w:val="72"/>
        </w:rPr>
        <w:t>公开招标文件</w:t>
      </w:r>
    </w:p>
    <w:p>
      <w:pPr>
        <w:pStyle w:val="12"/>
        <w:ind w:firstLine="402"/>
        <w:rPr>
          <w:rFonts w:ascii="宋体" w:eastAsia="宋体" w:cs="宋体"/>
          <w:b/>
          <w:color w:val="auto"/>
          <w:sz w:val="40"/>
          <w:szCs w:val="28"/>
        </w:rPr>
      </w:pPr>
    </w:p>
    <w:p>
      <w:pPr>
        <w:pStyle w:val="12"/>
        <w:ind w:firstLine="402"/>
        <w:rPr>
          <w:rFonts w:ascii="宋体" w:eastAsia="宋体" w:cs="宋体"/>
          <w:b/>
          <w:color w:val="auto"/>
          <w:sz w:val="40"/>
          <w:szCs w:val="28"/>
        </w:rPr>
      </w:pPr>
    </w:p>
    <w:p>
      <w:pPr>
        <w:pStyle w:val="48"/>
        <w:rPr>
          <w:rFonts w:ascii="宋体" w:hAnsi="宋体" w:eastAsia="宋体" w:cs="宋体"/>
          <w:color w:val="auto"/>
        </w:rPr>
      </w:pPr>
    </w:p>
    <w:p>
      <w:pPr>
        <w:pStyle w:val="49"/>
        <w:rPr>
          <w:rFonts w:ascii="宋体" w:hAnsi="宋体" w:cs="宋体"/>
          <w:color w:val="auto"/>
        </w:rPr>
      </w:pPr>
    </w:p>
    <w:p>
      <w:pPr>
        <w:snapToGrid w:val="0"/>
        <w:ind w:firstLine="0" w:firstLineChars="0"/>
        <w:rPr>
          <w:rFonts w:cs="宋体"/>
          <w:b/>
          <w:color w:val="auto"/>
          <w:sz w:val="40"/>
          <w:szCs w:val="28"/>
        </w:rPr>
      </w:pPr>
    </w:p>
    <w:p>
      <w:pPr>
        <w:snapToGrid w:val="0"/>
        <w:ind w:firstLine="643"/>
        <w:rPr>
          <w:rFonts w:cs="宋体"/>
          <w:b/>
          <w:bCs/>
          <w:color w:val="auto"/>
          <w:sz w:val="32"/>
          <w:szCs w:val="32"/>
        </w:rPr>
      </w:pPr>
      <w:r>
        <w:rPr>
          <w:rFonts w:hint="eastAsia" w:cs="宋体"/>
          <w:b/>
          <w:bCs/>
          <w:color w:val="auto"/>
          <w:sz w:val="32"/>
          <w:szCs w:val="32"/>
        </w:rPr>
        <w:t>项目名称：浙江海洋大学油气储运工程教学实验平台建设项目</w:t>
      </w:r>
    </w:p>
    <w:p>
      <w:pPr>
        <w:snapToGrid w:val="0"/>
        <w:ind w:firstLine="643"/>
        <w:rPr>
          <w:rFonts w:cs="宋体"/>
          <w:b/>
          <w:bCs/>
          <w:color w:val="auto"/>
          <w:sz w:val="32"/>
          <w:szCs w:val="32"/>
        </w:rPr>
      </w:pPr>
      <w:r>
        <w:rPr>
          <w:rFonts w:hint="eastAsia" w:cs="宋体"/>
          <w:b/>
          <w:bCs/>
          <w:color w:val="auto"/>
          <w:sz w:val="32"/>
          <w:szCs w:val="32"/>
        </w:rPr>
        <w:t>招标编号：ZJWS-20210145HY</w:t>
      </w:r>
    </w:p>
    <w:p>
      <w:pPr>
        <w:snapToGrid w:val="0"/>
        <w:ind w:firstLine="643"/>
        <w:rPr>
          <w:rFonts w:cs="宋体"/>
          <w:b/>
          <w:bCs/>
          <w:color w:val="auto"/>
          <w:sz w:val="32"/>
          <w:szCs w:val="32"/>
        </w:rPr>
      </w:pPr>
      <w:r>
        <w:rPr>
          <w:rFonts w:hint="eastAsia" w:cs="宋体"/>
          <w:b/>
          <w:bCs/>
          <w:color w:val="auto"/>
          <w:sz w:val="32"/>
          <w:szCs w:val="32"/>
        </w:rPr>
        <w:t>采 购 人：浙江海洋大学</w:t>
      </w:r>
    </w:p>
    <w:p>
      <w:pPr>
        <w:snapToGrid w:val="0"/>
        <w:ind w:firstLine="643"/>
        <w:rPr>
          <w:rFonts w:cs="宋体"/>
          <w:b/>
          <w:bCs/>
          <w:color w:val="auto"/>
          <w:sz w:val="32"/>
          <w:szCs w:val="32"/>
        </w:rPr>
      </w:pPr>
      <w:r>
        <w:rPr>
          <w:rFonts w:hint="eastAsia" w:cs="宋体"/>
          <w:b/>
          <w:bCs/>
          <w:color w:val="auto"/>
          <w:sz w:val="32"/>
          <w:szCs w:val="32"/>
        </w:rPr>
        <w:t>代理机构：浙江五石工程咨询有限公司</w:t>
      </w:r>
    </w:p>
    <w:p>
      <w:pPr>
        <w:snapToGrid w:val="0"/>
        <w:ind w:firstLine="643"/>
        <w:rPr>
          <w:rFonts w:cs="宋体"/>
          <w:b/>
          <w:bCs/>
          <w:color w:val="auto"/>
          <w:sz w:val="32"/>
          <w:szCs w:val="32"/>
        </w:rPr>
      </w:pPr>
      <w:r>
        <w:rPr>
          <w:rFonts w:hint="eastAsia" w:cs="宋体"/>
          <w:b/>
          <w:bCs/>
          <w:color w:val="auto"/>
          <w:sz w:val="32"/>
          <w:szCs w:val="32"/>
        </w:rPr>
        <w:t>时    间：二〇二一年十月</w:t>
      </w:r>
    </w:p>
    <w:p>
      <w:pPr>
        <w:pStyle w:val="48"/>
        <w:rPr>
          <w:rFonts w:ascii="宋体" w:hAnsi="宋体" w:eastAsia="宋体" w:cs="宋体"/>
          <w:color w:val="auto"/>
        </w:rPr>
      </w:pPr>
    </w:p>
    <w:p>
      <w:pPr>
        <w:snapToGrid w:val="0"/>
        <w:ind w:firstLine="643"/>
        <w:rPr>
          <w:rFonts w:cs="宋体"/>
          <w:b/>
          <w:bCs/>
          <w:color w:val="auto"/>
          <w:sz w:val="32"/>
          <w:szCs w:val="32"/>
        </w:rPr>
        <w:sectPr>
          <w:headerReference r:id="rId5" w:type="first"/>
          <w:footerReference r:id="rId8" w:type="first"/>
          <w:headerReference r:id="rId3" w:type="default"/>
          <w:footerReference r:id="rId6" w:type="default"/>
          <w:headerReference r:id="rId4" w:type="even"/>
          <w:footerReference r:id="rId7" w:type="even"/>
          <w:pgSz w:w="11906" w:h="16838"/>
          <w:pgMar w:top="1440" w:right="1080" w:bottom="1440" w:left="1080" w:header="851" w:footer="992" w:gutter="0"/>
          <w:pgNumType w:start="1"/>
          <w:cols w:space="720" w:num="1"/>
          <w:docGrid w:type="lines" w:linePitch="312" w:charSpace="0"/>
        </w:sectPr>
      </w:pPr>
    </w:p>
    <w:p>
      <w:pPr>
        <w:pStyle w:val="34"/>
        <w:tabs>
          <w:tab w:val="right" w:leader="dot" w:pos="8306"/>
          <w:tab w:val="clear" w:pos="8296"/>
        </w:tabs>
        <w:ind w:left="480"/>
        <w:jc w:val="center"/>
        <w:rPr>
          <w:rFonts w:cs="宋体"/>
          <w:b/>
          <w:bCs/>
          <w:color w:val="auto"/>
          <w:sz w:val="36"/>
          <w:szCs w:val="36"/>
          <w:lang w:val="zh-CN"/>
        </w:rPr>
      </w:pPr>
      <w:bookmarkStart w:id="0" w:name="_Toc32639"/>
      <w:r>
        <w:rPr>
          <w:rFonts w:hint="eastAsia" w:cs="宋体"/>
          <w:b/>
          <w:bCs/>
          <w:color w:val="auto"/>
          <w:sz w:val="36"/>
          <w:szCs w:val="36"/>
          <w:lang w:val="zh-CN"/>
        </w:rPr>
        <w:t>目</w:t>
      </w:r>
      <w:r>
        <w:rPr>
          <w:rFonts w:hint="eastAsia" w:cs="宋体"/>
          <w:b/>
          <w:bCs/>
          <w:color w:val="auto"/>
          <w:sz w:val="36"/>
          <w:szCs w:val="36"/>
        </w:rPr>
        <w:t xml:space="preserve">  </w:t>
      </w:r>
      <w:r>
        <w:rPr>
          <w:rFonts w:hint="eastAsia" w:cs="宋体"/>
          <w:b/>
          <w:bCs/>
          <w:color w:val="auto"/>
          <w:sz w:val="36"/>
          <w:szCs w:val="36"/>
          <w:lang w:val="zh-CN"/>
        </w:rPr>
        <w:t>录</w:t>
      </w:r>
      <w:bookmarkEnd w:id="0"/>
    </w:p>
    <w:p>
      <w:pPr>
        <w:ind w:firstLine="480"/>
        <w:rPr>
          <w:rFonts w:cs="宋体"/>
          <w:color w:val="auto"/>
        </w:rPr>
      </w:pPr>
      <w:r>
        <w:rPr>
          <w:rFonts w:hint="eastAsia" w:cs="宋体"/>
          <w:color w:val="auto"/>
        </w:rPr>
        <w:fldChar w:fldCharType="begin"/>
      </w:r>
      <w:r>
        <w:rPr>
          <w:rFonts w:hint="eastAsia" w:cs="宋体"/>
          <w:color w:val="auto"/>
        </w:rPr>
        <w:instrText xml:space="preserve"> TOC \o "1-2" \h \z \u </w:instrText>
      </w:r>
      <w:r>
        <w:rPr>
          <w:rFonts w:hint="eastAsia" w:cs="宋体"/>
          <w:color w:val="auto"/>
        </w:rPr>
        <w:fldChar w:fldCharType="separate"/>
      </w:r>
    </w:p>
    <w:p>
      <w:pPr>
        <w:pStyle w:val="29"/>
        <w:tabs>
          <w:tab w:val="right" w:leader="dot" w:pos="9746"/>
          <w:tab w:val="clear" w:pos="8296"/>
        </w:tabs>
        <w:rPr>
          <w:rFonts w:cs="宋体"/>
          <w:color w:val="auto"/>
        </w:rPr>
      </w:pPr>
      <w:r>
        <w:rPr>
          <w:color w:val="auto"/>
        </w:rPr>
        <w:fldChar w:fldCharType="begin"/>
      </w:r>
      <w:r>
        <w:rPr>
          <w:color w:val="auto"/>
        </w:rPr>
        <w:instrText xml:space="preserve"> HYPERLINK \l "_Toc19596" </w:instrText>
      </w:r>
      <w:r>
        <w:rPr>
          <w:color w:val="auto"/>
        </w:rPr>
        <w:fldChar w:fldCharType="separate"/>
      </w:r>
      <w:r>
        <w:rPr>
          <w:rFonts w:hint="eastAsia" w:cs="宋体"/>
          <w:color w:val="auto"/>
        </w:rPr>
        <w:t>第一章 招标公告</w:t>
      </w:r>
      <w:r>
        <w:rPr>
          <w:rFonts w:hint="eastAsia" w:cs="宋体"/>
          <w:color w:val="auto"/>
        </w:rPr>
        <w:tab/>
      </w:r>
      <w:r>
        <w:rPr>
          <w:rFonts w:hint="eastAsia" w:cs="宋体"/>
          <w:color w:val="auto"/>
        </w:rPr>
        <w:fldChar w:fldCharType="begin"/>
      </w:r>
      <w:r>
        <w:rPr>
          <w:rFonts w:hint="eastAsia" w:cs="宋体"/>
          <w:color w:val="auto"/>
        </w:rPr>
        <w:instrText xml:space="preserve"> PAGEREF _Toc19596 \h </w:instrText>
      </w:r>
      <w:r>
        <w:rPr>
          <w:rFonts w:hint="eastAsia" w:cs="宋体"/>
          <w:color w:val="auto"/>
        </w:rPr>
        <w:fldChar w:fldCharType="separate"/>
      </w:r>
      <w:r>
        <w:rPr>
          <w:rFonts w:hint="eastAsia" w:cs="宋体"/>
          <w:color w:val="auto"/>
        </w:rPr>
        <w:t>1</w:t>
      </w:r>
      <w:r>
        <w:rPr>
          <w:rFonts w:hint="eastAsia" w:cs="宋体"/>
          <w:color w:val="auto"/>
        </w:rPr>
        <w:fldChar w:fldCharType="end"/>
      </w:r>
      <w:r>
        <w:rPr>
          <w:rFonts w:hint="eastAsia" w:cs="宋体"/>
          <w:color w:val="auto"/>
        </w:rPr>
        <w:fldChar w:fldCharType="end"/>
      </w:r>
    </w:p>
    <w:p>
      <w:pPr>
        <w:pStyle w:val="29"/>
        <w:tabs>
          <w:tab w:val="right" w:leader="dot" w:pos="9746"/>
          <w:tab w:val="clear" w:pos="8296"/>
        </w:tabs>
        <w:rPr>
          <w:rFonts w:cs="宋体"/>
          <w:color w:val="auto"/>
        </w:rPr>
      </w:pPr>
      <w:r>
        <w:rPr>
          <w:color w:val="auto"/>
        </w:rPr>
        <w:fldChar w:fldCharType="begin"/>
      </w:r>
      <w:r>
        <w:rPr>
          <w:color w:val="auto"/>
        </w:rPr>
        <w:instrText xml:space="preserve"> HYPERLINK \l "_Toc6146" </w:instrText>
      </w:r>
      <w:r>
        <w:rPr>
          <w:color w:val="auto"/>
        </w:rPr>
        <w:fldChar w:fldCharType="separate"/>
      </w:r>
      <w:r>
        <w:rPr>
          <w:rFonts w:hint="eastAsia" w:cs="宋体"/>
          <w:color w:val="auto"/>
        </w:rPr>
        <w:t>第二章 项目需求说明</w:t>
      </w:r>
      <w:r>
        <w:rPr>
          <w:rFonts w:hint="eastAsia" w:cs="宋体"/>
          <w:color w:val="auto"/>
        </w:rPr>
        <w:tab/>
      </w:r>
      <w:r>
        <w:rPr>
          <w:rFonts w:hint="eastAsia" w:cs="宋体"/>
          <w:color w:val="auto"/>
        </w:rPr>
        <w:fldChar w:fldCharType="begin"/>
      </w:r>
      <w:r>
        <w:rPr>
          <w:rFonts w:hint="eastAsia" w:cs="宋体"/>
          <w:color w:val="auto"/>
        </w:rPr>
        <w:instrText xml:space="preserve"> PAGEREF _Toc6146 \h </w:instrText>
      </w:r>
      <w:r>
        <w:rPr>
          <w:rFonts w:hint="eastAsia" w:cs="宋体"/>
          <w:color w:val="auto"/>
        </w:rPr>
        <w:fldChar w:fldCharType="separate"/>
      </w:r>
      <w:r>
        <w:rPr>
          <w:rFonts w:hint="eastAsia" w:cs="宋体"/>
          <w:color w:val="auto"/>
        </w:rPr>
        <w:t>4</w:t>
      </w:r>
      <w:r>
        <w:rPr>
          <w:rFonts w:hint="eastAsia" w:cs="宋体"/>
          <w:color w:val="auto"/>
        </w:rPr>
        <w:fldChar w:fldCharType="end"/>
      </w:r>
      <w:r>
        <w:rPr>
          <w:rFonts w:hint="eastAsia" w:cs="宋体"/>
          <w:color w:val="auto"/>
        </w:rPr>
        <w:fldChar w:fldCharType="end"/>
      </w:r>
    </w:p>
    <w:p>
      <w:pPr>
        <w:pStyle w:val="29"/>
        <w:tabs>
          <w:tab w:val="right" w:leader="dot" w:pos="9746"/>
          <w:tab w:val="clear" w:pos="8296"/>
        </w:tabs>
        <w:rPr>
          <w:rFonts w:cs="宋体"/>
          <w:color w:val="auto"/>
        </w:rPr>
      </w:pPr>
      <w:r>
        <w:rPr>
          <w:color w:val="auto"/>
        </w:rPr>
        <w:fldChar w:fldCharType="begin"/>
      </w:r>
      <w:r>
        <w:rPr>
          <w:color w:val="auto"/>
        </w:rPr>
        <w:instrText xml:space="preserve"> HYPERLINK \l "_Toc5760" </w:instrText>
      </w:r>
      <w:r>
        <w:rPr>
          <w:color w:val="auto"/>
        </w:rPr>
        <w:fldChar w:fldCharType="separate"/>
      </w:r>
      <w:r>
        <w:rPr>
          <w:rFonts w:hint="eastAsia" w:cs="宋体"/>
          <w:color w:val="auto"/>
          <w:szCs w:val="36"/>
        </w:rPr>
        <w:t>第三章 投标人须知</w:t>
      </w:r>
      <w:r>
        <w:rPr>
          <w:rFonts w:hint="eastAsia" w:cs="宋体"/>
          <w:color w:val="auto"/>
        </w:rPr>
        <w:tab/>
      </w:r>
      <w:r>
        <w:rPr>
          <w:rFonts w:hint="eastAsia" w:cs="宋体"/>
          <w:color w:val="auto"/>
        </w:rPr>
        <w:fldChar w:fldCharType="begin"/>
      </w:r>
      <w:r>
        <w:rPr>
          <w:rFonts w:hint="eastAsia" w:cs="宋体"/>
          <w:color w:val="auto"/>
        </w:rPr>
        <w:instrText xml:space="preserve"> PAGEREF _Toc5760 \h </w:instrText>
      </w:r>
      <w:r>
        <w:rPr>
          <w:rFonts w:hint="eastAsia" w:cs="宋体"/>
          <w:color w:val="auto"/>
        </w:rPr>
        <w:fldChar w:fldCharType="separate"/>
      </w:r>
      <w:r>
        <w:rPr>
          <w:rFonts w:hint="eastAsia" w:cs="宋体"/>
          <w:color w:val="auto"/>
        </w:rPr>
        <w:t>4</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"_Toc8778" </w:instrText>
      </w:r>
      <w:r>
        <w:rPr>
          <w:color w:val="auto"/>
        </w:rPr>
        <w:fldChar w:fldCharType="separate"/>
      </w:r>
      <w:r>
        <w:rPr>
          <w:rFonts w:hint="eastAsia" w:cs="宋体"/>
          <w:color w:val="auto"/>
        </w:rPr>
        <w:t>前 附 表</w:t>
      </w:r>
      <w:r>
        <w:rPr>
          <w:rFonts w:hint="eastAsia" w:cs="宋体"/>
          <w:color w:val="auto"/>
        </w:rPr>
        <w:tab/>
      </w:r>
      <w:r>
        <w:rPr>
          <w:rFonts w:hint="eastAsia" w:cs="宋体"/>
          <w:color w:val="auto"/>
        </w:rPr>
        <w:fldChar w:fldCharType="begin"/>
      </w:r>
      <w:r>
        <w:rPr>
          <w:rFonts w:hint="eastAsia" w:cs="宋体"/>
          <w:color w:val="auto"/>
        </w:rPr>
        <w:instrText xml:space="preserve"> PAGEREF _Toc8778 \h </w:instrText>
      </w:r>
      <w:r>
        <w:rPr>
          <w:rFonts w:hint="eastAsia" w:cs="宋体"/>
          <w:color w:val="auto"/>
        </w:rPr>
        <w:fldChar w:fldCharType="separate"/>
      </w:r>
      <w:r>
        <w:rPr>
          <w:rFonts w:hint="eastAsia" w:cs="宋体"/>
          <w:color w:val="auto"/>
        </w:rPr>
        <w:t>33</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"_Toc14541" </w:instrText>
      </w:r>
      <w:r>
        <w:rPr>
          <w:color w:val="auto"/>
        </w:rPr>
        <w:fldChar w:fldCharType="separate"/>
      </w:r>
      <w:r>
        <w:rPr>
          <w:rFonts w:hint="eastAsia" w:cs="宋体"/>
          <w:color w:val="auto"/>
        </w:rPr>
        <w:t>第一节 总 则</w:t>
      </w:r>
      <w:r>
        <w:rPr>
          <w:rFonts w:hint="eastAsia" w:cs="宋体"/>
          <w:color w:val="auto"/>
        </w:rPr>
        <w:tab/>
      </w:r>
      <w:r>
        <w:rPr>
          <w:rFonts w:hint="eastAsia" w:cs="宋体"/>
          <w:color w:val="auto"/>
        </w:rPr>
        <w:fldChar w:fldCharType="begin"/>
      </w:r>
      <w:r>
        <w:rPr>
          <w:rFonts w:hint="eastAsia" w:cs="宋体"/>
          <w:color w:val="auto"/>
        </w:rPr>
        <w:instrText xml:space="preserve"> PAGEREF _Toc14541 \h </w:instrText>
      </w:r>
      <w:r>
        <w:rPr>
          <w:rFonts w:hint="eastAsia" w:cs="宋体"/>
          <w:color w:val="auto"/>
        </w:rPr>
        <w:fldChar w:fldCharType="separate"/>
      </w:r>
      <w:r>
        <w:rPr>
          <w:rFonts w:hint="eastAsia" w:cs="宋体"/>
          <w:color w:val="auto"/>
        </w:rPr>
        <w:t>35</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"_Toc27084" </w:instrText>
      </w:r>
      <w:r>
        <w:rPr>
          <w:color w:val="auto"/>
        </w:rPr>
        <w:fldChar w:fldCharType="separate"/>
      </w:r>
      <w:r>
        <w:rPr>
          <w:rFonts w:hint="eastAsia" w:cs="宋体"/>
          <w:color w:val="auto"/>
        </w:rPr>
        <w:t>第二节 招标文件的构成、澄清、修改</w:t>
      </w:r>
      <w:r>
        <w:rPr>
          <w:rFonts w:hint="eastAsia" w:cs="宋体"/>
          <w:color w:val="auto"/>
        </w:rPr>
        <w:tab/>
      </w:r>
      <w:r>
        <w:rPr>
          <w:rFonts w:hint="eastAsia" w:cs="宋体"/>
          <w:color w:val="auto"/>
        </w:rPr>
        <w:fldChar w:fldCharType="begin"/>
      </w:r>
      <w:r>
        <w:rPr>
          <w:rFonts w:hint="eastAsia" w:cs="宋体"/>
          <w:color w:val="auto"/>
        </w:rPr>
        <w:instrText xml:space="preserve"> PAGEREF _Toc27084 \h </w:instrText>
      </w:r>
      <w:r>
        <w:rPr>
          <w:rFonts w:hint="eastAsia" w:cs="宋体"/>
          <w:color w:val="auto"/>
        </w:rPr>
        <w:fldChar w:fldCharType="separate"/>
      </w:r>
      <w:r>
        <w:rPr>
          <w:rFonts w:hint="eastAsia" w:cs="宋体"/>
          <w:color w:val="auto"/>
        </w:rPr>
        <w:t>39</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"_Toc21160" </w:instrText>
      </w:r>
      <w:r>
        <w:rPr>
          <w:color w:val="auto"/>
        </w:rPr>
        <w:fldChar w:fldCharType="separate"/>
      </w:r>
      <w:r>
        <w:rPr>
          <w:rFonts w:hint="eastAsia" w:cs="宋体"/>
          <w:color w:val="auto"/>
        </w:rPr>
        <w:t>第三节 投标文件</w:t>
      </w:r>
      <w:r>
        <w:rPr>
          <w:rFonts w:hint="eastAsia" w:cs="宋体"/>
          <w:color w:val="auto"/>
        </w:rPr>
        <w:tab/>
      </w:r>
      <w:r>
        <w:rPr>
          <w:rFonts w:hint="eastAsia" w:cs="宋体"/>
          <w:color w:val="auto"/>
        </w:rPr>
        <w:fldChar w:fldCharType="begin"/>
      </w:r>
      <w:r>
        <w:rPr>
          <w:rFonts w:hint="eastAsia" w:cs="宋体"/>
          <w:color w:val="auto"/>
        </w:rPr>
        <w:instrText xml:space="preserve"> PAGEREF _Toc21160 \h </w:instrText>
      </w:r>
      <w:r>
        <w:rPr>
          <w:rFonts w:hint="eastAsia" w:cs="宋体"/>
          <w:color w:val="auto"/>
        </w:rPr>
        <w:fldChar w:fldCharType="separate"/>
      </w:r>
      <w:r>
        <w:rPr>
          <w:rFonts w:hint="eastAsia" w:cs="宋体"/>
          <w:color w:val="auto"/>
        </w:rPr>
        <w:t>39</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"_Toc22584" </w:instrText>
      </w:r>
      <w:r>
        <w:rPr>
          <w:color w:val="auto"/>
        </w:rPr>
        <w:fldChar w:fldCharType="separate"/>
      </w:r>
      <w:r>
        <w:rPr>
          <w:rFonts w:hint="eastAsia" w:cs="宋体"/>
          <w:color w:val="auto"/>
        </w:rPr>
        <w:t>第四节 投标文件的递交</w:t>
      </w:r>
      <w:r>
        <w:rPr>
          <w:rFonts w:hint="eastAsia" w:cs="宋体"/>
          <w:color w:val="auto"/>
        </w:rPr>
        <w:tab/>
      </w:r>
      <w:r>
        <w:rPr>
          <w:rFonts w:hint="eastAsia" w:cs="宋体"/>
          <w:color w:val="auto"/>
        </w:rPr>
        <w:fldChar w:fldCharType="begin"/>
      </w:r>
      <w:r>
        <w:rPr>
          <w:rFonts w:hint="eastAsia" w:cs="宋体"/>
          <w:color w:val="auto"/>
        </w:rPr>
        <w:instrText xml:space="preserve"> PAGEREF _Toc22584 \h </w:instrText>
      </w:r>
      <w:r>
        <w:rPr>
          <w:rFonts w:hint="eastAsia" w:cs="宋体"/>
          <w:color w:val="auto"/>
        </w:rPr>
        <w:fldChar w:fldCharType="separate"/>
      </w:r>
      <w:r>
        <w:rPr>
          <w:rFonts w:hint="eastAsia" w:cs="宋体"/>
          <w:color w:val="auto"/>
        </w:rPr>
        <w:t>42</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"_Toc11276" </w:instrText>
      </w:r>
      <w:r>
        <w:rPr>
          <w:color w:val="auto"/>
        </w:rPr>
        <w:fldChar w:fldCharType="separate"/>
      </w:r>
      <w:r>
        <w:rPr>
          <w:rFonts w:hint="eastAsia" w:cs="宋体"/>
          <w:color w:val="auto"/>
        </w:rPr>
        <w:t>第五节 开标</w:t>
      </w:r>
      <w:r>
        <w:rPr>
          <w:rFonts w:hint="eastAsia" w:cs="宋体"/>
          <w:color w:val="auto"/>
        </w:rPr>
        <w:tab/>
      </w:r>
      <w:r>
        <w:rPr>
          <w:rFonts w:hint="eastAsia" w:cs="宋体"/>
          <w:color w:val="auto"/>
        </w:rPr>
        <w:fldChar w:fldCharType="begin"/>
      </w:r>
      <w:r>
        <w:rPr>
          <w:rFonts w:hint="eastAsia" w:cs="宋体"/>
          <w:color w:val="auto"/>
        </w:rPr>
        <w:instrText xml:space="preserve"> PAGEREF _Toc11276 \h </w:instrText>
      </w:r>
      <w:r>
        <w:rPr>
          <w:rFonts w:hint="eastAsia" w:cs="宋体"/>
          <w:color w:val="auto"/>
        </w:rPr>
        <w:fldChar w:fldCharType="separate"/>
      </w:r>
      <w:r>
        <w:rPr>
          <w:rFonts w:hint="eastAsia" w:cs="宋体"/>
          <w:color w:val="auto"/>
        </w:rPr>
        <w:t>42</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"_Toc21559" </w:instrText>
      </w:r>
      <w:r>
        <w:rPr>
          <w:color w:val="auto"/>
        </w:rPr>
        <w:fldChar w:fldCharType="separate"/>
      </w:r>
      <w:r>
        <w:rPr>
          <w:rFonts w:hint="eastAsia" w:cs="宋体"/>
          <w:color w:val="auto"/>
        </w:rPr>
        <w:t>第六节 评标</w:t>
      </w:r>
      <w:r>
        <w:rPr>
          <w:rFonts w:hint="eastAsia" w:cs="宋体"/>
          <w:color w:val="auto"/>
        </w:rPr>
        <w:tab/>
      </w:r>
      <w:r>
        <w:rPr>
          <w:rFonts w:hint="eastAsia" w:cs="宋体"/>
          <w:color w:val="auto"/>
        </w:rPr>
        <w:fldChar w:fldCharType="begin"/>
      </w:r>
      <w:r>
        <w:rPr>
          <w:rFonts w:hint="eastAsia" w:cs="宋体"/>
          <w:color w:val="auto"/>
        </w:rPr>
        <w:instrText xml:space="preserve"> PAGEREF _Toc21559 \h </w:instrText>
      </w:r>
      <w:r>
        <w:rPr>
          <w:rFonts w:hint="eastAsia" w:cs="宋体"/>
          <w:color w:val="auto"/>
        </w:rPr>
        <w:fldChar w:fldCharType="separate"/>
      </w:r>
      <w:r>
        <w:rPr>
          <w:rFonts w:hint="eastAsia" w:cs="宋体"/>
          <w:color w:val="auto"/>
        </w:rPr>
        <w:t>44</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"_Toc15663" </w:instrText>
      </w:r>
      <w:r>
        <w:rPr>
          <w:color w:val="auto"/>
        </w:rPr>
        <w:fldChar w:fldCharType="separate"/>
      </w:r>
      <w:r>
        <w:rPr>
          <w:rFonts w:hint="eastAsia" w:cs="宋体"/>
          <w:color w:val="auto"/>
        </w:rPr>
        <w:t>第七节 授予合同</w:t>
      </w:r>
      <w:r>
        <w:rPr>
          <w:rFonts w:hint="eastAsia" w:cs="宋体"/>
          <w:color w:val="auto"/>
        </w:rPr>
        <w:tab/>
      </w:r>
      <w:r>
        <w:rPr>
          <w:rFonts w:hint="eastAsia" w:cs="宋体"/>
          <w:color w:val="auto"/>
        </w:rPr>
        <w:fldChar w:fldCharType="begin"/>
      </w:r>
      <w:r>
        <w:rPr>
          <w:rFonts w:hint="eastAsia" w:cs="宋体"/>
          <w:color w:val="auto"/>
        </w:rPr>
        <w:instrText xml:space="preserve"> PAGEREF _Toc15663 \h </w:instrText>
      </w:r>
      <w:r>
        <w:rPr>
          <w:rFonts w:hint="eastAsia" w:cs="宋体"/>
          <w:color w:val="auto"/>
        </w:rPr>
        <w:fldChar w:fldCharType="separate"/>
      </w:r>
      <w:r>
        <w:rPr>
          <w:rFonts w:hint="eastAsia" w:cs="宋体"/>
          <w:color w:val="auto"/>
        </w:rPr>
        <w:t>48</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"_Toc14481" </w:instrText>
      </w:r>
      <w:r>
        <w:rPr>
          <w:color w:val="auto"/>
        </w:rPr>
        <w:fldChar w:fldCharType="separate"/>
      </w:r>
      <w:r>
        <w:rPr>
          <w:rFonts w:hint="eastAsia" w:cs="宋体"/>
          <w:color w:val="auto"/>
        </w:rPr>
        <w:t>第八节 例外处理</w:t>
      </w:r>
      <w:r>
        <w:rPr>
          <w:rFonts w:hint="eastAsia" w:cs="宋体"/>
          <w:color w:val="auto"/>
        </w:rPr>
        <w:tab/>
      </w:r>
      <w:r>
        <w:rPr>
          <w:rFonts w:hint="eastAsia" w:cs="宋体"/>
          <w:color w:val="auto"/>
        </w:rPr>
        <w:fldChar w:fldCharType="begin"/>
      </w:r>
      <w:r>
        <w:rPr>
          <w:rFonts w:hint="eastAsia" w:cs="宋体"/>
          <w:color w:val="auto"/>
        </w:rPr>
        <w:instrText xml:space="preserve"> PAGEREF _Toc14481 \h </w:instrText>
      </w:r>
      <w:r>
        <w:rPr>
          <w:rFonts w:hint="eastAsia" w:cs="宋体"/>
          <w:color w:val="auto"/>
        </w:rPr>
        <w:fldChar w:fldCharType="separate"/>
      </w:r>
      <w:r>
        <w:rPr>
          <w:rFonts w:hint="eastAsia" w:cs="宋体"/>
          <w:color w:val="auto"/>
        </w:rPr>
        <w:t>48</w:t>
      </w:r>
      <w:r>
        <w:rPr>
          <w:rFonts w:hint="eastAsia" w:cs="宋体"/>
          <w:color w:val="auto"/>
        </w:rPr>
        <w:fldChar w:fldCharType="end"/>
      </w:r>
      <w:r>
        <w:rPr>
          <w:rFonts w:hint="eastAsia" w:cs="宋体"/>
          <w:color w:val="auto"/>
        </w:rPr>
        <w:fldChar w:fldCharType="end"/>
      </w:r>
    </w:p>
    <w:p>
      <w:pPr>
        <w:pStyle w:val="29"/>
        <w:tabs>
          <w:tab w:val="right" w:leader="dot" w:pos="9746"/>
          <w:tab w:val="clear" w:pos="8296"/>
        </w:tabs>
        <w:rPr>
          <w:rFonts w:cs="宋体"/>
          <w:color w:val="auto"/>
        </w:rPr>
      </w:pPr>
      <w:r>
        <w:rPr>
          <w:color w:val="auto"/>
        </w:rPr>
        <w:fldChar w:fldCharType="begin"/>
      </w:r>
      <w:r>
        <w:rPr>
          <w:color w:val="auto"/>
        </w:rPr>
        <w:instrText xml:space="preserve"> HYPERLINK \l "_Toc21368" </w:instrText>
      </w:r>
      <w:r>
        <w:rPr>
          <w:color w:val="auto"/>
        </w:rPr>
        <w:fldChar w:fldCharType="separate"/>
      </w:r>
      <w:r>
        <w:rPr>
          <w:rFonts w:hint="eastAsia" w:cs="宋体"/>
          <w:color w:val="auto"/>
        </w:rPr>
        <w:t>第四章 评标办法及评分标准</w:t>
      </w:r>
      <w:r>
        <w:rPr>
          <w:rFonts w:hint="eastAsia" w:cs="宋体"/>
          <w:color w:val="auto"/>
        </w:rPr>
        <w:tab/>
      </w:r>
      <w:r>
        <w:rPr>
          <w:rFonts w:hint="eastAsia" w:cs="宋体"/>
          <w:color w:val="auto"/>
        </w:rPr>
        <w:fldChar w:fldCharType="begin"/>
      </w:r>
      <w:r>
        <w:rPr>
          <w:rFonts w:hint="eastAsia" w:cs="宋体"/>
          <w:color w:val="auto"/>
        </w:rPr>
        <w:instrText xml:space="preserve"> PAGEREF _Toc21368 \h </w:instrText>
      </w:r>
      <w:r>
        <w:rPr>
          <w:rFonts w:hint="eastAsia" w:cs="宋体"/>
          <w:color w:val="auto"/>
        </w:rPr>
        <w:fldChar w:fldCharType="separate"/>
      </w:r>
      <w:r>
        <w:rPr>
          <w:rFonts w:hint="eastAsia" w:cs="宋体"/>
          <w:color w:val="auto"/>
        </w:rPr>
        <w:t>49</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"_Toc3017" </w:instrText>
      </w:r>
      <w:r>
        <w:rPr>
          <w:color w:val="auto"/>
        </w:rPr>
        <w:fldChar w:fldCharType="separate"/>
      </w:r>
      <w:r>
        <w:rPr>
          <w:rFonts w:hint="eastAsia" w:cs="宋体"/>
          <w:color w:val="auto"/>
        </w:rPr>
        <w:t>一、评分总则</w:t>
      </w:r>
      <w:r>
        <w:rPr>
          <w:rFonts w:hint="eastAsia" w:cs="宋体"/>
          <w:color w:val="auto"/>
        </w:rPr>
        <w:tab/>
      </w:r>
      <w:r>
        <w:rPr>
          <w:rFonts w:hint="eastAsia" w:cs="宋体"/>
          <w:color w:val="auto"/>
        </w:rPr>
        <w:fldChar w:fldCharType="begin"/>
      </w:r>
      <w:r>
        <w:rPr>
          <w:rFonts w:hint="eastAsia" w:cs="宋体"/>
          <w:color w:val="auto"/>
        </w:rPr>
        <w:instrText xml:space="preserve"> PAGEREF _Toc3017 \h </w:instrText>
      </w:r>
      <w:r>
        <w:rPr>
          <w:rFonts w:hint="eastAsia" w:cs="宋体"/>
          <w:color w:val="auto"/>
        </w:rPr>
        <w:fldChar w:fldCharType="separate"/>
      </w:r>
      <w:r>
        <w:rPr>
          <w:rFonts w:hint="eastAsia" w:cs="宋体"/>
          <w:color w:val="auto"/>
        </w:rPr>
        <w:t>49</w:t>
      </w:r>
      <w:r>
        <w:rPr>
          <w:rFonts w:hint="eastAsia" w:cs="宋体"/>
          <w:color w:val="auto"/>
        </w:rPr>
        <w:fldChar w:fldCharType="end"/>
      </w:r>
      <w:r>
        <w:rPr>
          <w:rFonts w:hint="eastAsia" w:cs="宋体"/>
          <w:color w:val="auto"/>
        </w:rPr>
        <w:fldChar w:fldCharType="end"/>
      </w:r>
    </w:p>
    <w:p>
      <w:pPr>
        <w:pStyle w:val="34"/>
        <w:tabs>
          <w:tab w:val="right" w:leader="dot" w:pos="9746"/>
          <w:tab w:val="clear" w:pos="8296"/>
        </w:tabs>
        <w:ind w:left="480"/>
        <w:rPr>
          <w:rFonts w:cs="宋体"/>
          <w:color w:val="auto"/>
        </w:rPr>
      </w:pPr>
      <w:r>
        <w:rPr>
          <w:color w:val="auto"/>
        </w:rPr>
        <w:fldChar w:fldCharType="begin"/>
      </w:r>
      <w:r>
        <w:rPr>
          <w:color w:val="auto"/>
        </w:rPr>
        <w:instrText xml:space="preserve"> HYPERLINK \l "_Toc30520" </w:instrText>
      </w:r>
      <w:r>
        <w:rPr>
          <w:color w:val="auto"/>
        </w:rPr>
        <w:fldChar w:fldCharType="separate"/>
      </w:r>
      <w:r>
        <w:rPr>
          <w:rFonts w:hint="eastAsia" w:cs="宋体"/>
          <w:color w:val="auto"/>
        </w:rPr>
        <w:t>二、评分内容及标准</w:t>
      </w:r>
      <w:r>
        <w:rPr>
          <w:rFonts w:hint="eastAsia" w:cs="宋体"/>
          <w:color w:val="auto"/>
        </w:rPr>
        <w:tab/>
      </w:r>
      <w:r>
        <w:rPr>
          <w:rFonts w:hint="eastAsia" w:cs="宋体"/>
          <w:color w:val="auto"/>
        </w:rPr>
        <w:fldChar w:fldCharType="begin"/>
      </w:r>
      <w:r>
        <w:rPr>
          <w:rFonts w:hint="eastAsia" w:cs="宋体"/>
          <w:color w:val="auto"/>
        </w:rPr>
        <w:instrText xml:space="preserve"> PAGEREF _Toc30520 \h </w:instrText>
      </w:r>
      <w:r>
        <w:rPr>
          <w:rFonts w:hint="eastAsia" w:cs="宋体"/>
          <w:color w:val="auto"/>
        </w:rPr>
        <w:fldChar w:fldCharType="separate"/>
      </w:r>
      <w:r>
        <w:rPr>
          <w:rFonts w:hint="eastAsia" w:cs="宋体"/>
          <w:color w:val="auto"/>
        </w:rPr>
        <w:t>49</w:t>
      </w:r>
      <w:r>
        <w:rPr>
          <w:rFonts w:hint="eastAsia" w:cs="宋体"/>
          <w:color w:val="auto"/>
        </w:rPr>
        <w:fldChar w:fldCharType="end"/>
      </w:r>
      <w:r>
        <w:rPr>
          <w:rFonts w:hint="eastAsia" w:cs="宋体"/>
          <w:color w:val="auto"/>
        </w:rPr>
        <w:fldChar w:fldCharType="end"/>
      </w:r>
    </w:p>
    <w:p>
      <w:pPr>
        <w:pStyle w:val="29"/>
        <w:tabs>
          <w:tab w:val="right" w:leader="dot" w:pos="9746"/>
          <w:tab w:val="clear" w:pos="8296"/>
        </w:tabs>
        <w:rPr>
          <w:rFonts w:cs="宋体"/>
          <w:color w:val="auto"/>
        </w:rPr>
      </w:pPr>
      <w:r>
        <w:rPr>
          <w:color w:val="auto"/>
        </w:rPr>
        <w:fldChar w:fldCharType="begin"/>
      </w:r>
      <w:r>
        <w:rPr>
          <w:color w:val="auto"/>
        </w:rPr>
        <w:instrText xml:space="preserve"> HYPERLINK \l "_Toc10616" </w:instrText>
      </w:r>
      <w:r>
        <w:rPr>
          <w:color w:val="auto"/>
        </w:rPr>
        <w:fldChar w:fldCharType="separate"/>
      </w:r>
      <w:r>
        <w:rPr>
          <w:rFonts w:hint="eastAsia" w:cs="宋体"/>
          <w:color w:val="auto"/>
        </w:rPr>
        <w:t>第五章 合同格式</w:t>
      </w:r>
      <w:r>
        <w:rPr>
          <w:rFonts w:hint="eastAsia" w:cs="宋体"/>
          <w:color w:val="auto"/>
        </w:rPr>
        <w:tab/>
      </w:r>
      <w:r>
        <w:rPr>
          <w:rFonts w:hint="eastAsia" w:cs="宋体"/>
          <w:color w:val="auto"/>
        </w:rPr>
        <w:fldChar w:fldCharType="begin"/>
      </w:r>
      <w:r>
        <w:rPr>
          <w:rFonts w:hint="eastAsia" w:cs="宋体"/>
          <w:color w:val="auto"/>
        </w:rPr>
        <w:instrText xml:space="preserve"> PAGEREF _Toc10616 \h </w:instrText>
      </w:r>
      <w:r>
        <w:rPr>
          <w:rFonts w:hint="eastAsia" w:cs="宋体"/>
          <w:color w:val="auto"/>
        </w:rPr>
        <w:fldChar w:fldCharType="separate"/>
      </w:r>
      <w:r>
        <w:rPr>
          <w:rFonts w:hint="eastAsia" w:cs="宋体"/>
          <w:color w:val="auto"/>
        </w:rPr>
        <w:t>57</w:t>
      </w:r>
      <w:r>
        <w:rPr>
          <w:rFonts w:hint="eastAsia" w:cs="宋体"/>
          <w:color w:val="auto"/>
        </w:rPr>
        <w:fldChar w:fldCharType="end"/>
      </w:r>
      <w:r>
        <w:rPr>
          <w:rFonts w:hint="eastAsia" w:cs="宋体"/>
          <w:color w:val="auto"/>
        </w:rPr>
        <w:fldChar w:fldCharType="end"/>
      </w:r>
    </w:p>
    <w:p>
      <w:pPr>
        <w:pStyle w:val="29"/>
        <w:tabs>
          <w:tab w:val="right" w:leader="dot" w:pos="9746"/>
          <w:tab w:val="clear" w:pos="8296"/>
        </w:tabs>
        <w:rPr>
          <w:rFonts w:cs="宋体"/>
          <w:color w:val="auto"/>
        </w:rPr>
      </w:pPr>
      <w:r>
        <w:rPr>
          <w:color w:val="auto"/>
        </w:rPr>
        <w:fldChar w:fldCharType="begin"/>
      </w:r>
      <w:r>
        <w:rPr>
          <w:color w:val="auto"/>
        </w:rPr>
        <w:instrText xml:space="preserve"> HYPERLINK \l "_Toc24575" </w:instrText>
      </w:r>
      <w:r>
        <w:rPr>
          <w:color w:val="auto"/>
        </w:rPr>
        <w:fldChar w:fldCharType="separate"/>
      </w:r>
      <w:r>
        <w:rPr>
          <w:rFonts w:hint="eastAsia" w:cs="宋体"/>
          <w:color w:val="auto"/>
        </w:rPr>
        <w:t>第六章 投标文件格式</w:t>
      </w:r>
      <w:r>
        <w:rPr>
          <w:rFonts w:hint="eastAsia" w:cs="宋体"/>
          <w:color w:val="auto"/>
        </w:rPr>
        <w:tab/>
      </w:r>
      <w:r>
        <w:rPr>
          <w:rFonts w:hint="eastAsia" w:cs="宋体"/>
          <w:color w:val="auto"/>
        </w:rPr>
        <w:fldChar w:fldCharType="begin"/>
      </w:r>
      <w:r>
        <w:rPr>
          <w:rFonts w:hint="eastAsia" w:cs="宋体"/>
          <w:color w:val="auto"/>
        </w:rPr>
        <w:instrText xml:space="preserve"> PAGEREF _Toc24575 \h </w:instrText>
      </w:r>
      <w:r>
        <w:rPr>
          <w:rFonts w:hint="eastAsia" w:cs="宋体"/>
          <w:color w:val="auto"/>
        </w:rPr>
        <w:fldChar w:fldCharType="separate"/>
      </w:r>
      <w:r>
        <w:rPr>
          <w:rFonts w:hint="eastAsia" w:cs="宋体"/>
          <w:color w:val="auto"/>
        </w:rPr>
        <w:t>60</w:t>
      </w:r>
      <w:r>
        <w:rPr>
          <w:rFonts w:hint="eastAsia" w:cs="宋体"/>
          <w:color w:val="auto"/>
        </w:rPr>
        <w:fldChar w:fldCharType="end"/>
      </w:r>
      <w:r>
        <w:rPr>
          <w:rFonts w:hint="eastAsia" w:cs="宋体"/>
          <w:color w:val="auto"/>
        </w:rPr>
        <w:fldChar w:fldCharType="end"/>
      </w:r>
    </w:p>
    <w:p>
      <w:pPr>
        <w:pStyle w:val="34"/>
        <w:tabs>
          <w:tab w:val="right" w:leader="dot" w:pos="8306"/>
          <w:tab w:val="clear" w:pos="8296"/>
        </w:tabs>
        <w:ind w:left="480"/>
        <w:jc w:val="center"/>
        <w:rPr>
          <w:rFonts w:cs="宋体"/>
          <w:color w:val="auto"/>
        </w:rPr>
      </w:pPr>
      <w:r>
        <w:rPr>
          <w:rFonts w:hint="eastAsia" w:cs="宋体"/>
          <w:color w:val="auto"/>
        </w:rPr>
        <w:fldChar w:fldCharType="end"/>
      </w:r>
    </w:p>
    <w:p>
      <w:pPr>
        <w:ind w:firstLine="480"/>
        <w:rPr>
          <w:rFonts w:cs="宋体"/>
          <w:color w:val="auto"/>
        </w:rPr>
      </w:pPr>
    </w:p>
    <w:p>
      <w:pPr>
        <w:pStyle w:val="12"/>
        <w:ind w:firstLine="280"/>
        <w:rPr>
          <w:rFonts w:ascii="宋体" w:eastAsia="宋体" w:cs="宋体"/>
          <w:color w:val="auto"/>
        </w:rPr>
        <w:sectPr>
          <w:footerReference r:id="rId10" w:type="default"/>
          <w:headerReference r:id="rId9" w:type="even"/>
          <w:footerReference r:id="rId11" w:type="even"/>
          <w:pgSz w:w="11906" w:h="16838"/>
          <w:pgMar w:top="1440" w:right="1080" w:bottom="1440" w:left="1080" w:header="851" w:footer="992" w:gutter="0"/>
          <w:cols w:space="720" w:num="1"/>
          <w:docGrid w:type="lines" w:linePitch="312" w:charSpace="0"/>
        </w:sectPr>
      </w:pPr>
    </w:p>
    <w:p>
      <w:pPr>
        <w:pStyle w:val="4"/>
        <w:rPr>
          <w:rFonts w:cs="宋体"/>
          <w:color w:val="auto"/>
        </w:rPr>
      </w:pPr>
      <w:bookmarkStart w:id="1" w:name="_Toc24232"/>
      <w:bookmarkStart w:id="2" w:name="_Toc12653"/>
      <w:bookmarkStart w:id="3" w:name="_Toc19596"/>
      <w:bookmarkStart w:id="4" w:name="_Toc452457411"/>
      <w:r>
        <w:rPr>
          <w:rFonts w:hint="eastAsia" w:cs="宋体"/>
          <w:color w:val="auto"/>
        </w:rPr>
        <w:t>第一章 招标公告</w:t>
      </w:r>
      <w:bookmarkEnd w:id="1"/>
      <w:bookmarkEnd w:id="2"/>
      <w:bookmarkEnd w:id="3"/>
    </w:p>
    <w:p>
      <w:pPr>
        <w:pBdr>
          <w:top w:val="single" w:color="auto" w:sz="4" w:space="1"/>
          <w:left w:val="single" w:color="auto" w:sz="4" w:space="4"/>
          <w:bottom w:val="single" w:color="auto" w:sz="4" w:space="1"/>
          <w:right w:val="single" w:color="auto" w:sz="4" w:space="4"/>
        </w:pBdr>
        <w:ind w:firstLine="480"/>
        <w:rPr>
          <w:rFonts w:cs="宋体"/>
          <w:color w:val="auto"/>
        </w:rPr>
      </w:pPr>
      <w:r>
        <w:rPr>
          <w:rFonts w:hint="eastAsia" w:cs="宋体"/>
          <w:color w:val="auto"/>
        </w:rPr>
        <w:t>项目概况</w:t>
      </w:r>
    </w:p>
    <w:p>
      <w:pPr>
        <w:pBdr>
          <w:top w:val="single" w:color="auto" w:sz="4" w:space="1"/>
          <w:left w:val="single" w:color="auto" w:sz="4" w:space="4"/>
          <w:bottom w:val="single" w:color="auto" w:sz="4" w:space="1"/>
          <w:right w:val="single" w:color="auto" w:sz="4" w:space="4"/>
        </w:pBdr>
        <w:ind w:firstLine="480"/>
        <w:rPr>
          <w:rFonts w:cs="宋体"/>
          <w:bCs/>
          <w:color w:val="auto"/>
        </w:rPr>
      </w:pPr>
      <w:r>
        <w:rPr>
          <w:rFonts w:hint="eastAsia" w:cs="宋体"/>
          <w:color w:val="auto"/>
          <w:u w:val="single"/>
        </w:rPr>
        <w:t>浙江海洋大学油气储运工程教学实验平台建设</w:t>
      </w:r>
      <w:r>
        <w:rPr>
          <w:rFonts w:hint="eastAsia" w:cs="宋体"/>
          <w:color w:val="auto"/>
        </w:rPr>
        <w:t>招标项目的潜在投标人应在</w:t>
      </w:r>
      <w:r>
        <w:rPr>
          <w:rFonts w:hint="eastAsia" w:cs="宋体"/>
          <w:color w:val="auto"/>
          <w:u w:val="single"/>
        </w:rPr>
        <w:t>政采云平台（http://zfcg.czt.zj.gov.cn）</w:t>
      </w:r>
      <w:r>
        <w:rPr>
          <w:rFonts w:hint="eastAsia" w:cs="宋体"/>
          <w:color w:val="auto"/>
        </w:rPr>
        <w:t>获取招标文件，并于</w:t>
      </w:r>
      <w:r>
        <w:rPr>
          <w:rFonts w:hint="eastAsia" w:cs="宋体"/>
          <w:color w:val="auto"/>
          <w:u w:val="single"/>
        </w:rPr>
        <w:t>2021</w:t>
      </w:r>
      <w:r>
        <w:rPr>
          <w:rFonts w:hint="eastAsia" w:cs="宋体"/>
          <w:bCs/>
          <w:color w:val="auto"/>
          <w:u w:val="single"/>
        </w:rPr>
        <w:t>年</w:t>
      </w:r>
      <w:r>
        <w:rPr>
          <w:rFonts w:hint="eastAsia" w:cs="宋体"/>
          <w:bCs/>
          <w:color w:val="auto"/>
          <w:u w:val="single"/>
          <w:lang w:val="en-US" w:eastAsia="zh-CN"/>
        </w:rPr>
        <w:t>10</w:t>
      </w:r>
      <w:r>
        <w:rPr>
          <w:rFonts w:hint="eastAsia" w:cs="宋体"/>
          <w:bCs/>
          <w:color w:val="auto"/>
          <w:u w:val="single"/>
        </w:rPr>
        <w:t>月</w:t>
      </w:r>
      <w:r>
        <w:rPr>
          <w:rFonts w:hint="eastAsia" w:cs="宋体"/>
          <w:bCs/>
          <w:color w:val="auto"/>
          <w:u w:val="single"/>
          <w:lang w:val="en-US" w:eastAsia="zh-CN"/>
        </w:rPr>
        <w:t>29</w:t>
      </w:r>
      <w:r>
        <w:rPr>
          <w:rFonts w:hint="eastAsia" w:cs="宋体"/>
          <w:bCs/>
          <w:color w:val="auto"/>
          <w:u w:val="single"/>
        </w:rPr>
        <w:t>日</w:t>
      </w:r>
      <w:r>
        <w:rPr>
          <w:rFonts w:hint="eastAsia" w:cs="宋体"/>
          <w:bCs/>
          <w:color w:val="auto"/>
          <w:u w:val="single"/>
          <w:lang w:val="en-US" w:eastAsia="zh-CN"/>
        </w:rPr>
        <w:t>13</w:t>
      </w:r>
      <w:r>
        <w:rPr>
          <w:rFonts w:hint="eastAsia" w:cs="宋体"/>
          <w:bCs/>
          <w:color w:val="auto"/>
          <w:u w:val="single"/>
        </w:rPr>
        <w:t>点30分（</w:t>
      </w:r>
      <w:r>
        <w:rPr>
          <w:rFonts w:hint="eastAsia" w:cs="宋体"/>
          <w:bCs/>
          <w:color w:val="auto"/>
        </w:rPr>
        <w:t>北京时间）前递交（上传）投标文件。</w:t>
      </w:r>
    </w:p>
    <w:p>
      <w:pPr>
        <w:pStyle w:val="5"/>
        <w:rPr>
          <w:rFonts w:cs="宋体"/>
          <w:color w:val="auto"/>
          <w:sz w:val="24"/>
          <w:szCs w:val="24"/>
        </w:rPr>
      </w:pPr>
      <w:bookmarkStart w:id="5" w:name="_Toc28359079"/>
      <w:bookmarkStart w:id="6" w:name="_Toc25244"/>
      <w:bookmarkStart w:id="7" w:name="_Toc35393790"/>
      <w:bookmarkStart w:id="8" w:name="_Toc28359002"/>
      <w:bookmarkStart w:id="9" w:name="_Toc35393621"/>
      <w:r>
        <w:rPr>
          <w:rFonts w:hint="eastAsia" w:cs="宋体"/>
          <w:color w:val="auto"/>
          <w:sz w:val="24"/>
          <w:szCs w:val="24"/>
        </w:rPr>
        <w:t>一、项目基本情况</w:t>
      </w:r>
      <w:bookmarkEnd w:id="5"/>
      <w:bookmarkEnd w:id="6"/>
      <w:bookmarkEnd w:id="7"/>
      <w:bookmarkEnd w:id="8"/>
      <w:bookmarkEnd w:id="9"/>
    </w:p>
    <w:p>
      <w:pPr>
        <w:ind w:firstLine="480"/>
        <w:rPr>
          <w:rFonts w:cs="宋体"/>
          <w:color w:val="auto"/>
        </w:rPr>
      </w:pPr>
      <w:r>
        <w:rPr>
          <w:rFonts w:hint="eastAsia" w:cs="宋体"/>
          <w:color w:val="auto"/>
        </w:rPr>
        <w:t>项目编号：ZJWS-20210145HY</w:t>
      </w:r>
    </w:p>
    <w:p>
      <w:pPr>
        <w:ind w:firstLine="480"/>
        <w:rPr>
          <w:rFonts w:cs="宋体"/>
          <w:color w:val="auto"/>
        </w:rPr>
      </w:pPr>
      <w:r>
        <w:rPr>
          <w:rFonts w:hint="eastAsia" w:cs="宋体"/>
          <w:color w:val="auto"/>
        </w:rPr>
        <w:t>项目名称：浙江海洋大学油气储运工程教学实验平台建设项目</w:t>
      </w:r>
    </w:p>
    <w:p>
      <w:pPr>
        <w:ind w:firstLine="480"/>
        <w:rPr>
          <w:rFonts w:cs="宋体"/>
          <w:color w:val="auto"/>
        </w:rPr>
      </w:pPr>
      <w:r>
        <w:rPr>
          <w:rFonts w:hint="eastAsia" w:cs="宋体"/>
          <w:color w:val="auto"/>
        </w:rPr>
        <w:t>预算金额：标项一1194900元，标项二507400元，标项三1087700元</w:t>
      </w:r>
    </w:p>
    <w:p>
      <w:pPr>
        <w:ind w:firstLine="480"/>
        <w:rPr>
          <w:rFonts w:cs="宋体"/>
          <w:color w:val="auto"/>
        </w:rPr>
      </w:pPr>
      <w:r>
        <w:rPr>
          <w:rFonts w:hint="eastAsia" w:cs="宋体"/>
          <w:color w:val="auto"/>
        </w:rPr>
        <w:t>采购需求：</w:t>
      </w:r>
    </w:p>
    <w:tbl>
      <w:tblPr>
        <w:tblStyle w:val="46"/>
        <w:tblW w:w="9338" w:type="dxa"/>
        <w:tblInd w:w="91"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640"/>
        <w:gridCol w:w="2585"/>
        <w:gridCol w:w="3615"/>
        <w:gridCol w:w="675"/>
        <w:gridCol w:w="1330"/>
        <w:gridCol w:w="493"/>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trHeight w:val="693" w:hRule="exact"/>
        </w:trPr>
        <w:tc>
          <w:tcPr>
            <w:tcW w:w="640" w:type="dxa"/>
            <w:shd w:val="clear" w:color="000000" w:fill="auto"/>
            <w:vAlign w:val="center"/>
          </w:tcPr>
          <w:p>
            <w:pPr>
              <w:ind w:firstLine="0" w:firstLineChars="0"/>
              <w:jc w:val="center"/>
              <w:rPr>
                <w:rFonts w:cs="宋体"/>
                <w:color w:val="auto"/>
                <w:sz w:val="21"/>
                <w:szCs w:val="21"/>
              </w:rPr>
            </w:pPr>
            <w:r>
              <w:rPr>
                <w:rFonts w:hint="eastAsia" w:cs="宋体"/>
                <w:color w:val="auto"/>
                <w:sz w:val="21"/>
                <w:szCs w:val="21"/>
              </w:rPr>
              <w:t>标项</w:t>
            </w:r>
          </w:p>
        </w:tc>
        <w:tc>
          <w:tcPr>
            <w:tcW w:w="2585" w:type="dxa"/>
            <w:shd w:val="clear" w:color="000000" w:fill="auto"/>
            <w:vAlign w:val="center"/>
          </w:tcPr>
          <w:p>
            <w:pPr>
              <w:ind w:firstLine="0" w:firstLineChars="0"/>
              <w:jc w:val="center"/>
              <w:rPr>
                <w:rFonts w:cs="宋体"/>
                <w:color w:val="auto"/>
                <w:sz w:val="21"/>
                <w:szCs w:val="21"/>
              </w:rPr>
            </w:pPr>
            <w:r>
              <w:rPr>
                <w:rFonts w:hint="eastAsia" w:cs="宋体"/>
                <w:color w:val="auto"/>
                <w:sz w:val="21"/>
                <w:szCs w:val="21"/>
              </w:rPr>
              <w:t>采购内容</w:t>
            </w:r>
          </w:p>
        </w:tc>
        <w:tc>
          <w:tcPr>
            <w:tcW w:w="3615" w:type="dxa"/>
            <w:shd w:val="clear" w:color="000000" w:fill="auto"/>
            <w:vAlign w:val="center"/>
          </w:tcPr>
          <w:p>
            <w:pPr>
              <w:ind w:firstLine="0" w:firstLineChars="0"/>
              <w:jc w:val="center"/>
              <w:rPr>
                <w:rFonts w:cs="宋体"/>
                <w:color w:val="auto"/>
                <w:sz w:val="21"/>
                <w:szCs w:val="21"/>
              </w:rPr>
            </w:pPr>
            <w:r>
              <w:rPr>
                <w:rFonts w:hint="eastAsia" w:cs="宋体"/>
                <w:color w:val="auto"/>
                <w:sz w:val="21"/>
                <w:szCs w:val="21"/>
              </w:rPr>
              <w:t>技术要求</w:t>
            </w:r>
          </w:p>
        </w:tc>
        <w:tc>
          <w:tcPr>
            <w:tcW w:w="675" w:type="dxa"/>
            <w:shd w:val="clear" w:color="000000" w:fill="auto"/>
            <w:vAlign w:val="center"/>
          </w:tcPr>
          <w:p>
            <w:pPr>
              <w:ind w:firstLine="0" w:firstLineChars="0"/>
              <w:jc w:val="center"/>
              <w:rPr>
                <w:rFonts w:cs="宋体"/>
                <w:color w:val="auto"/>
                <w:sz w:val="21"/>
                <w:szCs w:val="21"/>
              </w:rPr>
            </w:pPr>
            <w:r>
              <w:rPr>
                <w:rFonts w:hint="eastAsia" w:cs="宋体"/>
                <w:color w:val="auto"/>
                <w:sz w:val="21"/>
                <w:szCs w:val="21"/>
              </w:rPr>
              <w:t>数量</w:t>
            </w:r>
          </w:p>
        </w:tc>
        <w:tc>
          <w:tcPr>
            <w:tcW w:w="1330" w:type="dxa"/>
            <w:shd w:val="clear" w:color="000000" w:fill="auto"/>
            <w:vAlign w:val="center"/>
          </w:tcPr>
          <w:p>
            <w:pPr>
              <w:ind w:firstLine="0" w:firstLineChars="0"/>
              <w:jc w:val="center"/>
              <w:rPr>
                <w:rFonts w:cs="宋体"/>
                <w:color w:val="auto"/>
                <w:sz w:val="21"/>
                <w:szCs w:val="21"/>
              </w:rPr>
            </w:pPr>
            <w:r>
              <w:rPr>
                <w:rFonts w:hint="eastAsia" w:cs="宋体"/>
                <w:color w:val="auto"/>
                <w:sz w:val="21"/>
                <w:szCs w:val="21"/>
              </w:rPr>
              <w:t>合同履行期限</w:t>
            </w:r>
          </w:p>
        </w:tc>
        <w:tc>
          <w:tcPr>
            <w:tcW w:w="493" w:type="dxa"/>
            <w:shd w:val="clear" w:color="000000" w:fill="auto"/>
            <w:vAlign w:val="center"/>
          </w:tcPr>
          <w:p>
            <w:pPr>
              <w:ind w:firstLine="0" w:firstLineChars="0"/>
              <w:jc w:val="center"/>
              <w:rPr>
                <w:rFonts w:cs="宋体"/>
                <w:color w:val="auto"/>
                <w:sz w:val="21"/>
                <w:szCs w:val="21"/>
              </w:rPr>
            </w:pPr>
            <w:r>
              <w:rPr>
                <w:rFonts w:hint="eastAsia" w:cs="宋体"/>
                <w:color w:val="auto"/>
                <w:sz w:val="21"/>
                <w:szCs w:val="21"/>
              </w:rPr>
              <w:t>备注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PrEx>
        <w:trPr>
          <w:trHeight w:val="698" w:hRule="exact"/>
        </w:trPr>
        <w:tc>
          <w:tcPr>
            <w:tcW w:w="640" w:type="dxa"/>
            <w:vAlign w:val="center"/>
          </w:tcPr>
          <w:p>
            <w:pPr>
              <w:ind w:firstLine="0" w:firstLineChars="0"/>
              <w:jc w:val="center"/>
              <w:rPr>
                <w:rFonts w:cs="宋体"/>
                <w:color w:val="auto"/>
                <w:sz w:val="21"/>
                <w:szCs w:val="21"/>
              </w:rPr>
            </w:pPr>
            <w:r>
              <w:rPr>
                <w:rFonts w:hint="eastAsia" w:cs="宋体"/>
                <w:color w:val="auto"/>
                <w:sz w:val="21"/>
                <w:szCs w:val="21"/>
              </w:rPr>
              <w:t>一</w:t>
            </w:r>
          </w:p>
        </w:tc>
        <w:tc>
          <w:tcPr>
            <w:tcW w:w="2585" w:type="dxa"/>
            <w:vAlign w:val="center"/>
          </w:tcPr>
          <w:p>
            <w:pPr>
              <w:ind w:firstLine="0" w:firstLineChars="0"/>
              <w:jc w:val="center"/>
              <w:rPr>
                <w:rFonts w:cs="宋体"/>
                <w:color w:val="auto"/>
                <w:sz w:val="21"/>
                <w:szCs w:val="21"/>
              </w:rPr>
            </w:pPr>
            <w:r>
              <w:rPr>
                <w:rFonts w:hint="eastAsia" w:cs="宋体"/>
                <w:color w:val="auto"/>
                <w:sz w:val="21"/>
                <w:szCs w:val="21"/>
              </w:rPr>
              <w:t>天然气储运实验室项目</w:t>
            </w:r>
          </w:p>
        </w:tc>
        <w:tc>
          <w:tcPr>
            <w:tcW w:w="3615" w:type="dxa"/>
            <w:vAlign w:val="center"/>
          </w:tcPr>
          <w:p>
            <w:pPr>
              <w:ind w:firstLine="0" w:firstLineChars="0"/>
              <w:jc w:val="center"/>
              <w:rPr>
                <w:rFonts w:cs="宋体"/>
                <w:color w:val="auto"/>
                <w:sz w:val="21"/>
                <w:szCs w:val="21"/>
              </w:rPr>
            </w:pPr>
            <w:r>
              <w:rPr>
                <w:rFonts w:hint="eastAsia" w:cs="宋体"/>
                <w:color w:val="auto"/>
                <w:sz w:val="21"/>
                <w:szCs w:val="21"/>
              </w:rPr>
              <w:t>燃气相对密度测定装置、柴油阻塞倾向性测定器、工业用调压计量柜等</w:t>
            </w:r>
          </w:p>
        </w:tc>
        <w:tc>
          <w:tcPr>
            <w:tcW w:w="675" w:type="dxa"/>
            <w:vAlign w:val="center"/>
          </w:tcPr>
          <w:p>
            <w:pPr>
              <w:ind w:firstLine="0" w:firstLineChars="0"/>
              <w:jc w:val="center"/>
              <w:rPr>
                <w:rFonts w:cs="宋体"/>
                <w:color w:val="auto"/>
                <w:sz w:val="21"/>
                <w:szCs w:val="21"/>
              </w:rPr>
            </w:pPr>
            <w:r>
              <w:rPr>
                <w:rFonts w:hint="eastAsia" w:cs="宋体"/>
                <w:color w:val="auto"/>
                <w:sz w:val="21"/>
                <w:szCs w:val="21"/>
              </w:rPr>
              <w:t>1批</w:t>
            </w:r>
          </w:p>
        </w:tc>
        <w:tc>
          <w:tcPr>
            <w:tcW w:w="1330" w:type="dxa"/>
            <w:vMerge w:val="restart"/>
            <w:vAlign w:val="center"/>
          </w:tcPr>
          <w:p>
            <w:pPr>
              <w:ind w:firstLine="0" w:firstLineChars="0"/>
              <w:jc w:val="center"/>
              <w:rPr>
                <w:rFonts w:cs="宋体"/>
                <w:color w:val="auto"/>
                <w:sz w:val="21"/>
                <w:szCs w:val="21"/>
              </w:rPr>
            </w:pPr>
            <w:r>
              <w:rPr>
                <w:rFonts w:hint="eastAsia" w:cs="宋体"/>
                <w:color w:val="auto"/>
                <w:sz w:val="21"/>
                <w:szCs w:val="21"/>
              </w:rPr>
              <w:t>自合同签订之日起2个月内完成交货安装</w:t>
            </w:r>
          </w:p>
        </w:tc>
        <w:tc>
          <w:tcPr>
            <w:tcW w:w="493" w:type="dxa"/>
            <w:vAlign w:val="center"/>
          </w:tcPr>
          <w:p>
            <w:pPr>
              <w:ind w:firstLine="0" w:firstLineChars="0"/>
              <w:jc w:val="center"/>
              <w:rPr>
                <w:rFonts w:cs="宋体"/>
                <w:color w:val="auto"/>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782" w:hRule="exact"/>
        </w:trPr>
        <w:tc>
          <w:tcPr>
            <w:tcW w:w="640" w:type="dxa"/>
            <w:vAlign w:val="center"/>
          </w:tcPr>
          <w:p>
            <w:pPr>
              <w:ind w:firstLine="0" w:firstLineChars="0"/>
              <w:jc w:val="center"/>
              <w:rPr>
                <w:rFonts w:cs="宋体"/>
                <w:color w:val="auto"/>
                <w:sz w:val="21"/>
                <w:szCs w:val="21"/>
              </w:rPr>
            </w:pPr>
            <w:r>
              <w:rPr>
                <w:rFonts w:hint="eastAsia" w:cs="宋体"/>
                <w:color w:val="auto"/>
                <w:sz w:val="21"/>
                <w:szCs w:val="21"/>
              </w:rPr>
              <w:t>二</w:t>
            </w:r>
          </w:p>
        </w:tc>
        <w:tc>
          <w:tcPr>
            <w:tcW w:w="2585" w:type="dxa"/>
            <w:vAlign w:val="center"/>
          </w:tcPr>
          <w:p>
            <w:pPr>
              <w:ind w:firstLine="0" w:firstLineChars="0"/>
              <w:jc w:val="center"/>
              <w:rPr>
                <w:rFonts w:cs="宋体"/>
                <w:color w:val="auto"/>
                <w:sz w:val="21"/>
                <w:szCs w:val="21"/>
              </w:rPr>
            </w:pPr>
            <w:r>
              <w:rPr>
                <w:rFonts w:hint="eastAsia" w:cs="宋体"/>
                <w:color w:val="auto"/>
                <w:sz w:val="21"/>
                <w:szCs w:val="21"/>
              </w:rPr>
              <w:t>油品计量及自动化仪表实验室项目</w:t>
            </w:r>
          </w:p>
        </w:tc>
        <w:tc>
          <w:tcPr>
            <w:tcW w:w="3615" w:type="dxa"/>
            <w:vAlign w:val="center"/>
          </w:tcPr>
          <w:p>
            <w:pPr>
              <w:ind w:firstLine="0" w:firstLineChars="0"/>
              <w:jc w:val="center"/>
              <w:rPr>
                <w:rFonts w:cs="宋体"/>
                <w:color w:val="auto"/>
                <w:sz w:val="21"/>
                <w:szCs w:val="21"/>
              </w:rPr>
            </w:pPr>
            <w:r>
              <w:rPr>
                <w:rFonts w:hint="eastAsia" w:cs="宋体"/>
                <w:color w:val="auto"/>
                <w:sz w:val="21"/>
                <w:szCs w:val="21"/>
              </w:rPr>
              <w:t>高精度电动调节阀、气动调节球阀、电动调节球阀等</w:t>
            </w:r>
          </w:p>
        </w:tc>
        <w:tc>
          <w:tcPr>
            <w:tcW w:w="675" w:type="dxa"/>
            <w:vAlign w:val="center"/>
          </w:tcPr>
          <w:p>
            <w:pPr>
              <w:ind w:firstLine="0" w:firstLineChars="0"/>
              <w:jc w:val="center"/>
              <w:rPr>
                <w:rFonts w:cs="宋体"/>
                <w:color w:val="auto"/>
                <w:sz w:val="21"/>
                <w:szCs w:val="21"/>
              </w:rPr>
            </w:pPr>
            <w:r>
              <w:rPr>
                <w:rFonts w:hint="eastAsia" w:cs="宋体"/>
                <w:color w:val="auto"/>
                <w:sz w:val="21"/>
                <w:szCs w:val="21"/>
              </w:rPr>
              <w:t>1批</w:t>
            </w:r>
          </w:p>
        </w:tc>
        <w:tc>
          <w:tcPr>
            <w:tcW w:w="1330" w:type="dxa"/>
            <w:vMerge w:val="continue"/>
            <w:vAlign w:val="center"/>
          </w:tcPr>
          <w:p>
            <w:pPr>
              <w:ind w:firstLine="0" w:firstLineChars="0"/>
              <w:jc w:val="center"/>
              <w:rPr>
                <w:rFonts w:cs="宋体"/>
                <w:color w:val="auto"/>
                <w:sz w:val="21"/>
                <w:szCs w:val="21"/>
              </w:rPr>
            </w:pPr>
          </w:p>
        </w:tc>
        <w:tc>
          <w:tcPr>
            <w:tcW w:w="493" w:type="dxa"/>
            <w:vAlign w:val="center"/>
          </w:tcPr>
          <w:p>
            <w:pPr>
              <w:ind w:firstLine="0" w:firstLineChars="0"/>
              <w:jc w:val="center"/>
              <w:rPr>
                <w:rFonts w:cs="宋体"/>
                <w:color w:val="auto"/>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Ex>
        <w:trPr>
          <w:trHeight w:val="782" w:hRule="exact"/>
        </w:trPr>
        <w:tc>
          <w:tcPr>
            <w:tcW w:w="640" w:type="dxa"/>
            <w:vAlign w:val="center"/>
          </w:tcPr>
          <w:p>
            <w:pPr>
              <w:ind w:firstLine="0" w:firstLineChars="0"/>
              <w:jc w:val="center"/>
              <w:rPr>
                <w:rFonts w:cs="宋体"/>
                <w:color w:val="auto"/>
                <w:sz w:val="21"/>
                <w:szCs w:val="21"/>
              </w:rPr>
            </w:pPr>
            <w:r>
              <w:rPr>
                <w:rFonts w:hint="eastAsia" w:cs="宋体"/>
                <w:color w:val="auto"/>
                <w:sz w:val="21"/>
                <w:szCs w:val="21"/>
              </w:rPr>
              <w:t>三</w:t>
            </w:r>
          </w:p>
        </w:tc>
        <w:tc>
          <w:tcPr>
            <w:tcW w:w="2585" w:type="dxa"/>
            <w:vAlign w:val="center"/>
          </w:tcPr>
          <w:p>
            <w:pPr>
              <w:ind w:firstLine="0" w:firstLineChars="0"/>
              <w:jc w:val="center"/>
              <w:rPr>
                <w:rFonts w:cs="宋体"/>
                <w:color w:val="auto"/>
                <w:sz w:val="21"/>
                <w:szCs w:val="21"/>
              </w:rPr>
            </w:pPr>
            <w:r>
              <w:rPr>
                <w:rFonts w:hint="eastAsia"/>
                <w:color w:val="auto"/>
                <w:kern w:val="0"/>
                <w:szCs w:val="21"/>
              </w:rPr>
              <w:t>油品质量检验设备</w:t>
            </w:r>
          </w:p>
        </w:tc>
        <w:tc>
          <w:tcPr>
            <w:tcW w:w="3615" w:type="dxa"/>
            <w:vAlign w:val="center"/>
          </w:tcPr>
          <w:p>
            <w:pPr>
              <w:ind w:firstLine="0" w:firstLineChars="0"/>
              <w:jc w:val="center"/>
              <w:rPr>
                <w:rFonts w:cs="宋体"/>
                <w:color w:val="auto"/>
                <w:sz w:val="21"/>
                <w:szCs w:val="21"/>
              </w:rPr>
            </w:pPr>
            <w:r>
              <w:rPr>
                <w:rFonts w:hint="eastAsia" w:cs="宋体"/>
                <w:color w:val="auto"/>
                <w:sz w:val="21"/>
                <w:szCs w:val="21"/>
              </w:rPr>
              <w:t>电子天平、箱式电阻炉、台式恒温鼓风干燥箱等</w:t>
            </w:r>
          </w:p>
        </w:tc>
        <w:tc>
          <w:tcPr>
            <w:tcW w:w="675" w:type="dxa"/>
            <w:vAlign w:val="center"/>
          </w:tcPr>
          <w:p>
            <w:pPr>
              <w:ind w:firstLine="0" w:firstLineChars="0"/>
              <w:jc w:val="center"/>
              <w:rPr>
                <w:rFonts w:cs="宋体"/>
                <w:color w:val="auto"/>
                <w:sz w:val="21"/>
                <w:szCs w:val="21"/>
              </w:rPr>
            </w:pPr>
            <w:r>
              <w:rPr>
                <w:rFonts w:hint="eastAsia" w:cs="宋体"/>
                <w:color w:val="auto"/>
                <w:sz w:val="21"/>
                <w:szCs w:val="21"/>
              </w:rPr>
              <w:t>1批</w:t>
            </w:r>
          </w:p>
        </w:tc>
        <w:tc>
          <w:tcPr>
            <w:tcW w:w="1330" w:type="dxa"/>
            <w:vMerge w:val="continue"/>
            <w:vAlign w:val="center"/>
          </w:tcPr>
          <w:p>
            <w:pPr>
              <w:ind w:firstLine="0" w:firstLineChars="0"/>
              <w:jc w:val="center"/>
              <w:rPr>
                <w:rFonts w:cs="宋体"/>
                <w:color w:val="auto"/>
                <w:sz w:val="21"/>
                <w:szCs w:val="21"/>
              </w:rPr>
            </w:pPr>
          </w:p>
        </w:tc>
        <w:tc>
          <w:tcPr>
            <w:tcW w:w="493" w:type="dxa"/>
            <w:vAlign w:val="center"/>
          </w:tcPr>
          <w:p>
            <w:pPr>
              <w:ind w:firstLine="0" w:firstLineChars="0"/>
              <w:jc w:val="center"/>
              <w:rPr>
                <w:rFonts w:cs="宋体"/>
                <w:color w:val="auto"/>
                <w:sz w:val="21"/>
                <w:szCs w:val="21"/>
              </w:rPr>
            </w:pPr>
          </w:p>
        </w:tc>
      </w:tr>
    </w:tbl>
    <w:p>
      <w:pPr>
        <w:ind w:firstLine="480"/>
        <w:rPr>
          <w:rFonts w:cs="宋体"/>
          <w:color w:val="auto"/>
        </w:rPr>
      </w:pPr>
      <w:r>
        <w:rPr>
          <w:rFonts w:hint="eastAsia" w:cs="宋体"/>
          <w:color w:val="auto"/>
        </w:rPr>
        <w:t>本项目不接受联合体投标。</w:t>
      </w:r>
    </w:p>
    <w:p>
      <w:pPr>
        <w:pStyle w:val="5"/>
        <w:rPr>
          <w:rFonts w:cs="宋体"/>
          <w:color w:val="auto"/>
          <w:sz w:val="24"/>
          <w:szCs w:val="24"/>
        </w:rPr>
      </w:pPr>
      <w:bookmarkStart w:id="10" w:name="_Toc3134"/>
      <w:bookmarkStart w:id="11" w:name="_Toc35393622"/>
      <w:bookmarkStart w:id="12" w:name="_Toc35393791"/>
      <w:bookmarkStart w:id="13" w:name="_Toc28359080"/>
      <w:bookmarkStart w:id="14" w:name="_Toc28359003"/>
      <w:r>
        <w:rPr>
          <w:rFonts w:hint="eastAsia" w:cs="宋体"/>
          <w:color w:val="auto"/>
          <w:sz w:val="24"/>
          <w:szCs w:val="24"/>
        </w:rPr>
        <w:t>二、申请人的资格要求：</w:t>
      </w:r>
      <w:bookmarkEnd w:id="10"/>
      <w:bookmarkEnd w:id="11"/>
      <w:bookmarkEnd w:id="12"/>
      <w:bookmarkEnd w:id="13"/>
      <w:bookmarkEnd w:id="14"/>
    </w:p>
    <w:p>
      <w:pPr>
        <w:ind w:firstLine="480"/>
        <w:rPr>
          <w:rFonts w:cs="宋体"/>
          <w:color w:val="auto"/>
        </w:rPr>
      </w:pPr>
      <w:r>
        <w:rPr>
          <w:rFonts w:hint="eastAsia" w:cs="宋体"/>
          <w:color w:val="auto"/>
        </w:rPr>
        <w:t>标项一</w:t>
      </w:r>
    </w:p>
    <w:p>
      <w:pPr>
        <w:ind w:firstLine="480"/>
        <w:rPr>
          <w:rFonts w:cs="宋体"/>
          <w:color w:val="auto"/>
        </w:rPr>
      </w:pPr>
      <w:r>
        <w:rPr>
          <w:rFonts w:hint="eastAsia" w:cs="宋体"/>
          <w:color w:val="auto"/>
        </w:rPr>
        <w:t>1.满足《中华人民共和国政府采购法》第二十二条规定且未列入“www.creditchina.gov.cn、www.ccgp.gov.cn”网站失信被执行人、重大税收违法案件当事人名单、政府采购严重违法失信记录名单在禁止参加采购期限的供应商；</w:t>
      </w:r>
    </w:p>
    <w:p>
      <w:pPr>
        <w:ind w:firstLine="480"/>
        <w:rPr>
          <w:rFonts w:cs="宋体"/>
          <w:color w:val="auto"/>
        </w:rPr>
      </w:pPr>
      <w:bookmarkStart w:id="15" w:name="_Toc28359081"/>
      <w:bookmarkStart w:id="16" w:name="_Toc28359004"/>
      <w:r>
        <w:rPr>
          <w:rFonts w:hint="eastAsia"/>
          <w:color w:val="auto"/>
          <w:kern w:val="0"/>
        </w:rPr>
        <w:t>2</w:t>
      </w:r>
      <w:r>
        <w:rPr>
          <w:rFonts w:hint="eastAsia" w:cs="宋体"/>
          <w:color w:val="auto"/>
        </w:rPr>
        <w:t>.落实政府采购政策需满足的资格要求：</w:t>
      </w:r>
      <w:r>
        <w:rPr>
          <w:rFonts w:hint="eastAsia" w:cs="宋体"/>
          <w:color w:val="auto"/>
          <w:u w:val="single"/>
        </w:rPr>
        <w:t>无</w:t>
      </w:r>
    </w:p>
    <w:p>
      <w:pPr>
        <w:ind w:firstLine="480"/>
        <w:rPr>
          <w:color w:val="auto"/>
          <w:kern w:val="0"/>
        </w:rPr>
      </w:pPr>
      <w:r>
        <w:rPr>
          <w:rFonts w:hint="eastAsia" w:cs="宋体"/>
          <w:color w:val="auto"/>
        </w:rPr>
        <w:t>3.本项目的特定资格要求：</w:t>
      </w:r>
      <w:r>
        <w:rPr>
          <w:rFonts w:hint="eastAsia" w:cs="宋体"/>
          <w:color w:val="auto"/>
          <w:u w:val="single"/>
        </w:rPr>
        <w:t>无</w:t>
      </w:r>
    </w:p>
    <w:p>
      <w:pPr>
        <w:ind w:firstLine="480"/>
        <w:rPr>
          <w:rFonts w:cs="宋体"/>
          <w:color w:val="auto"/>
        </w:rPr>
      </w:pPr>
      <w:bookmarkStart w:id="17" w:name="_Toc29705"/>
      <w:bookmarkStart w:id="18" w:name="_Toc35393792"/>
      <w:bookmarkStart w:id="19" w:name="_Toc35393623"/>
      <w:r>
        <w:rPr>
          <w:rFonts w:hint="eastAsia" w:cs="宋体"/>
          <w:color w:val="auto"/>
        </w:rPr>
        <w:t>标项二</w:t>
      </w:r>
    </w:p>
    <w:p>
      <w:pPr>
        <w:ind w:firstLine="480"/>
        <w:rPr>
          <w:rFonts w:cs="宋体"/>
          <w:color w:val="auto"/>
        </w:rPr>
      </w:pPr>
      <w:r>
        <w:rPr>
          <w:rFonts w:hint="eastAsia" w:cs="宋体"/>
          <w:color w:val="auto"/>
        </w:rPr>
        <w:t>1.满足《中华人民共和国政府采购法》第二十二条规定且未列入“www.creditchina.gov.cn、www.ccgp.gov.cn”网站失信被执行人、重大税收违法案件当事人名单、政府采购严重违法失信记录名单在禁止参加采购期限的供应商；</w:t>
      </w:r>
    </w:p>
    <w:p>
      <w:pPr>
        <w:ind w:firstLine="480"/>
        <w:rPr>
          <w:rFonts w:cs="宋体"/>
          <w:color w:val="auto"/>
        </w:rPr>
      </w:pPr>
      <w:r>
        <w:rPr>
          <w:rFonts w:hint="eastAsia"/>
          <w:color w:val="auto"/>
          <w:kern w:val="0"/>
        </w:rPr>
        <w:t>2</w:t>
      </w:r>
      <w:r>
        <w:rPr>
          <w:rFonts w:hint="eastAsia" w:cs="宋体"/>
          <w:color w:val="auto"/>
        </w:rPr>
        <w:t>.落实政府采购政策需满足的资格要求：</w:t>
      </w:r>
      <w:r>
        <w:rPr>
          <w:rFonts w:hint="eastAsia" w:cs="宋体"/>
          <w:color w:val="auto"/>
          <w:u w:val="single"/>
        </w:rPr>
        <w:t>无</w:t>
      </w:r>
    </w:p>
    <w:p>
      <w:pPr>
        <w:ind w:firstLine="480"/>
        <w:rPr>
          <w:rFonts w:cs="宋体"/>
          <w:i/>
          <w:iCs/>
          <w:color w:val="auto"/>
          <w:u w:val="single"/>
        </w:rPr>
      </w:pPr>
      <w:r>
        <w:rPr>
          <w:rFonts w:hint="eastAsia" w:cs="宋体"/>
          <w:color w:val="auto"/>
        </w:rPr>
        <w:t>3.本项目的特定资格要求：</w:t>
      </w:r>
      <w:r>
        <w:rPr>
          <w:rFonts w:hint="eastAsia"/>
          <w:color w:val="auto"/>
          <w:kern w:val="0"/>
        </w:rPr>
        <w:t>无；</w:t>
      </w:r>
    </w:p>
    <w:p>
      <w:pPr>
        <w:ind w:firstLine="480"/>
        <w:rPr>
          <w:rFonts w:cs="宋体"/>
          <w:color w:val="auto"/>
        </w:rPr>
      </w:pPr>
      <w:r>
        <w:rPr>
          <w:rFonts w:hint="eastAsia" w:cs="宋体"/>
          <w:color w:val="auto"/>
        </w:rPr>
        <w:t>标项三</w:t>
      </w:r>
    </w:p>
    <w:p>
      <w:pPr>
        <w:ind w:firstLine="480"/>
        <w:rPr>
          <w:rFonts w:cs="宋体"/>
          <w:color w:val="auto"/>
        </w:rPr>
      </w:pPr>
      <w:r>
        <w:rPr>
          <w:rFonts w:hint="eastAsia" w:cs="宋体"/>
          <w:color w:val="auto"/>
        </w:rPr>
        <w:t>1.满足《中华人民共和国政府采购法》第二十二条规定且未列入“www.creditchina.gov.cn、www.ccgp.gov.cn”网站失信被执行人、重大税收违法案件当事人名单、政府采购严重违法失信记录名单在禁止参加采购期限的供应商；</w:t>
      </w:r>
    </w:p>
    <w:p>
      <w:pPr>
        <w:ind w:firstLine="480"/>
        <w:rPr>
          <w:rFonts w:cs="宋体"/>
          <w:color w:val="auto"/>
        </w:rPr>
      </w:pPr>
      <w:r>
        <w:rPr>
          <w:rFonts w:hint="eastAsia"/>
          <w:color w:val="auto"/>
          <w:kern w:val="0"/>
        </w:rPr>
        <w:t>2</w:t>
      </w:r>
      <w:r>
        <w:rPr>
          <w:rFonts w:hint="eastAsia" w:cs="宋体"/>
          <w:color w:val="auto"/>
        </w:rPr>
        <w:t>.落实政府采购政策需满足的资格要求：</w:t>
      </w:r>
      <w:r>
        <w:rPr>
          <w:rFonts w:hint="eastAsia" w:cs="宋体"/>
          <w:color w:val="auto"/>
          <w:u w:val="single"/>
        </w:rPr>
        <w:t>无</w:t>
      </w:r>
    </w:p>
    <w:p>
      <w:pPr>
        <w:ind w:firstLine="480"/>
        <w:rPr>
          <w:rFonts w:cs="宋体"/>
          <w:i/>
          <w:iCs/>
          <w:color w:val="auto"/>
          <w:u w:val="single"/>
        </w:rPr>
      </w:pPr>
      <w:r>
        <w:rPr>
          <w:rFonts w:hint="eastAsia" w:cs="宋体"/>
          <w:color w:val="auto"/>
        </w:rPr>
        <w:t>3.本项目的特定资格要求：</w:t>
      </w:r>
      <w:r>
        <w:rPr>
          <w:rFonts w:hint="eastAsia"/>
          <w:color w:val="auto"/>
          <w:kern w:val="0"/>
        </w:rPr>
        <w:t>无；</w:t>
      </w:r>
    </w:p>
    <w:p>
      <w:pPr>
        <w:pStyle w:val="5"/>
        <w:rPr>
          <w:rFonts w:cs="宋体"/>
          <w:bCs w:val="0"/>
          <w:color w:val="auto"/>
          <w:sz w:val="24"/>
          <w:szCs w:val="24"/>
        </w:rPr>
      </w:pPr>
      <w:r>
        <w:rPr>
          <w:rFonts w:hint="eastAsia" w:cs="宋体"/>
          <w:bCs w:val="0"/>
          <w:color w:val="auto"/>
          <w:sz w:val="24"/>
          <w:szCs w:val="24"/>
        </w:rPr>
        <w:t>三、获取招标文件</w:t>
      </w:r>
      <w:bookmarkEnd w:id="15"/>
      <w:bookmarkEnd w:id="16"/>
      <w:bookmarkEnd w:id="17"/>
      <w:bookmarkEnd w:id="18"/>
      <w:bookmarkEnd w:id="19"/>
    </w:p>
    <w:p>
      <w:pPr>
        <w:ind w:firstLine="480"/>
        <w:rPr>
          <w:rFonts w:cs="宋体"/>
          <w:color w:val="auto"/>
        </w:rPr>
      </w:pPr>
      <w:r>
        <w:rPr>
          <w:rFonts w:hint="eastAsia" w:cs="宋体"/>
          <w:color w:val="auto"/>
        </w:rPr>
        <w:t>时间：</w:t>
      </w:r>
      <w:r>
        <w:rPr>
          <w:rFonts w:hint="eastAsia" w:cs="宋体"/>
          <w:color w:val="auto"/>
          <w:u w:val="single"/>
        </w:rPr>
        <w:t>2021年</w:t>
      </w:r>
      <w:r>
        <w:rPr>
          <w:rFonts w:hint="eastAsia" w:cs="宋体"/>
          <w:color w:val="auto"/>
          <w:u w:val="single"/>
          <w:lang w:val="en-US" w:eastAsia="zh-CN"/>
        </w:rPr>
        <w:t>10</w:t>
      </w:r>
      <w:r>
        <w:rPr>
          <w:rFonts w:hint="eastAsia" w:cs="宋体"/>
          <w:color w:val="auto"/>
          <w:u w:val="single"/>
        </w:rPr>
        <w:t>月</w:t>
      </w:r>
      <w:r>
        <w:rPr>
          <w:rFonts w:hint="eastAsia" w:cs="宋体"/>
          <w:color w:val="auto"/>
          <w:u w:val="single"/>
          <w:lang w:val="en-US" w:eastAsia="zh-CN"/>
        </w:rPr>
        <w:t>9</w:t>
      </w:r>
      <w:r>
        <w:rPr>
          <w:rFonts w:hint="eastAsia" w:cs="宋体"/>
          <w:color w:val="auto"/>
          <w:u w:val="single"/>
        </w:rPr>
        <w:t>日</w:t>
      </w:r>
      <w:r>
        <w:rPr>
          <w:rFonts w:hint="eastAsia" w:cs="宋体"/>
          <w:color w:val="auto"/>
        </w:rPr>
        <w:t>至</w:t>
      </w:r>
      <w:r>
        <w:rPr>
          <w:rFonts w:hint="eastAsia" w:cs="宋体"/>
          <w:color w:val="auto"/>
          <w:u w:val="single"/>
        </w:rPr>
        <w:t xml:space="preserve"> 2021年</w:t>
      </w:r>
      <w:r>
        <w:rPr>
          <w:rFonts w:hint="eastAsia" w:cs="宋体"/>
          <w:color w:val="auto"/>
          <w:u w:val="single"/>
          <w:lang w:val="en-US" w:eastAsia="zh-CN"/>
        </w:rPr>
        <w:t>10</w:t>
      </w:r>
      <w:r>
        <w:rPr>
          <w:rFonts w:hint="eastAsia" w:cs="宋体"/>
          <w:color w:val="auto"/>
          <w:u w:val="single"/>
        </w:rPr>
        <w:t>月</w:t>
      </w:r>
      <w:r>
        <w:rPr>
          <w:rFonts w:hint="eastAsia" w:cs="宋体"/>
          <w:color w:val="auto"/>
          <w:u w:val="single"/>
          <w:lang w:val="en-US" w:eastAsia="zh-CN"/>
        </w:rPr>
        <w:t>29</w:t>
      </w:r>
      <w:r>
        <w:rPr>
          <w:rFonts w:hint="eastAsia" w:cs="宋体"/>
          <w:color w:val="auto"/>
          <w:u w:val="single"/>
        </w:rPr>
        <w:t>日</w:t>
      </w:r>
      <w:r>
        <w:rPr>
          <w:rFonts w:hint="eastAsia" w:cs="宋体"/>
          <w:color w:val="auto"/>
        </w:rPr>
        <w:t>（北京时间，法定节假日除外）</w:t>
      </w:r>
    </w:p>
    <w:p>
      <w:pPr>
        <w:ind w:firstLine="480"/>
        <w:rPr>
          <w:rFonts w:cs="宋体"/>
          <w:color w:val="auto"/>
        </w:rPr>
      </w:pPr>
      <w:r>
        <w:rPr>
          <w:rFonts w:hint="eastAsia" w:cs="宋体"/>
          <w:color w:val="auto"/>
        </w:rPr>
        <w:t>地点：政采云平台（http://zfcg.czt.zj.gov.cn）；</w:t>
      </w:r>
    </w:p>
    <w:p>
      <w:pPr>
        <w:ind w:firstLine="480"/>
        <w:rPr>
          <w:rFonts w:cs="宋体"/>
          <w:color w:val="auto"/>
        </w:rPr>
      </w:pPr>
      <w:r>
        <w:rPr>
          <w:rFonts w:hint="eastAsia" w:cs="宋体"/>
          <w:color w:val="auto"/>
        </w:rPr>
        <w:t>方式：</w:t>
      </w:r>
    </w:p>
    <w:p>
      <w:pPr>
        <w:ind w:firstLine="480"/>
        <w:rPr>
          <w:rFonts w:cs="宋体"/>
          <w:color w:val="auto"/>
        </w:rPr>
      </w:pPr>
      <w:r>
        <w:rPr>
          <w:rFonts w:hint="eastAsia" w:cs="宋体"/>
          <w:color w:val="auto"/>
        </w:rPr>
        <w:t>1、本项目招标文件实行“政府采购云平台”在线获取，不提供招标文件纸质版。供应商获取招标文件前应先完成“政府采购云平台”的账号注册；</w:t>
      </w:r>
    </w:p>
    <w:p>
      <w:pPr>
        <w:ind w:firstLine="480"/>
        <w:rPr>
          <w:rFonts w:cs="宋体"/>
          <w:color w:val="auto"/>
        </w:rPr>
      </w:pPr>
      <w:r>
        <w:rPr>
          <w:rFonts w:hint="eastAsia" w:cs="宋体"/>
          <w:color w:val="auto"/>
        </w:rPr>
        <w:t>2、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pPr>
        <w:ind w:firstLine="480"/>
        <w:rPr>
          <w:rFonts w:cs="宋体"/>
          <w:color w:val="auto"/>
        </w:rPr>
      </w:pPr>
      <w:r>
        <w:rPr>
          <w:rFonts w:hint="eastAsia" w:cs="宋体"/>
          <w:color w:val="auto"/>
        </w:rPr>
        <w:t>3、招标公告附件内的招标文件（或采购需求）仅供阅览使用，投标人只有在“政府采购云平台”完成获取招标文件申请并下载了招标文件后才视作依法获取招标文件（法律法规所指的供应商获取招标文件时间以供应商完成获取招标文件申请后下载招标文件的时间为准）。</w:t>
      </w:r>
    </w:p>
    <w:p>
      <w:pPr>
        <w:ind w:firstLine="480"/>
        <w:rPr>
          <w:rFonts w:cs="宋体"/>
          <w:color w:val="auto"/>
        </w:rPr>
      </w:pPr>
      <w:r>
        <w:rPr>
          <w:rFonts w:hint="eastAsia" w:cs="宋体"/>
          <w:color w:val="auto"/>
        </w:rPr>
        <w:t>注：请投标人按上述要求获取招标文件，如未在“政采云”系统内完成相关流程，引起的投标无效责任自负。</w:t>
      </w:r>
    </w:p>
    <w:p>
      <w:pPr>
        <w:pStyle w:val="5"/>
        <w:rPr>
          <w:rFonts w:cs="宋体"/>
          <w:color w:val="auto"/>
          <w:sz w:val="24"/>
          <w:szCs w:val="24"/>
        </w:rPr>
      </w:pPr>
      <w:bookmarkStart w:id="20" w:name="_Toc28359082"/>
      <w:bookmarkStart w:id="21" w:name="_Toc28359005"/>
      <w:bookmarkStart w:id="22" w:name="_Toc35393624"/>
      <w:bookmarkStart w:id="23" w:name="_Toc35393793"/>
      <w:bookmarkStart w:id="24" w:name="_Toc24835"/>
      <w:r>
        <w:rPr>
          <w:rFonts w:hint="eastAsia" w:cs="宋体"/>
          <w:color w:val="auto"/>
          <w:sz w:val="24"/>
          <w:szCs w:val="24"/>
        </w:rPr>
        <w:t>四、提交投标文件</w:t>
      </w:r>
      <w:bookmarkEnd w:id="20"/>
      <w:bookmarkEnd w:id="21"/>
      <w:r>
        <w:rPr>
          <w:rFonts w:hint="eastAsia" w:cs="宋体"/>
          <w:color w:val="auto"/>
          <w:sz w:val="24"/>
          <w:szCs w:val="24"/>
        </w:rPr>
        <w:t>截止时间、开标时间和地点</w:t>
      </w:r>
      <w:bookmarkEnd w:id="22"/>
      <w:bookmarkEnd w:id="23"/>
      <w:bookmarkEnd w:id="24"/>
    </w:p>
    <w:p>
      <w:pPr>
        <w:ind w:firstLine="480"/>
        <w:rPr>
          <w:rFonts w:cs="宋体"/>
          <w:color w:val="auto"/>
        </w:rPr>
      </w:pPr>
      <w:bookmarkStart w:id="25" w:name="_Toc35393794"/>
      <w:bookmarkStart w:id="26" w:name="_Toc28359084"/>
      <w:bookmarkStart w:id="27" w:name="_Toc28359007"/>
      <w:bookmarkStart w:id="28" w:name="_Toc35393625"/>
      <w:r>
        <w:rPr>
          <w:rFonts w:hint="eastAsia" w:cs="宋体"/>
          <w:color w:val="auto"/>
        </w:rPr>
        <w:t>1、投标文件递交截止时间：2021年</w:t>
      </w:r>
      <w:r>
        <w:rPr>
          <w:rFonts w:hint="eastAsia" w:cs="宋体"/>
          <w:color w:val="auto"/>
          <w:lang w:val="en-US" w:eastAsia="zh-CN"/>
        </w:rPr>
        <w:t>10</w:t>
      </w:r>
      <w:r>
        <w:rPr>
          <w:rFonts w:hint="eastAsia" w:cs="宋体"/>
          <w:color w:val="auto"/>
        </w:rPr>
        <w:t>月</w:t>
      </w:r>
      <w:r>
        <w:rPr>
          <w:rFonts w:hint="eastAsia" w:cs="宋体"/>
          <w:color w:val="auto"/>
          <w:lang w:val="en-US" w:eastAsia="zh-CN"/>
        </w:rPr>
        <w:t>29</w:t>
      </w:r>
      <w:r>
        <w:rPr>
          <w:rFonts w:hint="eastAsia" w:cs="宋体"/>
          <w:color w:val="auto"/>
        </w:rPr>
        <w:t>日</w:t>
      </w:r>
      <w:r>
        <w:rPr>
          <w:rFonts w:hint="eastAsia" w:cs="宋体"/>
          <w:color w:val="auto"/>
          <w:lang w:val="en-US" w:eastAsia="zh-CN"/>
        </w:rPr>
        <w:t>13</w:t>
      </w:r>
      <w:r>
        <w:rPr>
          <w:rFonts w:hint="eastAsia" w:cs="宋体"/>
          <w:color w:val="auto"/>
        </w:rPr>
        <w:t>时30分（北京时间）</w:t>
      </w:r>
    </w:p>
    <w:p>
      <w:pPr>
        <w:ind w:firstLine="480"/>
        <w:rPr>
          <w:rFonts w:cs="宋体"/>
          <w:color w:val="auto"/>
        </w:rPr>
      </w:pPr>
      <w:r>
        <w:rPr>
          <w:rFonts w:hint="eastAsia" w:cs="宋体"/>
          <w:color w:val="auto"/>
        </w:rPr>
        <w:t>2、投标地点：</w:t>
      </w:r>
      <w:r>
        <w:rPr>
          <w:rFonts w:hint="eastAsia" w:cs="宋体"/>
          <w:color w:val="auto"/>
          <w:sz w:val="24"/>
          <w:szCs w:val="24"/>
          <w:lang w:eastAsia="zh-CN"/>
        </w:rPr>
        <w:t>杭州市</w:t>
      </w:r>
      <w:r>
        <w:rPr>
          <w:rFonts w:hint="eastAsia" w:ascii="宋体" w:hAnsi="宋体" w:cs="宋体"/>
          <w:color w:val="auto"/>
          <w:highlight w:val="none"/>
        </w:rPr>
        <w:t>天目山路7号一号楼裙楼302室</w:t>
      </w:r>
      <w:r>
        <w:rPr>
          <w:rFonts w:hint="eastAsia" w:cs="宋体"/>
          <w:color w:val="auto"/>
        </w:rPr>
        <w:t>。</w:t>
      </w:r>
    </w:p>
    <w:p>
      <w:pPr>
        <w:ind w:firstLine="480"/>
        <w:rPr>
          <w:rFonts w:cs="宋体"/>
          <w:color w:val="auto"/>
        </w:rPr>
      </w:pPr>
      <w:r>
        <w:rPr>
          <w:rFonts w:hint="eastAsia" w:cs="宋体"/>
          <w:color w:val="auto"/>
        </w:rPr>
        <w:t>3、开标时间： 2021年</w:t>
      </w:r>
      <w:r>
        <w:rPr>
          <w:rFonts w:hint="eastAsia" w:cs="宋体"/>
          <w:color w:val="auto"/>
          <w:lang w:val="en-US" w:eastAsia="zh-CN"/>
        </w:rPr>
        <w:t>10</w:t>
      </w:r>
      <w:r>
        <w:rPr>
          <w:rFonts w:hint="eastAsia" w:cs="宋体"/>
          <w:color w:val="auto"/>
        </w:rPr>
        <w:t>月</w:t>
      </w:r>
      <w:r>
        <w:rPr>
          <w:rFonts w:hint="eastAsia" w:cs="宋体"/>
          <w:color w:val="auto"/>
          <w:lang w:val="en-US" w:eastAsia="zh-CN"/>
        </w:rPr>
        <w:t>29</w:t>
      </w:r>
      <w:r>
        <w:rPr>
          <w:rFonts w:hint="eastAsia" w:cs="宋体"/>
          <w:color w:val="auto"/>
        </w:rPr>
        <w:t>日</w:t>
      </w:r>
      <w:r>
        <w:rPr>
          <w:rFonts w:hint="eastAsia" w:cs="宋体"/>
          <w:color w:val="auto"/>
          <w:lang w:val="en-US" w:eastAsia="zh-CN"/>
        </w:rPr>
        <w:t>13</w:t>
      </w:r>
      <w:r>
        <w:rPr>
          <w:rFonts w:hint="eastAsia" w:cs="宋体"/>
          <w:color w:val="auto"/>
        </w:rPr>
        <w:t>时30分（北京时间）</w:t>
      </w:r>
    </w:p>
    <w:p>
      <w:pPr>
        <w:ind w:firstLine="480"/>
        <w:rPr>
          <w:rFonts w:cs="宋体"/>
          <w:color w:val="auto"/>
        </w:rPr>
      </w:pPr>
      <w:r>
        <w:rPr>
          <w:rFonts w:hint="eastAsia" w:cs="宋体"/>
          <w:color w:val="auto"/>
        </w:rPr>
        <w:t>4、开标地点：</w:t>
      </w:r>
      <w:r>
        <w:rPr>
          <w:rFonts w:hint="eastAsia" w:cs="宋体"/>
          <w:color w:val="auto"/>
          <w:sz w:val="24"/>
          <w:szCs w:val="24"/>
          <w:lang w:eastAsia="zh-CN"/>
        </w:rPr>
        <w:t>杭州市</w:t>
      </w:r>
      <w:r>
        <w:rPr>
          <w:rFonts w:hint="eastAsia" w:ascii="宋体" w:hAnsi="宋体" w:cs="宋体"/>
          <w:color w:val="auto"/>
          <w:highlight w:val="none"/>
        </w:rPr>
        <w:t>天目山路7号一号楼裙楼302室</w:t>
      </w:r>
      <w:r>
        <w:rPr>
          <w:rFonts w:hint="eastAsia" w:cs="宋体"/>
          <w:color w:val="auto"/>
        </w:rPr>
        <w:t>。</w:t>
      </w:r>
    </w:p>
    <w:p>
      <w:pPr>
        <w:pStyle w:val="5"/>
        <w:rPr>
          <w:rFonts w:cs="宋体"/>
          <w:color w:val="auto"/>
          <w:sz w:val="24"/>
          <w:szCs w:val="24"/>
        </w:rPr>
      </w:pPr>
      <w:r>
        <w:rPr>
          <w:rFonts w:hint="eastAsia" w:cs="宋体"/>
          <w:color w:val="auto"/>
          <w:sz w:val="24"/>
          <w:szCs w:val="24"/>
        </w:rPr>
        <w:t>五、公告期限</w:t>
      </w:r>
      <w:bookmarkEnd w:id="25"/>
      <w:bookmarkEnd w:id="26"/>
      <w:bookmarkEnd w:id="27"/>
      <w:bookmarkEnd w:id="28"/>
      <w:r>
        <w:rPr>
          <w:rFonts w:hint="eastAsia" w:cs="宋体"/>
          <w:color w:val="auto"/>
          <w:sz w:val="24"/>
          <w:szCs w:val="24"/>
        </w:rPr>
        <w:t>(招标文件公告期限)</w:t>
      </w:r>
    </w:p>
    <w:p>
      <w:pPr>
        <w:ind w:firstLine="480"/>
        <w:rPr>
          <w:rFonts w:cs="宋体"/>
          <w:color w:val="auto"/>
        </w:rPr>
      </w:pPr>
      <w:r>
        <w:rPr>
          <w:rFonts w:hint="eastAsia" w:cs="宋体"/>
          <w:color w:val="auto"/>
        </w:rPr>
        <w:t>自本公告发布之日起5个工作日。</w:t>
      </w:r>
    </w:p>
    <w:p>
      <w:pPr>
        <w:pStyle w:val="5"/>
        <w:rPr>
          <w:rFonts w:cs="宋体"/>
          <w:color w:val="auto"/>
          <w:sz w:val="24"/>
          <w:szCs w:val="24"/>
        </w:rPr>
      </w:pPr>
      <w:bookmarkStart w:id="29" w:name="_Toc35393626"/>
      <w:bookmarkStart w:id="30" w:name="_Toc30132"/>
      <w:bookmarkStart w:id="31" w:name="_Toc35393795"/>
      <w:r>
        <w:rPr>
          <w:rFonts w:hint="eastAsia" w:cs="宋体"/>
          <w:color w:val="auto"/>
          <w:sz w:val="24"/>
          <w:szCs w:val="24"/>
        </w:rPr>
        <w:t>六、其他补充事宜</w:t>
      </w:r>
      <w:bookmarkEnd w:id="29"/>
      <w:bookmarkEnd w:id="30"/>
      <w:bookmarkEnd w:id="31"/>
    </w:p>
    <w:p>
      <w:pPr>
        <w:ind w:firstLine="480"/>
        <w:rPr>
          <w:rFonts w:cs="宋体"/>
          <w:color w:val="auto"/>
        </w:rPr>
      </w:pPr>
      <w:r>
        <w:rPr>
          <w:rFonts w:hint="eastAsia" w:cs="宋体"/>
          <w:color w:val="auto"/>
        </w:rPr>
        <w:t>1、本次政府采购活动有关信息在浙江政府采购网和浙江五石工程咨询有限公司网公布，视同送达所有潜在投标人。</w:t>
      </w:r>
    </w:p>
    <w:p>
      <w:pPr>
        <w:pStyle w:val="5"/>
        <w:rPr>
          <w:rFonts w:cs="宋体"/>
          <w:color w:val="auto"/>
          <w:sz w:val="24"/>
          <w:szCs w:val="24"/>
        </w:rPr>
      </w:pPr>
      <w:bookmarkStart w:id="32" w:name="_Toc28359085"/>
      <w:bookmarkStart w:id="33" w:name="_Toc35393796"/>
      <w:bookmarkStart w:id="34" w:name="_Toc2735"/>
      <w:bookmarkStart w:id="35" w:name="_Toc28359008"/>
      <w:bookmarkStart w:id="36" w:name="_Toc35393627"/>
      <w:r>
        <w:rPr>
          <w:rFonts w:hint="eastAsia" w:cs="宋体"/>
          <w:color w:val="auto"/>
          <w:sz w:val="24"/>
          <w:szCs w:val="24"/>
        </w:rPr>
        <w:t>七、对本次招标提出询问，请按以下方式联系。</w:t>
      </w:r>
      <w:bookmarkEnd w:id="32"/>
      <w:bookmarkEnd w:id="33"/>
      <w:bookmarkEnd w:id="34"/>
      <w:bookmarkEnd w:id="35"/>
      <w:bookmarkEnd w:id="36"/>
    </w:p>
    <w:p>
      <w:pPr>
        <w:ind w:firstLine="480"/>
        <w:rPr>
          <w:rFonts w:cs="宋体"/>
          <w:color w:val="auto"/>
        </w:rPr>
      </w:pPr>
      <w:r>
        <w:rPr>
          <w:rFonts w:hint="eastAsia" w:cs="宋体"/>
          <w:color w:val="auto"/>
        </w:rPr>
        <w:t>1.采购人：浙江海洋大学</w:t>
      </w:r>
    </w:p>
    <w:p>
      <w:pPr>
        <w:ind w:firstLine="480"/>
        <w:rPr>
          <w:rFonts w:cs="宋体"/>
          <w:color w:val="auto"/>
        </w:rPr>
      </w:pPr>
      <w:r>
        <w:rPr>
          <w:rFonts w:hint="eastAsia" w:cs="宋体"/>
          <w:color w:val="auto"/>
        </w:rPr>
        <w:t>地    址：舟山市定海区临城街道长峙岛海大南路1号</w:t>
      </w:r>
    </w:p>
    <w:p>
      <w:pPr>
        <w:ind w:firstLine="480"/>
        <w:rPr>
          <w:color w:val="auto"/>
        </w:rPr>
      </w:pPr>
      <w:r>
        <w:rPr>
          <w:rFonts w:hint="eastAsia"/>
          <w:color w:val="auto"/>
        </w:rPr>
        <w:t>传 真：0580-8180348</w:t>
      </w:r>
    </w:p>
    <w:p>
      <w:pPr>
        <w:ind w:firstLine="480"/>
        <w:rPr>
          <w:color w:val="auto"/>
        </w:rPr>
      </w:pPr>
      <w:r>
        <w:rPr>
          <w:rFonts w:hint="eastAsia"/>
          <w:color w:val="auto"/>
        </w:rPr>
        <w:t>项目联系人（询问）：李军</w:t>
      </w:r>
    </w:p>
    <w:p>
      <w:pPr>
        <w:ind w:firstLine="480"/>
        <w:rPr>
          <w:color w:val="auto"/>
        </w:rPr>
      </w:pPr>
      <w:r>
        <w:rPr>
          <w:rFonts w:hint="eastAsia"/>
          <w:color w:val="auto"/>
        </w:rPr>
        <w:t>项目联系方式（询问）：0580-8180348</w:t>
      </w:r>
    </w:p>
    <w:p>
      <w:pPr>
        <w:ind w:firstLine="480"/>
        <w:rPr>
          <w:color w:val="auto"/>
        </w:rPr>
      </w:pPr>
      <w:r>
        <w:rPr>
          <w:rFonts w:hint="eastAsia"/>
          <w:color w:val="auto"/>
        </w:rPr>
        <w:t>质疑联系人：吕政</w:t>
      </w:r>
    </w:p>
    <w:p>
      <w:pPr>
        <w:ind w:firstLine="480"/>
        <w:rPr>
          <w:color w:val="auto"/>
        </w:rPr>
      </w:pPr>
      <w:r>
        <w:rPr>
          <w:rFonts w:hint="eastAsia"/>
          <w:color w:val="auto"/>
        </w:rPr>
        <w:t>质疑联系方式：0580-2550101</w:t>
      </w:r>
    </w:p>
    <w:p>
      <w:pPr>
        <w:ind w:firstLine="480"/>
        <w:rPr>
          <w:rFonts w:cs="宋体"/>
          <w:color w:val="auto"/>
        </w:rPr>
      </w:pPr>
      <w:r>
        <w:rPr>
          <w:rFonts w:hint="eastAsia" w:cs="宋体"/>
          <w:color w:val="auto"/>
        </w:rPr>
        <w:t>2.招标代理机构名称：浙江五石工程咨询有限公司</w:t>
      </w:r>
    </w:p>
    <w:p>
      <w:pPr>
        <w:ind w:firstLine="480"/>
        <w:rPr>
          <w:rFonts w:cs="宋体"/>
          <w:color w:val="auto"/>
        </w:rPr>
      </w:pPr>
      <w:r>
        <w:rPr>
          <w:rFonts w:hint="eastAsia" w:cs="宋体"/>
          <w:color w:val="auto"/>
        </w:rPr>
        <w:t>地    址：宁波市鄞州区宁穿路1679号金融硅谷9号楼1402室。</w:t>
      </w:r>
    </w:p>
    <w:p>
      <w:pPr>
        <w:ind w:firstLine="480"/>
        <w:rPr>
          <w:rFonts w:cs="宋体"/>
          <w:color w:val="auto"/>
        </w:rPr>
      </w:pPr>
      <w:r>
        <w:rPr>
          <w:rFonts w:hint="eastAsia" w:cs="宋体"/>
          <w:color w:val="auto"/>
        </w:rPr>
        <w:t>业务联系人：毛建华、毕夏凤、章小丽</w:t>
      </w:r>
      <w:r>
        <w:rPr>
          <w:rFonts w:hint="eastAsia" w:cs="宋体"/>
          <w:color w:val="auto"/>
        </w:rPr>
        <w:br w:type="textWrapping"/>
      </w:r>
      <w:r>
        <w:rPr>
          <w:rFonts w:hint="eastAsia" w:cs="宋体"/>
          <w:color w:val="auto"/>
        </w:rPr>
        <w:t xml:space="preserve">    联系电话：0574-83896188、87645885      传    真：0574-87520151</w:t>
      </w:r>
    </w:p>
    <w:p>
      <w:pPr>
        <w:ind w:firstLine="480"/>
        <w:rPr>
          <w:rFonts w:cs="宋体"/>
          <w:color w:val="auto"/>
        </w:rPr>
      </w:pPr>
      <w:r>
        <w:rPr>
          <w:rFonts w:hint="eastAsia" w:cs="宋体"/>
          <w:color w:val="auto"/>
        </w:rPr>
        <w:t>质疑联系人：毛先生          联系电话：0574-87208097</w:t>
      </w:r>
    </w:p>
    <w:p>
      <w:pPr>
        <w:ind w:firstLine="480"/>
        <w:rPr>
          <w:rFonts w:cs="宋体"/>
          <w:color w:val="auto"/>
        </w:rPr>
      </w:pPr>
      <w:r>
        <w:rPr>
          <w:rFonts w:hint="eastAsia" w:cs="宋体"/>
          <w:color w:val="auto"/>
        </w:rPr>
        <w:t>邮箱：</w:t>
      </w:r>
      <w:r>
        <w:rPr>
          <w:color w:val="auto"/>
        </w:rPr>
        <w:fldChar w:fldCharType="begin"/>
      </w:r>
      <w:r>
        <w:rPr>
          <w:color w:val="auto"/>
        </w:rPr>
        <w:instrText xml:space="preserve"> HYPERLINK "mailto:hzwsgc@163.com" </w:instrText>
      </w:r>
      <w:r>
        <w:rPr>
          <w:color w:val="auto"/>
        </w:rPr>
        <w:fldChar w:fldCharType="separate"/>
      </w:r>
      <w:r>
        <w:rPr>
          <w:rFonts w:hint="eastAsia" w:cs="宋体"/>
          <w:color w:val="auto"/>
        </w:rPr>
        <w:t>hzwsgc@163.com</w:t>
      </w:r>
      <w:r>
        <w:rPr>
          <w:rFonts w:hint="eastAsia" w:cs="宋体"/>
          <w:color w:val="auto"/>
        </w:rPr>
        <w:fldChar w:fldCharType="end"/>
      </w:r>
    </w:p>
    <w:p>
      <w:pPr>
        <w:ind w:firstLine="480"/>
        <w:rPr>
          <w:rFonts w:cs="宋体"/>
          <w:color w:val="auto"/>
        </w:rPr>
      </w:pPr>
      <w:r>
        <w:rPr>
          <w:rFonts w:hint="eastAsia" w:cs="宋体"/>
          <w:color w:val="auto"/>
        </w:rPr>
        <w:t>网站系统问题咨询：注册、账号等， 4008817190</w:t>
      </w:r>
      <w:r>
        <w:rPr>
          <w:rFonts w:hint="eastAsia" w:cs="宋体"/>
          <w:color w:val="auto"/>
        </w:rPr>
        <w:tab/>
      </w:r>
      <w:r>
        <w:rPr>
          <w:rFonts w:hint="eastAsia" w:cs="宋体"/>
          <w:color w:val="auto"/>
        </w:rPr>
        <w:t>；其它，4008371020。</w:t>
      </w:r>
    </w:p>
    <w:p>
      <w:pPr>
        <w:ind w:firstLine="480"/>
        <w:rPr>
          <w:rFonts w:cs="宋体"/>
          <w:color w:val="auto"/>
        </w:rPr>
      </w:pPr>
      <w:r>
        <w:rPr>
          <w:rFonts w:hint="eastAsia" w:cs="宋体"/>
          <w:color w:val="auto"/>
        </w:rPr>
        <w:t>3.同级政府采购监督管理部门</w:t>
      </w:r>
    </w:p>
    <w:p>
      <w:pPr>
        <w:ind w:firstLine="480"/>
        <w:rPr>
          <w:rFonts w:cs="宋体"/>
          <w:color w:val="auto"/>
        </w:rPr>
      </w:pPr>
      <w:r>
        <w:rPr>
          <w:rFonts w:hint="eastAsia" w:cs="宋体"/>
          <w:color w:val="auto"/>
        </w:rPr>
        <w:t>名    称：浙江省财政厅政府采购监管处 </w:t>
      </w:r>
    </w:p>
    <w:p>
      <w:pPr>
        <w:ind w:firstLine="480"/>
        <w:rPr>
          <w:rFonts w:cs="宋体"/>
          <w:color w:val="auto"/>
        </w:rPr>
      </w:pPr>
      <w:r>
        <w:rPr>
          <w:rFonts w:hint="eastAsia" w:cs="宋体"/>
          <w:color w:val="auto"/>
        </w:rPr>
        <w:t>地    址：杭州市环城西路37号 </w:t>
      </w:r>
    </w:p>
    <w:p>
      <w:pPr>
        <w:ind w:firstLine="480"/>
        <w:rPr>
          <w:rFonts w:cs="宋体"/>
          <w:color w:val="auto"/>
        </w:rPr>
      </w:pPr>
      <w:r>
        <w:rPr>
          <w:rFonts w:hint="eastAsia" w:cs="宋体"/>
          <w:color w:val="auto"/>
        </w:rPr>
        <w:t>传    真：/ </w:t>
      </w:r>
    </w:p>
    <w:p>
      <w:pPr>
        <w:ind w:firstLine="480"/>
        <w:rPr>
          <w:rFonts w:cs="宋体"/>
          <w:color w:val="auto"/>
        </w:rPr>
      </w:pPr>
      <w:r>
        <w:rPr>
          <w:rFonts w:hint="eastAsia" w:cs="宋体"/>
          <w:color w:val="auto"/>
        </w:rPr>
        <w:t>联系人 ：倪文良、吴聪瑜 </w:t>
      </w:r>
    </w:p>
    <w:p>
      <w:pPr>
        <w:ind w:firstLine="480"/>
        <w:rPr>
          <w:rFonts w:cs="宋体"/>
          <w:color w:val="auto"/>
        </w:rPr>
      </w:pPr>
      <w:r>
        <w:rPr>
          <w:rFonts w:hint="eastAsia" w:cs="宋体"/>
          <w:color w:val="auto"/>
        </w:rPr>
        <w:t>监督投诉电话：0571-87057615、87058489</w:t>
      </w:r>
    </w:p>
    <w:p>
      <w:pPr>
        <w:ind w:firstLine="480"/>
        <w:rPr>
          <w:rFonts w:cs="宋体"/>
          <w:color w:val="auto"/>
        </w:rPr>
      </w:pPr>
      <w:r>
        <w:rPr>
          <w:rFonts w:hint="eastAsia" w:cs="宋体"/>
          <w:color w:val="auto"/>
        </w:rPr>
        <w:t xml:space="preserve"> </w:t>
      </w:r>
    </w:p>
    <w:p>
      <w:pPr>
        <w:ind w:firstLine="480"/>
        <w:rPr>
          <w:rFonts w:cs="宋体"/>
          <w:color w:val="auto"/>
        </w:rPr>
      </w:pPr>
    </w:p>
    <w:p>
      <w:pPr>
        <w:pStyle w:val="48"/>
        <w:rPr>
          <w:rFonts w:ascii="宋体" w:hAnsi="宋体" w:eastAsia="宋体" w:cs="宋体"/>
          <w:color w:val="auto"/>
        </w:rPr>
      </w:pPr>
    </w:p>
    <w:p>
      <w:pPr>
        <w:pStyle w:val="48"/>
        <w:rPr>
          <w:rFonts w:ascii="宋体" w:hAnsi="宋体" w:eastAsia="宋体" w:cs="宋体"/>
          <w:color w:val="auto"/>
        </w:rPr>
        <w:sectPr>
          <w:footerReference r:id="rId12" w:type="default"/>
          <w:pgSz w:w="11906" w:h="16838"/>
          <w:pgMar w:top="1440" w:right="1080" w:bottom="1440" w:left="1080" w:header="850" w:footer="992" w:gutter="0"/>
          <w:pgNumType w:start="1"/>
          <w:cols w:space="720" w:num="1"/>
          <w:docGrid w:linePitch="381" w:charSpace="0"/>
        </w:sectPr>
      </w:pPr>
    </w:p>
    <w:bookmarkEnd w:id="4"/>
    <w:p>
      <w:pPr>
        <w:pStyle w:val="4"/>
        <w:numPr>
          <w:ilvl w:val="0"/>
          <w:numId w:val="4"/>
        </w:numPr>
        <w:rPr>
          <w:rFonts w:cs="宋体"/>
          <w:color w:val="auto"/>
        </w:rPr>
      </w:pPr>
      <w:bookmarkStart w:id="37" w:name="_Toc26040"/>
      <w:bookmarkStart w:id="38" w:name="_Toc6146"/>
      <w:r>
        <w:rPr>
          <w:rFonts w:hint="eastAsia" w:cs="宋体"/>
          <w:color w:val="auto"/>
        </w:rPr>
        <w:t>项目需求说明</w:t>
      </w:r>
      <w:bookmarkEnd w:id="37"/>
      <w:bookmarkEnd w:id="38"/>
    </w:p>
    <w:tbl>
      <w:tblPr>
        <w:tblStyle w:val="46"/>
        <w:tblW w:w="993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9"/>
        <w:gridCol w:w="2221"/>
        <w:gridCol w:w="69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bookmarkStart w:id="39" w:name="_Toc24825"/>
            <w:bookmarkStart w:id="40" w:name="_Toc5760"/>
            <w:r>
              <w:rPr>
                <w:rFonts w:hint="eastAsia" w:cs="宋体"/>
                <w:bCs/>
                <w:color w:val="auto"/>
                <w:sz w:val="21"/>
                <w:szCs w:val="21"/>
              </w:rPr>
              <w:t>序号</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项目</w:t>
            </w:r>
          </w:p>
        </w:tc>
        <w:tc>
          <w:tcPr>
            <w:tcW w:w="696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招标需求内容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6"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项目内容</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浙江海洋大学油气储运工程教学实验平台建设项目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6"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2</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★交付时间和地点</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交付时间：自合同签订后2个月内供货安装。</w:t>
            </w:r>
          </w:p>
          <w:p>
            <w:pPr>
              <w:spacing w:line="440" w:lineRule="exact"/>
              <w:ind w:firstLine="0" w:firstLineChars="0"/>
              <w:rPr>
                <w:rFonts w:cs="宋体"/>
                <w:bCs/>
                <w:color w:val="auto"/>
                <w:sz w:val="21"/>
                <w:szCs w:val="21"/>
              </w:rPr>
            </w:pPr>
            <w:r>
              <w:rPr>
                <w:rFonts w:hint="eastAsia" w:cs="宋体"/>
                <w:bCs/>
                <w:color w:val="auto"/>
                <w:sz w:val="21"/>
                <w:szCs w:val="21"/>
              </w:rPr>
              <w:t>交货地点：业主指定地点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3</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需实现的功能或者目标</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详见采购内容及技术要求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4</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执行的国家相关标准、行业标准、地方标准或者其它标准、规范</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详见采购内容及技术要求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5</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服务要求</w:t>
            </w:r>
          </w:p>
        </w:tc>
        <w:tc>
          <w:tcPr>
            <w:tcW w:w="6969" w:type="dxa"/>
            <w:vAlign w:val="center"/>
          </w:tcPr>
          <w:p>
            <w:pPr>
              <w:spacing w:line="440" w:lineRule="exact"/>
              <w:ind w:firstLine="0" w:firstLineChars="0"/>
              <w:rPr>
                <w:rFonts w:hint="eastAsia" w:cs="宋体"/>
                <w:bCs/>
                <w:color w:val="auto"/>
                <w:sz w:val="21"/>
                <w:szCs w:val="21"/>
              </w:rPr>
            </w:pPr>
            <w:r>
              <w:rPr>
                <w:rFonts w:hint="eastAsia" w:cs="宋体"/>
                <w:bCs/>
                <w:color w:val="auto"/>
                <w:sz w:val="21"/>
                <w:szCs w:val="21"/>
              </w:rPr>
              <w:t>一、质量保证期（或保修期）：自合同签订生效，设备经验收合格之日起免费质保3年，质保期内上门对损坏的设备（或软件）进行安装、升级、更换、调试，包括配件费、材料费、软件升级费、人工费等全部免费。质保期内被免费更换的零部件质量保证期再延续36个月。</w:t>
            </w:r>
          </w:p>
          <w:p>
            <w:pPr>
              <w:spacing w:line="440" w:lineRule="exact"/>
              <w:ind w:firstLine="0" w:firstLineChars="0"/>
              <w:rPr>
                <w:rFonts w:hint="eastAsia" w:cs="宋体"/>
                <w:bCs/>
                <w:color w:val="auto"/>
                <w:sz w:val="21"/>
                <w:szCs w:val="21"/>
              </w:rPr>
            </w:pPr>
            <w:r>
              <w:rPr>
                <w:rFonts w:hint="eastAsia" w:cs="宋体"/>
                <w:bCs/>
                <w:color w:val="auto"/>
                <w:sz w:val="21"/>
                <w:szCs w:val="21"/>
              </w:rPr>
              <w:t>二、售后服务：</w:t>
            </w:r>
          </w:p>
          <w:p>
            <w:pPr>
              <w:spacing w:line="440" w:lineRule="exact"/>
              <w:ind w:firstLine="0" w:firstLineChars="0"/>
              <w:rPr>
                <w:rFonts w:hint="eastAsia" w:cs="宋体"/>
                <w:bCs/>
                <w:color w:val="auto"/>
                <w:sz w:val="21"/>
                <w:szCs w:val="21"/>
              </w:rPr>
            </w:pPr>
            <w:r>
              <w:rPr>
                <w:rFonts w:hint="eastAsia" w:cs="宋体"/>
                <w:bCs/>
                <w:color w:val="auto"/>
                <w:sz w:val="21"/>
                <w:szCs w:val="21"/>
              </w:rPr>
              <w:t>1、在设备整个适用期内，投标人应确保设备正常使用。</w:t>
            </w:r>
          </w:p>
          <w:p>
            <w:pPr>
              <w:spacing w:line="440" w:lineRule="exact"/>
              <w:ind w:firstLine="0" w:firstLineChars="0"/>
              <w:rPr>
                <w:rFonts w:hint="eastAsia" w:cs="宋体"/>
                <w:bCs/>
                <w:color w:val="auto"/>
                <w:sz w:val="21"/>
                <w:szCs w:val="21"/>
                <w:lang w:val="en-US" w:eastAsia="zh-CN"/>
              </w:rPr>
            </w:pPr>
            <w:r>
              <w:rPr>
                <w:rFonts w:hint="eastAsia" w:cs="宋体"/>
                <w:bCs/>
                <w:color w:val="auto"/>
                <w:sz w:val="21"/>
                <w:szCs w:val="21"/>
                <w:lang w:val="en-US" w:eastAsia="zh-CN"/>
              </w:rPr>
              <w:t>2、质量保证期（或保修期）期满后，乙方承诺对设备维修所更换的零配件按成本价收取；软件升级，如因为产品本身性能缺陷、兼容性不够等原因造成的则免费升级更新；如因为有新功能增加而升级版本的，则视甲方需求进行更新，其软件升级总费用按不高于原合同供应价的3%收取。</w:t>
            </w:r>
          </w:p>
          <w:p>
            <w:pPr>
              <w:spacing w:line="440" w:lineRule="exact"/>
              <w:ind w:firstLine="0" w:firstLineChars="0"/>
              <w:rPr>
                <w:rFonts w:hint="eastAsia" w:cs="宋体"/>
                <w:bCs/>
                <w:color w:val="auto"/>
                <w:sz w:val="21"/>
                <w:szCs w:val="21"/>
                <w:lang w:val="en-US" w:eastAsia="zh-CN"/>
              </w:rPr>
            </w:pPr>
            <w:r>
              <w:rPr>
                <w:rFonts w:hint="eastAsia" w:cs="宋体"/>
                <w:bCs/>
                <w:color w:val="auto"/>
                <w:sz w:val="21"/>
                <w:szCs w:val="21"/>
                <w:lang w:val="en-US" w:eastAsia="zh-CN"/>
              </w:rPr>
              <w:t>3、投标人（乙方）应保证所提供的软件或子模块或子功能，其任何一部分均不会侵犯任何第三方的知识产权；如果涉及到侵权行为，由此产生的一切法律纠纷及后果由投标人（乙方）承担。</w:t>
            </w:r>
          </w:p>
          <w:p>
            <w:pPr>
              <w:spacing w:line="440" w:lineRule="exact"/>
              <w:ind w:firstLine="0" w:firstLineChars="0"/>
              <w:rPr>
                <w:rFonts w:hint="eastAsia" w:ascii="宋体" w:hAnsi="宋体" w:eastAsia="宋体" w:cs="宋体"/>
                <w:bCs/>
                <w:color w:val="auto"/>
                <w:kern w:val="2"/>
                <w:sz w:val="21"/>
                <w:szCs w:val="21"/>
                <w:highlight w:val="yellow"/>
                <w:lang w:val="en-US" w:eastAsia="zh-CN" w:bidi="ar-SA"/>
              </w:rPr>
            </w:pPr>
            <w:r>
              <w:rPr>
                <w:rFonts w:hint="eastAsia" w:cs="宋体"/>
                <w:bCs/>
                <w:color w:val="auto"/>
                <w:sz w:val="21"/>
                <w:szCs w:val="21"/>
                <w:lang w:val="en-US" w:eastAsia="zh-CN"/>
              </w:rPr>
              <w:t>4、乙方所提供产品如存在影响甲方正常使用的BUG或功能缺陷，乙方必须无条件在2个工作日内给予修复。</w:t>
            </w:r>
          </w:p>
          <w:p>
            <w:pPr>
              <w:spacing w:line="440" w:lineRule="exact"/>
              <w:ind w:firstLine="0" w:firstLineChars="0"/>
              <w:rPr>
                <w:rFonts w:cs="宋体"/>
                <w:bCs/>
                <w:color w:val="auto"/>
                <w:sz w:val="21"/>
                <w:szCs w:val="21"/>
              </w:rPr>
            </w:pPr>
            <w:r>
              <w:rPr>
                <w:rFonts w:hint="eastAsia" w:cs="宋体"/>
                <w:bCs/>
                <w:color w:val="auto"/>
                <w:sz w:val="21"/>
                <w:szCs w:val="21"/>
                <w:lang w:val="en-US" w:eastAsia="zh-CN"/>
              </w:rPr>
              <w:t>5</w:t>
            </w:r>
            <w:r>
              <w:rPr>
                <w:rFonts w:hint="eastAsia" w:cs="宋体"/>
                <w:bCs/>
                <w:color w:val="auto"/>
                <w:sz w:val="21"/>
                <w:szCs w:val="21"/>
              </w:rPr>
              <w:t>、售后服务要求：</w:t>
            </w:r>
            <w:r>
              <w:rPr>
                <w:rFonts w:hint="eastAsia" w:cs="Arial"/>
                <w:bCs/>
                <w:color w:val="auto"/>
                <w:sz w:val="21"/>
                <w:szCs w:val="21"/>
              </w:rPr>
              <w:t>免费技术培训，直至使用人员完全掌握仪器的操作，24小时响应，接到用户通知后12小时内能够达到现场并解决相关问题，完善的售后服务与培训体系。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6</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物理特性要求</w:t>
            </w:r>
          </w:p>
        </w:tc>
        <w:tc>
          <w:tcPr>
            <w:tcW w:w="6969" w:type="dxa"/>
          </w:tcPr>
          <w:p>
            <w:pPr>
              <w:ind w:firstLine="0" w:firstLineChars="0"/>
              <w:rPr>
                <w:rFonts w:cs="宋体"/>
                <w:bCs/>
                <w:color w:val="auto"/>
                <w:sz w:val="21"/>
                <w:szCs w:val="21"/>
              </w:rPr>
            </w:pPr>
            <w:r>
              <w:rPr>
                <w:rFonts w:hint="eastAsia" w:cs="Arial"/>
                <w:bCs/>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7</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质量、安全要求</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8</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服务标准、期限、效率</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详见采购内容及技术要求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9</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现场踏勘</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不组织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10</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样品摆放时间及地点</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11</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样品要求</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12</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本项目的核心产品</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13</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验收</w:t>
            </w:r>
          </w:p>
          <w:p>
            <w:pPr>
              <w:spacing w:line="440" w:lineRule="exact"/>
              <w:ind w:firstLine="0" w:firstLineChars="0"/>
              <w:jc w:val="center"/>
              <w:rPr>
                <w:rFonts w:cs="宋体"/>
                <w:bCs/>
                <w:color w:val="auto"/>
                <w:sz w:val="21"/>
                <w:szCs w:val="21"/>
              </w:rPr>
            </w:pP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1.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pPr>
              <w:spacing w:line="440" w:lineRule="exact"/>
              <w:ind w:firstLine="0" w:firstLineChars="0"/>
              <w:rPr>
                <w:rFonts w:cs="宋体"/>
                <w:bCs/>
                <w:color w:val="auto"/>
                <w:sz w:val="21"/>
                <w:szCs w:val="21"/>
              </w:rPr>
            </w:pPr>
            <w:r>
              <w:rPr>
                <w:rFonts w:hint="eastAsia" w:cs="宋体"/>
                <w:bCs/>
                <w:color w:val="auto"/>
                <w:sz w:val="21"/>
                <w:szCs w:val="21"/>
              </w:rPr>
              <w:t>2.如中标人委托国内代理（或其他机构）负责安装或配合安装，应在签约时指明，但中标人仍要对合同货物及其安装质量负全部责任。</w:t>
            </w:r>
          </w:p>
          <w:p>
            <w:pPr>
              <w:spacing w:line="440" w:lineRule="exact"/>
              <w:ind w:firstLine="0" w:firstLineChars="0"/>
              <w:rPr>
                <w:rFonts w:cs="宋体"/>
                <w:bCs/>
                <w:color w:val="auto"/>
                <w:sz w:val="21"/>
                <w:szCs w:val="21"/>
              </w:rPr>
            </w:pPr>
            <w:r>
              <w:rPr>
                <w:rFonts w:hint="eastAsia" w:cs="宋体"/>
                <w:bCs/>
                <w:color w:val="auto"/>
                <w:sz w:val="21"/>
                <w:szCs w:val="21"/>
              </w:rPr>
              <w:t>3.验收费用由中标人承担。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14</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培训、技术支持和安装调试</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1.培训：</w:t>
            </w:r>
          </w:p>
          <w:p>
            <w:pPr>
              <w:spacing w:line="440" w:lineRule="exact"/>
              <w:ind w:firstLine="0" w:firstLineChars="0"/>
              <w:rPr>
                <w:rFonts w:cs="宋体"/>
                <w:bCs/>
                <w:color w:val="auto"/>
                <w:sz w:val="21"/>
                <w:szCs w:val="21"/>
              </w:rPr>
            </w:pPr>
            <w:r>
              <w:rPr>
                <w:rFonts w:hint="eastAsia" w:cs="宋体"/>
                <w:bCs/>
                <w:color w:val="auto"/>
                <w:sz w:val="21"/>
                <w:szCs w:val="21"/>
              </w:rPr>
              <w:t>1.1 投标人应对采购人提供相应的培训计划并免费进行培训。</w:t>
            </w:r>
          </w:p>
          <w:p>
            <w:pPr>
              <w:spacing w:line="440" w:lineRule="exact"/>
              <w:ind w:firstLine="0" w:firstLineChars="0"/>
              <w:rPr>
                <w:rFonts w:cs="宋体"/>
                <w:bCs/>
                <w:color w:val="auto"/>
                <w:sz w:val="21"/>
                <w:szCs w:val="21"/>
              </w:rPr>
            </w:pPr>
            <w:r>
              <w:rPr>
                <w:rFonts w:hint="eastAsia" w:cs="宋体"/>
                <w:bCs/>
                <w:color w:val="auto"/>
                <w:sz w:val="21"/>
                <w:szCs w:val="21"/>
              </w:rPr>
              <w:t>1.3投标人应对上述内容的实现方式、地点、人数、时间在投标文件中详细说明。</w:t>
            </w:r>
          </w:p>
          <w:p>
            <w:pPr>
              <w:spacing w:line="440" w:lineRule="exact"/>
              <w:ind w:firstLine="0" w:firstLineChars="0"/>
              <w:rPr>
                <w:rFonts w:cs="宋体"/>
                <w:bCs/>
                <w:color w:val="auto"/>
                <w:sz w:val="21"/>
                <w:szCs w:val="21"/>
              </w:rPr>
            </w:pPr>
            <w:r>
              <w:rPr>
                <w:rFonts w:hint="eastAsia" w:cs="宋体"/>
                <w:bCs/>
                <w:color w:val="auto"/>
                <w:sz w:val="21"/>
                <w:szCs w:val="21"/>
              </w:rPr>
              <w:t>2.技术支持：</w:t>
            </w:r>
          </w:p>
          <w:p>
            <w:pPr>
              <w:spacing w:line="440" w:lineRule="exact"/>
              <w:ind w:firstLine="0" w:firstLineChars="0"/>
              <w:rPr>
                <w:rFonts w:cs="宋体"/>
                <w:bCs/>
                <w:color w:val="auto"/>
                <w:sz w:val="21"/>
                <w:szCs w:val="21"/>
              </w:rPr>
            </w:pPr>
            <w:r>
              <w:rPr>
                <w:rFonts w:hint="eastAsia" w:cs="宋体"/>
                <w:bCs/>
                <w:color w:val="auto"/>
                <w:sz w:val="21"/>
                <w:szCs w:val="21"/>
              </w:rPr>
              <w:t>中标人应及时提供所需零配件。</w:t>
            </w:r>
          </w:p>
          <w:p>
            <w:pPr>
              <w:spacing w:line="440" w:lineRule="exact"/>
              <w:ind w:firstLine="0" w:firstLineChars="0"/>
              <w:rPr>
                <w:rFonts w:cs="宋体"/>
                <w:bCs/>
                <w:color w:val="auto"/>
                <w:sz w:val="21"/>
                <w:szCs w:val="21"/>
              </w:rPr>
            </w:pPr>
            <w:r>
              <w:rPr>
                <w:rFonts w:hint="eastAsia" w:cs="宋体"/>
                <w:bCs/>
                <w:color w:val="auto"/>
                <w:sz w:val="21"/>
                <w:szCs w:val="21"/>
              </w:rPr>
              <w:t>3.安装调试（若需要安装调试）：</w:t>
            </w:r>
          </w:p>
          <w:p>
            <w:pPr>
              <w:spacing w:line="440" w:lineRule="exact"/>
              <w:ind w:firstLine="0" w:firstLineChars="0"/>
              <w:rPr>
                <w:rFonts w:cs="宋体"/>
                <w:bCs/>
                <w:color w:val="auto"/>
                <w:sz w:val="21"/>
                <w:szCs w:val="21"/>
              </w:rPr>
            </w:pPr>
            <w:r>
              <w:rPr>
                <w:rFonts w:hint="eastAsia" w:cs="宋体"/>
                <w:bCs/>
                <w:color w:val="auto"/>
                <w:sz w:val="21"/>
                <w:szCs w:val="21"/>
              </w:rPr>
              <w:t>3.1 安装地点：采购人指定地点。</w:t>
            </w:r>
          </w:p>
          <w:p>
            <w:pPr>
              <w:spacing w:line="440" w:lineRule="exact"/>
              <w:ind w:firstLine="0" w:firstLineChars="0"/>
              <w:rPr>
                <w:rFonts w:cs="宋体"/>
                <w:bCs/>
                <w:color w:val="auto"/>
                <w:sz w:val="21"/>
                <w:szCs w:val="21"/>
              </w:rPr>
            </w:pPr>
            <w:r>
              <w:rPr>
                <w:rFonts w:hint="eastAsia" w:cs="宋体"/>
                <w:bCs/>
                <w:color w:val="auto"/>
                <w:sz w:val="21"/>
                <w:szCs w:val="21"/>
              </w:rPr>
              <w:t>3.2 安装标准：符合我国国家有关技术规范要求和技术标准，所有的软件和硬件必须保证同时安装到位。</w:t>
            </w:r>
          </w:p>
          <w:p>
            <w:pPr>
              <w:spacing w:line="440" w:lineRule="exact"/>
              <w:ind w:firstLine="0" w:firstLineChars="0"/>
              <w:rPr>
                <w:rFonts w:cs="宋体"/>
                <w:bCs/>
                <w:color w:val="auto"/>
                <w:sz w:val="21"/>
                <w:szCs w:val="21"/>
              </w:rPr>
            </w:pPr>
            <w:r>
              <w:rPr>
                <w:rFonts w:hint="eastAsia" w:cs="宋体"/>
                <w:bCs/>
                <w:color w:val="auto"/>
                <w:sz w:val="21"/>
                <w:szCs w:val="21"/>
              </w:rPr>
              <w:t>3.3 中标人免费提供合同货物的安装服务。</w:t>
            </w:r>
          </w:p>
          <w:p>
            <w:pPr>
              <w:spacing w:line="440" w:lineRule="exact"/>
              <w:ind w:firstLine="0" w:firstLineChars="0"/>
              <w:rPr>
                <w:rFonts w:cs="宋体"/>
                <w:bCs/>
                <w:color w:val="auto"/>
                <w:sz w:val="21"/>
                <w:szCs w:val="21"/>
              </w:rPr>
            </w:pPr>
            <w:r>
              <w:rPr>
                <w:rFonts w:hint="eastAsia" w:cs="宋体"/>
                <w:bCs/>
                <w:color w:val="auto"/>
                <w:sz w:val="21"/>
                <w:szCs w:val="21"/>
              </w:rPr>
              <w:t>3.4 中标人在投标文件中应提供安装调试计划、对安装场地和环境的要求。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15</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履约保证金</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中标人提交合同总价 5% 的履约保证金，在签订合同时支付给采购人。由甲乙双方在合同中自行约定退回的方式和时间。履约保证金可以现金或银行、保险公司出具的保函形式提交。（如在合同履约期间未完全履行投标文件的承诺内容的，采购人将视其情节严重程度给予相应处罚，直至没收其履约保证金，甲方保留终止合同的权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16</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付款方式</w:t>
            </w:r>
          </w:p>
        </w:tc>
        <w:tc>
          <w:tcPr>
            <w:tcW w:w="6969" w:type="dxa"/>
            <w:vAlign w:val="center"/>
          </w:tcPr>
          <w:p>
            <w:pPr>
              <w:spacing w:line="440" w:lineRule="exact"/>
              <w:ind w:firstLine="0" w:firstLineChars="0"/>
              <w:rPr>
                <w:rFonts w:hint="eastAsia" w:cs="宋体"/>
                <w:bCs/>
                <w:color w:val="auto"/>
                <w:sz w:val="21"/>
                <w:szCs w:val="21"/>
              </w:rPr>
            </w:pPr>
            <w:r>
              <w:rPr>
                <w:rFonts w:hint="eastAsia" w:cs="宋体"/>
                <w:bCs/>
                <w:color w:val="auto"/>
                <w:sz w:val="21"/>
                <w:szCs w:val="21"/>
              </w:rPr>
              <w:t>1、付款方法和条件：合同签订生效之日起，中标方3日内支付合同总金额的5%到需方账户作为履约保证金，需方收到中标方履约保证金后，支付合同总金额的</w:t>
            </w:r>
            <w:r>
              <w:rPr>
                <w:rFonts w:hint="eastAsia" w:cs="宋体"/>
                <w:bCs/>
                <w:color w:val="auto"/>
                <w:sz w:val="21"/>
                <w:szCs w:val="21"/>
                <w:lang w:val="en-US" w:eastAsia="zh-CN"/>
              </w:rPr>
              <w:t>30</w:t>
            </w:r>
            <w:r>
              <w:rPr>
                <w:rFonts w:hint="eastAsia" w:cs="宋体"/>
                <w:bCs/>
                <w:color w:val="auto"/>
                <w:sz w:val="21"/>
                <w:szCs w:val="21"/>
              </w:rPr>
              <w:t>%；到货后，</w:t>
            </w:r>
            <w:r>
              <w:rPr>
                <w:rFonts w:hint="eastAsia" w:cs="宋体"/>
                <w:bCs/>
                <w:color w:val="auto"/>
                <w:sz w:val="21"/>
                <w:szCs w:val="21"/>
                <w:lang w:eastAsia="zh-CN"/>
              </w:rPr>
              <w:t>设备安装调试完毕并经</w:t>
            </w:r>
            <w:r>
              <w:rPr>
                <w:rFonts w:hint="eastAsia" w:cs="宋体"/>
                <w:bCs/>
                <w:color w:val="auto"/>
                <w:sz w:val="21"/>
                <w:szCs w:val="21"/>
              </w:rPr>
              <w:t>需方验收合格后，按实付清货款</w:t>
            </w:r>
            <w:r>
              <w:rPr>
                <w:rFonts w:hint="eastAsia" w:cs="宋体"/>
                <w:bCs/>
                <w:color w:val="auto"/>
                <w:sz w:val="21"/>
                <w:szCs w:val="21"/>
                <w:lang w:eastAsia="zh-CN"/>
              </w:rPr>
              <w:t>；</w:t>
            </w:r>
            <w:r>
              <w:rPr>
                <w:rFonts w:hint="eastAsia" w:cs="宋体"/>
                <w:bCs/>
                <w:color w:val="auto"/>
                <w:sz w:val="21"/>
                <w:szCs w:val="21"/>
              </w:rPr>
              <w:t>5%保证金在设备</w:t>
            </w:r>
            <w:r>
              <w:rPr>
                <w:rFonts w:hint="eastAsia" w:cs="宋体"/>
                <w:bCs/>
                <w:color w:val="auto"/>
                <w:sz w:val="21"/>
                <w:szCs w:val="21"/>
                <w:lang w:eastAsia="zh-CN"/>
              </w:rPr>
              <w:t>质保期满经需方</w:t>
            </w:r>
            <w:r>
              <w:rPr>
                <w:rFonts w:hint="eastAsia" w:cs="宋体"/>
                <w:bCs/>
                <w:color w:val="auto"/>
                <w:sz w:val="21"/>
                <w:szCs w:val="21"/>
              </w:rPr>
              <w:t>复验合格后无息退还。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4" w:hRule="atLeast"/>
          <w:jc w:val="center"/>
        </w:trPr>
        <w:tc>
          <w:tcPr>
            <w:tcW w:w="749"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17</w:t>
            </w:r>
          </w:p>
        </w:tc>
        <w:tc>
          <w:tcPr>
            <w:tcW w:w="2221" w:type="dxa"/>
            <w:vAlign w:val="center"/>
          </w:tcPr>
          <w:p>
            <w:pPr>
              <w:spacing w:line="440" w:lineRule="exact"/>
              <w:ind w:firstLine="0" w:firstLineChars="0"/>
              <w:jc w:val="center"/>
              <w:rPr>
                <w:rFonts w:cs="宋体"/>
                <w:bCs/>
                <w:color w:val="auto"/>
                <w:sz w:val="21"/>
                <w:szCs w:val="21"/>
              </w:rPr>
            </w:pPr>
            <w:r>
              <w:rPr>
                <w:rFonts w:hint="eastAsia" w:cs="宋体"/>
                <w:bCs/>
                <w:color w:val="auto"/>
                <w:sz w:val="21"/>
                <w:szCs w:val="21"/>
              </w:rPr>
              <w:t>违约责任</w:t>
            </w:r>
          </w:p>
        </w:tc>
        <w:tc>
          <w:tcPr>
            <w:tcW w:w="6969" w:type="dxa"/>
            <w:vAlign w:val="center"/>
          </w:tcPr>
          <w:p>
            <w:pPr>
              <w:spacing w:line="440" w:lineRule="exact"/>
              <w:ind w:firstLine="0" w:firstLineChars="0"/>
              <w:rPr>
                <w:rFonts w:cs="宋体"/>
                <w:bCs/>
                <w:color w:val="auto"/>
                <w:sz w:val="21"/>
                <w:szCs w:val="21"/>
              </w:rPr>
            </w:pPr>
            <w:r>
              <w:rPr>
                <w:rFonts w:hint="eastAsia" w:cs="宋体"/>
                <w:bCs/>
                <w:color w:val="auto"/>
                <w:sz w:val="21"/>
                <w:szCs w:val="21"/>
              </w:rPr>
              <w:t>1、投标人（乙方）如中标，在与采购人（甲方）签订合同生效后，如不能按合同如期交货，则每延期一天，按合同总金额的1‰作为违约金赔偿给甲方。</w:t>
            </w:r>
          </w:p>
          <w:p>
            <w:pPr>
              <w:spacing w:line="440" w:lineRule="exact"/>
              <w:ind w:firstLine="0" w:firstLineChars="0"/>
              <w:rPr>
                <w:rFonts w:cs="宋体"/>
                <w:bCs/>
                <w:color w:val="auto"/>
                <w:sz w:val="21"/>
                <w:szCs w:val="21"/>
              </w:rPr>
            </w:pPr>
            <w:r>
              <w:rPr>
                <w:rFonts w:hint="eastAsia" w:cs="宋体"/>
                <w:bCs/>
                <w:color w:val="auto"/>
                <w:sz w:val="21"/>
                <w:szCs w:val="21"/>
              </w:rPr>
              <w:t>2、中标后中标人撤回投标或拒绝签订合同的，给采购人造成的损失、招标过程产生的代理服务费以及重新招标期间产生的费用，由中标人承担。</w:t>
            </w:r>
          </w:p>
        </w:tc>
      </w:tr>
    </w:tbl>
    <w:p>
      <w:pPr>
        <w:pStyle w:val="4"/>
        <w:rPr>
          <w:rFonts w:cs="宋体"/>
          <w:color w:val="auto"/>
          <w:sz w:val="36"/>
          <w:szCs w:val="36"/>
        </w:rPr>
      </w:pPr>
      <w:r>
        <w:rPr>
          <w:rFonts w:hint="eastAsia" w:cs="宋体"/>
          <w:color w:val="auto"/>
          <w:sz w:val="36"/>
          <w:szCs w:val="36"/>
        </w:rPr>
        <w:br w:type="page"/>
      </w:r>
    </w:p>
    <w:p>
      <w:pPr>
        <w:ind w:firstLine="482"/>
        <w:rPr>
          <w:rFonts w:cs="宋体"/>
          <w:b/>
          <w:color w:val="auto"/>
        </w:rPr>
      </w:pPr>
      <w:r>
        <w:rPr>
          <w:rFonts w:hint="eastAsia" w:cs="宋体"/>
          <w:b/>
          <w:color w:val="auto"/>
        </w:rPr>
        <w:t>标项一：</w:t>
      </w:r>
    </w:p>
    <w:p>
      <w:pPr>
        <w:numPr>
          <w:ilvl w:val="0"/>
          <w:numId w:val="5"/>
        </w:numPr>
        <w:ind w:firstLine="482"/>
        <w:rPr>
          <w:rFonts w:cs="宋体"/>
          <w:b/>
          <w:color w:val="auto"/>
        </w:rPr>
      </w:pPr>
      <w:r>
        <w:rPr>
          <w:rFonts w:hint="eastAsia" w:cs="宋体"/>
          <w:b/>
          <w:color w:val="auto"/>
        </w:rPr>
        <w:t>采购货物一览表</w:t>
      </w:r>
    </w:p>
    <w:tbl>
      <w:tblPr>
        <w:tblStyle w:val="46"/>
        <w:tblW w:w="825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0"/>
        <w:gridCol w:w="5083"/>
        <w:gridCol w:w="18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center"/>
          </w:tcPr>
          <w:p>
            <w:pPr>
              <w:spacing w:line="400" w:lineRule="exact"/>
              <w:ind w:firstLine="0" w:firstLineChars="0"/>
              <w:jc w:val="center"/>
              <w:rPr>
                <w:color w:val="auto"/>
                <w:kern w:val="0"/>
              </w:rPr>
            </w:pPr>
            <w:r>
              <w:rPr>
                <w:rFonts w:hint="eastAsia"/>
                <w:color w:val="auto"/>
                <w:kern w:val="0"/>
              </w:rPr>
              <w:t>序号</w:t>
            </w:r>
          </w:p>
        </w:tc>
        <w:tc>
          <w:tcPr>
            <w:tcW w:w="5083" w:type="dxa"/>
            <w:vAlign w:val="center"/>
          </w:tcPr>
          <w:p>
            <w:pPr>
              <w:spacing w:line="400" w:lineRule="exact"/>
              <w:ind w:firstLine="0" w:firstLineChars="0"/>
              <w:jc w:val="center"/>
              <w:rPr>
                <w:color w:val="auto"/>
                <w:kern w:val="0"/>
              </w:rPr>
            </w:pPr>
            <w:r>
              <w:rPr>
                <w:rFonts w:hint="eastAsia"/>
                <w:color w:val="auto"/>
                <w:kern w:val="0"/>
              </w:rPr>
              <w:t>设备名称</w:t>
            </w:r>
          </w:p>
        </w:tc>
        <w:tc>
          <w:tcPr>
            <w:tcW w:w="1833" w:type="dxa"/>
            <w:vAlign w:val="center"/>
          </w:tcPr>
          <w:p>
            <w:pPr>
              <w:spacing w:line="400" w:lineRule="exact"/>
              <w:ind w:firstLine="0" w:firstLineChars="0"/>
              <w:jc w:val="center"/>
              <w:rPr>
                <w:color w:val="auto"/>
                <w:kern w:val="0"/>
              </w:rPr>
            </w:pPr>
            <w:r>
              <w:rPr>
                <w:rFonts w:hint="eastAsia"/>
                <w:color w:val="auto"/>
                <w:kern w:val="0"/>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1</w:t>
            </w:r>
          </w:p>
        </w:tc>
        <w:tc>
          <w:tcPr>
            <w:tcW w:w="508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400" w:lineRule="exact"/>
              <w:ind w:firstLine="0" w:firstLineChars="0"/>
              <w:jc w:val="center"/>
              <w:rPr>
                <w:color w:val="auto"/>
                <w:kern w:val="0"/>
              </w:rPr>
            </w:pPr>
            <w:r>
              <w:rPr>
                <w:rFonts w:hint="eastAsia"/>
                <w:color w:val="auto"/>
                <w:kern w:val="0"/>
              </w:rPr>
              <w:t>燃气相对密度测定装置</w:t>
            </w:r>
          </w:p>
        </w:tc>
        <w:tc>
          <w:tcPr>
            <w:tcW w:w="1833" w:type="dxa"/>
            <w:tcBorders>
              <w:top w:val="single" w:color="auto" w:sz="4" w:space="0"/>
              <w:left w:val="nil"/>
              <w:bottom w:val="single" w:color="auto" w:sz="4" w:space="0"/>
              <w:right w:val="single" w:color="auto" w:sz="4" w:space="0"/>
            </w:tcBorders>
            <w:shd w:val="clear" w:color="auto" w:fill="auto"/>
            <w:vAlign w:val="center"/>
          </w:tcPr>
          <w:p>
            <w:pPr>
              <w:spacing w:line="400" w:lineRule="exact"/>
              <w:ind w:firstLine="0" w:firstLineChars="0"/>
              <w:jc w:val="center"/>
              <w:rPr>
                <w:color w:val="auto"/>
                <w:kern w:val="0"/>
              </w:rPr>
            </w:pPr>
            <w:r>
              <w:rPr>
                <w:rFonts w:hint="eastAsia"/>
                <w:color w:val="auto"/>
                <w:kern w:val="0"/>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2</w:t>
            </w:r>
          </w:p>
        </w:tc>
        <w:tc>
          <w:tcPr>
            <w:tcW w:w="5083" w:type="dxa"/>
            <w:vAlign w:val="bottom"/>
          </w:tcPr>
          <w:p>
            <w:pPr>
              <w:spacing w:line="400" w:lineRule="exact"/>
              <w:ind w:firstLine="0" w:firstLineChars="0"/>
              <w:jc w:val="center"/>
              <w:rPr>
                <w:color w:val="auto"/>
                <w:kern w:val="0"/>
              </w:rPr>
            </w:pPr>
            <w:r>
              <w:rPr>
                <w:rFonts w:hint="eastAsia"/>
                <w:color w:val="auto"/>
                <w:kern w:val="0"/>
              </w:rPr>
              <w:t>柴油阻塞倾向性测定器</w:t>
            </w:r>
          </w:p>
        </w:tc>
        <w:tc>
          <w:tcPr>
            <w:tcW w:w="1833" w:type="dxa"/>
            <w:vAlign w:val="bottom"/>
          </w:tcPr>
          <w:p>
            <w:pPr>
              <w:spacing w:line="400" w:lineRule="exact"/>
              <w:ind w:firstLine="0" w:firstLineChars="0"/>
              <w:jc w:val="center"/>
              <w:rPr>
                <w:color w:val="auto"/>
                <w:kern w:val="0"/>
              </w:rPr>
            </w:pPr>
            <w:r>
              <w:rPr>
                <w:rFonts w:hint="eastAsia"/>
                <w:color w:val="auto"/>
                <w:kern w:val="0"/>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3</w:t>
            </w:r>
          </w:p>
        </w:tc>
        <w:tc>
          <w:tcPr>
            <w:tcW w:w="5083" w:type="dxa"/>
            <w:vAlign w:val="center"/>
          </w:tcPr>
          <w:p>
            <w:pPr>
              <w:spacing w:line="400" w:lineRule="exact"/>
              <w:ind w:firstLine="0" w:firstLineChars="0"/>
              <w:jc w:val="center"/>
              <w:rPr>
                <w:color w:val="auto"/>
                <w:kern w:val="0"/>
              </w:rPr>
            </w:pPr>
            <w:r>
              <w:rPr>
                <w:rFonts w:hint="eastAsia"/>
                <w:color w:val="auto"/>
                <w:kern w:val="0"/>
              </w:rPr>
              <w:t>工业用调压计量柜</w:t>
            </w:r>
          </w:p>
        </w:tc>
        <w:tc>
          <w:tcPr>
            <w:tcW w:w="1833" w:type="dxa"/>
            <w:vAlign w:val="center"/>
          </w:tcPr>
          <w:p>
            <w:pPr>
              <w:spacing w:line="400" w:lineRule="exact"/>
              <w:ind w:firstLine="0" w:firstLineChars="0"/>
              <w:jc w:val="center"/>
              <w:rPr>
                <w:color w:val="auto"/>
                <w:kern w:val="0"/>
              </w:rPr>
            </w:pPr>
            <w:r>
              <w:rPr>
                <w:rFonts w:hint="eastAsia"/>
                <w:color w:val="auto"/>
                <w:kern w:val="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4</w:t>
            </w:r>
          </w:p>
        </w:tc>
        <w:tc>
          <w:tcPr>
            <w:tcW w:w="5083" w:type="dxa"/>
            <w:vAlign w:val="center"/>
          </w:tcPr>
          <w:p>
            <w:pPr>
              <w:spacing w:line="400" w:lineRule="exact"/>
              <w:ind w:firstLine="0" w:firstLineChars="0"/>
              <w:jc w:val="center"/>
              <w:rPr>
                <w:color w:val="auto"/>
                <w:kern w:val="0"/>
              </w:rPr>
            </w:pPr>
            <w:r>
              <w:rPr>
                <w:rFonts w:hint="eastAsia"/>
                <w:color w:val="auto"/>
                <w:kern w:val="0"/>
              </w:rPr>
              <w:t>商业用调压计量柜</w:t>
            </w:r>
          </w:p>
        </w:tc>
        <w:tc>
          <w:tcPr>
            <w:tcW w:w="1833" w:type="dxa"/>
            <w:vAlign w:val="center"/>
          </w:tcPr>
          <w:p>
            <w:pPr>
              <w:spacing w:line="400" w:lineRule="exact"/>
              <w:ind w:firstLine="0" w:firstLineChars="0"/>
              <w:jc w:val="center"/>
              <w:rPr>
                <w:color w:val="auto"/>
                <w:kern w:val="0"/>
              </w:rPr>
            </w:pPr>
            <w:r>
              <w:rPr>
                <w:rFonts w:hint="eastAsia"/>
                <w:color w:val="auto"/>
                <w:kern w:val="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5</w:t>
            </w:r>
          </w:p>
        </w:tc>
        <w:tc>
          <w:tcPr>
            <w:tcW w:w="5083" w:type="dxa"/>
            <w:vAlign w:val="center"/>
          </w:tcPr>
          <w:p>
            <w:pPr>
              <w:spacing w:line="400" w:lineRule="exact"/>
              <w:ind w:firstLine="0" w:firstLineChars="0"/>
              <w:jc w:val="center"/>
              <w:rPr>
                <w:color w:val="auto"/>
                <w:kern w:val="0"/>
              </w:rPr>
            </w:pPr>
            <w:r>
              <w:rPr>
                <w:rFonts w:hint="eastAsia"/>
                <w:color w:val="auto"/>
                <w:kern w:val="0"/>
              </w:rPr>
              <w:t>楼栋调压箱</w:t>
            </w:r>
          </w:p>
        </w:tc>
        <w:tc>
          <w:tcPr>
            <w:tcW w:w="1833" w:type="dxa"/>
            <w:vAlign w:val="center"/>
          </w:tcPr>
          <w:p>
            <w:pPr>
              <w:spacing w:line="400" w:lineRule="exact"/>
              <w:ind w:firstLine="0" w:firstLineChars="0"/>
              <w:jc w:val="center"/>
              <w:rPr>
                <w:color w:val="auto"/>
                <w:kern w:val="0"/>
              </w:rPr>
            </w:pPr>
            <w:r>
              <w:rPr>
                <w:rFonts w:hint="eastAsia"/>
                <w:color w:val="auto"/>
                <w:kern w:val="0"/>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6</w:t>
            </w:r>
          </w:p>
        </w:tc>
        <w:tc>
          <w:tcPr>
            <w:tcW w:w="5083" w:type="dxa"/>
            <w:vAlign w:val="center"/>
          </w:tcPr>
          <w:p>
            <w:pPr>
              <w:spacing w:line="400" w:lineRule="exact"/>
              <w:ind w:firstLine="0" w:firstLineChars="0"/>
              <w:jc w:val="center"/>
              <w:rPr>
                <w:color w:val="auto"/>
                <w:kern w:val="0"/>
              </w:rPr>
            </w:pPr>
            <w:r>
              <w:rPr>
                <w:rFonts w:hint="eastAsia"/>
                <w:color w:val="auto"/>
                <w:kern w:val="0"/>
              </w:rPr>
              <w:t>燃气输配调度控制柜</w:t>
            </w:r>
          </w:p>
        </w:tc>
        <w:tc>
          <w:tcPr>
            <w:tcW w:w="1833" w:type="dxa"/>
            <w:vAlign w:val="center"/>
          </w:tcPr>
          <w:p>
            <w:pPr>
              <w:spacing w:line="400" w:lineRule="exact"/>
              <w:ind w:firstLine="0" w:firstLineChars="0"/>
              <w:jc w:val="center"/>
              <w:rPr>
                <w:color w:val="auto"/>
                <w:kern w:val="0"/>
              </w:rPr>
            </w:pPr>
            <w:r>
              <w:rPr>
                <w:rFonts w:hint="eastAsia"/>
                <w:color w:val="auto"/>
                <w:kern w:val="0"/>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7</w:t>
            </w:r>
          </w:p>
        </w:tc>
        <w:tc>
          <w:tcPr>
            <w:tcW w:w="5083" w:type="dxa"/>
            <w:vAlign w:val="center"/>
          </w:tcPr>
          <w:p>
            <w:pPr>
              <w:spacing w:line="400" w:lineRule="exact"/>
              <w:ind w:firstLine="0" w:firstLineChars="0"/>
              <w:jc w:val="center"/>
              <w:rPr>
                <w:color w:val="auto"/>
                <w:kern w:val="0"/>
              </w:rPr>
            </w:pPr>
            <w:r>
              <w:rPr>
                <w:rFonts w:hint="eastAsia"/>
                <w:color w:val="auto"/>
                <w:kern w:val="0"/>
              </w:rPr>
              <w:t>立式压缩机拆装零配件总成</w:t>
            </w:r>
          </w:p>
        </w:tc>
        <w:tc>
          <w:tcPr>
            <w:tcW w:w="1833" w:type="dxa"/>
            <w:vAlign w:val="center"/>
          </w:tcPr>
          <w:p>
            <w:pPr>
              <w:spacing w:line="400" w:lineRule="exact"/>
              <w:ind w:firstLine="0" w:firstLineChars="0"/>
              <w:jc w:val="center"/>
              <w:rPr>
                <w:color w:val="auto"/>
                <w:kern w:val="0"/>
              </w:rPr>
            </w:pPr>
            <w:r>
              <w:rPr>
                <w:rFonts w:hint="eastAsia"/>
                <w:color w:val="auto"/>
                <w:kern w:val="0"/>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8</w:t>
            </w:r>
          </w:p>
        </w:tc>
        <w:tc>
          <w:tcPr>
            <w:tcW w:w="5083" w:type="dxa"/>
            <w:vAlign w:val="center"/>
          </w:tcPr>
          <w:p>
            <w:pPr>
              <w:spacing w:line="400" w:lineRule="exact"/>
              <w:ind w:firstLine="0" w:firstLineChars="0"/>
              <w:jc w:val="center"/>
              <w:rPr>
                <w:color w:val="auto"/>
                <w:kern w:val="0"/>
              </w:rPr>
            </w:pPr>
            <w:r>
              <w:rPr>
                <w:rFonts w:hint="eastAsia"/>
                <w:color w:val="auto"/>
                <w:kern w:val="0"/>
              </w:rPr>
              <w:t>燃气燃烧速度测试实验台</w:t>
            </w:r>
          </w:p>
        </w:tc>
        <w:tc>
          <w:tcPr>
            <w:tcW w:w="1833" w:type="dxa"/>
            <w:vAlign w:val="center"/>
          </w:tcPr>
          <w:p>
            <w:pPr>
              <w:spacing w:line="400" w:lineRule="exact"/>
              <w:ind w:firstLine="0" w:firstLineChars="0"/>
              <w:jc w:val="center"/>
              <w:rPr>
                <w:color w:val="auto"/>
                <w:kern w:val="0"/>
              </w:rPr>
            </w:pPr>
            <w:r>
              <w:rPr>
                <w:rFonts w:hint="eastAsia"/>
                <w:color w:val="auto"/>
                <w:kern w:val="0"/>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9</w:t>
            </w:r>
          </w:p>
        </w:tc>
        <w:tc>
          <w:tcPr>
            <w:tcW w:w="5083" w:type="dxa"/>
            <w:vAlign w:val="center"/>
          </w:tcPr>
          <w:p>
            <w:pPr>
              <w:spacing w:line="400" w:lineRule="exact"/>
              <w:ind w:firstLine="0" w:firstLineChars="0"/>
              <w:jc w:val="center"/>
              <w:rPr>
                <w:color w:val="auto"/>
                <w:kern w:val="0"/>
              </w:rPr>
            </w:pPr>
            <w:r>
              <w:rPr>
                <w:rFonts w:hint="eastAsia"/>
                <w:color w:val="auto"/>
                <w:kern w:val="0"/>
              </w:rPr>
              <w:t>水流式燃气热值仪</w:t>
            </w:r>
          </w:p>
        </w:tc>
        <w:tc>
          <w:tcPr>
            <w:tcW w:w="1833" w:type="dxa"/>
            <w:vAlign w:val="center"/>
          </w:tcPr>
          <w:p>
            <w:pPr>
              <w:spacing w:line="400" w:lineRule="exact"/>
              <w:ind w:firstLine="0" w:firstLineChars="0"/>
              <w:jc w:val="center"/>
              <w:rPr>
                <w:color w:val="auto"/>
                <w:kern w:val="0"/>
              </w:rPr>
            </w:pPr>
            <w:r>
              <w:rPr>
                <w:rFonts w:hint="eastAsia"/>
                <w:color w:val="auto"/>
                <w:kern w:val="0"/>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10</w:t>
            </w:r>
          </w:p>
        </w:tc>
        <w:tc>
          <w:tcPr>
            <w:tcW w:w="5083" w:type="dxa"/>
            <w:vAlign w:val="center"/>
          </w:tcPr>
          <w:p>
            <w:pPr>
              <w:spacing w:line="400" w:lineRule="exact"/>
              <w:ind w:firstLine="0" w:firstLineChars="0"/>
              <w:jc w:val="center"/>
              <w:rPr>
                <w:color w:val="auto"/>
                <w:kern w:val="0"/>
              </w:rPr>
            </w:pPr>
            <w:r>
              <w:rPr>
                <w:rFonts w:hint="eastAsia"/>
                <w:color w:val="auto"/>
                <w:kern w:val="0"/>
              </w:rPr>
              <w:t>煤气表流量校正实验装置</w:t>
            </w:r>
          </w:p>
        </w:tc>
        <w:tc>
          <w:tcPr>
            <w:tcW w:w="1833" w:type="dxa"/>
            <w:vAlign w:val="center"/>
          </w:tcPr>
          <w:p>
            <w:pPr>
              <w:spacing w:line="400" w:lineRule="exact"/>
              <w:ind w:firstLine="0" w:firstLineChars="0"/>
              <w:jc w:val="center"/>
              <w:rPr>
                <w:color w:val="auto"/>
                <w:kern w:val="0"/>
              </w:rPr>
            </w:pPr>
            <w:r>
              <w:rPr>
                <w:rFonts w:hint="eastAsia"/>
                <w:color w:val="auto"/>
                <w:kern w:val="0"/>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340" w:type="dxa"/>
            <w:vAlign w:val="bottom"/>
          </w:tcPr>
          <w:p>
            <w:pPr>
              <w:spacing w:line="400" w:lineRule="exact"/>
              <w:ind w:firstLine="0" w:firstLineChars="0"/>
              <w:jc w:val="center"/>
              <w:rPr>
                <w:color w:val="auto"/>
                <w:kern w:val="0"/>
              </w:rPr>
            </w:pPr>
            <w:r>
              <w:rPr>
                <w:rFonts w:hint="eastAsia"/>
                <w:color w:val="auto"/>
                <w:kern w:val="0"/>
              </w:rPr>
              <w:t>11</w:t>
            </w:r>
          </w:p>
        </w:tc>
        <w:tc>
          <w:tcPr>
            <w:tcW w:w="5083" w:type="dxa"/>
            <w:vAlign w:val="center"/>
          </w:tcPr>
          <w:p>
            <w:pPr>
              <w:spacing w:line="400" w:lineRule="exact"/>
              <w:ind w:firstLine="0" w:firstLineChars="0"/>
              <w:jc w:val="center"/>
              <w:rPr>
                <w:color w:val="auto"/>
                <w:kern w:val="0"/>
              </w:rPr>
            </w:pPr>
            <w:r>
              <w:rPr>
                <w:rFonts w:hint="eastAsia"/>
                <w:color w:val="auto"/>
                <w:kern w:val="0"/>
              </w:rPr>
              <w:t>燃气管网水力况实验台</w:t>
            </w:r>
          </w:p>
        </w:tc>
        <w:tc>
          <w:tcPr>
            <w:tcW w:w="1833" w:type="dxa"/>
            <w:vAlign w:val="center"/>
          </w:tcPr>
          <w:p>
            <w:pPr>
              <w:spacing w:line="400" w:lineRule="exact"/>
              <w:ind w:firstLine="0" w:firstLineChars="0"/>
              <w:jc w:val="center"/>
              <w:rPr>
                <w:color w:val="auto"/>
                <w:kern w:val="0"/>
              </w:rPr>
            </w:pPr>
            <w:r>
              <w:rPr>
                <w:rFonts w:hint="eastAsia"/>
                <w:color w:val="auto"/>
                <w:kern w:val="0"/>
              </w:rPr>
              <w:t>4</w:t>
            </w:r>
          </w:p>
        </w:tc>
      </w:tr>
    </w:tbl>
    <w:p>
      <w:pPr>
        <w:numPr>
          <w:ilvl w:val="0"/>
          <w:numId w:val="5"/>
        </w:numPr>
        <w:spacing w:before="120" w:beforeLines="50" w:after="120" w:afterLines="50"/>
        <w:ind w:firstLine="482"/>
        <w:rPr>
          <w:rFonts w:cs="宋体"/>
          <w:b/>
          <w:color w:val="auto"/>
        </w:rPr>
      </w:pPr>
      <w:r>
        <w:rPr>
          <w:rFonts w:hint="eastAsia" w:cs="宋体"/>
          <w:b/>
          <w:color w:val="auto"/>
        </w:rPr>
        <w:t>采购内容技术参数及技术要求</w:t>
      </w:r>
    </w:p>
    <w:tbl>
      <w:tblPr>
        <w:tblStyle w:val="46"/>
        <w:tblW w:w="102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91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w:t>
            </w:r>
          </w:p>
        </w:tc>
        <w:tc>
          <w:tcPr>
            <w:tcW w:w="9198" w:type="dxa"/>
            <w:tcBorders>
              <w:top w:val="single" w:color="auto" w:sz="4" w:space="0"/>
              <w:left w:val="single" w:color="auto" w:sz="4" w:space="0"/>
              <w:bottom w:val="single" w:color="auto" w:sz="4" w:space="0"/>
              <w:right w:val="single" w:color="auto" w:sz="4" w:space="0"/>
            </w:tcBorders>
            <w:vAlign w:val="center"/>
          </w:tcPr>
          <w:p>
            <w:pPr>
              <w:ind w:firstLine="0" w:firstLineChars="0"/>
              <w:jc w:val="both"/>
              <w:rPr>
                <w:rFonts w:cs="Arial"/>
                <w:b/>
                <w:color w:val="auto"/>
                <w:sz w:val="21"/>
                <w:szCs w:val="21"/>
              </w:rPr>
            </w:pPr>
            <w:r>
              <w:rPr>
                <w:rFonts w:hint="eastAsia" w:cs="Arial"/>
                <w:b/>
                <w:color w:val="auto"/>
                <w:sz w:val="21"/>
                <w:szCs w:val="21"/>
              </w:rPr>
              <w:t>燃气相对密度测定装置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w:t>
            </w:r>
          </w:p>
        </w:tc>
        <w:tc>
          <w:tcPr>
            <w:tcW w:w="9198" w:type="dxa"/>
            <w:tcBorders>
              <w:left w:val="single" w:color="auto" w:sz="4" w:space="0"/>
            </w:tcBorders>
            <w:vAlign w:val="center"/>
          </w:tcPr>
          <w:p>
            <w:pPr>
              <w:ind w:firstLine="0" w:firstLineChars="0"/>
              <w:jc w:val="both"/>
              <w:rPr>
                <w:rFonts w:cs="Arial"/>
                <w:bCs/>
                <w:color w:val="auto"/>
                <w:sz w:val="21"/>
                <w:szCs w:val="21"/>
              </w:rPr>
            </w:pPr>
            <w:r>
              <w:rPr>
                <w:rFonts w:hint="eastAsia" w:cs="Arial"/>
                <w:bCs/>
                <w:color w:val="auto"/>
                <w:sz w:val="21"/>
                <w:szCs w:val="21"/>
              </w:rPr>
              <w:t>用气体相对密度计对燃气相对密度的测定原理是在相同的温度与压力下，在等体积的不同种类的气体流过某固定直径的锐孔所需要的时间的平方与气体的密度成正比。可以不仅可以用燃气相对密度计测定已知气体的相对密度，还可以测定未知气体的相对密度从而确定气体属于何种气体。各种各种燃气相对密度计均应用纯度不低于99.99％的氮气按本标准进行校验。测出的数据与氮气的相对密度值0.967的相对误差不应超过±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p>
        </w:tc>
        <w:tc>
          <w:tcPr>
            <w:tcW w:w="9198" w:type="dxa"/>
            <w:tcBorders>
              <w:left w:val="single" w:color="auto" w:sz="4" w:space="0"/>
            </w:tcBorders>
            <w:vAlign w:val="center"/>
          </w:tcPr>
          <w:p>
            <w:pPr>
              <w:ind w:firstLine="0" w:firstLineChars="0"/>
              <w:jc w:val="both"/>
              <w:rPr>
                <w:rFonts w:cs="Arial"/>
                <w:bCs/>
                <w:color w:val="auto"/>
                <w:sz w:val="21"/>
                <w:szCs w:val="21"/>
              </w:rPr>
            </w:pPr>
            <w:r>
              <w:rPr>
                <w:rFonts w:hint="eastAsia" w:cs="Arial"/>
                <w:bCs/>
                <w:color w:val="auto"/>
                <w:sz w:val="21"/>
                <w:szCs w:val="21"/>
              </w:rPr>
              <w:t>配套燃烧热学3D仿真实验管理教学平台</w:t>
            </w:r>
          </w:p>
          <w:tbl>
            <w:tblPr>
              <w:tblStyle w:val="46"/>
              <w:tblW w:w="883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248"/>
              <w:gridCol w:w="2388"/>
              <w:gridCol w:w="44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Align w:val="center"/>
                </w:tcPr>
                <w:p>
                  <w:pPr>
                    <w:ind w:firstLine="0" w:firstLineChars="0"/>
                    <w:jc w:val="center"/>
                    <w:rPr>
                      <w:rFonts w:cs="Arial"/>
                      <w:bCs/>
                      <w:color w:val="auto"/>
                      <w:sz w:val="21"/>
                      <w:szCs w:val="21"/>
                    </w:rPr>
                  </w:pPr>
                  <w:r>
                    <w:rPr>
                      <w:rFonts w:hint="eastAsia" w:cs="Arial"/>
                      <w:bCs/>
                      <w:color w:val="auto"/>
                      <w:sz w:val="21"/>
                      <w:szCs w:val="21"/>
                    </w:rPr>
                    <w:t>序号</w:t>
                  </w:r>
                </w:p>
              </w:tc>
              <w:tc>
                <w:tcPr>
                  <w:tcW w:w="1248" w:type="dxa"/>
                  <w:vAlign w:val="center"/>
                </w:tcPr>
                <w:p>
                  <w:pPr>
                    <w:ind w:firstLine="0" w:firstLineChars="0"/>
                    <w:jc w:val="center"/>
                    <w:rPr>
                      <w:rFonts w:cs="Arial"/>
                      <w:bCs/>
                      <w:color w:val="auto"/>
                      <w:sz w:val="21"/>
                      <w:szCs w:val="21"/>
                    </w:rPr>
                  </w:pPr>
                  <w:r>
                    <w:rPr>
                      <w:rFonts w:hint="eastAsia" w:cs="Arial"/>
                      <w:bCs/>
                      <w:color w:val="auto"/>
                      <w:sz w:val="21"/>
                      <w:szCs w:val="21"/>
                    </w:rPr>
                    <w:t>功能模块</w:t>
                  </w: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功能简介</w:t>
                  </w:r>
                </w:p>
              </w:tc>
              <w:tc>
                <w:tcPr>
                  <w:tcW w:w="4460" w:type="dxa"/>
                  <w:vAlign w:val="center"/>
                </w:tcPr>
                <w:p>
                  <w:pPr>
                    <w:ind w:firstLine="0" w:firstLineChars="0"/>
                    <w:jc w:val="both"/>
                    <w:rPr>
                      <w:rFonts w:cs="Arial"/>
                      <w:bCs/>
                      <w:color w:val="auto"/>
                      <w:sz w:val="21"/>
                      <w:szCs w:val="21"/>
                    </w:rPr>
                  </w:pPr>
                  <w:r>
                    <w:rPr>
                      <w:rFonts w:hint="eastAsia" w:cs="Arial"/>
                      <w:bCs/>
                      <w:color w:val="auto"/>
                      <w:sz w:val="21"/>
                      <w:szCs w:val="21"/>
                    </w:rPr>
                    <w:t>详细说明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1</w:t>
                  </w:r>
                </w:p>
              </w:tc>
              <w:tc>
                <w:tcPr>
                  <w:tcW w:w="1248"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角色管理</w:t>
                  </w:r>
                </w:p>
              </w:tc>
              <w:tc>
                <w:tcPr>
                  <w:tcW w:w="2388"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平台包含三类角色系：管理员、教师、学生。</w:t>
                  </w:r>
                </w:p>
                <w:p>
                  <w:pPr>
                    <w:ind w:firstLine="0" w:firstLineChars="0"/>
                    <w:jc w:val="center"/>
                    <w:rPr>
                      <w:rFonts w:cs="Arial"/>
                      <w:bCs/>
                      <w:color w:val="auto"/>
                      <w:sz w:val="21"/>
                      <w:szCs w:val="21"/>
                    </w:rPr>
                  </w:pPr>
                </w:p>
              </w:tc>
              <w:tc>
                <w:tcPr>
                  <w:tcW w:w="4460" w:type="dxa"/>
                  <w:vAlign w:val="center"/>
                </w:tcPr>
                <w:p>
                  <w:pPr>
                    <w:ind w:firstLine="0" w:firstLineChars="0"/>
                    <w:jc w:val="both"/>
                    <w:rPr>
                      <w:rFonts w:cs="Arial"/>
                      <w:bCs/>
                      <w:color w:val="auto"/>
                      <w:sz w:val="21"/>
                      <w:szCs w:val="21"/>
                    </w:rPr>
                  </w:pPr>
                  <w:r>
                    <w:rPr>
                      <w:rFonts w:hint="eastAsia" w:cs="Arial"/>
                      <w:bCs/>
                      <w:color w:val="auto"/>
                      <w:sz w:val="21"/>
                      <w:szCs w:val="21"/>
                    </w:rPr>
                    <w:t>管理员：可查看用户使用情况，用户登录时间、时长和工程使用次数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Merge w:val="continue"/>
                  <w:vAlign w:val="center"/>
                </w:tcPr>
                <w:p>
                  <w:pPr>
                    <w:ind w:firstLine="0" w:firstLineChars="0"/>
                    <w:jc w:val="center"/>
                    <w:rPr>
                      <w:rFonts w:cs="Arial"/>
                      <w:bCs/>
                      <w:color w:val="auto"/>
                      <w:sz w:val="21"/>
                      <w:szCs w:val="21"/>
                    </w:rPr>
                  </w:pPr>
                </w:p>
              </w:tc>
              <w:tc>
                <w:tcPr>
                  <w:tcW w:w="4460" w:type="dxa"/>
                  <w:vAlign w:val="center"/>
                </w:tcPr>
                <w:p>
                  <w:pPr>
                    <w:ind w:firstLine="0" w:firstLineChars="0"/>
                    <w:jc w:val="both"/>
                    <w:rPr>
                      <w:rFonts w:cs="Arial"/>
                      <w:bCs/>
                      <w:color w:val="auto"/>
                      <w:sz w:val="21"/>
                      <w:szCs w:val="21"/>
                    </w:rPr>
                  </w:pPr>
                  <w:r>
                    <w:rPr>
                      <w:rFonts w:hint="eastAsia" w:cs="Arial"/>
                      <w:bCs/>
                      <w:color w:val="auto"/>
                      <w:sz w:val="21"/>
                      <w:szCs w:val="21"/>
                    </w:rPr>
                    <w:t>教师：可增删改用户，添加修改删除工程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Merge w:val="continue"/>
                  <w:vAlign w:val="center"/>
                </w:tcPr>
                <w:p>
                  <w:pPr>
                    <w:ind w:firstLine="0" w:firstLineChars="0"/>
                    <w:jc w:val="center"/>
                    <w:rPr>
                      <w:rFonts w:cs="Arial"/>
                      <w:bCs/>
                      <w:color w:val="auto"/>
                      <w:sz w:val="21"/>
                      <w:szCs w:val="21"/>
                    </w:rPr>
                  </w:pPr>
                </w:p>
              </w:tc>
              <w:tc>
                <w:tcPr>
                  <w:tcW w:w="4460" w:type="dxa"/>
                  <w:vAlign w:val="center"/>
                </w:tcPr>
                <w:p>
                  <w:pPr>
                    <w:ind w:firstLine="0" w:firstLineChars="0"/>
                    <w:jc w:val="both"/>
                    <w:rPr>
                      <w:rFonts w:cs="Arial"/>
                      <w:bCs/>
                      <w:color w:val="auto"/>
                      <w:sz w:val="21"/>
                      <w:szCs w:val="21"/>
                    </w:rPr>
                  </w:pPr>
                  <w:r>
                    <w:rPr>
                      <w:rFonts w:hint="eastAsia" w:cs="Arial"/>
                      <w:bCs/>
                      <w:color w:val="auto"/>
                      <w:sz w:val="21"/>
                      <w:szCs w:val="21"/>
                    </w:rPr>
                    <w:t>学生：</w:t>
                  </w:r>
                </w:p>
                <w:p>
                  <w:pPr>
                    <w:ind w:firstLine="0" w:firstLineChars="0"/>
                    <w:jc w:val="both"/>
                    <w:rPr>
                      <w:rFonts w:cs="Arial"/>
                      <w:bCs/>
                      <w:color w:val="auto"/>
                      <w:sz w:val="21"/>
                      <w:szCs w:val="21"/>
                    </w:rPr>
                  </w:pPr>
                  <w:r>
                    <w:rPr>
                      <w:rFonts w:hint="eastAsia" w:cs="Arial"/>
                      <w:bCs/>
                      <w:color w:val="auto"/>
                      <w:sz w:val="21"/>
                      <w:szCs w:val="21"/>
                    </w:rPr>
                    <w:t>1.（云平台）输入用户名、密码登录平台，可自行修改用户名称、学号等</w:t>
                  </w:r>
                </w:p>
                <w:p>
                  <w:pPr>
                    <w:ind w:firstLine="0" w:firstLineChars="0"/>
                    <w:jc w:val="both"/>
                    <w:rPr>
                      <w:rFonts w:cs="Arial"/>
                      <w:bCs/>
                      <w:color w:val="auto"/>
                      <w:sz w:val="21"/>
                      <w:szCs w:val="21"/>
                    </w:rPr>
                  </w:pPr>
                  <w:r>
                    <w:rPr>
                      <w:rFonts w:hint="eastAsia" w:cs="Arial"/>
                      <w:bCs/>
                      <w:color w:val="auto"/>
                      <w:sz w:val="21"/>
                      <w:szCs w:val="21"/>
                    </w:rPr>
                    <w:t>2.（仿真实验程序）进行实验步骤练习，记录实验步骤进行情况，进行理论考核与实验步骤考核，成绩和实验练习进度信息上传云平台</w:t>
                  </w:r>
                </w:p>
                <w:p>
                  <w:pPr>
                    <w:ind w:firstLine="0" w:firstLineChars="0"/>
                    <w:jc w:val="both"/>
                    <w:rPr>
                      <w:rFonts w:cs="Arial"/>
                      <w:bCs/>
                      <w:color w:val="auto"/>
                      <w:sz w:val="21"/>
                      <w:szCs w:val="21"/>
                    </w:rPr>
                  </w:pPr>
                  <w:r>
                    <w:rPr>
                      <w:rFonts w:hint="eastAsia" w:cs="Arial"/>
                      <w:bCs/>
                      <w:color w:val="auto"/>
                      <w:sz w:val="21"/>
                      <w:szCs w:val="21"/>
                    </w:rPr>
                    <w:t>3.（云平台）进入实验工程，选择工程，查看学生成绩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2</w:t>
                  </w:r>
                </w:p>
              </w:tc>
              <w:tc>
                <w:tcPr>
                  <w:tcW w:w="1248"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用户管理</w:t>
                  </w: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查询用户列表</w:t>
                  </w:r>
                </w:p>
              </w:tc>
              <w:tc>
                <w:tcPr>
                  <w:tcW w:w="4460" w:type="dxa"/>
                </w:tcPr>
                <w:p>
                  <w:pPr>
                    <w:ind w:firstLine="0" w:firstLineChars="0"/>
                    <w:jc w:val="both"/>
                    <w:rPr>
                      <w:rFonts w:cs="Arial"/>
                      <w:bCs/>
                      <w:color w:val="auto"/>
                      <w:sz w:val="21"/>
                      <w:szCs w:val="21"/>
                    </w:rPr>
                  </w:pPr>
                  <w:r>
                    <w:rPr>
                      <w:rFonts w:hint="eastAsia" w:cs="Arial"/>
                      <w:bCs/>
                      <w:color w:val="auto"/>
                      <w:sz w:val="21"/>
                      <w:szCs w:val="21"/>
                    </w:rPr>
                    <w:t>查看平台的用户信息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新增用户</w:t>
                  </w:r>
                </w:p>
              </w:tc>
              <w:tc>
                <w:tcPr>
                  <w:tcW w:w="4460" w:type="dxa"/>
                </w:tcPr>
                <w:p>
                  <w:pPr>
                    <w:ind w:firstLine="0" w:firstLineChars="0"/>
                    <w:jc w:val="both"/>
                    <w:rPr>
                      <w:rFonts w:cs="Arial"/>
                      <w:bCs/>
                      <w:color w:val="auto"/>
                      <w:sz w:val="21"/>
                      <w:szCs w:val="21"/>
                    </w:rPr>
                  </w:pPr>
                  <w:r>
                    <w:rPr>
                      <w:rFonts w:hint="eastAsia" w:cs="Arial"/>
                      <w:bCs/>
                      <w:color w:val="auto"/>
                      <w:sz w:val="21"/>
                      <w:szCs w:val="21"/>
                    </w:rPr>
                    <w:t>新增用户信息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修改用户</w:t>
                  </w:r>
                </w:p>
              </w:tc>
              <w:tc>
                <w:tcPr>
                  <w:tcW w:w="4460" w:type="dxa"/>
                </w:tcPr>
                <w:p>
                  <w:pPr>
                    <w:ind w:firstLine="0" w:firstLineChars="0"/>
                    <w:jc w:val="both"/>
                    <w:rPr>
                      <w:rFonts w:cs="Arial"/>
                      <w:bCs/>
                      <w:color w:val="auto"/>
                      <w:sz w:val="21"/>
                      <w:szCs w:val="21"/>
                    </w:rPr>
                  </w:pPr>
                  <w:r>
                    <w:rPr>
                      <w:rFonts w:hint="eastAsia" w:cs="Arial"/>
                      <w:bCs/>
                      <w:color w:val="auto"/>
                      <w:sz w:val="21"/>
                      <w:szCs w:val="21"/>
                    </w:rPr>
                    <w:t>修改用户信息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删除用户</w:t>
                  </w:r>
                </w:p>
              </w:tc>
              <w:tc>
                <w:tcPr>
                  <w:tcW w:w="4460" w:type="dxa"/>
                </w:tcPr>
                <w:p>
                  <w:pPr>
                    <w:ind w:firstLine="0" w:firstLineChars="0"/>
                    <w:jc w:val="both"/>
                    <w:rPr>
                      <w:rFonts w:cs="Arial"/>
                      <w:bCs/>
                      <w:color w:val="auto"/>
                      <w:sz w:val="21"/>
                      <w:szCs w:val="21"/>
                    </w:rPr>
                  </w:pPr>
                  <w:r>
                    <w:rPr>
                      <w:rFonts w:hint="eastAsia" w:cs="Arial"/>
                      <w:bCs/>
                      <w:color w:val="auto"/>
                      <w:sz w:val="21"/>
                      <w:szCs w:val="21"/>
                    </w:rPr>
                    <w:t>删除用户信息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3</w:t>
                  </w:r>
                </w:p>
              </w:tc>
              <w:tc>
                <w:tcPr>
                  <w:tcW w:w="1248"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工程管理</w:t>
                  </w: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查询工程列表</w:t>
                  </w:r>
                </w:p>
              </w:tc>
              <w:tc>
                <w:tcPr>
                  <w:tcW w:w="4460" w:type="dxa"/>
                </w:tcPr>
                <w:p>
                  <w:pPr>
                    <w:ind w:firstLine="0" w:firstLineChars="0"/>
                    <w:jc w:val="both"/>
                    <w:rPr>
                      <w:rFonts w:cs="Arial"/>
                      <w:bCs/>
                      <w:color w:val="auto"/>
                      <w:sz w:val="21"/>
                      <w:szCs w:val="21"/>
                    </w:rPr>
                  </w:pPr>
                  <w:r>
                    <w:rPr>
                      <w:rFonts w:hint="eastAsia" w:cs="Arial"/>
                      <w:bCs/>
                      <w:color w:val="auto"/>
                      <w:sz w:val="21"/>
                      <w:szCs w:val="21"/>
                    </w:rPr>
                    <w:t>查看平台的工程(实验)信息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新增工程</w:t>
                  </w:r>
                </w:p>
              </w:tc>
              <w:tc>
                <w:tcPr>
                  <w:tcW w:w="4460" w:type="dxa"/>
                </w:tcPr>
                <w:p>
                  <w:pPr>
                    <w:ind w:firstLine="0" w:firstLineChars="0"/>
                    <w:jc w:val="both"/>
                    <w:rPr>
                      <w:rFonts w:cs="Arial"/>
                      <w:bCs/>
                      <w:color w:val="auto"/>
                      <w:sz w:val="21"/>
                      <w:szCs w:val="21"/>
                    </w:rPr>
                  </w:pPr>
                  <w:r>
                    <w:rPr>
                      <w:rFonts w:hint="eastAsia" w:cs="Arial"/>
                      <w:bCs/>
                      <w:color w:val="auto"/>
                      <w:sz w:val="21"/>
                      <w:szCs w:val="21"/>
                    </w:rPr>
                    <w:t>新增工程(实验)信息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修改工程</w:t>
                  </w:r>
                </w:p>
              </w:tc>
              <w:tc>
                <w:tcPr>
                  <w:tcW w:w="4460" w:type="dxa"/>
                </w:tcPr>
                <w:p>
                  <w:pPr>
                    <w:ind w:firstLine="0" w:firstLineChars="0"/>
                    <w:jc w:val="both"/>
                    <w:rPr>
                      <w:rFonts w:cs="Arial"/>
                      <w:bCs/>
                      <w:color w:val="auto"/>
                      <w:sz w:val="21"/>
                      <w:szCs w:val="21"/>
                    </w:rPr>
                  </w:pPr>
                  <w:r>
                    <w:rPr>
                      <w:rFonts w:hint="eastAsia" w:cs="Arial"/>
                      <w:bCs/>
                      <w:color w:val="auto"/>
                      <w:sz w:val="21"/>
                      <w:szCs w:val="21"/>
                    </w:rPr>
                    <w:t>修改工程(实验)信息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删除工程</w:t>
                  </w:r>
                </w:p>
              </w:tc>
              <w:tc>
                <w:tcPr>
                  <w:tcW w:w="4460" w:type="dxa"/>
                </w:tcPr>
                <w:p>
                  <w:pPr>
                    <w:ind w:firstLine="0" w:firstLineChars="0"/>
                    <w:jc w:val="both"/>
                    <w:rPr>
                      <w:rFonts w:cs="Arial"/>
                      <w:bCs/>
                      <w:color w:val="auto"/>
                      <w:sz w:val="21"/>
                      <w:szCs w:val="21"/>
                    </w:rPr>
                  </w:pPr>
                  <w:r>
                    <w:rPr>
                      <w:rFonts w:hint="eastAsia" w:cs="Arial"/>
                      <w:bCs/>
                      <w:color w:val="auto"/>
                      <w:sz w:val="21"/>
                      <w:szCs w:val="21"/>
                    </w:rPr>
                    <w:t>删除工程(实验)信息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考核成绩查询、修改、导出成绩</w:t>
                  </w:r>
                </w:p>
              </w:tc>
              <w:tc>
                <w:tcPr>
                  <w:tcW w:w="4460" w:type="dxa"/>
                </w:tcPr>
                <w:p>
                  <w:pPr>
                    <w:ind w:firstLine="0" w:firstLineChars="0"/>
                    <w:jc w:val="both"/>
                    <w:rPr>
                      <w:rFonts w:cs="Arial"/>
                      <w:bCs/>
                      <w:color w:val="auto"/>
                      <w:sz w:val="21"/>
                      <w:szCs w:val="21"/>
                    </w:rPr>
                  </w:pPr>
                  <w:r>
                    <w:rPr>
                      <w:rFonts w:hint="eastAsia" w:cs="Arial"/>
                      <w:bCs/>
                      <w:color w:val="auto"/>
                      <w:sz w:val="21"/>
                      <w:szCs w:val="21"/>
                    </w:rPr>
                    <w:t>选择工程后可以查看、修改、导出从仿真实验程序上传到云平台的实验成绩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4</w:t>
                  </w:r>
                </w:p>
              </w:tc>
              <w:tc>
                <w:tcPr>
                  <w:tcW w:w="1248"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登录日志管理</w:t>
                  </w:r>
                </w:p>
              </w:tc>
              <w:tc>
                <w:tcPr>
                  <w:tcW w:w="2388"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记录用户的登录日志信息</w:t>
                  </w:r>
                </w:p>
              </w:tc>
              <w:tc>
                <w:tcPr>
                  <w:tcW w:w="4460" w:type="dxa"/>
                </w:tcPr>
                <w:p>
                  <w:pPr>
                    <w:ind w:firstLine="0" w:firstLineChars="0"/>
                    <w:jc w:val="both"/>
                    <w:rPr>
                      <w:rFonts w:cs="Arial"/>
                      <w:bCs/>
                      <w:color w:val="auto"/>
                      <w:sz w:val="21"/>
                      <w:szCs w:val="21"/>
                    </w:rPr>
                  </w:pPr>
                  <w:r>
                    <w:rPr>
                      <w:rFonts w:hint="eastAsia" w:cs="Arial"/>
                      <w:bCs/>
                      <w:color w:val="auto"/>
                      <w:sz w:val="21"/>
                      <w:szCs w:val="21"/>
                    </w:rPr>
                    <w:t>记录用户登录和用户退出平台的时间，统计汇总每个用户的在线时长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0" w:hRule="atLeast"/>
              </w:trPr>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Merge w:val="continue"/>
                  <w:vAlign w:val="center"/>
                </w:tcPr>
                <w:p>
                  <w:pPr>
                    <w:ind w:firstLine="0" w:firstLineChars="0"/>
                    <w:jc w:val="center"/>
                    <w:rPr>
                      <w:rFonts w:cs="Arial"/>
                      <w:bCs/>
                      <w:color w:val="auto"/>
                      <w:sz w:val="21"/>
                      <w:szCs w:val="21"/>
                    </w:rPr>
                  </w:pPr>
                </w:p>
              </w:tc>
              <w:tc>
                <w:tcPr>
                  <w:tcW w:w="4460" w:type="dxa"/>
                </w:tcPr>
                <w:p>
                  <w:pPr>
                    <w:ind w:firstLine="0" w:firstLineChars="0"/>
                    <w:jc w:val="both"/>
                    <w:rPr>
                      <w:rFonts w:cs="Arial"/>
                      <w:bCs/>
                      <w:color w:val="auto"/>
                      <w:sz w:val="21"/>
                      <w:szCs w:val="21"/>
                    </w:rPr>
                  </w:pPr>
                  <w:r>
                    <w:rPr>
                      <w:rFonts w:hint="eastAsia" w:cs="Arial"/>
                      <w:bCs/>
                      <w:color w:val="auto"/>
                      <w:sz w:val="21"/>
                      <w:szCs w:val="21"/>
                    </w:rPr>
                    <w:t>记录用户使用每个工程(实验)的次数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5</w:t>
                  </w:r>
                </w:p>
              </w:tc>
              <w:tc>
                <w:tcPr>
                  <w:tcW w:w="1248" w:type="dxa"/>
                  <w:vMerge w:val="restart"/>
                  <w:vAlign w:val="center"/>
                </w:tcPr>
                <w:p>
                  <w:pPr>
                    <w:ind w:firstLine="0" w:firstLineChars="0"/>
                    <w:jc w:val="center"/>
                    <w:rPr>
                      <w:rFonts w:cs="Arial"/>
                      <w:bCs/>
                      <w:color w:val="auto"/>
                      <w:sz w:val="21"/>
                      <w:szCs w:val="21"/>
                    </w:rPr>
                  </w:pPr>
                  <w:r>
                    <w:rPr>
                      <w:rFonts w:hint="eastAsia" w:cs="Arial"/>
                      <w:bCs/>
                      <w:color w:val="auto"/>
                      <w:sz w:val="21"/>
                      <w:szCs w:val="21"/>
                    </w:rPr>
                    <w:t>考试成绩传输接口</w:t>
                  </w: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1.用于仿真实验程序上传成绩信息</w:t>
                  </w:r>
                </w:p>
              </w:tc>
              <w:tc>
                <w:tcPr>
                  <w:tcW w:w="4460" w:type="dxa"/>
                </w:tcPr>
                <w:p>
                  <w:pPr>
                    <w:ind w:firstLine="0" w:firstLineChars="0"/>
                    <w:jc w:val="both"/>
                    <w:rPr>
                      <w:rFonts w:cs="Arial"/>
                      <w:bCs/>
                      <w:color w:val="auto"/>
                      <w:sz w:val="21"/>
                      <w:szCs w:val="21"/>
                    </w:rPr>
                  </w:pPr>
                  <w:r>
                    <w:rPr>
                      <w:rFonts w:hint="eastAsia" w:cs="Arial"/>
                      <w:bCs/>
                      <w:color w:val="auto"/>
                      <w:sz w:val="21"/>
                      <w:szCs w:val="21"/>
                    </w:rPr>
                    <w:t>仿真实验程序调用该接口上传考试成绩到云平台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9" w:type="dxa"/>
                  <w:vMerge w:val="continue"/>
                  <w:vAlign w:val="center"/>
                </w:tcPr>
                <w:p>
                  <w:pPr>
                    <w:ind w:firstLine="0" w:firstLineChars="0"/>
                    <w:jc w:val="center"/>
                    <w:rPr>
                      <w:rFonts w:cs="Arial"/>
                      <w:bCs/>
                      <w:color w:val="auto"/>
                      <w:sz w:val="21"/>
                      <w:szCs w:val="21"/>
                    </w:rPr>
                  </w:pPr>
                </w:p>
              </w:tc>
              <w:tc>
                <w:tcPr>
                  <w:tcW w:w="1248" w:type="dxa"/>
                  <w:vMerge w:val="continue"/>
                  <w:vAlign w:val="center"/>
                </w:tcPr>
                <w:p>
                  <w:pPr>
                    <w:ind w:firstLine="0" w:firstLineChars="0"/>
                    <w:jc w:val="center"/>
                    <w:rPr>
                      <w:rFonts w:cs="Arial"/>
                      <w:bCs/>
                      <w:color w:val="auto"/>
                      <w:sz w:val="21"/>
                      <w:szCs w:val="21"/>
                    </w:rPr>
                  </w:pPr>
                </w:p>
              </w:tc>
              <w:tc>
                <w:tcPr>
                  <w:tcW w:w="2388" w:type="dxa"/>
                  <w:vAlign w:val="center"/>
                </w:tcPr>
                <w:p>
                  <w:pPr>
                    <w:ind w:firstLine="0" w:firstLineChars="0"/>
                    <w:jc w:val="center"/>
                    <w:rPr>
                      <w:rFonts w:cs="Arial"/>
                      <w:bCs/>
                      <w:color w:val="auto"/>
                      <w:sz w:val="21"/>
                      <w:szCs w:val="21"/>
                    </w:rPr>
                  </w:pPr>
                  <w:r>
                    <w:rPr>
                      <w:rFonts w:hint="eastAsia" w:cs="Arial"/>
                      <w:bCs/>
                      <w:color w:val="auto"/>
                      <w:sz w:val="21"/>
                      <w:szCs w:val="21"/>
                    </w:rPr>
                    <w:t>2.用于仿真实验程序上传学生当前实验练习进度信息</w:t>
                  </w:r>
                </w:p>
              </w:tc>
              <w:tc>
                <w:tcPr>
                  <w:tcW w:w="4460" w:type="dxa"/>
                </w:tcPr>
                <w:p>
                  <w:pPr>
                    <w:ind w:firstLine="0" w:firstLineChars="0"/>
                    <w:jc w:val="both"/>
                    <w:rPr>
                      <w:rFonts w:cs="Arial"/>
                      <w:bCs/>
                      <w:color w:val="auto"/>
                      <w:sz w:val="21"/>
                      <w:szCs w:val="21"/>
                    </w:rPr>
                  </w:pPr>
                  <w:r>
                    <w:rPr>
                      <w:rFonts w:hint="eastAsia" w:cs="Arial"/>
                      <w:bCs/>
                      <w:color w:val="auto"/>
                      <w:sz w:val="21"/>
                      <w:szCs w:val="21"/>
                    </w:rPr>
                    <w:t>仿真实验程序调用该接口上传学生当前实验练习进度信息到云平台</w:t>
                  </w:r>
                </w:p>
              </w:tc>
            </w:tr>
          </w:tbl>
          <w:p>
            <w:pPr>
              <w:ind w:firstLine="0" w:firstLineChars="0"/>
              <w:jc w:val="both"/>
              <w:rPr>
                <w:rFonts w:cs="Arial"/>
                <w:bCs/>
                <w:color w:val="auto"/>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2</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柴油阻塞倾向性测定器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适用标准：堵塞倾向性作业指导书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适用范围：测定柴油堵塞倾向性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2.2.1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真空度可控范围：≥0～80KPa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2.2.2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滤杯：≥250ml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2.2.3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抽滤瓶：≥1000ml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2.2.4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滤膜托板为金属支板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3</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工业用调压计量柜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Q≥500Nm³  设计压力：≥1.6Mpa   进口工作压力：≥0.4Mpa  出口压力设定：≥10-15Kpa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高效蓝式过滤器GL50/159 pn16  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罗茨（涡轮）流量计LLQ-50/0.4/1.5  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调压器带切断DN50  ANSI150   （模拟） 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法兰球阀 DN25/50/80   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防爆接线箱  1个  压力温度远传仪表  1批  压力仪表 1批  法兰球阀DN50-80  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4</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商业用调压计量柜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Q≥300Nm³  设计压力：≥1.6Mpa  P1≥0.4Mpa  P2≥4Kpa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高效蓝式过滤器GL50/159 pn16           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涡轮流量计LLQ-50/0.4/1.5              1个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调压器带切断DN50  ANSI150            1批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5</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 xml:space="preserve">楼栋调压箱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Q≥500Nm³  P1≥0.4Mpa  P2≥3Kpa 设计压力：0.6Mpa   进口工作压力：0.2-0.4Mpa  出口压力设定：2-4Kpa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过滤，调压，切断为一体设备 ，带不锈钢箱体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6</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燃气输配调度控制柜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系统组成：本站控系统主要有PLC搭建组成站控柜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显示功能：系统能动态显示工艺流程图上各测点的运行参数及画面动态显示；实时趋势曲线和历史曲线画面，压力、温度、流量参数表格，报警信号显示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电动球阀的关启远程控制（设置超压超温泄漏报警和主要参数越限报警切断）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压缩机组远程启停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历史文件数据资料的存储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系统自诊断功能等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实时打印生产报表和参数报表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7</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立式压缩机拆装零配件总成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曲轴组件1套、连杆组件1套、十字头组件1套、一级活塞组件1套、二级活塞组件1套、一级吸气阀1组、一级排气阀1组、二级吸气阀1组、二级排气阀1组、一级填料1套、二级填料1套、注油器总成1套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8</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燃气燃烧速度测试实验台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使用本生灯法测定燃气法向火焰传播速度。要求掌握测定原理、测定方法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测定液化石油气的层流火焰传播速度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掌握不同的气/燃比对火焰传播速度的影响，测定不同燃料百分数下火焰传播速度的变化曲线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电磁式空气压缩机：70L/min, 220V/50Hz,压力 ＞0.025Mpa， 功率45W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空气流量计：LZB-6 ，100-1000l/H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燃气流量计：LZB-3  40-400L/H；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高度尺：精度1mm量程：0—300mm   分辨率：0.02mm；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8.8</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 xml:space="preserve">U型差压计：±3000mm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设备配有3D交互式仿真处理实验软件，包括手机版、电脑版、网络版、VR版四个版本（每个版本单独安装包），通过仿真软件登录界面登录（输入机位号、学号、姓名即可登录）具体功能如下：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演示：通过单击方式实现设备的自动操作过程，并伴有音频讲解，设备操作步骤详细说明浮窗，对于实验过程中的操作，附带操作警示，自动操作过程中，用户可对设备进行局部放大、缩小、全方位旋转，更为清晰的观察到实验现象、仪表数值变化以及设备的动态过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操作练习（NPC帮助提示）：当鼠标悬停在该设备各部位上，会有各部位的悬浮提示文字，用户可根据操作演示进行操作练习,提前熟悉设备结构、工艺流程、操作步骤及注意事项，为实验做前期准备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操作考核：学生进入考试系统，完成指定操作，根据输出结果反馈报告，可根据用户的操作，实时显示实验数据，带有动画反馈，考试成绩、实验数据具备保存、打印功能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理论考核：内含试题库（老师提供），学员理论知识学习完毕后，可进行模拟考核，考核完毕后可进行考核结果查询，教师可通过登录教师站实时查询学员的考核成绩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可实现移动终端扫装置上和说明书上二维码，能够获取装置配套三维工艺微课堂教学视频。内容包括设备图片、装置功能、设备流程及实验操作步骤。学生可课前预习或者进入实验室后观看装置操作流程及注意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软件可搭载最新版的Vive Focus VR进行软件操作，实现移动端VR虚拟现实体验，打破了时间、空间和资源上的限制，为课堂创造安全、方便、有趣的实验环境，在满足师生对实验中教与学需求的同时，也大大降低了学习成本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通过数据处理软件，在软件中处理3D模型，进行网格化处理后,能观察液相在不同流速下管路内的压力分布与速度分布；能模拟有重力条件下与无重力条件下，水流在管路模型中的运行流动情况；能提供.L FILE文件格式的数据输出文件以及数据图像输出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 xml:space="preserve">教学管理平台包含以下功能：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角色管理:平台包含三类角色系：管理员、教师、学生。</w:t>
            </w:r>
          </w:p>
          <w:p>
            <w:pPr>
              <w:ind w:firstLine="0" w:firstLineChars="0"/>
              <w:jc w:val="both"/>
              <w:rPr>
                <w:rFonts w:cs="Arial"/>
                <w:bCs/>
                <w:color w:val="auto"/>
                <w:sz w:val="21"/>
                <w:szCs w:val="21"/>
              </w:rPr>
            </w:pPr>
            <w:r>
              <w:rPr>
                <w:rFonts w:hint="eastAsia" w:cs="Arial"/>
                <w:bCs/>
                <w:color w:val="auto"/>
                <w:sz w:val="21"/>
                <w:szCs w:val="21"/>
              </w:rPr>
              <w:t>管理员：可查看用户使用情况，用户登录时间、时长和工程使用次数；</w:t>
            </w:r>
          </w:p>
          <w:p>
            <w:pPr>
              <w:ind w:firstLine="0" w:firstLineChars="0"/>
              <w:jc w:val="both"/>
              <w:rPr>
                <w:rFonts w:cs="Arial"/>
                <w:bCs/>
                <w:color w:val="auto"/>
                <w:sz w:val="21"/>
                <w:szCs w:val="21"/>
              </w:rPr>
            </w:pPr>
            <w:r>
              <w:rPr>
                <w:rFonts w:hint="eastAsia" w:cs="Arial"/>
                <w:bCs/>
                <w:color w:val="auto"/>
                <w:sz w:val="21"/>
                <w:szCs w:val="21"/>
              </w:rPr>
              <w:t>教师：可增删改用户，添加修改删除工程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（云平台）输入用户名、密码登录平台，可自行修改用户名称、学号等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（仿真实验程序）进行实验步骤练习，记录实验步骤进行情况，进行理论考核与实验步骤考核，成绩和实验练习进度信息上传云平台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（云平台）进入实验工程，选择工程，查看学生成绩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用户管理:</w:t>
            </w:r>
          </w:p>
          <w:p>
            <w:pPr>
              <w:ind w:firstLine="0" w:firstLineChars="0"/>
              <w:jc w:val="both"/>
              <w:rPr>
                <w:rFonts w:cs="Arial"/>
                <w:bCs/>
                <w:color w:val="auto"/>
                <w:sz w:val="21"/>
                <w:szCs w:val="21"/>
              </w:rPr>
            </w:pPr>
            <w:r>
              <w:rPr>
                <w:rFonts w:hint="eastAsia" w:cs="Arial"/>
                <w:bCs/>
                <w:color w:val="auto"/>
                <w:sz w:val="21"/>
                <w:szCs w:val="21"/>
              </w:rPr>
              <w:t>查询用户列表；</w:t>
            </w:r>
          </w:p>
          <w:p>
            <w:pPr>
              <w:ind w:firstLine="0" w:firstLineChars="0"/>
              <w:jc w:val="both"/>
              <w:rPr>
                <w:rFonts w:cs="Arial"/>
                <w:bCs/>
                <w:color w:val="auto"/>
                <w:sz w:val="21"/>
                <w:szCs w:val="21"/>
              </w:rPr>
            </w:pPr>
            <w:r>
              <w:rPr>
                <w:rFonts w:hint="eastAsia" w:cs="Arial"/>
                <w:bCs/>
                <w:color w:val="auto"/>
                <w:sz w:val="21"/>
                <w:szCs w:val="21"/>
              </w:rPr>
              <w:t>查看平台的用户信息；</w:t>
            </w:r>
          </w:p>
          <w:p>
            <w:pPr>
              <w:ind w:firstLine="0" w:firstLineChars="0"/>
              <w:jc w:val="both"/>
              <w:rPr>
                <w:rFonts w:cs="Arial"/>
                <w:bCs/>
                <w:color w:val="auto"/>
                <w:sz w:val="21"/>
                <w:szCs w:val="21"/>
              </w:rPr>
            </w:pPr>
            <w:r>
              <w:rPr>
                <w:rFonts w:hint="eastAsia" w:cs="Arial"/>
                <w:bCs/>
                <w:color w:val="auto"/>
                <w:sz w:val="21"/>
                <w:szCs w:val="21"/>
              </w:rPr>
              <w:t>新增用户:新增用户信息；</w:t>
            </w:r>
          </w:p>
          <w:p>
            <w:pPr>
              <w:ind w:firstLine="0" w:firstLineChars="0"/>
              <w:jc w:val="both"/>
              <w:rPr>
                <w:rFonts w:cs="Arial"/>
                <w:bCs/>
                <w:color w:val="auto"/>
                <w:sz w:val="21"/>
                <w:szCs w:val="21"/>
              </w:rPr>
            </w:pPr>
            <w:r>
              <w:rPr>
                <w:rFonts w:hint="eastAsia" w:cs="Arial"/>
                <w:bCs/>
                <w:color w:val="auto"/>
                <w:sz w:val="21"/>
                <w:szCs w:val="21"/>
              </w:rPr>
              <w:t>修改用户:修改用户信息；</w:t>
            </w:r>
          </w:p>
          <w:p>
            <w:pPr>
              <w:ind w:firstLine="0" w:firstLineChars="0"/>
              <w:jc w:val="both"/>
              <w:rPr>
                <w:rFonts w:cs="Arial"/>
                <w:bCs/>
                <w:color w:val="auto"/>
                <w:sz w:val="21"/>
                <w:szCs w:val="21"/>
              </w:rPr>
            </w:pPr>
            <w:r>
              <w:rPr>
                <w:rFonts w:hint="eastAsia" w:cs="Arial"/>
                <w:bCs/>
                <w:color w:val="auto"/>
                <w:sz w:val="21"/>
                <w:szCs w:val="21"/>
              </w:rPr>
              <w:t>删除用户:删除用户信息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工程管理:</w:t>
            </w:r>
          </w:p>
          <w:p>
            <w:pPr>
              <w:ind w:firstLine="0" w:firstLineChars="0"/>
              <w:jc w:val="both"/>
              <w:rPr>
                <w:rFonts w:cs="Arial"/>
                <w:bCs/>
                <w:color w:val="auto"/>
                <w:sz w:val="21"/>
                <w:szCs w:val="21"/>
              </w:rPr>
            </w:pPr>
            <w:r>
              <w:rPr>
                <w:rFonts w:hint="eastAsia" w:cs="Arial"/>
                <w:bCs/>
                <w:color w:val="auto"/>
                <w:sz w:val="21"/>
                <w:szCs w:val="21"/>
              </w:rPr>
              <w:t>查询工程列表;</w:t>
            </w:r>
          </w:p>
          <w:p>
            <w:pPr>
              <w:ind w:firstLine="0" w:firstLineChars="0"/>
              <w:jc w:val="both"/>
              <w:rPr>
                <w:rFonts w:cs="Arial"/>
                <w:bCs/>
                <w:color w:val="auto"/>
                <w:sz w:val="21"/>
                <w:szCs w:val="21"/>
              </w:rPr>
            </w:pPr>
            <w:r>
              <w:rPr>
                <w:rFonts w:hint="eastAsia" w:cs="Arial"/>
                <w:bCs/>
                <w:color w:val="auto"/>
                <w:sz w:val="21"/>
                <w:szCs w:val="21"/>
              </w:rPr>
              <w:t>查看平台的工程(实验)信息；</w:t>
            </w:r>
          </w:p>
          <w:p>
            <w:pPr>
              <w:ind w:firstLine="0" w:firstLineChars="0"/>
              <w:jc w:val="both"/>
              <w:rPr>
                <w:rFonts w:cs="Arial"/>
                <w:bCs/>
                <w:color w:val="auto"/>
                <w:sz w:val="21"/>
                <w:szCs w:val="21"/>
              </w:rPr>
            </w:pPr>
            <w:r>
              <w:rPr>
                <w:rFonts w:hint="eastAsia" w:cs="Arial"/>
                <w:bCs/>
                <w:color w:val="auto"/>
                <w:sz w:val="21"/>
                <w:szCs w:val="21"/>
              </w:rPr>
              <w:t>新增工程:新增工程(实验)信息；</w:t>
            </w:r>
          </w:p>
          <w:p>
            <w:pPr>
              <w:ind w:firstLine="0" w:firstLineChars="0"/>
              <w:jc w:val="both"/>
              <w:rPr>
                <w:rFonts w:cs="Arial"/>
                <w:bCs/>
                <w:color w:val="auto"/>
                <w:sz w:val="21"/>
                <w:szCs w:val="21"/>
              </w:rPr>
            </w:pPr>
            <w:r>
              <w:rPr>
                <w:rFonts w:hint="eastAsia" w:cs="Arial"/>
                <w:bCs/>
                <w:color w:val="auto"/>
                <w:sz w:val="21"/>
                <w:szCs w:val="21"/>
              </w:rPr>
              <w:t>修改工程:修改工程(实验)信息；</w:t>
            </w:r>
          </w:p>
          <w:p>
            <w:pPr>
              <w:ind w:firstLine="0" w:firstLineChars="0"/>
              <w:jc w:val="both"/>
              <w:rPr>
                <w:rFonts w:cs="Arial"/>
                <w:bCs/>
                <w:color w:val="auto"/>
                <w:sz w:val="21"/>
                <w:szCs w:val="21"/>
              </w:rPr>
            </w:pPr>
            <w:r>
              <w:rPr>
                <w:rFonts w:hint="eastAsia" w:cs="Arial"/>
                <w:bCs/>
                <w:color w:val="auto"/>
                <w:sz w:val="21"/>
                <w:szCs w:val="21"/>
              </w:rPr>
              <w:t>删除工程:删除工程(实验)信息；</w:t>
            </w:r>
          </w:p>
          <w:p>
            <w:pPr>
              <w:ind w:firstLine="0" w:firstLineChars="0"/>
              <w:jc w:val="both"/>
              <w:rPr>
                <w:rFonts w:cs="Arial"/>
                <w:bCs/>
                <w:color w:val="auto"/>
                <w:sz w:val="21"/>
                <w:szCs w:val="21"/>
              </w:rPr>
            </w:pPr>
            <w:r>
              <w:rPr>
                <w:rFonts w:hint="eastAsia" w:cs="Arial"/>
                <w:bCs/>
                <w:color w:val="auto"/>
                <w:sz w:val="21"/>
                <w:szCs w:val="21"/>
              </w:rPr>
              <w:t>考核成绩查询、修改、导出成绩，选择工程后可以查看、修改、导出从仿真实验程序上传到云平台的实验成绩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登录日志管理:</w:t>
            </w:r>
          </w:p>
          <w:p>
            <w:pPr>
              <w:ind w:firstLine="0" w:firstLineChars="0"/>
              <w:jc w:val="both"/>
              <w:rPr>
                <w:rFonts w:cs="Arial"/>
                <w:bCs/>
                <w:color w:val="auto"/>
                <w:sz w:val="21"/>
                <w:szCs w:val="21"/>
              </w:rPr>
            </w:pPr>
            <w:r>
              <w:rPr>
                <w:rFonts w:hint="eastAsia" w:cs="Arial"/>
                <w:bCs/>
                <w:color w:val="auto"/>
                <w:sz w:val="21"/>
                <w:szCs w:val="21"/>
              </w:rPr>
              <w:t>记录用户的登录日志信息：记录用户登录和用户退出平台的时间，统计汇总每个用户的在线时长，记录用户使用每个工程(实验)的次数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8.9.8.8</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考试成绩传输接口</w:t>
            </w:r>
            <w:r>
              <w:rPr>
                <w:rFonts w:hint="eastAsia" w:cs="Arial"/>
                <w:bCs/>
                <w:color w:val="auto"/>
                <w:sz w:val="21"/>
                <w:szCs w:val="21"/>
              </w:rPr>
              <w:tab/>
            </w:r>
            <w:r>
              <w:rPr>
                <w:rFonts w:hint="eastAsia" w:cs="Arial"/>
                <w:bCs/>
                <w:color w:val="auto"/>
                <w:sz w:val="21"/>
                <w:szCs w:val="21"/>
              </w:rPr>
              <w:t>1.用于仿真实验程序上传成绩信息</w:t>
            </w:r>
            <w:r>
              <w:rPr>
                <w:rFonts w:hint="eastAsia" w:cs="Arial"/>
                <w:bCs/>
                <w:color w:val="auto"/>
                <w:sz w:val="21"/>
                <w:szCs w:val="21"/>
              </w:rPr>
              <w:tab/>
            </w:r>
            <w:r>
              <w:rPr>
                <w:rFonts w:hint="eastAsia" w:cs="Arial"/>
                <w:bCs/>
                <w:color w:val="auto"/>
                <w:sz w:val="21"/>
                <w:szCs w:val="21"/>
              </w:rPr>
              <w:t>仿真实验程序调用该接口上传考试成绩到云平台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8.9.8.9</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用于仿真实验程序上传学生当前实验练习进度信息 仿真实验程序调用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8.10</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主要配置：燃烧管、测高仪、湿式气体流量计、空气泵、卡尺及实验台框架、移动式不锈钢实验台、气泵、压力计、本生灯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9</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水流式燃气热值仪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用于精密测量测试燃气的热值，得到准确可靠的燃气热值数据，为科学研究，工业生产和居民生活提供可用的燃气热值数据，并为燃气用具生产厂商的质检工作提供依据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掌握本生灯式燃烧器的构造和热值测量原理，以及对应于不同燃气（贫气，正常气和富气）的本生灯形式，本实验台配备0.5mm喷嘴，可用来测量液化石油气的热值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学习燃气热值测量过程中，各种数值校正的意义和方法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仪器精度0.4%，修正系数99.3%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设备配有3D交互式仿真处理实验软件，包括手机版、电脑版、网络版、VR版四个版本（每个版本单独安装包），通过仿真软件登录界面登录（输入机位号、学号、姓名即可登录）具体功能如下：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演示：通过单击方式实现设备的自动操作过程，并伴有音频讲解，设备操作步骤详细说明浮窗，对于实验过程中的操作，附带操作警示，自动操作过程中，用户可对设备进行局部放大、缩小、全方位旋转，更为清晰的观察到实验现象、仪表数值变化以及设备的动态过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操作练习（NPC帮助提示）：当鼠标悬停在该设备各部位上，会有各部位的悬浮提示文字，用户可根据操作演示进行操作练习,提前熟悉设备结构、工艺流程、操作步骤及注意事项，为实验做前期准备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操作考核：学生进入考试系统，完成指定操作，根据输出结果反馈报告，可根据用户的操作，实时显示实验数据，带有动画反馈，考试成绩、实验数据具备保存、打印功能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理论考核：内含试题库（老师提供），学员理论知识学习完毕后，可进行模拟考核，考核完毕后可进行考核结果查询，教师可通过登录教师站实时查询学员的考核成绩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可实现移动终端扫装置上和说明书上二维码，能够获取装置配套三维工艺微课堂教学视频。内容包括设备图片、装置功能、设备流程及实验操作步骤。学生可课前预习或者进入实验室后观看装置操作流程及注意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软件可搭载最新版的Vive Focus VR进行软件操作，实现移动端VR虚拟现实体验，打破了时间、空间和资源上的限制，为课堂创造安全、方便、有趣的实验环境，在满足师生对实验中教与学需求的同时，也大大降低了学习成本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通过数据处理软件，在软件中处理3D模型，进行网格化处理后,能观察液相在不同流速下管路内的压力分布与速度分布；能模拟有重力条件下与无重力条件下，水流在管路模型中的运行流动情况；能提供.L FILE文件格式的数据输出文件以及数据图像输出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9.5.8</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 xml:space="preserve">教学管理平台包含以下功能：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9.5.9</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角色管理:平台包含三类角色系：管理员、教师、学生。</w:t>
            </w:r>
          </w:p>
          <w:p>
            <w:pPr>
              <w:ind w:firstLine="0" w:firstLineChars="0"/>
              <w:jc w:val="both"/>
              <w:rPr>
                <w:rFonts w:cs="Arial"/>
                <w:bCs/>
                <w:color w:val="auto"/>
                <w:sz w:val="21"/>
                <w:szCs w:val="21"/>
              </w:rPr>
            </w:pPr>
            <w:r>
              <w:rPr>
                <w:rFonts w:hint="eastAsia" w:cs="Arial"/>
                <w:bCs/>
                <w:color w:val="auto"/>
                <w:sz w:val="21"/>
                <w:szCs w:val="21"/>
              </w:rPr>
              <w:t>管理员：可查看用户使用情况，用户登录时间、时长和工程使用次数；</w:t>
            </w:r>
          </w:p>
          <w:p>
            <w:pPr>
              <w:ind w:firstLine="0" w:firstLineChars="0"/>
              <w:jc w:val="both"/>
              <w:rPr>
                <w:rFonts w:cs="Arial"/>
                <w:bCs/>
                <w:color w:val="auto"/>
                <w:sz w:val="21"/>
                <w:szCs w:val="21"/>
              </w:rPr>
            </w:pPr>
            <w:r>
              <w:rPr>
                <w:rFonts w:hint="eastAsia" w:cs="Arial"/>
                <w:bCs/>
                <w:color w:val="auto"/>
                <w:sz w:val="21"/>
                <w:szCs w:val="21"/>
              </w:rPr>
              <w:t>教师：可增删改用户，添加修改删除工程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9.5.10</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（云平台）输入用户名、密码登录平台，可自行修改用户名称、学号等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（仿真实验程序）进行实验步骤练习，记录实验步骤进行情况，进行理论考核与实验步骤考核，成绩和实验练习进度信息上传云平台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（云平台）进入实验工程，选择工程，查看学生成绩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用户管理:</w:t>
            </w:r>
          </w:p>
          <w:p>
            <w:pPr>
              <w:ind w:firstLine="0" w:firstLineChars="0"/>
              <w:jc w:val="both"/>
              <w:rPr>
                <w:rFonts w:cs="Arial"/>
                <w:bCs/>
                <w:color w:val="auto"/>
                <w:sz w:val="21"/>
                <w:szCs w:val="21"/>
              </w:rPr>
            </w:pPr>
            <w:r>
              <w:rPr>
                <w:rFonts w:hint="eastAsia" w:cs="Arial"/>
                <w:bCs/>
                <w:color w:val="auto"/>
                <w:sz w:val="21"/>
                <w:szCs w:val="21"/>
              </w:rPr>
              <w:t>查询用户列表；</w:t>
            </w:r>
          </w:p>
          <w:p>
            <w:pPr>
              <w:ind w:firstLine="0" w:firstLineChars="0"/>
              <w:jc w:val="both"/>
              <w:rPr>
                <w:rFonts w:cs="Arial"/>
                <w:bCs/>
                <w:color w:val="auto"/>
                <w:sz w:val="21"/>
                <w:szCs w:val="21"/>
              </w:rPr>
            </w:pPr>
            <w:r>
              <w:rPr>
                <w:rFonts w:hint="eastAsia" w:cs="Arial"/>
                <w:bCs/>
                <w:color w:val="auto"/>
                <w:sz w:val="21"/>
                <w:szCs w:val="21"/>
              </w:rPr>
              <w:t>查看平台的用户信息；</w:t>
            </w:r>
          </w:p>
          <w:p>
            <w:pPr>
              <w:ind w:firstLine="0" w:firstLineChars="0"/>
              <w:jc w:val="both"/>
              <w:rPr>
                <w:rFonts w:cs="Arial"/>
                <w:bCs/>
                <w:color w:val="auto"/>
                <w:sz w:val="21"/>
                <w:szCs w:val="21"/>
              </w:rPr>
            </w:pPr>
            <w:r>
              <w:rPr>
                <w:rFonts w:hint="eastAsia" w:cs="Arial"/>
                <w:bCs/>
                <w:color w:val="auto"/>
                <w:sz w:val="21"/>
                <w:szCs w:val="21"/>
              </w:rPr>
              <w:t>新增用户:新增用户信息；</w:t>
            </w:r>
          </w:p>
          <w:p>
            <w:pPr>
              <w:ind w:firstLine="0" w:firstLineChars="0"/>
              <w:jc w:val="both"/>
              <w:rPr>
                <w:rFonts w:cs="Arial"/>
                <w:bCs/>
                <w:color w:val="auto"/>
                <w:sz w:val="21"/>
                <w:szCs w:val="21"/>
              </w:rPr>
            </w:pPr>
            <w:r>
              <w:rPr>
                <w:rFonts w:hint="eastAsia" w:cs="Arial"/>
                <w:bCs/>
                <w:color w:val="auto"/>
                <w:sz w:val="21"/>
                <w:szCs w:val="21"/>
              </w:rPr>
              <w:t>修改用户:修改用户信息；</w:t>
            </w:r>
          </w:p>
          <w:p>
            <w:pPr>
              <w:ind w:firstLine="0" w:firstLineChars="0"/>
              <w:jc w:val="both"/>
              <w:rPr>
                <w:rFonts w:cs="Arial"/>
                <w:bCs/>
                <w:color w:val="auto"/>
                <w:sz w:val="21"/>
                <w:szCs w:val="21"/>
              </w:rPr>
            </w:pPr>
            <w:r>
              <w:rPr>
                <w:rFonts w:hint="eastAsia" w:cs="Arial"/>
                <w:bCs/>
                <w:color w:val="auto"/>
                <w:sz w:val="21"/>
                <w:szCs w:val="21"/>
              </w:rPr>
              <w:t>删除用户:删除用户信息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工程管理:</w:t>
            </w:r>
          </w:p>
          <w:p>
            <w:pPr>
              <w:ind w:firstLine="0" w:firstLineChars="0"/>
              <w:jc w:val="both"/>
              <w:rPr>
                <w:rFonts w:cs="Arial"/>
                <w:bCs/>
                <w:color w:val="auto"/>
                <w:sz w:val="21"/>
                <w:szCs w:val="21"/>
              </w:rPr>
            </w:pPr>
            <w:r>
              <w:rPr>
                <w:rFonts w:hint="eastAsia" w:cs="Arial"/>
                <w:bCs/>
                <w:color w:val="auto"/>
                <w:sz w:val="21"/>
                <w:szCs w:val="21"/>
              </w:rPr>
              <w:t>查询工程列表;</w:t>
            </w:r>
          </w:p>
          <w:p>
            <w:pPr>
              <w:ind w:firstLine="0" w:firstLineChars="0"/>
              <w:jc w:val="both"/>
              <w:rPr>
                <w:rFonts w:cs="Arial"/>
                <w:bCs/>
                <w:color w:val="auto"/>
                <w:sz w:val="21"/>
                <w:szCs w:val="21"/>
              </w:rPr>
            </w:pPr>
            <w:r>
              <w:rPr>
                <w:rFonts w:hint="eastAsia" w:cs="Arial"/>
                <w:bCs/>
                <w:color w:val="auto"/>
                <w:sz w:val="21"/>
                <w:szCs w:val="21"/>
              </w:rPr>
              <w:t>查看平台的工程(实验)信息；</w:t>
            </w:r>
          </w:p>
          <w:p>
            <w:pPr>
              <w:ind w:firstLine="0" w:firstLineChars="0"/>
              <w:jc w:val="both"/>
              <w:rPr>
                <w:rFonts w:cs="Arial"/>
                <w:bCs/>
                <w:color w:val="auto"/>
                <w:sz w:val="21"/>
                <w:szCs w:val="21"/>
              </w:rPr>
            </w:pPr>
            <w:r>
              <w:rPr>
                <w:rFonts w:hint="eastAsia" w:cs="Arial"/>
                <w:bCs/>
                <w:color w:val="auto"/>
                <w:sz w:val="21"/>
                <w:szCs w:val="21"/>
              </w:rPr>
              <w:t>新增工程:新增工程(实验)信息；</w:t>
            </w:r>
          </w:p>
          <w:p>
            <w:pPr>
              <w:ind w:firstLine="0" w:firstLineChars="0"/>
              <w:jc w:val="both"/>
              <w:rPr>
                <w:rFonts w:cs="Arial"/>
                <w:bCs/>
                <w:color w:val="auto"/>
                <w:sz w:val="21"/>
                <w:szCs w:val="21"/>
              </w:rPr>
            </w:pPr>
            <w:r>
              <w:rPr>
                <w:rFonts w:hint="eastAsia" w:cs="Arial"/>
                <w:bCs/>
                <w:color w:val="auto"/>
                <w:sz w:val="21"/>
                <w:szCs w:val="21"/>
              </w:rPr>
              <w:t>修改工程:修改工程(实验)信息；</w:t>
            </w:r>
          </w:p>
          <w:p>
            <w:pPr>
              <w:ind w:firstLine="0" w:firstLineChars="0"/>
              <w:jc w:val="both"/>
              <w:rPr>
                <w:rFonts w:cs="Arial"/>
                <w:bCs/>
                <w:color w:val="auto"/>
                <w:sz w:val="21"/>
                <w:szCs w:val="21"/>
              </w:rPr>
            </w:pPr>
            <w:r>
              <w:rPr>
                <w:rFonts w:hint="eastAsia" w:cs="Arial"/>
                <w:bCs/>
                <w:color w:val="auto"/>
                <w:sz w:val="21"/>
                <w:szCs w:val="21"/>
              </w:rPr>
              <w:t>删除工程:删除工程(实验)信息；</w:t>
            </w:r>
          </w:p>
          <w:p>
            <w:pPr>
              <w:ind w:firstLine="0" w:firstLineChars="0"/>
              <w:jc w:val="both"/>
              <w:rPr>
                <w:rFonts w:cs="Arial"/>
                <w:bCs/>
                <w:color w:val="auto"/>
                <w:sz w:val="21"/>
                <w:szCs w:val="21"/>
              </w:rPr>
            </w:pPr>
            <w:r>
              <w:rPr>
                <w:rFonts w:hint="eastAsia" w:cs="Arial"/>
                <w:bCs/>
                <w:color w:val="auto"/>
                <w:sz w:val="21"/>
                <w:szCs w:val="21"/>
              </w:rPr>
              <w:t>考核成绩查询、修改、导出成绩，选择工程后可以查看、修改、导出从仿真实验程序上传到云平台的实验成绩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登录日志管理:</w:t>
            </w:r>
          </w:p>
          <w:p>
            <w:pPr>
              <w:ind w:firstLine="0" w:firstLineChars="0"/>
              <w:jc w:val="both"/>
              <w:rPr>
                <w:rFonts w:cs="Arial"/>
                <w:bCs/>
                <w:color w:val="auto"/>
                <w:sz w:val="21"/>
                <w:szCs w:val="21"/>
              </w:rPr>
            </w:pPr>
            <w:r>
              <w:rPr>
                <w:rFonts w:hint="eastAsia" w:cs="Arial"/>
                <w:bCs/>
                <w:color w:val="auto"/>
                <w:sz w:val="21"/>
                <w:szCs w:val="21"/>
              </w:rPr>
              <w:t>记录用户的登录日志信息：记录用户登录和用户退出平台的时间，统计汇总每个用户的在线时长，记录用户使用每个工程(实验)的次数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考试成绩传输接口</w:t>
            </w:r>
            <w:r>
              <w:rPr>
                <w:rFonts w:hint="eastAsia" w:cs="Arial"/>
                <w:bCs/>
                <w:color w:val="auto"/>
                <w:sz w:val="21"/>
                <w:szCs w:val="21"/>
              </w:rPr>
              <w:tab/>
            </w:r>
            <w:r>
              <w:rPr>
                <w:rFonts w:hint="eastAsia" w:cs="Arial"/>
                <w:bCs/>
                <w:color w:val="auto"/>
                <w:sz w:val="21"/>
                <w:szCs w:val="21"/>
              </w:rPr>
              <w:t>1.用于仿真实验程序上传成绩信息</w:t>
            </w:r>
            <w:r>
              <w:rPr>
                <w:rFonts w:hint="eastAsia" w:cs="Arial"/>
                <w:bCs/>
                <w:color w:val="auto"/>
                <w:sz w:val="21"/>
                <w:szCs w:val="21"/>
              </w:rPr>
              <w:tab/>
            </w:r>
            <w:r>
              <w:rPr>
                <w:rFonts w:hint="eastAsia" w:cs="Arial"/>
                <w:bCs/>
                <w:color w:val="auto"/>
                <w:sz w:val="21"/>
                <w:szCs w:val="21"/>
              </w:rPr>
              <w:t>仿真实验程序调用该接口上传考试成绩到云平台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9.5.17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用于仿真实验程序上传学生当前实验练习进度信息 仿真实验程序调用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设备配置：湿式气体流量计；皮膜式调压器；燃气增湿器；空气增湿器；热量计主体；出水烧杯；凝结水烧杯；电子秤；大气压计，温度计，相对湿度计；、U型压差计，水箱，可移动式不锈钢实验台架（万向轮及禁锢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10</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煤气表流量校正实验装置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利用涡轮流量计、文丘里流量计、孔板流量计对煤气表进行实际校正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差压传感器≥0～10kPa ，分辨率≤10Pa，精度A级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差压传感器≥0～10kPa ，分辨率≤10Pa，精度A级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风机技术参数：功率：≥550W，流量：≥85m3/h，最大压力≥12kPa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配套燃烧热学3D仿真实验管理教学平台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设备配有3D交互式仿真处理实验软件，包括手机版、电脑版、网络版、VR版四个版本（每个版本单独安装包），通过仿真软件登录界面登录（输入机位号、学号、姓名即可登录）具体功能如下：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演示：通过单击方式实现设备的自动操作过程，并伴有音频讲解，设备操作步骤详细说明浮窗，对于实验过程中的操作，附带操作警示，自动操作过程中，用户可对设备进行局部放大、缩小、全方位旋转，更为清晰的观察到实验现象、仪表数值变化以及设备的动态过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操作练习（NPC帮助提示）：当鼠标悬停在该设备各部位上，会有各部位的悬浮提示文字，用户可根据操作演示进行操作练习,提前熟悉设备结构、工艺流程、操作步骤及注意事项，为实验做前期准备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操作考核：学生进入考试系统，完成指定操作，根据输出结果反馈报告，可根据用户的操作，实时显示实验数据，带有动画反馈，考试成绩、实验数据具备保存、打印功能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理论考核：内含试题库（老师提供），学员理论知识学习完毕后，可进行模拟考核，考核完毕后可进行考核结果查询，教师可通过登录教师站实时查询学员的考核成绩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可实现移动终端扫装置上和说明书上二维码，能够获取装置配套三维工艺微课堂教学视频。内容包括设备图片、装置功能、设备流程及实验操作步骤。学生可课前预习或者进入实验室后观看装置操作流程及注意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软件可搭载最新版的Vive Focus VR进行软件操作，实现移动端VR虚拟现实体验，打破了时间、空间和资源上的限制，为课堂创造安全、方便、有趣的实验环境，在满足师生对实验中教与学需求的同时，也大大降低了学习成本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通过数据处理软件，在软件中处理3D模型，进行网格化处理后,能观察液相在不同流速下管路内的压力分布与速度分布；能模拟有重力条件下与无重力条件下，水流在管路模型中的运行流动情况；能提供.L FILE文件格式的数据输出文件以及数据图像输出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10.6.8</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 xml:space="preserve">教学管理平台包含以下功能：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10.6.9</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角色管理:平台包含三类角色系：管理员、教师、学生。</w:t>
            </w:r>
          </w:p>
          <w:p>
            <w:pPr>
              <w:ind w:firstLine="0" w:firstLineChars="0"/>
              <w:jc w:val="both"/>
              <w:rPr>
                <w:rFonts w:cs="Arial"/>
                <w:bCs/>
                <w:color w:val="auto"/>
                <w:sz w:val="21"/>
                <w:szCs w:val="21"/>
              </w:rPr>
            </w:pPr>
            <w:r>
              <w:rPr>
                <w:rFonts w:hint="eastAsia" w:cs="Arial"/>
                <w:bCs/>
                <w:color w:val="auto"/>
                <w:sz w:val="21"/>
                <w:szCs w:val="21"/>
              </w:rPr>
              <w:t>管理员：可查看用户使用情况，用户登录时间、时长和工程使用次数；</w:t>
            </w:r>
          </w:p>
          <w:p>
            <w:pPr>
              <w:ind w:firstLine="0" w:firstLineChars="0"/>
              <w:jc w:val="both"/>
              <w:rPr>
                <w:rFonts w:cs="Arial"/>
                <w:bCs/>
                <w:color w:val="auto"/>
                <w:sz w:val="21"/>
                <w:szCs w:val="21"/>
              </w:rPr>
            </w:pPr>
            <w:r>
              <w:rPr>
                <w:rFonts w:hint="eastAsia" w:cs="Arial"/>
                <w:bCs/>
                <w:color w:val="auto"/>
                <w:sz w:val="21"/>
                <w:szCs w:val="21"/>
              </w:rPr>
              <w:t>教师：可增删改用户，添加修改删除工程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10.6.10</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（云平台）输入用户名、密码登录平台，可自行修改用户名称、学号等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（仿真实验程序）进行实验步骤练习，记录实验步骤进行情况，进行理论考核与实验步骤考核，成绩和实验练习进度信息上传云平台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（云平台）进入实验工程，选择工程，查看学生成绩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用户管理:</w:t>
            </w:r>
          </w:p>
          <w:p>
            <w:pPr>
              <w:ind w:firstLine="0" w:firstLineChars="0"/>
              <w:jc w:val="both"/>
              <w:rPr>
                <w:rFonts w:cs="Arial"/>
                <w:bCs/>
                <w:color w:val="auto"/>
                <w:sz w:val="21"/>
                <w:szCs w:val="21"/>
              </w:rPr>
            </w:pPr>
            <w:r>
              <w:rPr>
                <w:rFonts w:hint="eastAsia" w:cs="Arial"/>
                <w:bCs/>
                <w:color w:val="auto"/>
                <w:sz w:val="21"/>
                <w:szCs w:val="21"/>
              </w:rPr>
              <w:t>查询用户列表；</w:t>
            </w:r>
          </w:p>
          <w:p>
            <w:pPr>
              <w:ind w:firstLine="0" w:firstLineChars="0"/>
              <w:jc w:val="both"/>
              <w:rPr>
                <w:rFonts w:cs="Arial"/>
                <w:bCs/>
                <w:color w:val="auto"/>
                <w:sz w:val="21"/>
                <w:szCs w:val="21"/>
              </w:rPr>
            </w:pPr>
            <w:r>
              <w:rPr>
                <w:rFonts w:hint="eastAsia" w:cs="Arial"/>
                <w:bCs/>
                <w:color w:val="auto"/>
                <w:sz w:val="21"/>
                <w:szCs w:val="21"/>
              </w:rPr>
              <w:t>查看平台的用户信息；</w:t>
            </w:r>
          </w:p>
          <w:p>
            <w:pPr>
              <w:ind w:firstLine="0" w:firstLineChars="0"/>
              <w:jc w:val="both"/>
              <w:rPr>
                <w:rFonts w:cs="Arial"/>
                <w:bCs/>
                <w:color w:val="auto"/>
                <w:sz w:val="21"/>
                <w:szCs w:val="21"/>
              </w:rPr>
            </w:pPr>
            <w:r>
              <w:rPr>
                <w:rFonts w:hint="eastAsia" w:cs="Arial"/>
                <w:bCs/>
                <w:color w:val="auto"/>
                <w:sz w:val="21"/>
                <w:szCs w:val="21"/>
              </w:rPr>
              <w:t>新增用户:新增用户信息；</w:t>
            </w:r>
          </w:p>
          <w:p>
            <w:pPr>
              <w:ind w:firstLine="0" w:firstLineChars="0"/>
              <w:jc w:val="both"/>
              <w:rPr>
                <w:rFonts w:cs="Arial"/>
                <w:bCs/>
                <w:color w:val="auto"/>
                <w:sz w:val="21"/>
                <w:szCs w:val="21"/>
              </w:rPr>
            </w:pPr>
            <w:r>
              <w:rPr>
                <w:rFonts w:hint="eastAsia" w:cs="Arial"/>
                <w:bCs/>
                <w:color w:val="auto"/>
                <w:sz w:val="21"/>
                <w:szCs w:val="21"/>
              </w:rPr>
              <w:t>修改用户:修改用户信息；</w:t>
            </w:r>
          </w:p>
          <w:p>
            <w:pPr>
              <w:ind w:firstLine="0" w:firstLineChars="0"/>
              <w:jc w:val="both"/>
              <w:rPr>
                <w:rFonts w:cs="Arial"/>
                <w:bCs/>
                <w:color w:val="auto"/>
                <w:sz w:val="21"/>
                <w:szCs w:val="21"/>
              </w:rPr>
            </w:pPr>
            <w:r>
              <w:rPr>
                <w:rFonts w:hint="eastAsia" w:cs="Arial"/>
                <w:bCs/>
                <w:color w:val="auto"/>
                <w:sz w:val="21"/>
                <w:szCs w:val="21"/>
              </w:rPr>
              <w:t>删除用户:删除用户信息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工程管理:</w:t>
            </w:r>
          </w:p>
          <w:p>
            <w:pPr>
              <w:ind w:firstLine="0" w:firstLineChars="0"/>
              <w:jc w:val="both"/>
              <w:rPr>
                <w:rFonts w:cs="Arial"/>
                <w:bCs/>
                <w:color w:val="auto"/>
                <w:sz w:val="21"/>
                <w:szCs w:val="21"/>
              </w:rPr>
            </w:pPr>
            <w:r>
              <w:rPr>
                <w:rFonts w:hint="eastAsia" w:cs="Arial"/>
                <w:bCs/>
                <w:color w:val="auto"/>
                <w:sz w:val="21"/>
                <w:szCs w:val="21"/>
              </w:rPr>
              <w:t>查询工程列表;</w:t>
            </w:r>
          </w:p>
          <w:p>
            <w:pPr>
              <w:ind w:firstLine="0" w:firstLineChars="0"/>
              <w:jc w:val="both"/>
              <w:rPr>
                <w:rFonts w:cs="Arial"/>
                <w:bCs/>
                <w:color w:val="auto"/>
                <w:sz w:val="21"/>
                <w:szCs w:val="21"/>
              </w:rPr>
            </w:pPr>
            <w:r>
              <w:rPr>
                <w:rFonts w:hint="eastAsia" w:cs="Arial"/>
                <w:bCs/>
                <w:color w:val="auto"/>
                <w:sz w:val="21"/>
                <w:szCs w:val="21"/>
              </w:rPr>
              <w:t>查看平台的工程(实验)信息；</w:t>
            </w:r>
          </w:p>
          <w:p>
            <w:pPr>
              <w:ind w:firstLine="0" w:firstLineChars="0"/>
              <w:jc w:val="both"/>
              <w:rPr>
                <w:rFonts w:cs="Arial"/>
                <w:bCs/>
                <w:color w:val="auto"/>
                <w:sz w:val="21"/>
                <w:szCs w:val="21"/>
              </w:rPr>
            </w:pPr>
            <w:r>
              <w:rPr>
                <w:rFonts w:hint="eastAsia" w:cs="Arial"/>
                <w:bCs/>
                <w:color w:val="auto"/>
                <w:sz w:val="21"/>
                <w:szCs w:val="21"/>
              </w:rPr>
              <w:t>新增工程:新增工程(实验)信息；</w:t>
            </w:r>
          </w:p>
          <w:p>
            <w:pPr>
              <w:ind w:firstLine="0" w:firstLineChars="0"/>
              <w:jc w:val="both"/>
              <w:rPr>
                <w:rFonts w:cs="Arial"/>
                <w:bCs/>
                <w:color w:val="auto"/>
                <w:sz w:val="21"/>
                <w:szCs w:val="21"/>
              </w:rPr>
            </w:pPr>
            <w:r>
              <w:rPr>
                <w:rFonts w:hint="eastAsia" w:cs="Arial"/>
                <w:bCs/>
                <w:color w:val="auto"/>
                <w:sz w:val="21"/>
                <w:szCs w:val="21"/>
              </w:rPr>
              <w:t>修改工程:修改工程(实验)信息；</w:t>
            </w:r>
          </w:p>
          <w:p>
            <w:pPr>
              <w:ind w:firstLine="0" w:firstLineChars="0"/>
              <w:jc w:val="both"/>
              <w:rPr>
                <w:rFonts w:cs="Arial"/>
                <w:bCs/>
                <w:color w:val="auto"/>
                <w:sz w:val="21"/>
                <w:szCs w:val="21"/>
              </w:rPr>
            </w:pPr>
            <w:r>
              <w:rPr>
                <w:rFonts w:hint="eastAsia" w:cs="Arial"/>
                <w:bCs/>
                <w:color w:val="auto"/>
                <w:sz w:val="21"/>
                <w:szCs w:val="21"/>
              </w:rPr>
              <w:t>删除工程:删除工程(实验)信息；</w:t>
            </w:r>
          </w:p>
          <w:p>
            <w:pPr>
              <w:ind w:firstLine="0" w:firstLineChars="0"/>
              <w:jc w:val="both"/>
              <w:rPr>
                <w:rFonts w:cs="Arial"/>
                <w:bCs/>
                <w:color w:val="auto"/>
                <w:sz w:val="21"/>
                <w:szCs w:val="21"/>
              </w:rPr>
            </w:pPr>
            <w:r>
              <w:rPr>
                <w:rFonts w:hint="eastAsia" w:cs="Arial"/>
                <w:bCs/>
                <w:color w:val="auto"/>
                <w:sz w:val="21"/>
                <w:szCs w:val="21"/>
              </w:rPr>
              <w:t>考核成绩查询、修改、导出成绩，选择工程后可以查看、修改、导出从仿真实验程序上传到云平台的实验成绩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登录日志管理:</w:t>
            </w:r>
          </w:p>
          <w:p>
            <w:pPr>
              <w:ind w:firstLine="0" w:firstLineChars="0"/>
              <w:jc w:val="both"/>
              <w:rPr>
                <w:rFonts w:cs="Arial"/>
                <w:bCs/>
                <w:color w:val="auto"/>
                <w:sz w:val="21"/>
                <w:szCs w:val="21"/>
              </w:rPr>
            </w:pPr>
            <w:r>
              <w:rPr>
                <w:rFonts w:hint="eastAsia" w:cs="Arial"/>
                <w:bCs/>
                <w:color w:val="auto"/>
                <w:sz w:val="21"/>
                <w:szCs w:val="21"/>
              </w:rPr>
              <w:t>记录用户的登录日志信息：记录用户登录和用户退出平台的时间，统计汇总每个用户的在线时长，记录用户使用每个工程(实验)的次数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考试成绩传输接口</w:t>
            </w:r>
            <w:r>
              <w:rPr>
                <w:rFonts w:hint="eastAsia" w:cs="Arial"/>
                <w:bCs/>
                <w:color w:val="auto"/>
                <w:sz w:val="21"/>
                <w:szCs w:val="21"/>
              </w:rPr>
              <w:tab/>
            </w:r>
            <w:r>
              <w:rPr>
                <w:rFonts w:hint="eastAsia" w:cs="Arial"/>
                <w:bCs/>
                <w:color w:val="auto"/>
                <w:sz w:val="21"/>
                <w:szCs w:val="21"/>
              </w:rPr>
              <w:t>1.用于仿真实验程序上传成绩信息</w:t>
            </w:r>
            <w:r>
              <w:rPr>
                <w:rFonts w:hint="eastAsia" w:cs="Arial"/>
                <w:bCs/>
                <w:color w:val="auto"/>
                <w:sz w:val="21"/>
                <w:szCs w:val="21"/>
              </w:rPr>
              <w:tab/>
            </w:r>
            <w:r>
              <w:rPr>
                <w:rFonts w:hint="eastAsia" w:cs="Arial"/>
                <w:bCs/>
                <w:color w:val="auto"/>
                <w:sz w:val="21"/>
                <w:szCs w:val="21"/>
              </w:rPr>
              <w:t>仿真实验程序调用该接口上传考试成绩到云平台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10.6.17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用于仿真实验程序上传学生当前实验练习进度信息 仿真实验程序调用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主要配置：涡轮流量计、文丘里流量计配差压传感器、孔板流量计配差压传感器、各管道压力传感器、煤气表、温度传感器、8路万能信号输入巡检仪检测压力、流量压差、流量、温度、配电箱、风机、可活动台架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11</w:t>
            </w:r>
          </w:p>
        </w:tc>
        <w:tc>
          <w:tcPr>
            <w:tcW w:w="9198" w:type="dxa"/>
            <w:tcBorders>
              <w:left w:val="single" w:color="auto" w:sz="4" w:space="0"/>
            </w:tcBorders>
          </w:tcPr>
          <w:p>
            <w:pPr>
              <w:ind w:firstLine="0" w:firstLineChars="0"/>
              <w:jc w:val="both"/>
              <w:rPr>
                <w:rFonts w:cs="Arial"/>
                <w:b/>
                <w:color w:val="auto"/>
                <w:sz w:val="21"/>
                <w:szCs w:val="21"/>
              </w:rPr>
            </w:pPr>
            <w:r>
              <w:rPr>
                <w:rFonts w:hint="eastAsia" w:cs="Arial"/>
                <w:b/>
                <w:color w:val="auto"/>
                <w:sz w:val="21"/>
                <w:szCs w:val="21"/>
              </w:rPr>
              <w:t>燃气管网水力况实验台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了解燃气管网水力工况实验台的工作原理及使用方法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通过实验台演示燃气环状管网、支状管网压力分布及事故工况的压力变化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通过实验画出不同用户工况下的压力曲线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旋涡气泵： 0.4KW，220V，83m3/h，11kpa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稳压罐，主体直径≥250mm，长≥450mm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管道式流量计≥1.6-16m3/h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单管压力计，单管压力计前有稳压罐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11.8</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多节点模拟管网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11.9</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配套3D交互式仿真软件，可网络观看、学习操作过程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设备配有3D交互式仿真处理实验软件，包括手机版、电脑版、网络版、VR版四个版本（每个版本单独安装包），通过仿真软件登录界面登录（输入机位号、学号、姓名即可登录）具体功能如下：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演示：通过单击方式实现设备的自动操作过程，并伴有音频讲解，设备操作步骤详细说明浮窗，对于实验过程中的操作，附带操作警示，自动操作过程中，用户可对设备进行局部放大、缩小、全方位旋转，更为清晰的观察到实验现象、仪表数值变化以及设备的动态过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操作练习（NPC帮助提示）：当鼠标悬停在该设备各部位上，会有各部位的悬浮提示文字，用户可根据操作演示进行操作练习,提前熟悉设备结构、工艺流程、操作步骤及注意事项，为实验做前期准备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操作考核：学生进入考试系统，完成指定操作，根据输出结果反馈报告，可根据用户的操作，实时显示实验数据，带有动画反馈，考试成绩、实验数据具备保存、打印功能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理论考核：内含试题库（老师提供），学员理论知识学习完毕后，可进行模拟考核，考核完毕后可进行考核结果查询，教师可通过登录教师站实时查询学员的考核成绩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可实现移动终端扫装置上和说明书上二维码，能够获取装置配套三维工艺微课堂教学视频。内容包括设备图片、装置功能、设备流程及实验操作步骤。学生可课前预习或者进入实验室后观看装置操作流程及注意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软件可搭载最新版的Vive Focus VR进行软件操作，实现移动端VR虚拟现实体验，打破了时间、空间和资源上的限制，为课堂创造安全、方便、有趣的实验环境，在满足师生对实验中教与学需求的同时，也大大降低了学习成本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通过数据处理软件，在软件中处理3D模型，进行网格化处理后,能观察液相在不同流速下管路内的压力分布与速度分布；能模拟有重力条件下与无重力条件下，水流在管路模型中的运行流动情况；能提供.L FILE文件格式的数据输出文件以及数据图像输出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11.10.8</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 xml:space="preserve">教学管理平台包含以下功能：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11.10.9</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角色管理:平台包含三类角色系：管理员、教师、学生。</w:t>
            </w:r>
          </w:p>
          <w:p>
            <w:pPr>
              <w:ind w:firstLine="0" w:firstLineChars="0"/>
              <w:jc w:val="both"/>
              <w:rPr>
                <w:rFonts w:cs="Arial"/>
                <w:bCs/>
                <w:color w:val="auto"/>
                <w:sz w:val="21"/>
                <w:szCs w:val="21"/>
              </w:rPr>
            </w:pPr>
            <w:r>
              <w:rPr>
                <w:rFonts w:hint="eastAsia" w:cs="Arial"/>
                <w:bCs/>
                <w:color w:val="auto"/>
                <w:sz w:val="21"/>
                <w:szCs w:val="21"/>
              </w:rPr>
              <w:t>管理员：可查看用户使用情况，用户登录时间、时长和工程使用次数；</w:t>
            </w:r>
          </w:p>
          <w:p>
            <w:pPr>
              <w:ind w:firstLine="0" w:firstLineChars="0"/>
              <w:jc w:val="both"/>
              <w:rPr>
                <w:rFonts w:cs="Arial"/>
                <w:bCs/>
                <w:color w:val="auto"/>
                <w:sz w:val="21"/>
                <w:szCs w:val="21"/>
              </w:rPr>
            </w:pPr>
            <w:r>
              <w:rPr>
                <w:rFonts w:hint="eastAsia" w:cs="Arial"/>
                <w:bCs/>
                <w:color w:val="auto"/>
                <w:sz w:val="21"/>
                <w:szCs w:val="21"/>
              </w:rPr>
              <w:t>教师：可增删改用户，添加修改删除工程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11.10.10</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（云平台）输入用户名、密码登录平台，可自行修改用户名称、学号等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11.10.11</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（仿真实验程序）进行实验步骤练习，记录实验步骤进行情况，进行理论考核与实验步骤考核，成绩和实验练习进度信息上传云平台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11.10.12</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（云平台）进入实验工程，选择工程，查看学生成绩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11.10.13</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用户管理:</w:t>
            </w:r>
          </w:p>
          <w:p>
            <w:pPr>
              <w:ind w:firstLine="0" w:firstLineChars="0"/>
              <w:jc w:val="both"/>
              <w:rPr>
                <w:rFonts w:cs="Arial"/>
                <w:bCs/>
                <w:color w:val="auto"/>
                <w:sz w:val="21"/>
                <w:szCs w:val="21"/>
              </w:rPr>
            </w:pPr>
            <w:r>
              <w:rPr>
                <w:rFonts w:hint="eastAsia" w:cs="Arial"/>
                <w:bCs/>
                <w:color w:val="auto"/>
                <w:sz w:val="21"/>
                <w:szCs w:val="21"/>
              </w:rPr>
              <w:t>查询用户列表；</w:t>
            </w:r>
          </w:p>
          <w:p>
            <w:pPr>
              <w:ind w:firstLine="0" w:firstLineChars="0"/>
              <w:jc w:val="both"/>
              <w:rPr>
                <w:rFonts w:cs="Arial"/>
                <w:bCs/>
                <w:color w:val="auto"/>
                <w:sz w:val="21"/>
                <w:szCs w:val="21"/>
              </w:rPr>
            </w:pPr>
            <w:r>
              <w:rPr>
                <w:rFonts w:hint="eastAsia" w:cs="Arial"/>
                <w:bCs/>
                <w:color w:val="auto"/>
                <w:sz w:val="21"/>
                <w:szCs w:val="21"/>
              </w:rPr>
              <w:t>查看平台的用户信息；</w:t>
            </w:r>
          </w:p>
          <w:p>
            <w:pPr>
              <w:ind w:firstLine="0" w:firstLineChars="0"/>
              <w:jc w:val="both"/>
              <w:rPr>
                <w:rFonts w:cs="Arial"/>
                <w:bCs/>
                <w:color w:val="auto"/>
                <w:sz w:val="21"/>
                <w:szCs w:val="21"/>
              </w:rPr>
            </w:pPr>
            <w:r>
              <w:rPr>
                <w:rFonts w:hint="eastAsia" w:cs="Arial"/>
                <w:bCs/>
                <w:color w:val="auto"/>
                <w:sz w:val="21"/>
                <w:szCs w:val="21"/>
              </w:rPr>
              <w:t>新增用户:新增用户信息；</w:t>
            </w:r>
          </w:p>
          <w:p>
            <w:pPr>
              <w:ind w:firstLine="0" w:firstLineChars="0"/>
              <w:jc w:val="both"/>
              <w:rPr>
                <w:rFonts w:cs="Arial"/>
                <w:bCs/>
                <w:color w:val="auto"/>
                <w:sz w:val="21"/>
                <w:szCs w:val="21"/>
              </w:rPr>
            </w:pPr>
            <w:r>
              <w:rPr>
                <w:rFonts w:hint="eastAsia" w:cs="Arial"/>
                <w:bCs/>
                <w:color w:val="auto"/>
                <w:sz w:val="21"/>
                <w:szCs w:val="21"/>
              </w:rPr>
              <w:t>修改用户:修改用户信息；</w:t>
            </w:r>
          </w:p>
          <w:p>
            <w:pPr>
              <w:ind w:firstLine="0" w:firstLineChars="0"/>
              <w:jc w:val="both"/>
              <w:rPr>
                <w:rFonts w:cs="Arial"/>
                <w:bCs/>
                <w:color w:val="auto"/>
                <w:sz w:val="21"/>
                <w:szCs w:val="21"/>
              </w:rPr>
            </w:pPr>
            <w:r>
              <w:rPr>
                <w:rFonts w:hint="eastAsia" w:cs="Arial"/>
                <w:bCs/>
                <w:color w:val="auto"/>
                <w:sz w:val="21"/>
                <w:szCs w:val="21"/>
              </w:rPr>
              <w:t>删除用户:删除用户信息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11.10.14</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工程管理:</w:t>
            </w:r>
          </w:p>
          <w:p>
            <w:pPr>
              <w:ind w:firstLine="0" w:firstLineChars="0"/>
              <w:jc w:val="both"/>
              <w:rPr>
                <w:rFonts w:cs="Arial"/>
                <w:bCs/>
                <w:color w:val="auto"/>
                <w:sz w:val="21"/>
                <w:szCs w:val="21"/>
              </w:rPr>
            </w:pPr>
            <w:r>
              <w:rPr>
                <w:rFonts w:hint="eastAsia" w:cs="Arial"/>
                <w:bCs/>
                <w:color w:val="auto"/>
                <w:sz w:val="21"/>
                <w:szCs w:val="21"/>
              </w:rPr>
              <w:t>查询工程列表;</w:t>
            </w:r>
          </w:p>
          <w:p>
            <w:pPr>
              <w:ind w:firstLine="0" w:firstLineChars="0"/>
              <w:jc w:val="both"/>
              <w:rPr>
                <w:rFonts w:cs="Arial"/>
                <w:bCs/>
                <w:color w:val="auto"/>
                <w:sz w:val="21"/>
                <w:szCs w:val="21"/>
              </w:rPr>
            </w:pPr>
            <w:r>
              <w:rPr>
                <w:rFonts w:hint="eastAsia" w:cs="Arial"/>
                <w:bCs/>
                <w:color w:val="auto"/>
                <w:sz w:val="21"/>
                <w:szCs w:val="21"/>
              </w:rPr>
              <w:t>查看平台的工程(实验)信息；</w:t>
            </w:r>
          </w:p>
          <w:p>
            <w:pPr>
              <w:ind w:firstLine="0" w:firstLineChars="0"/>
              <w:jc w:val="both"/>
              <w:rPr>
                <w:rFonts w:cs="Arial"/>
                <w:bCs/>
                <w:color w:val="auto"/>
                <w:sz w:val="21"/>
                <w:szCs w:val="21"/>
              </w:rPr>
            </w:pPr>
            <w:r>
              <w:rPr>
                <w:rFonts w:hint="eastAsia" w:cs="Arial"/>
                <w:bCs/>
                <w:color w:val="auto"/>
                <w:sz w:val="21"/>
                <w:szCs w:val="21"/>
              </w:rPr>
              <w:t>新增工程:新增工程(实验)信息；</w:t>
            </w:r>
          </w:p>
          <w:p>
            <w:pPr>
              <w:ind w:firstLine="0" w:firstLineChars="0"/>
              <w:jc w:val="both"/>
              <w:rPr>
                <w:rFonts w:cs="Arial"/>
                <w:bCs/>
                <w:color w:val="auto"/>
                <w:sz w:val="21"/>
                <w:szCs w:val="21"/>
              </w:rPr>
            </w:pPr>
            <w:r>
              <w:rPr>
                <w:rFonts w:hint="eastAsia" w:cs="Arial"/>
                <w:bCs/>
                <w:color w:val="auto"/>
                <w:sz w:val="21"/>
                <w:szCs w:val="21"/>
              </w:rPr>
              <w:t>修改工程:修改工程(实验)信息；</w:t>
            </w:r>
          </w:p>
          <w:p>
            <w:pPr>
              <w:ind w:firstLine="0" w:firstLineChars="0"/>
              <w:jc w:val="both"/>
              <w:rPr>
                <w:rFonts w:cs="Arial"/>
                <w:bCs/>
                <w:color w:val="auto"/>
                <w:sz w:val="21"/>
                <w:szCs w:val="21"/>
              </w:rPr>
            </w:pPr>
            <w:r>
              <w:rPr>
                <w:rFonts w:hint="eastAsia" w:cs="Arial"/>
                <w:bCs/>
                <w:color w:val="auto"/>
                <w:sz w:val="21"/>
                <w:szCs w:val="21"/>
              </w:rPr>
              <w:t>删除工程:删除工程(实验)信息；</w:t>
            </w:r>
          </w:p>
          <w:p>
            <w:pPr>
              <w:ind w:firstLine="0" w:firstLineChars="0"/>
              <w:jc w:val="both"/>
              <w:rPr>
                <w:rFonts w:cs="Arial"/>
                <w:bCs/>
                <w:color w:val="auto"/>
                <w:sz w:val="21"/>
                <w:szCs w:val="21"/>
              </w:rPr>
            </w:pPr>
            <w:r>
              <w:rPr>
                <w:rFonts w:hint="eastAsia" w:cs="Arial"/>
                <w:bCs/>
                <w:color w:val="auto"/>
                <w:sz w:val="21"/>
                <w:szCs w:val="21"/>
              </w:rPr>
              <w:t>考核成绩查询、修改、导出成绩，选择工程后可以查看、修改、导出从仿真实验程序上传到云平台的实验成绩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11.10.15</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登录日志管理:</w:t>
            </w:r>
          </w:p>
          <w:p>
            <w:pPr>
              <w:ind w:firstLine="0" w:firstLineChars="0"/>
              <w:jc w:val="both"/>
              <w:rPr>
                <w:rFonts w:cs="Arial"/>
                <w:bCs/>
                <w:color w:val="auto"/>
                <w:sz w:val="21"/>
                <w:szCs w:val="21"/>
              </w:rPr>
            </w:pPr>
            <w:r>
              <w:rPr>
                <w:rFonts w:hint="eastAsia" w:cs="Arial"/>
                <w:bCs/>
                <w:color w:val="auto"/>
                <w:sz w:val="21"/>
                <w:szCs w:val="21"/>
              </w:rPr>
              <w:t>记录用户的登录日志信息：记录用户登录和用户退出平台的时间，统计汇总每个用户的在线时长，记录用户使用每个工程(实验)的次数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11.10.16</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考试成绩传输接口</w:t>
            </w:r>
            <w:r>
              <w:rPr>
                <w:rFonts w:hint="eastAsia" w:cs="Arial"/>
                <w:bCs/>
                <w:color w:val="auto"/>
                <w:sz w:val="21"/>
                <w:szCs w:val="21"/>
              </w:rPr>
              <w:tab/>
            </w:r>
            <w:r>
              <w:rPr>
                <w:rFonts w:hint="eastAsia" w:cs="Arial"/>
                <w:bCs/>
                <w:color w:val="auto"/>
                <w:sz w:val="21"/>
                <w:szCs w:val="21"/>
              </w:rPr>
              <w:t>1.用于仿真实验程序上传成绩信息</w:t>
            </w:r>
            <w:r>
              <w:rPr>
                <w:rFonts w:hint="eastAsia" w:cs="Arial"/>
                <w:bCs/>
                <w:color w:val="auto"/>
                <w:sz w:val="21"/>
                <w:szCs w:val="21"/>
              </w:rPr>
              <w:tab/>
            </w:r>
            <w:r>
              <w:rPr>
                <w:rFonts w:hint="eastAsia" w:cs="Arial"/>
                <w:bCs/>
                <w:color w:val="auto"/>
                <w:sz w:val="21"/>
                <w:szCs w:val="21"/>
              </w:rPr>
              <w:t>仿真实验程序调用该接口上传考试成绩到云平台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008"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11.10.17</w:t>
            </w:r>
          </w:p>
        </w:tc>
        <w:tc>
          <w:tcPr>
            <w:tcW w:w="9198" w:type="dxa"/>
            <w:tcBorders>
              <w:left w:val="single" w:color="auto" w:sz="4" w:space="0"/>
            </w:tcBorders>
          </w:tcPr>
          <w:p>
            <w:pPr>
              <w:ind w:firstLine="0" w:firstLineChars="0"/>
              <w:jc w:val="both"/>
              <w:rPr>
                <w:rFonts w:cs="Arial"/>
                <w:bCs/>
                <w:color w:val="auto"/>
                <w:sz w:val="21"/>
                <w:szCs w:val="21"/>
              </w:rPr>
            </w:pPr>
            <w:r>
              <w:rPr>
                <w:rFonts w:hint="eastAsia" w:cs="Arial"/>
                <w:bCs/>
                <w:color w:val="auto"/>
                <w:sz w:val="21"/>
                <w:szCs w:val="21"/>
              </w:rPr>
              <w:t>用于仿真实验程序上传学生当前实验练习进度信息 仿真实验程序调用</w:t>
            </w:r>
          </w:p>
        </w:tc>
      </w:tr>
    </w:tbl>
    <w:p>
      <w:pPr>
        <w:pStyle w:val="3"/>
        <w:rPr>
          <w:color w:val="auto"/>
        </w:rPr>
      </w:pPr>
    </w:p>
    <w:p>
      <w:pPr>
        <w:pStyle w:val="2"/>
        <w:ind w:firstLine="480"/>
        <w:rPr>
          <w:color w:val="auto"/>
        </w:rPr>
      </w:pPr>
    </w:p>
    <w:p>
      <w:pPr>
        <w:ind w:firstLine="0" w:firstLineChars="0"/>
        <w:rPr>
          <w:rFonts w:cs="宋体"/>
          <w:b/>
          <w:color w:val="auto"/>
        </w:rPr>
      </w:pPr>
      <w:r>
        <w:rPr>
          <w:rFonts w:hint="eastAsia" w:cs="宋体"/>
          <w:b/>
          <w:color w:val="auto"/>
        </w:rPr>
        <w:t>标项二：</w:t>
      </w:r>
    </w:p>
    <w:p>
      <w:pPr>
        <w:ind w:firstLine="0" w:firstLineChars="0"/>
        <w:rPr>
          <w:color w:val="auto"/>
        </w:rPr>
      </w:pPr>
      <w:r>
        <w:rPr>
          <w:rFonts w:hint="eastAsia" w:cs="宋体"/>
          <w:b/>
          <w:color w:val="auto"/>
        </w:rPr>
        <w:t>一、采购货物一览表</w:t>
      </w:r>
    </w:p>
    <w:tbl>
      <w:tblPr>
        <w:tblStyle w:val="46"/>
        <w:tblW w:w="73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4470"/>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center"/>
          </w:tcPr>
          <w:p>
            <w:pPr>
              <w:ind w:firstLine="0" w:firstLineChars="0"/>
              <w:jc w:val="center"/>
              <w:rPr>
                <w:rFonts w:cs="Arial"/>
                <w:bCs/>
                <w:color w:val="auto"/>
                <w:sz w:val="21"/>
                <w:szCs w:val="21"/>
              </w:rPr>
            </w:pPr>
            <w:r>
              <w:rPr>
                <w:rFonts w:hint="eastAsia" w:cs="Arial"/>
                <w:bCs/>
                <w:color w:val="auto"/>
                <w:sz w:val="21"/>
                <w:szCs w:val="21"/>
              </w:rPr>
              <w:t>序号</w:t>
            </w:r>
          </w:p>
        </w:tc>
        <w:tc>
          <w:tcPr>
            <w:tcW w:w="4470" w:type="dxa"/>
            <w:tcBorders>
              <w:bottom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设备名称</w:t>
            </w:r>
          </w:p>
        </w:tc>
        <w:tc>
          <w:tcPr>
            <w:tcW w:w="1800" w:type="dxa"/>
            <w:tcBorders>
              <w:bottom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1</w:t>
            </w:r>
          </w:p>
        </w:tc>
        <w:tc>
          <w:tcPr>
            <w:tcW w:w="4470" w:type="dxa"/>
            <w:tcBorders>
              <w:bottom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高精度电动调节阀</w:t>
            </w:r>
          </w:p>
        </w:tc>
        <w:tc>
          <w:tcPr>
            <w:tcW w:w="1800" w:type="dxa"/>
            <w:tcBorders>
              <w:bottom w:val="single" w:color="auto" w:sz="4" w:space="0"/>
            </w:tcBorders>
            <w:vAlign w:val="bottom"/>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2</w:t>
            </w:r>
          </w:p>
        </w:tc>
        <w:tc>
          <w:tcPr>
            <w:tcW w:w="4470" w:type="dxa"/>
            <w:tcBorders>
              <w:top w:val="single" w:color="auto" w:sz="4" w:space="0"/>
              <w:left w:val="nil"/>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气动调节球阀</w:t>
            </w:r>
          </w:p>
        </w:tc>
        <w:tc>
          <w:tcPr>
            <w:tcW w:w="180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3</w:t>
            </w:r>
          </w:p>
        </w:tc>
        <w:tc>
          <w:tcPr>
            <w:tcW w:w="447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电动调节球阀</w:t>
            </w:r>
          </w:p>
        </w:tc>
        <w:tc>
          <w:tcPr>
            <w:tcW w:w="1800" w:type="dxa"/>
            <w:tcBorders>
              <w:top w:val="single" w:color="auto" w:sz="4" w:space="0"/>
              <w:left w:val="nil"/>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4</w:t>
            </w:r>
          </w:p>
        </w:tc>
        <w:tc>
          <w:tcPr>
            <w:tcW w:w="4470" w:type="dxa"/>
            <w:tcBorders>
              <w:top w:val="nil"/>
              <w:left w:val="single" w:color="auto" w:sz="4" w:space="0"/>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网络型可编程控制器实验仪</w:t>
            </w:r>
          </w:p>
        </w:tc>
        <w:tc>
          <w:tcPr>
            <w:tcW w:w="1800" w:type="dxa"/>
            <w:tcBorders>
              <w:top w:val="nil"/>
              <w:left w:val="nil"/>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shd w:val="clear" w:color="auto" w:fill="auto"/>
            <w:vAlign w:val="bottom"/>
          </w:tcPr>
          <w:p>
            <w:pPr>
              <w:ind w:firstLine="0" w:firstLineChars="0"/>
              <w:jc w:val="center"/>
              <w:rPr>
                <w:rFonts w:cs="Arial"/>
                <w:bCs/>
                <w:color w:val="auto"/>
                <w:sz w:val="21"/>
                <w:szCs w:val="21"/>
              </w:rPr>
            </w:pPr>
            <w:r>
              <w:rPr>
                <w:rFonts w:hint="eastAsia" w:cs="Arial"/>
                <w:bCs/>
                <w:color w:val="auto"/>
                <w:sz w:val="21"/>
                <w:szCs w:val="21"/>
              </w:rPr>
              <w:t>5</w:t>
            </w:r>
          </w:p>
        </w:tc>
        <w:tc>
          <w:tcPr>
            <w:tcW w:w="4470" w:type="dxa"/>
            <w:tcBorders>
              <w:top w:val="nil"/>
              <w:left w:val="single" w:color="auto" w:sz="4" w:space="0"/>
              <w:bottom w:val="single" w:color="auto" w:sz="4" w:space="0"/>
              <w:right w:val="single" w:color="auto" w:sz="4" w:space="0"/>
            </w:tcBorders>
            <w:shd w:val="clear" w:color="000000" w:fill="FFFFFF"/>
            <w:vAlign w:val="center"/>
          </w:tcPr>
          <w:p>
            <w:pPr>
              <w:ind w:firstLine="0" w:firstLineChars="0"/>
              <w:jc w:val="center"/>
              <w:rPr>
                <w:rFonts w:cs="Arial"/>
                <w:bCs/>
                <w:color w:val="auto"/>
                <w:sz w:val="21"/>
                <w:szCs w:val="21"/>
              </w:rPr>
            </w:pPr>
            <w:r>
              <w:rPr>
                <w:rFonts w:hint="eastAsia" w:cs="Arial"/>
                <w:bCs/>
                <w:color w:val="auto"/>
                <w:sz w:val="21"/>
                <w:szCs w:val="21"/>
              </w:rPr>
              <w:t>可编程控制器实验仪</w:t>
            </w:r>
          </w:p>
        </w:tc>
        <w:tc>
          <w:tcPr>
            <w:tcW w:w="1800" w:type="dxa"/>
            <w:tcBorders>
              <w:top w:val="nil"/>
              <w:left w:val="nil"/>
              <w:bottom w:val="single" w:color="auto" w:sz="4" w:space="0"/>
              <w:right w:val="single" w:color="auto" w:sz="4" w:space="0"/>
            </w:tcBorders>
            <w:shd w:val="clear" w:color="000000" w:fill="FFFFFF"/>
            <w:vAlign w:val="center"/>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6</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宽量程活塞压力计</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7</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便携式可燃气体检测仪</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8</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电液阀</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9</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可编程线性直流电源</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10</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经纬仪</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11</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水准仪</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
                <w:bCs w:val="0"/>
                <w:color w:val="auto"/>
                <w:sz w:val="21"/>
                <w:szCs w:val="21"/>
              </w:rPr>
            </w:pPr>
            <w:r>
              <w:rPr>
                <w:rFonts w:hint="eastAsia" w:cs="Arial"/>
                <w:b/>
                <w:bCs w:val="0"/>
                <w:color w:val="auto"/>
                <w:sz w:val="21"/>
                <w:szCs w:val="21"/>
              </w:rPr>
              <w:t>12</w:t>
            </w:r>
          </w:p>
        </w:tc>
        <w:tc>
          <w:tcPr>
            <w:tcW w:w="4470" w:type="dxa"/>
            <w:vAlign w:val="center"/>
          </w:tcPr>
          <w:p>
            <w:pPr>
              <w:ind w:firstLine="0" w:firstLineChars="0"/>
              <w:jc w:val="center"/>
              <w:rPr>
                <w:rFonts w:cs="Arial"/>
                <w:b/>
                <w:bCs w:val="0"/>
                <w:color w:val="auto"/>
                <w:sz w:val="21"/>
                <w:szCs w:val="21"/>
              </w:rPr>
            </w:pPr>
            <w:r>
              <w:rPr>
                <w:rFonts w:hint="eastAsia" w:cs="Arial"/>
                <w:b/>
                <w:bCs w:val="0"/>
                <w:color w:val="auto"/>
                <w:sz w:val="21"/>
                <w:szCs w:val="21"/>
              </w:rPr>
              <w:t>全站仪</w:t>
            </w:r>
          </w:p>
        </w:tc>
        <w:tc>
          <w:tcPr>
            <w:tcW w:w="1800" w:type="dxa"/>
            <w:vAlign w:val="center"/>
          </w:tcPr>
          <w:p>
            <w:pPr>
              <w:ind w:firstLine="0" w:firstLineChars="0"/>
              <w:jc w:val="center"/>
              <w:rPr>
                <w:rFonts w:cs="Arial"/>
                <w:b/>
                <w:bCs w:val="0"/>
                <w:color w:val="auto"/>
                <w:sz w:val="21"/>
                <w:szCs w:val="21"/>
              </w:rPr>
            </w:pPr>
            <w:r>
              <w:rPr>
                <w:rFonts w:hint="eastAsia" w:cs="Arial"/>
                <w:b/>
                <w:bCs w:val="0"/>
                <w:color w:val="auto"/>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
                <w:bCs w:val="0"/>
                <w:color w:val="auto"/>
                <w:sz w:val="21"/>
                <w:szCs w:val="21"/>
              </w:rPr>
            </w:pPr>
            <w:r>
              <w:rPr>
                <w:rFonts w:hint="eastAsia" w:cs="Arial"/>
                <w:b/>
                <w:bCs w:val="0"/>
                <w:color w:val="auto"/>
                <w:sz w:val="21"/>
                <w:szCs w:val="21"/>
              </w:rPr>
              <w:t>13</w:t>
            </w:r>
          </w:p>
        </w:tc>
        <w:tc>
          <w:tcPr>
            <w:tcW w:w="4470" w:type="dxa"/>
            <w:vAlign w:val="center"/>
          </w:tcPr>
          <w:p>
            <w:pPr>
              <w:ind w:firstLine="0" w:firstLineChars="0"/>
              <w:jc w:val="center"/>
              <w:rPr>
                <w:rFonts w:cs="Arial"/>
                <w:b/>
                <w:bCs w:val="0"/>
                <w:color w:val="auto"/>
                <w:sz w:val="21"/>
                <w:szCs w:val="21"/>
              </w:rPr>
            </w:pPr>
            <w:r>
              <w:rPr>
                <w:rFonts w:hint="eastAsia" w:cs="Arial"/>
                <w:b/>
                <w:bCs w:val="0"/>
                <w:color w:val="auto"/>
                <w:sz w:val="21"/>
                <w:szCs w:val="21"/>
              </w:rPr>
              <w:t>双枪加油机</w:t>
            </w:r>
          </w:p>
        </w:tc>
        <w:tc>
          <w:tcPr>
            <w:tcW w:w="1800" w:type="dxa"/>
            <w:vAlign w:val="center"/>
          </w:tcPr>
          <w:p>
            <w:pPr>
              <w:ind w:firstLine="0" w:firstLineChars="0"/>
              <w:jc w:val="center"/>
              <w:rPr>
                <w:rFonts w:cs="Arial"/>
                <w:b/>
                <w:bCs w:val="0"/>
                <w:color w:val="auto"/>
                <w:sz w:val="21"/>
                <w:szCs w:val="21"/>
              </w:rPr>
            </w:pPr>
            <w:r>
              <w:rPr>
                <w:rFonts w:hint="eastAsia" w:cs="Arial"/>
                <w:b/>
                <w:bCs w:val="0"/>
                <w:color w:val="auto"/>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
                <w:bCs w:val="0"/>
                <w:color w:val="auto"/>
                <w:sz w:val="21"/>
                <w:szCs w:val="21"/>
              </w:rPr>
            </w:pPr>
            <w:r>
              <w:rPr>
                <w:rFonts w:hint="eastAsia" w:cs="Arial"/>
                <w:b/>
                <w:bCs w:val="0"/>
                <w:color w:val="auto"/>
                <w:sz w:val="21"/>
                <w:szCs w:val="21"/>
              </w:rPr>
              <w:t>14</w:t>
            </w:r>
          </w:p>
        </w:tc>
        <w:tc>
          <w:tcPr>
            <w:tcW w:w="4470" w:type="dxa"/>
            <w:vAlign w:val="center"/>
          </w:tcPr>
          <w:p>
            <w:pPr>
              <w:ind w:firstLine="0" w:firstLineChars="0"/>
              <w:jc w:val="center"/>
              <w:rPr>
                <w:rFonts w:cs="Arial"/>
                <w:b/>
                <w:bCs w:val="0"/>
                <w:color w:val="auto"/>
                <w:sz w:val="21"/>
                <w:szCs w:val="21"/>
              </w:rPr>
            </w:pPr>
            <w:r>
              <w:rPr>
                <w:rFonts w:hint="eastAsia" w:cs="Arial"/>
                <w:b/>
                <w:bCs w:val="0"/>
                <w:color w:val="auto"/>
                <w:sz w:val="21"/>
                <w:szCs w:val="21"/>
              </w:rPr>
              <w:t>双枪加油机</w:t>
            </w:r>
          </w:p>
        </w:tc>
        <w:tc>
          <w:tcPr>
            <w:tcW w:w="1800" w:type="dxa"/>
            <w:vAlign w:val="center"/>
          </w:tcPr>
          <w:p>
            <w:pPr>
              <w:ind w:firstLine="0" w:firstLineChars="0"/>
              <w:jc w:val="center"/>
              <w:rPr>
                <w:rFonts w:cs="Arial"/>
                <w:b/>
                <w:bCs w:val="0"/>
                <w:color w:val="auto"/>
                <w:sz w:val="21"/>
                <w:szCs w:val="21"/>
              </w:rPr>
            </w:pPr>
            <w:r>
              <w:rPr>
                <w:rFonts w:hint="eastAsia" w:cs="Arial"/>
                <w:b/>
                <w:bCs w:val="0"/>
                <w:color w:val="auto"/>
                <w:sz w:val="21"/>
                <w:szCs w:val="21"/>
              </w:rPr>
              <w:t>1</w:t>
            </w:r>
          </w:p>
        </w:tc>
      </w:tr>
    </w:tbl>
    <w:p>
      <w:pPr>
        <w:ind w:firstLine="0" w:firstLineChars="0"/>
        <w:rPr>
          <w:rFonts w:cs="宋体"/>
          <w:b/>
          <w:color w:val="auto"/>
        </w:rPr>
      </w:pPr>
      <w:r>
        <w:rPr>
          <w:rFonts w:hint="eastAsia" w:cs="宋体"/>
          <w:b/>
          <w:color w:val="auto"/>
        </w:rPr>
        <w:t>二、采购内容技术参数及技术要求</w:t>
      </w:r>
    </w:p>
    <w:tbl>
      <w:tblPr>
        <w:tblStyle w:val="46"/>
        <w:tblW w:w="99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1"/>
        <w:gridCol w:w="87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高精度电动调节阀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适用介质：水、蒸汽、空气、油品、乙二醇、浆料、酸碱性等气体或液体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产品口径：20~200mm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阀体材质：WCB.304.316.316L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填料材质：PTFE.柔性石墨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密封材质：PTFE.柔性石墨.硬密封.合金钢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阀芯材质：304.316.316L.合金钢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环境温度：≤60℃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2</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气动调节球阀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产品用途：水、蒸汽、空气、油品、液化天然气及腐蚀性介质等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产品材质：铸钢、不锈钢、碳钢等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温度范围：-20~260℃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连接方式：法兰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气动形式：双作用、单作用（弹簧复位）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5"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阀体材质：碳钢（D）、不锈钢（A、B）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密封材质：PTFE、PPL、H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3</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电动调节球阀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产品用途：水、空气、蒸汽、煤气、油品、乙二醇、浆料、酸碱性等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产品材质：铸钢、不锈钢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产品口径：DN25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连接方式：法兰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压力范围：0~40bar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温度范围：-20~260℃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控制方式：开关型（电开、电关）、调节型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密封材质：聚四氟乙烯(MF3)、对位聚苯(MF4) 、金属硬密封(MF5)、砸质合金(MF6)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3.9</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防护等级：IP55、IP65、IP67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4</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网络型可编程控制器实验仪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产品功能要求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4.1.1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本装置集可编程逻辑控制器、MCGS工控组态软件、实物控制对象、工业现场模拟模块和编程软件于一体。在本实验箱上，可直观地进行PLC的基本指令练习、多个PLC实际应用的模拟实验，所有实验均有组态图进行动态跟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4.1.2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本装置采用高强度铝合金保护箱结构设计，内部采用双面板，充分利用实验箱内部空间，为学生提供更多的实验项目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4.1.3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输入电源：单相三线AC220V±10% 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4.1.4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工作环境：温度-10℃～+40℃ 相对湿度＜85%(25℃) 海拔＜4000m；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采用单相AC220V供电，并提供实训所需的＋24V/1A直流电源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PLC主机：采用三菱的FX3U-48MR/ES-A主机，采用AC220V供电，集成24路数字量输入/24路数字量输出，继电器输出，配套有485通信模块，配套通信编程电缆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组态棒图网络教学：采用MCGS工控组态软件，打开软件编辑环境，任何实验都可以编辑出形象直观、动感强、教学效果好的组态棒图，并进行实验动态跟踪教学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实验模块单元：包含了PLC模块、基本指令、十字路口交通灯、步进电机、三层电梯控制系统、自动售货机、天塔之光、LED数码显示、水塔水位、装配流水线、液体混合装置、机械手、自动配料系统、四节传送带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实验导线：根据不同实验项目，配备不同长度的实验连接线，导线采用弹性铍轻铜裸露结构连接线，保证了实验的安全及合理性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其他：提供有样例程序、编程软件实验指导书等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基本指令编程练习、十字路口交通灯控制、步进电机运动控制（实验实物）、三层电梯控制系统的模拟、自动售货机的模拟控制、天塔之光模拟控制、LED数码显示控制、水塔水位控制模拟、装配流水线的模拟控制、液体混合装置控制的模拟、机械手动作的模拟、自动配料系统控制的模拟、四节传送带的模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5</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可编程控制器实验仪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输入电源：单相三线～220V±10%   50Hz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输入电源：工作环境：温度-10℃～+40℃  相对湿度＜85%(25℃)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输入电源：装置容量：＜250VA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安全保护：装置设有漏电保护、主机过压保护功能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实验桌要求采用铁质双层亚光密纹喷塑结构，桌面为防火、防水、耐磨高密度板；设有带锁抽屉，用于放置工具及资料，电脑桌联体设计。设有四个万向轮调节机构，便于移动和固定，有利于实训室的布局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控制屏采用铁质双层喷塑结构，优质钢材做骨架，经过机械加工成型，外表面喷涂彩色环氧聚塑。实验面板采用2mm厚印制线路板制成，面板标识清晰且经久耐用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PLC主机：采用三菱的FX3U-48MR/ES-A主机，采用AC220V供电，集成24路数字量输入/24路数字量输出，继电器输出，配套有485通信模块，配套通信编程电缆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组态棒图网络教学：采用MCGS工控组态软件，打开软件编辑环境，任何实验都可以编辑出形象直观、动感强、教学效果好的组态棒图，并进行实验动态跟踪教学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5.9</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实验模块单元：基本指令编程练习、LED数码显示、天塔之光、步进电机、直线运动、运料小车、十字路口交通灯、五层电梯、电机控制、水塔水位、装配流水线、液体混合装置、机械手、四节传送带、自动配料系统、轧钢机、邮件分拣、自动售货机、加工中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5.10</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根据不同实验项目，配备不同长度的实验连接线，导线采用弹性铍轻铜裸露结构连接线，保证了实验的安全及合理性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5.11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提供有样例程序、编程软件实验指导书等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5.12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可编程控制器的基本指令编程练习、LED数码显示控制、天塔之光模拟控制、步进电机运动控制（实物）、直线运动控制系统（实物）、运料小车控制模拟、十字路口交通灯控制、五层电梯控制系统的模拟、三相鼠笼式异步电动机点动控制和自锁控制（实物）、三相鼠笼式异步电动机联锁正反转控制（实物）、三相鼠笼式异步电动机带延时正反转控制（实物）、三相鼠笼式异步电动机星/三角（Y/△）换接起动控制（实物）、水塔水位控制模拟、装配流水线的模拟控制、液体混合装置控制的模拟、机械手动作的模拟、四节传送带的模拟、自动配料系统控制的模拟、轧钢机控制系统模拟、邮件分拣系统模拟、自动售货机的模拟控制、加工中心的模拟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6</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宽量程活塞压力计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活塞和活塞缸均采用高强度、高硬度、和低温度线胀系数的硬质合金碳化钨材料经过精心研磨制成，工作环境温度宽，性能稳定20±5℃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活塞工作位置用位移传感器监测，活塞上下行程为±1.5mm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量程宽，在下限1MPa时，基本误差为±0.02%或±0.05%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测量范围：-0.1-6Mpa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7</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便携式可燃气体检测仪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可同时检测仪可燃气体、O2、CO和H2S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全自动碰撞和校准平台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多种组合方式(LEL/O2/CO/H2S)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连续使用：＞14个小时（＞8个小时）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充电时间：＜4小时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防护等级：IP67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反应时间（T90）：LEL=10秒   O2=10秒   CO=25秒 H2S=35秒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8</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电液阀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国标活塞式电液阀由一只二通常开电磁阀、一只二通常闭电磁阀、2只3/8”小球阀(针阀)组合而成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阀体材料: 铸钢、全不锈钢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使用介质: 轻油、滑油、液化气、苯、醇、丙烯晴化工等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常用范围: 油类、乙醇调配、桶装、化工类、各类气阀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9</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可编程线性直流电源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总功率≥200W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2个输出档位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每通道输出≥20V/10A（Low Range）,40V/5A（High Range）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负载调节率电压: ≤0.01% + 2mV； 电流: ≤0.01% + 250uA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电源调节率电压: ≤0.01% + 2mV； 电流: ≤0.01% + 250uA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bCs w:val="0"/>
                <w:color w:val="auto"/>
                <w:sz w:val="21"/>
                <w:szCs w:val="21"/>
              </w:rPr>
            </w:pPr>
            <w:r>
              <w:rPr>
                <w:rFonts w:hint="eastAsia" w:cs="Arial"/>
                <w:b/>
                <w:bCs w:val="0"/>
                <w:color w:val="auto"/>
                <w:sz w:val="21"/>
                <w:szCs w:val="21"/>
              </w:rPr>
              <w:t>10</w:t>
            </w:r>
          </w:p>
        </w:tc>
        <w:tc>
          <w:tcPr>
            <w:tcW w:w="8743" w:type="dxa"/>
            <w:tcBorders>
              <w:left w:val="single" w:color="auto" w:sz="4" w:space="0"/>
            </w:tcBorders>
          </w:tcPr>
          <w:p>
            <w:pPr>
              <w:ind w:firstLine="0" w:firstLineChars="0"/>
              <w:rPr>
                <w:rFonts w:cs="Arial"/>
                <w:b/>
                <w:bCs w:val="0"/>
                <w:color w:val="auto"/>
                <w:sz w:val="21"/>
                <w:szCs w:val="21"/>
              </w:rPr>
            </w:pPr>
            <w:r>
              <w:rPr>
                <w:rFonts w:hint="eastAsia" w:cs="Arial"/>
                <w:b/>
                <w:bCs w:val="0"/>
                <w:color w:val="auto"/>
                <w:sz w:val="21"/>
                <w:szCs w:val="21"/>
              </w:rPr>
              <w:t>经纬仪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放大倍数：≥30X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有效孔径≤45mm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分辨率3′′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视场角1°30′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最小视距≤1.4m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筒长≥157mm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11</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水准仪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精度≤±1.0mm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倍 率≥32X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物镜口径≥30mm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视场角1°20′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视距乘常数 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仪器工作范围±15′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度盘分度值1°or1gon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w:t>
            </w:r>
            <w:r>
              <w:rPr>
                <w:rFonts w:cs="Arial"/>
                <w:b/>
                <w:color w:val="auto"/>
                <w:sz w:val="21"/>
                <w:szCs w:val="21"/>
              </w:rPr>
              <w:t>2</w:t>
            </w:r>
          </w:p>
        </w:tc>
        <w:tc>
          <w:tcPr>
            <w:tcW w:w="8743"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全站仪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角度测量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2.2</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精度：≤2″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2.3</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测量方法：绝对编码，连续，对径测量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2.4</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补偿方式：四重轴系补偿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2.5</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补偿器：补偿器设置精度 0.5″，补偿范围±4′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2.6</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距离测量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2.7</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测程：圆棱镜1.5m-3500m，长测程模式＞10000m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2.8</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测距精度：≤1mm+1.5ppm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2.9</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无棱镜测程/精度：500米/2mm+2ppm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2.10</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激光点大小 30m处：约≥7mm×10mm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2.11</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综合参数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2.12</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操作系统：Windows EC7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2.13</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望远镜：放大倍数 30×，分辨率 3″，视场1°30′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2.14</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屏幕与键盘：3.5英寸，320×240像素，灰色显示屏，双面键盘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2.15</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操作模式：无限摩擦制动，双触发键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2.16</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电池：可充电锂电池，操作时间≥30小时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hint="eastAsia" w:cs="Arial"/>
                <w:bCs/>
                <w:color w:val="auto"/>
                <w:sz w:val="21"/>
                <w:szCs w:val="21"/>
              </w:rPr>
              <w:t>1</w:t>
            </w:r>
            <w:r>
              <w:rPr>
                <w:rFonts w:cs="Arial"/>
                <w:bCs/>
                <w:color w:val="auto"/>
                <w:sz w:val="21"/>
                <w:szCs w:val="21"/>
              </w:rPr>
              <w:t>2.17</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存储容量内存：≥2GB，SD卡：≥1GB/8GB，U盘：≥1GB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12.1</w:t>
            </w:r>
            <w:r>
              <w:rPr>
                <w:rFonts w:cs="Arial"/>
                <w:bCs/>
                <w:color w:val="auto"/>
                <w:sz w:val="21"/>
                <w:szCs w:val="21"/>
              </w:rPr>
              <w:t>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传输接口RS232、SD卡、USB、MiniUSB</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▲12.1</w:t>
            </w:r>
            <w:r>
              <w:rPr>
                <w:rFonts w:cs="Arial"/>
                <w:bCs/>
                <w:color w:val="auto"/>
                <w:sz w:val="21"/>
                <w:szCs w:val="21"/>
              </w:rPr>
              <w:t>9</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对中：激光对点器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r>
              <w:rPr>
                <w:rFonts w:cs="Arial"/>
                <w:bCs/>
                <w:color w:val="auto"/>
                <w:sz w:val="21"/>
                <w:szCs w:val="21"/>
              </w:rPr>
              <w:t>20</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防尘/防水（IEC60529）：IP66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r>
              <w:rPr>
                <w:rFonts w:cs="Arial"/>
                <w:bCs/>
                <w:color w:val="auto"/>
                <w:sz w:val="21"/>
                <w:szCs w:val="21"/>
              </w:rPr>
              <w:t>21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7"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r>
              <w:rPr>
                <w:rFonts w:cs="Arial"/>
                <w:bCs/>
                <w:color w:val="auto"/>
                <w:sz w:val="21"/>
                <w:szCs w:val="21"/>
              </w:rPr>
              <w:t>22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运行于全站仪上，包含罐内测量、罐外测量和罐底测量三个功能模块，涵盖立式金属罐容量计量的测量工作，可用于石油石化行业立式金属罐容量计量，带有偏心测量程序。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r>
              <w:rPr>
                <w:rFonts w:cs="Arial"/>
                <w:bCs/>
                <w:color w:val="auto"/>
                <w:sz w:val="21"/>
                <w:szCs w:val="21"/>
              </w:rPr>
              <w:t>23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主要功能：油罐内测、油罐外测、数据输出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r>
              <w:rPr>
                <w:rFonts w:cs="Arial"/>
                <w:bCs/>
                <w:color w:val="auto"/>
                <w:sz w:val="21"/>
                <w:szCs w:val="21"/>
              </w:rPr>
              <w:t>24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主要特点：可以选择罐外或罐内测量，适合不同条件下的油罐测量，数据可以直接输出为后处理格式数据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r>
              <w:rPr>
                <w:rFonts w:cs="Arial"/>
                <w:bCs/>
                <w:color w:val="auto"/>
                <w:sz w:val="21"/>
                <w:szCs w:val="21"/>
              </w:rPr>
              <w:t>25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适用范围：立式油罐体积计量、立式圆柱形容器体积测量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r>
              <w:rPr>
                <w:rFonts w:cs="Arial"/>
                <w:bCs/>
                <w:color w:val="auto"/>
                <w:sz w:val="21"/>
                <w:szCs w:val="21"/>
              </w:rPr>
              <w:t>26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质量保证与售后服务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r>
              <w:rPr>
                <w:rFonts w:cs="Arial"/>
                <w:bCs/>
                <w:color w:val="auto"/>
                <w:sz w:val="21"/>
                <w:szCs w:val="21"/>
              </w:rPr>
              <w:t>27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质量保证：投标人应保证所提供的设备达到本技术需求中所提出的技术规格要求，是最新生产且未被使用过的全新产品，并提供随机配件，同时具有在中国境内的合法使用权，具有投标产品制造商授权书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12.2</w:t>
            </w:r>
            <w:r>
              <w:rPr>
                <w:rFonts w:cs="Arial"/>
                <w:bCs/>
                <w:color w:val="auto"/>
                <w:sz w:val="21"/>
                <w:szCs w:val="21"/>
              </w:rPr>
              <w:t>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售后服务：免费技术培训，直至使用人员完全掌握仪器的操作，24小时响应，接到用户通知后12小时内能够达到现场并解决相关问题，完善的售后服务与培训体系，具有投标产品制造商售后承诺书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
                <w:color w:val="auto"/>
                <w:sz w:val="21"/>
                <w:szCs w:val="21"/>
              </w:rPr>
              <w:t>13</w:t>
            </w:r>
          </w:p>
        </w:tc>
        <w:tc>
          <w:tcPr>
            <w:tcW w:w="8743" w:type="dxa"/>
            <w:tcBorders>
              <w:left w:val="single" w:color="auto" w:sz="4" w:space="0"/>
            </w:tcBorders>
          </w:tcPr>
          <w:p>
            <w:pPr>
              <w:ind w:firstLine="0" w:firstLineChars="0"/>
              <w:rPr>
                <w:rFonts w:cs="Arial"/>
                <w:bCs/>
                <w:color w:val="auto"/>
                <w:sz w:val="21"/>
                <w:szCs w:val="21"/>
              </w:rPr>
            </w:pPr>
            <w:r>
              <w:rPr>
                <w:rFonts w:hint="eastAsia" w:cs="Arial"/>
                <w:b/>
                <w:color w:val="auto"/>
                <w:sz w:val="21"/>
                <w:szCs w:val="21"/>
              </w:rPr>
              <w:t>双枪加油机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双油品双枪潜泵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计量最大允许误差：±0.30%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流量范围：(5～50)L/min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泵进口真空度：≥54kPa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进油管通径：38mm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环境温度：-40℃～+60℃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允许吸程：≥6米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噪音：≤75dB(A)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13.9</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单次计数范围：金额0.00-9999.99元  数量0.00-9999.99升 （或公斤）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13.10</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单价设置范围：0.01-99.99元/升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cs="Arial"/>
                <w:bCs/>
                <w:color w:val="auto"/>
                <w:sz w:val="21"/>
                <w:szCs w:val="21"/>
              </w:rPr>
              <w:t>13.11</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累计计数范围：金额0.00～99999999.99元  数量0.00～99999999.99升（或公斤）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13.1</w:t>
            </w:r>
            <w:r>
              <w:rPr>
                <w:rFonts w:cs="Arial"/>
                <w:bCs/>
                <w:color w:val="auto"/>
                <w:sz w:val="21"/>
                <w:szCs w:val="21"/>
              </w:rPr>
              <w:t>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具备防爆标志，防爆合格证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r>
              <w:rPr>
                <w:rFonts w:cs="Arial"/>
                <w:bCs/>
                <w:color w:val="auto"/>
                <w:sz w:val="21"/>
                <w:szCs w:val="21"/>
              </w:rPr>
              <w:t>13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整机防水、防潮、密封设计，酸碱湿环境无任何影响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r>
              <w:rPr>
                <w:rFonts w:cs="Arial"/>
                <w:bCs/>
                <w:color w:val="auto"/>
                <w:sz w:val="21"/>
                <w:szCs w:val="21"/>
              </w:rPr>
              <w:t>14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键盘密码锁机功能，夜间值班防止盗油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r>
              <w:rPr>
                <w:rFonts w:cs="Arial"/>
                <w:bCs/>
                <w:color w:val="auto"/>
                <w:sz w:val="21"/>
                <w:szCs w:val="21"/>
              </w:rPr>
              <w:t>15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带提枪开关，加油方便快揵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r>
              <w:rPr>
                <w:rFonts w:cs="Arial"/>
                <w:bCs/>
                <w:color w:val="auto"/>
                <w:sz w:val="21"/>
                <w:szCs w:val="21"/>
              </w:rPr>
              <w:t>16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采用轿车发动机减震减噪体系，静音加油，运行平衡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r>
              <w:rPr>
                <w:rFonts w:cs="Arial"/>
                <w:bCs/>
                <w:color w:val="auto"/>
                <w:sz w:val="21"/>
                <w:szCs w:val="21"/>
              </w:rPr>
              <w:t>17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油气分离排出机外，使整机更加安全，可靠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r>
              <w:rPr>
                <w:rFonts w:cs="Arial"/>
                <w:bCs/>
                <w:color w:val="auto"/>
                <w:sz w:val="21"/>
                <w:szCs w:val="21"/>
              </w:rPr>
              <w:t>18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中石化、中石油使用品牌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
                <w:color w:val="auto"/>
                <w:sz w:val="21"/>
                <w:szCs w:val="21"/>
              </w:rPr>
              <w:t>14</w:t>
            </w:r>
          </w:p>
        </w:tc>
        <w:tc>
          <w:tcPr>
            <w:tcW w:w="8743" w:type="dxa"/>
            <w:tcBorders>
              <w:left w:val="single" w:color="auto" w:sz="4" w:space="0"/>
            </w:tcBorders>
          </w:tcPr>
          <w:p>
            <w:pPr>
              <w:ind w:firstLine="0" w:firstLineChars="0"/>
              <w:rPr>
                <w:rFonts w:cs="Arial"/>
                <w:bCs/>
                <w:color w:val="auto"/>
                <w:sz w:val="21"/>
                <w:szCs w:val="21"/>
              </w:rPr>
            </w:pPr>
            <w:r>
              <w:rPr>
                <w:rFonts w:hint="eastAsia" w:cs="Arial"/>
                <w:b/>
                <w:color w:val="auto"/>
                <w:sz w:val="21"/>
                <w:szCs w:val="21"/>
              </w:rPr>
              <w:t>双枪加油机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双油品双枪自吸泵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计量最大允许误差：±0.30%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
                <w:color w:val="auto"/>
                <w:sz w:val="21"/>
                <w:szCs w:val="21"/>
              </w:rPr>
            </w:pPr>
            <w:r>
              <w:rPr>
                <w:rFonts w:cs="Arial"/>
                <w:bCs/>
                <w:color w:val="auto"/>
                <w:sz w:val="21"/>
                <w:szCs w:val="21"/>
              </w:rPr>
              <w:t>14.3</w:t>
            </w:r>
          </w:p>
        </w:tc>
        <w:tc>
          <w:tcPr>
            <w:tcW w:w="8743"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流量范围：(5～50)L/min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泵进口真空度：≥54kPa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进油管通径：38mm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环境温度：-40℃～+60℃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允许吸程：≥6米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噪音：≤75dB(A)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14.9</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单次计数范围：金额0.00-9999.99元  数量0.00-9999.99升 （或公斤）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14.10</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单价设置范围：0.01-99.99元/升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14.11</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累计计数范围：金额0.00～99999999.99元  数量0.00～99999999.99升（或公斤）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4</w:t>
            </w:r>
            <w:r>
              <w:rPr>
                <w:rFonts w:hint="eastAsia" w:cs="Arial"/>
                <w:bCs/>
                <w:color w:val="auto"/>
                <w:sz w:val="21"/>
                <w:szCs w:val="21"/>
              </w:rPr>
              <w:t>.1</w:t>
            </w:r>
            <w:r>
              <w:rPr>
                <w:rFonts w:cs="Arial"/>
                <w:bCs/>
                <w:color w:val="auto"/>
                <w:sz w:val="21"/>
                <w:szCs w:val="21"/>
              </w:rPr>
              <w:t>2</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具备防爆标志，防爆合格证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4</w:t>
            </w:r>
            <w:r>
              <w:rPr>
                <w:rFonts w:hint="eastAsia" w:cs="Arial"/>
                <w:bCs/>
                <w:color w:val="auto"/>
                <w:sz w:val="21"/>
                <w:szCs w:val="21"/>
              </w:rPr>
              <w:t>.</w:t>
            </w:r>
            <w:r>
              <w:rPr>
                <w:rFonts w:cs="Arial"/>
                <w:bCs/>
                <w:color w:val="auto"/>
                <w:sz w:val="21"/>
                <w:szCs w:val="21"/>
              </w:rPr>
              <w:t>13</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整机防水、防潮、密封设计，酸碱湿环境无任何影响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4</w:t>
            </w:r>
            <w:r>
              <w:rPr>
                <w:rFonts w:hint="eastAsia" w:cs="Arial"/>
                <w:bCs/>
                <w:color w:val="auto"/>
                <w:sz w:val="21"/>
                <w:szCs w:val="21"/>
              </w:rPr>
              <w:t>.</w:t>
            </w:r>
            <w:r>
              <w:rPr>
                <w:rFonts w:cs="Arial"/>
                <w:bCs/>
                <w:color w:val="auto"/>
                <w:sz w:val="21"/>
                <w:szCs w:val="21"/>
              </w:rPr>
              <w:t>14</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键盘密码锁机功能，夜间值班防止盗油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4</w:t>
            </w:r>
            <w:r>
              <w:rPr>
                <w:rFonts w:hint="eastAsia" w:cs="Arial"/>
                <w:bCs/>
                <w:color w:val="auto"/>
                <w:sz w:val="21"/>
                <w:szCs w:val="21"/>
              </w:rPr>
              <w:t>.</w:t>
            </w:r>
            <w:r>
              <w:rPr>
                <w:rFonts w:cs="Arial"/>
                <w:bCs/>
                <w:color w:val="auto"/>
                <w:sz w:val="21"/>
                <w:szCs w:val="21"/>
              </w:rPr>
              <w:t>15</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带提枪开关，加油方便快揵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4</w:t>
            </w:r>
            <w:r>
              <w:rPr>
                <w:rFonts w:hint="eastAsia" w:cs="Arial"/>
                <w:bCs/>
                <w:color w:val="auto"/>
                <w:sz w:val="21"/>
                <w:szCs w:val="21"/>
              </w:rPr>
              <w:t>.</w:t>
            </w:r>
            <w:r>
              <w:rPr>
                <w:rFonts w:cs="Arial"/>
                <w:bCs/>
                <w:color w:val="auto"/>
                <w:sz w:val="21"/>
                <w:szCs w:val="21"/>
              </w:rPr>
              <w:t>16</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采用轿车发动机减震减噪体系，静音加油，运行平衡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4</w:t>
            </w:r>
            <w:r>
              <w:rPr>
                <w:rFonts w:hint="eastAsia" w:cs="Arial"/>
                <w:bCs/>
                <w:color w:val="auto"/>
                <w:sz w:val="21"/>
                <w:szCs w:val="21"/>
              </w:rPr>
              <w:t>.</w:t>
            </w:r>
            <w:r>
              <w:rPr>
                <w:rFonts w:cs="Arial"/>
                <w:bCs/>
                <w:color w:val="auto"/>
                <w:sz w:val="21"/>
                <w:szCs w:val="21"/>
              </w:rPr>
              <w:t>17</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油气分离排出机外，使整机更加安全，可靠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191"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4</w:t>
            </w:r>
            <w:r>
              <w:rPr>
                <w:rFonts w:hint="eastAsia" w:cs="Arial"/>
                <w:bCs/>
                <w:color w:val="auto"/>
                <w:sz w:val="21"/>
                <w:szCs w:val="21"/>
              </w:rPr>
              <w:t>.</w:t>
            </w:r>
            <w:r>
              <w:rPr>
                <w:rFonts w:cs="Arial"/>
                <w:bCs/>
                <w:color w:val="auto"/>
                <w:sz w:val="21"/>
                <w:szCs w:val="21"/>
              </w:rPr>
              <w:t>18</w:t>
            </w:r>
          </w:p>
        </w:tc>
        <w:tc>
          <w:tcPr>
            <w:tcW w:w="8743"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中石化、中石油使用品牌</w:t>
            </w:r>
          </w:p>
        </w:tc>
      </w:tr>
    </w:tbl>
    <w:p>
      <w:pPr>
        <w:pStyle w:val="3"/>
        <w:rPr>
          <w:color w:val="auto"/>
        </w:rPr>
      </w:pPr>
    </w:p>
    <w:p>
      <w:pPr>
        <w:ind w:firstLine="0" w:firstLineChars="0"/>
        <w:rPr>
          <w:rFonts w:cs="宋体"/>
          <w:b/>
          <w:color w:val="auto"/>
        </w:rPr>
      </w:pPr>
      <w:r>
        <w:rPr>
          <w:rFonts w:hint="eastAsia" w:cs="宋体"/>
          <w:b/>
          <w:color w:val="auto"/>
        </w:rPr>
        <w:t>标项三：</w:t>
      </w:r>
    </w:p>
    <w:p>
      <w:pPr>
        <w:ind w:firstLine="0" w:firstLineChars="0"/>
        <w:rPr>
          <w:color w:val="auto"/>
        </w:rPr>
      </w:pPr>
      <w:r>
        <w:rPr>
          <w:rFonts w:hint="eastAsia" w:cs="宋体"/>
          <w:b/>
          <w:color w:val="auto"/>
        </w:rPr>
        <w:t>一、采购货物一览表</w:t>
      </w:r>
    </w:p>
    <w:tbl>
      <w:tblPr>
        <w:tblStyle w:val="46"/>
        <w:tblW w:w="73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0"/>
        <w:gridCol w:w="4470"/>
        <w:gridCol w:w="18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center"/>
          </w:tcPr>
          <w:p>
            <w:pPr>
              <w:ind w:firstLine="0" w:firstLineChars="0"/>
              <w:jc w:val="center"/>
              <w:rPr>
                <w:rFonts w:cs="Arial"/>
                <w:bCs/>
                <w:color w:val="auto"/>
                <w:sz w:val="21"/>
                <w:szCs w:val="21"/>
              </w:rPr>
            </w:pPr>
            <w:r>
              <w:rPr>
                <w:rFonts w:hint="eastAsia" w:cs="Arial"/>
                <w:bCs/>
                <w:color w:val="auto"/>
                <w:sz w:val="21"/>
                <w:szCs w:val="21"/>
              </w:rPr>
              <w:t>序号</w:t>
            </w:r>
          </w:p>
        </w:tc>
        <w:tc>
          <w:tcPr>
            <w:tcW w:w="4470" w:type="dxa"/>
            <w:tcBorders>
              <w:bottom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设备名称</w:t>
            </w:r>
          </w:p>
        </w:tc>
        <w:tc>
          <w:tcPr>
            <w:tcW w:w="1800" w:type="dxa"/>
            <w:tcBorders>
              <w:bottom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cs="Arial"/>
                <w:bCs/>
                <w:color w:val="auto"/>
                <w:sz w:val="21"/>
                <w:szCs w:val="21"/>
              </w:rPr>
              <w:t>1</w:t>
            </w:r>
          </w:p>
        </w:tc>
        <w:tc>
          <w:tcPr>
            <w:tcW w:w="447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台式恒温鼓风干燥箱</w:t>
            </w:r>
          </w:p>
        </w:tc>
        <w:tc>
          <w:tcPr>
            <w:tcW w:w="1800" w:type="dxa"/>
            <w:tcBorders>
              <w:top w:val="single" w:color="auto" w:sz="4" w:space="0"/>
              <w:left w:val="nil"/>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cs="Arial"/>
                <w:bCs/>
                <w:color w:val="auto"/>
                <w:sz w:val="21"/>
                <w:szCs w:val="21"/>
              </w:rPr>
              <w:t>2</w:t>
            </w:r>
          </w:p>
        </w:tc>
        <w:tc>
          <w:tcPr>
            <w:tcW w:w="4470" w:type="dxa"/>
            <w:tcBorders>
              <w:top w:val="nil"/>
              <w:left w:val="single" w:color="auto" w:sz="4" w:space="0"/>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电热恒温干燥箱</w:t>
            </w:r>
          </w:p>
        </w:tc>
        <w:tc>
          <w:tcPr>
            <w:tcW w:w="1800" w:type="dxa"/>
            <w:tcBorders>
              <w:top w:val="nil"/>
              <w:left w:val="nil"/>
              <w:bottom w:val="single" w:color="auto" w:sz="4" w:space="0"/>
              <w:right w:val="sing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shd w:val="clear" w:color="auto" w:fill="auto"/>
            <w:vAlign w:val="bottom"/>
          </w:tcPr>
          <w:p>
            <w:pPr>
              <w:ind w:firstLine="0" w:firstLineChars="0"/>
              <w:jc w:val="center"/>
              <w:rPr>
                <w:rFonts w:cs="Arial"/>
                <w:bCs/>
                <w:color w:val="auto"/>
                <w:sz w:val="21"/>
                <w:szCs w:val="21"/>
              </w:rPr>
            </w:pPr>
            <w:r>
              <w:rPr>
                <w:rFonts w:cs="Arial"/>
                <w:bCs/>
                <w:color w:val="auto"/>
                <w:sz w:val="21"/>
                <w:szCs w:val="21"/>
              </w:rPr>
              <w:t>3</w:t>
            </w:r>
          </w:p>
        </w:tc>
        <w:tc>
          <w:tcPr>
            <w:tcW w:w="4470" w:type="dxa"/>
            <w:tcBorders>
              <w:top w:val="nil"/>
              <w:left w:val="single" w:color="auto" w:sz="4" w:space="0"/>
              <w:bottom w:val="single" w:color="auto" w:sz="4" w:space="0"/>
              <w:right w:val="single" w:color="auto" w:sz="4" w:space="0"/>
            </w:tcBorders>
            <w:shd w:val="clear" w:color="000000" w:fill="FFFFFF"/>
            <w:vAlign w:val="center"/>
          </w:tcPr>
          <w:p>
            <w:pPr>
              <w:ind w:firstLine="0" w:firstLineChars="0"/>
              <w:jc w:val="center"/>
              <w:rPr>
                <w:rFonts w:cs="Arial"/>
                <w:bCs/>
                <w:color w:val="auto"/>
                <w:sz w:val="21"/>
                <w:szCs w:val="21"/>
              </w:rPr>
            </w:pPr>
            <w:r>
              <w:rPr>
                <w:rFonts w:hint="eastAsia" w:cs="Arial"/>
                <w:bCs/>
                <w:color w:val="auto"/>
                <w:sz w:val="21"/>
                <w:szCs w:val="21"/>
              </w:rPr>
              <w:t>自动电位测定仪</w:t>
            </w:r>
          </w:p>
        </w:tc>
        <w:tc>
          <w:tcPr>
            <w:tcW w:w="1800" w:type="dxa"/>
            <w:tcBorders>
              <w:top w:val="nil"/>
              <w:left w:val="nil"/>
              <w:bottom w:val="single" w:color="auto" w:sz="4" w:space="0"/>
              <w:right w:val="single" w:color="auto" w:sz="4" w:space="0"/>
            </w:tcBorders>
            <w:shd w:val="clear" w:color="000000" w:fill="FFFFFF"/>
            <w:vAlign w:val="center"/>
          </w:tcPr>
          <w:p>
            <w:pPr>
              <w:ind w:firstLine="0" w:firstLineChars="0"/>
              <w:jc w:val="center"/>
              <w:rPr>
                <w:rFonts w:cs="Arial"/>
                <w:bCs/>
                <w:color w:val="auto"/>
                <w:sz w:val="21"/>
                <w:szCs w:val="21"/>
              </w:rPr>
            </w:pPr>
            <w:r>
              <w:rPr>
                <w:rFonts w:hint="eastAsia" w:cs="Arial"/>
                <w:bCs/>
                <w:color w:val="auto"/>
                <w:sz w:val="21"/>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cs="Arial"/>
                <w:bCs/>
                <w:color w:val="auto"/>
                <w:sz w:val="21"/>
                <w:szCs w:val="21"/>
              </w:rPr>
              <w:t>4</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压缩机</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cs="Arial"/>
                <w:bCs/>
                <w:color w:val="auto"/>
                <w:sz w:val="21"/>
                <w:szCs w:val="21"/>
              </w:rPr>
              <w:t>5</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冰箱</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cs="Arial"/>
                <w:bCs/>
                <w:color w:val="auto"/>
                <w:sz w:val="21"/>
                <w:szCs w:val="21"/>
              </w:rPr>
              <w:t>6</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石油产品运动粘度测定器</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cs="Arial"/>
                <w:bCs/>
                <w:color w:val="auto"/>
                <w:sz w:val="21"/>
                <w:szCs w:val="21"/>
              </w:rPr>
              <w:t>7</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多功能测定器</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cs="Arial"/>
                <w:bCs/>
                <w:color w:val="auto"/>
                <w:sz w:val="21"/>
                <w:szCs w:val="21"/>
              </w:rPr>
              <w:t>8</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石油产品开口闪点测定仪(克利夫兰开口杯法)</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cs="Arial"/>
                <w:bCs/>
                <w:color w:val="auto"/>
                <w:sz w:val="21"/>
                <w:szCs w:val="21"/>
              </w:rPr>
              <w:t>9</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石油产品闭口闪点测定仪(克利夫兰开口杯法)</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0</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石油产品色度测定器</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1</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石油产品胶质测定仪</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vAlign w:val="bottom"/>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2</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馏分油中总污染物含量测定器</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3</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石油和合成液水分离性能测定仪</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4</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 xml:space="preserve">石油产品铜片腐蚀测定器 </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5</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 xml:space="preserve">石油产品蒸汽压测定器 (雷德法) </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6</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 xml:space="preserve">石油产品烃类测定器 </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1</w:t>
            </w:r>
            <w:r>
              <w:rPr>
                <w:rFonts w:cs="Arial"/>
                <w:bCs/>
                <w:color w:val="auto"/>
                <w:sz w:val="21"/>
                <w:szCs w:val="21"/>
              </w:rPr>
              <w:t>7</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紫外荧光硫含量测定器</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cs="Arial"/>
                <w:bCs/>
                <w:color w:val="auto"/>
                <w:sz w:val="21"/>
                <w:szCs w:val="21"/>
              </w:rPr>
              <w:t>18</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玻璃密度计</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cs="Arial"/>
                <w:bCs/>
                <w:color w:val="auto"/>
                <w:sz w:val="21"/>
                <w:szCs w:val="21"/>
              </w:rPr>
              <w:t>19</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消解比色一体COD测定仪</w:t>
            </w:r>
          </w:p>
        </w:tc>
        <w:tc>
          <w:tcPr>
            <w:tcW w:w="1800" w:type="dxa"/>
            <w:vAlign w:val="bottom"/>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2</w:t>
            </w:r>
            <w:r>
              <w:rPr>
                <w:rFonts w:cs="Arial"/>
                <w:bCs/>
                <w:color w:val="auto"/>
                <w:sz w:val="21"/>
                <w:szCs w:val="21"/>
              </w:rPr>
              <w:t>0</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散射光浊度仪</w:t>
            </w:r>
          </w:p>
        </w:tc>
        <w:tc>
          <w:tcPr>
            <w:tcW w:w="1800" w:type="dxa"/>
            <w:vAlign w:val="bottom"/>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2</w:t>
            </w:r>
            <w:r>
              <w:rPr>
                <w:rFonts w:cs="Arial"/>
                <w:bCs/>
                <w:color w:val="auto"/>
                <w:sz w:val="21"/>
                <w:szCs w:val="21"/>
              </w:rPr>
              <w:t>1</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红外分光测油仪</w:t>
            </w:r>
          </w:p>
        </w:tc>
        <w:tc>
          <w:tcPr>
            <w:tcW w:w="1800" w:type="dxa"/>
            <w:vAlign w:val="bottom"/>
          </w:tcPr>
          <w:p>
            <w:pPr>
              <w:ind w:firstLine="0" w:firstLineChars="0"/>
              <w:jc w:val="center"/>
              <w:rPr>
                <w:rFonts w:cs="Arial"/>
                <w:bCs/>
                <w:color w:val="auto"/>
                <w:sz w:val="21"/>
                <w:szCs w:val="21"/>
              </w:rPr>
            </w:pPr>
            <w:r>
              <w:rPr>
                <w:rFonts w:hint="eastAsia" w:cs="Arial"/>
                <w:bCs/>
                <w:color w:val="auto"/>
                <w:sz w:val="21"/>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2</w:t>
            </w:r>
            <w:r>
              <w:rPr>
                <w:rFonts w:cs="Arial"/>
                <w:bCs/>
                <w:color w:val="auto"/>
                <w:sz w:val="21"/>
                <w:szCs w:val="21"/>
              </w:rPr>
              <w:t>2</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金相显微镜</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2</w:t>
            </w:r>
            <w:r>
              <w:rPr>
                <w:rFonts w:cs="Arial"/>
                <w:bCs/>
                <w:color w:val="auto"/>
                <w:sz w:val="21"/>
                <w:szCs w:val="21"/>
              </w:rPr>
              <w:t>3</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电子天平</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2</w:t>
            </w:r>
            <w:r>
              <w:rPr>
                <w:rFonts w:cs="Arial"/>
                <w:bCs/>
                <w:color w:val="auto"/>
                <w:sz w:val="21"/>
                <w:szCs w:val="21"/>
              </w:rPr>
              <w:t>4</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箱式电阻炉</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25</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粘度计</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20" w:type="dxa"/>
          </w:tcPr>
          <w:p>
            <w:pPr>
              <w:ind w:firstLine="0" w:firstLineChars="0"/>
              <w:jc w:val="center"/>
              <w:rPr>
                <w:rFonts w:cs="Arial"/>
                <w:bCs/>
                <w:color w:val="auto"/>
                <w:sz w:val="21"/>
                <w:szCs w:val="21"/>
              </w:rPr>
            </w:pPr>
            <w:r>
              <w:rPr>
                <w:rFonts w:hint="eastAsia" w:cs="Arial"/>
                <w:bCs/>
                <w:color w:val="auto"/>
                <w:sz w:val="21"/>
                <w:szCs w:val="21"/>
              </w:rPr>
              <w:t>26</w:t>
            </w:r>
          </w:p>
        </w:tc>
        <w:tc>
          <w:tcPr>
            <w:tcW w:w="4470" w:type="dxa"/>
            <w:vAlign w:val="center"/>
          </w:tcPr>
          <w:p>
            <w:pPr>
              <w:ind w:firstLine="0" w:firstLineChars="0"/>
              <w:jc w:val="center"/>
              <w:rPr>
                <w:rFonts w:cs="Arial"/>
                <w:bCs/>
                <w:color w:val="auto"/>
                <w:sz w:val="21"/>
                <w:szCs w:val="21"/>
              </w:rPr>
            </w:pPr>
            <w:r>
              <w:rPr>
                <w:rFonts w:hint="eastAsia" w:cs="Arial"/>
                <w:bCs/>
                <w:color w:val="auto"/>
                <w:sz w:val="21"/>
                <w:szCs w:val="21"/>
              </w:rPr>
              <w:t>恒温槽</w:t>
            </w:r>
          </w:p>
        </w:tc>
        <w:tc>
          <w:tcPr>
            <w:tcW w:w="1800" w:type="dxa"/>
            <w:vAlign w:val="center"/>
          </w:tcPr>
          <w:p>
            <w:pPr>
              <w:ind w:firstLine="0" w:firstLineChars="0"/>
              <w:jc w:val="center"/>
              <w:rPr>
                <w:rFonts w:cs="Arial"/>
                <w:bCs/>
                <w:color w:val="auto"/>
                <w:sz w:val="21"/>
                <w:szCs w:val="21"/>
              </w:rPr>
            </w:pPr>
            <w:r>
              <w:rPr>
                <w:rFonts w:hint="eastAsia" w:cs="Arial"/>
                <w:bCs/>
                <w:color w:val="auto"/>
                <w:sz w:val="21"/>
                <w:szCs w:val="21"/>
              </w:rPr>
              <w:t>2</w:t>
            </w:r>
          </w:p>
        </w:tc>
      </w:tr>
    </w:tbl>
    <w:p>
      <w:pPr>
        <w:ind w:firstLine="0" w:firstLineChars="0"/>
        <w:rPr>
          <w:rFonts w:cs="宋体"/>
          <w:b/>
          <w:color w:val="auto"/>
        </w:rPr>
      </w:pPr>
      <w:r>
        <w:rPr>
          <w:rFonts w:hint="eastAsia" w:cs="宋体"/>
          <w:b/>
          <w:color w:val="auto"/>
        </w:rPr>
        <w:t>二、采购内容技术参数及技术要求</w:t>
      </w:r>
    </w:p>
    <w:tbl>
      <w:tblPr>
        <w:tblStyle w:val="46"/>
        <w:tblW w:w="100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5"/>
        <w:gridCol w:w="87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台式恒温鼓风干燥箱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控温范围（℃）：≥室温+10~200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工作室尺寸（mm) ≥ 550×350×550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消耗功率≥1300W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2</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电热恒温干燥箱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控温范围≥室温＋10-200℃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控温精度≤1℃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工作室尺寸mm≥250×250×250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3</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自动电位测定仪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测量参数：mV（ORP）、pH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测量范围≥（0～±1400）mV，（0～14.00）pH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分辨率≤1mV，0.01pH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基本误差pH：±0.03pH mV：±5mV</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3.5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稳定性（±0.3mV±1个字）/3h</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4</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压缩机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行程：≥65*48*3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气缸容积≥105L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排量：≥0.47m³/min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4.4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转速：≥1000rpm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5</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冰箱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控温方式：机械控温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制冷方式：直冷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5.3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总容积：≥101-200L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6</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石油产品运动粘度测定器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单片机控制，数字显示温度，辅助与恒温加热，升温速度快，控温精度高，满足试验精度的要求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配有两组数显计时秒表，可同时做2组试验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具有定点温度修正及保存功能，温度连续可调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配有连接低温恒温浴的冷却接口，满足低温试验温度的要求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控温范围：≥室温～100℃连续可调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恒温精度:≤±0.02℃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试验孔: ≥ 4孔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6.8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计时范围≥0～3000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7</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多功能测定器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适用范围：适用于石油产品倾点、浊点、凝点、冷滤点的测定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一机四用，可做倾点、浊点、凝点、冷滤点试验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一机四用，可做倾点、浊点、凝点、冷滤点试验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压缩机复叠式制冷，降温深度低，降温速度快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控温范围：≥0～－69℃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恒温精度：≤±0.5℃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 xml:space="preserve">凝点试样倾斜计时时间：60s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空气流速：250ml/min±17ml/min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稳定压差：200mmH2O±1mmH2O</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7.10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吸滤时间范围：0～60s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8</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石油产品开口闪点测定仪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适用范围：适用于除燃料油（燃料油按GB/T 261进行测定）以外的、开口杯闪点高于79℃的石油产品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电控点火和自动扫划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手控盒与主机分体结构设计，可远控试验过程，避免油烟对操作者健康的危害。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电控自动扫划消除扫划时间的人为误差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温度测定范围：≥79℃～400℃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升温速率：可调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火焰调节直径：3.2mm～4.8mm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火焰调整高度：火焰中心距试杯上边缘＜2mm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火焰越过试杯时间：1s±0.1s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8.10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燃气源：液化石油气或丙烷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9</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石油产品闭口闪点测定仪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适用范围：适用于可燃液体、带悬浮颗粒的液体、在试验条件下表面趋于成膜的液体和其他液体闪点的测定，适用于闪点高于40℃的样品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电动点火，自动完成滑板开关、点火动作以及点火时搅拌暂停等动作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试杯盖和点火器等采用可拆卸的联接方式，能够方便拆卸后清洗、烘干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电控点火，消除扫划时间的人为误差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测定范围：≥40～300℃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加热功率：≥0～430W连续可调。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搅拌速率:≥105rpm（A法）；搅拌速率≥250rpm（B法）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火焰直径：3mm～4mm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9.9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燃气源：液化石油气或丙烷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10</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石油产品色度测定器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适用范围：适用于测定石油产品的色度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由标准色盘、棱镜和观察目镜、光源、比色管组成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电动控制色板转换，操作方便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内置光源，便于观察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标准比色板：16个颜色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温度为2750±50K的内磨砂乳壳灯泡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10.7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比色管：内径Φ32mm，高120～130mm的无色平底玻璃管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11</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石油产品胶质测定仪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适用范围：适用于测定航空燃料的实际胶质以及车用汽油和其他挥发性馏分在试验时的胶质含量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采用金属浴，升温速度快，安全可靠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数字显示金属浴温度，PID智能控温，控温精度高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数字时间显示，具有倒计时和正计时功能，并有报警音提醒，操作方便直观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空气流量：600 ml/s±90ml/s（常温下，每孔流量值）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3"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蒸发浴恒温精度：≤162.5℃±2.5℃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试验孔恒温精度：≤155℃±5℃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试验孔恒温精度：≤155℃±5℃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11.9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时间显示：倒计时30min00s—00min00s； 正计时00min00s—99min60s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12"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馏分油中总污染物含量测定器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适用范围：适用于中间馏分油、柴油及脂肪酸甲酯中总污染物含量测定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采用静音无油真空泵抽滤，噪音小，负压系统稳定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针形阀调节负压准确，操作简单、方便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12.4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针形阀调节负压准确，操作简单、方便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石油和合成液水分离性能测定仪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适用范围：适用于在该标准下测定石油和合成液与水分离的能力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数字温度显示，具有PID自整定功能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控温系统响应速度快、控温精度高、性能可靠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磁滞同步电机搅拌，具有转速稳定、噪音小等特点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3孔，可同时放置三组试管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控温范围：≥室温～100℃  恒温精度：≤±0.5℃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转速: ≥1500转/分±15转/分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13.8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计时范围：≥1s～99min59s  计时精度：≤±1s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14</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石油产品铜片腐蚀测定器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14.1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适用范围：适用于测定航空汽油、喷气燃料、车用汽油、天然汽油或具有雷德蒸汽压不大于124kPa的其他烃类、溶剂油、煤油、柴油、馏分燃料油、润滑油和其他石油产品对铜片的腐蚀性程度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14.2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恒温浴内缸由不锈钢制作而成，耐腐蚀抗氧化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14.3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温浴采用加热管内加热方式，铂电阻传感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14.4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数字控温，具有PID自整定功能，升温速度快，控温精度高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14.5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控温范围：≥室温～100℃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14.6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恒温精度：≤±1℃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15</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石油产品蒸汽压测定器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适用范围：适用于测定汽油、易挥发性原油及其他易挥发性石油产品的蒸气压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彩色触摸显示屏，微电脑控制，稳定、可靠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台式结构，水平旋转，蒸气压弹为水平浸入，每350°自动正反回转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有报警功能，蒸气压达到最高点时自动锁存压力并报警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浴温和蒸气压弹内蒸气压力值均数字显示。也可将压力表串联在系统中观察压力表值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针对添加含氧化合物汽油样品的测定，特设计和仪器配套的气体室橡胶塞、液体室橡胶塞，密封气体室、液体室。确保测定过程中气体室、液体室内部干燥无水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可连接LIMS系统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控温点：≥37.8℃≤±0.1℃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压力显示精度： ≤0.01kPa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15.10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蒸气压弹数量：≥2个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15.11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压力校正装置检测范围：≥0 kPa～100kPa或200kPa（两种测量范围）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16</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石油产品烃类测定器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16.1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适用范围：适用于测定石油馏分中饱和烃、烯烃和芳烃的体积分数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16.2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环保安全型结构将操作者与紫外灯隔离，避免了对操作者的伤害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16.3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进口精密吸附柱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16.4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烃类区域界面的标定采用可移动定位指针，准确方便，可有效保护操作者手部不受伤害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16.5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紫外光源：光波长365nm  功率≥40W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16.6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整机功率：≥550W</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16.7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双层压力保护阀，可保证吸附柱不受损坏，连接气路采用快速接头，方便可靠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17</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紫外荧光硫含量测定器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适用范围：石油化工生产、科研及销售企业以及海关、商检、技术监督系统等领域的产品总硫含量的测定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仪器采用国际流行的USB口通信，标准24位数据采集，zui小检测信号小于1微伏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数据随意存放、调阅、打印、并可根据现场数据文件解决遇到的相关问题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光电倍增管（PMT）高压可任意调节，标样曲线校正可采用单点或多点校正，操作简便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仪器的操作界面为无限延伸，没有间断，数据可无限查找。可任意调用任何时间的谱图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样品种类：液体、固体和气体（需配相应的进样器）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77.7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测定方法：紫外荧光法（S）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测定范围：≥0.2mg/L～5000ppm～百分含量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检测下限：≤0.2mg/L（硫元素）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17.10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气源要求：高纯氧气：99.98%以上   高纯氩气：99.98%以上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★17.11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控温范围：≥室温～1300℃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17.12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控温精度：±1℃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18</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玻璃密度计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18.1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10支/组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18.2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范围：0.600-0.650 0.0005 20/4 300±10 </w:t>
            </w:r>
            <w:r>
              <w:rPr>
                <w:rFonts w:hint="eastAsia" w:cs="Arial"/>
                <w:bCs/>
                <w:color w:val="auto"/>
                <w:sz w:val="21"/>
                <w:szCs w:val="21"/>
              </w:rPr>
              <w:br w:type="textWrapping"/>
            </w:r>
            <w:r>
              <w:rPr>
                <w:rFonts w:hint="eastAsia" w:cs="Arial"/>
                <w:bCs/>
                <w:color w:val="auto"/>
                <w:sz w:val="21"/>
                <w:szCs w:val="21"/>
              </w:rPr>
              <w:t>0.650-0.700 0.0005 20/4 300±10 </w:t>
            </w:r>
            <w:r>
              <w:rPr>
                <w:rFonts w:hint="eastAsia" w:cs="Arial"/>
                <w:bCs/>
                <w:color w:val="auto"/>
                <w:sz w:val="21"/>
                <w:szCs w:val="21"/>
              </w:rPr>
              <w:br w:type="textWrapping"/>
            </w:r>
            <w:r>
              <w:rPr>
                <w:rFonts w:hint="eastAsia" w:cs="Arial"/>
                <w:bCs/>
                <w:color w:val="auto"/>
                <w:sz w:val="21"/>
                <w:szCs w:val="21"/>
              </w:rPr>
              <w:t>0.700-0.750 0.0005 20/4 300±10 </w:t>
            </w:r>
            <w:r>
              <w:rPr>
                <w:rFonts w:hint="eastAsia" w:cs="Arial"/>
                <w:bCs/>
                <w:color w:val="auto"/>
                <w:sz w:val="21"/>
                <w:szCs w:val="21"/>
              </w:rPr>
              <w:br w:type="textWrapping"/>
            </w:r>
            <w:r>
              <w:rPr>
                <w:rFonts w:hint="eastAsia" w:cs="Arial"/>
                <w:bCs/>
                <w:color w:val="auto"/>
                <w:sz w:val="21"/>
                <w:szCs w:val="21"/>
              </w:rPr>
              <w:t>0.750-0.800 0.0005 20/4 300±10 </w:t>
            </w:r>
            <w:r>
              <w:rPr>
                <w:rFonts w:hint="eastAsia" w:cs="Arial"/>
                <w:bCs/>
                <w:color w:val="auto"/>
                <w:sz w:val="21"/>
                <w:szCs w:val="21"/>
              </w:rPr>
              <w:br w:type="textWrapping"/>
            </w:r>
            <w:r>
              <w:rPr>
                <w:rFonts w:hint="eastAsia" w:cs="Arial"/>
                <w:bCs/>
                <w:color w:val="auto"/>
                <w:sz w:val="21"/>
                <w:szCs w:val="21"/>
              </w:rPr>
              <w:t>0.800-0.850 0.0005 20/4 300±10 </w:t>
            </w:r>
            <w:r>
              <w:rPr>
                <w:rFonts w:hint="eastAsia" w:cs="Arial"/>
                <w:bCs/>
                <w:color w:val="auto"/>
                <w:sz w:val="21"/>
                <w:szCs w:val="21"/>
              </w:rPr>
              <w:br w:type="textWrapping"/>
            </w:r>
            <w:r>
              <w:rPr>
                <w:rFonts w:hint="eastAsia" w:cs="Arial"/>
                <w:bCs/>
                <w:color w:val="auto"/>
                <w:sz w:val="21"/>
                <w:szCs w:val="21"/>
              </w:rPr>
              <w:t>0.850-0.900 0.0005 20/4 300±10 </w:t>
            </w:r>
            <w:r>
              <w:rPr>
                <w:rFonts w:hint="eastAsia" w:cs="Arial"/>
                <w:bCs/>
                <w:color w:val="auto"/>
                <w:sz w:val="21"/>
                <w:szCs w:val="21"/>
              </w:rPr>
              <w:br w:type="textWrapping"/>
            </w:r>
            <w:r>
              <w:rPr>
                <w:rFonts w:hint="eastAsia" w:cs="Arial"/>
                <w:bCs/>
                <w:color w:val="auto"/>
                <w:sz w:val="21"/>
                <w:szCs w:val="21"/>
              </w:rPr>
              <w:t>0.900-0.950 0.0005 20/4 300±10 </w:t>
            </w:r>
            <w:r>
              <w:rPr>
                <w:rFonts w:hint="eastAsia" w:cs="Arial"/>
                <w:bCs/>
                <w:color w:val="auto"/>
                <w:sz w:val="21"/>
                <w:szCs w:val="21"/>
              </w:rPr>
              <w:br w:type="textWrapping"/>
            </w:r>
            <w:r>
              <w:rPr>
                <w:rFonts w:hint="eastAsia" w:cs="Arial"/>
                <w:bCs/>
                <w:color w:val="auto"/>
                <w:sz w:val="21"/>
                <w:szCs w:val="21"/>
              </w:rPr>
              <w:t>0.950-1.000 0.0005 20/4 300±10 </w:t>
            </w:r>
            <w:r>
              <w:rPr>
                <w:rFonts w:hint="eastAsia" w:cs="Arial"/>
                <w:bCs/>
                <w:color w:val="auto"/>
                <w:sz w:val="21"/>
                <w:szCs w:val="21"/>
              </w:rPr>
              <w:br w:type="textWrapping"/>
            </w:r>
            <w:r>
              <w:rPr>
                <w:rFonts w:hint="eastAsia" w:cs="Arial"/>
                <w:bCs/>
                <w:color w:val="auto"/>
                <w:sz w:val="21"/>
                <w:szCs w:val="21"/>
              </w:rPr>
              <w:t>1.000-1.050 0.0005 20/4 300±10</w:t>
            </w:r>
          </w:p>
          <w:p>
            <w:pPr>
              <w:ind w:firstLine="0" w:firstLineChars="0"/>
              <w:rPr>
                <w:rFonts w:cs="Arial"/>
                <w:bCs/>
                <w:color w:val="auto"/>
                <w:sz w:val="21"/>
                <w:szCs w:val="21"/>
              </w:rPr>
            </w:pPr>
            <w:r>
              <w:rPr>
                <w:rFonts w:hint="eastAsia" w:cs="Arial"/>
                <w:bCs/>
                <w:color w:val="auto"/>
                <w:sz w:val="21"/>
                <w:szCs w:val="21"/>
              </w:rPr>
              <w:t>1.050-1.100 0.0005 20/4 300±10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19</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消解比色一体COD测定仪器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测定项目：COD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测定时间：≤20分钟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测定范围：（20-1500）mg/L （分段）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示值误差：COD浓度＞100mg/L，误差≤±5%；</w:t>
            </w:r>
          </w:p>
          <w:p>
            <w:pPr>
              <w:ind w:firstLine="0" w:firstLineChars="0"/>
              <w:rPr>
                <w:rFonts w:cs="Arial"/>
                <w:bCs/>
                <w:color w:val="auto"/>
                <w:sz w:val="21"/>
                <w:szCs w:val="21"/>
              </w:rPr>
            </w:pPr>
            <w:r>
              <w:rPr>
                <w:rFonts w:hint="eastAsia" w:cs="Arial"/>
                <w:bCs/>
                <w:color w:val="auto"/>
                <w:sz w:val="21"/>
                <w:szCs w:val="21"/>
              </w:rPr>
              <w:t>COD浓度≤100mg/L，误差≤±8%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比色方式：皿比色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批处理量：≥9支水样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重 复 性：≤±3%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光源寿命：≥10万小时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稳 定 性：＜0.005A/20min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19.10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抗氯干扰：[Cl-]＜1000mg/L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19.11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曲线数量：≥20条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19.12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消解时间：≤10min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20</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散射光浊度仪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20.1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最小示值（NTU） 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20.2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测量范围（NTU）0～200、0～800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20.3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示值误差  ±6％（±2.5％F.S）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20.4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重 复 性 ≤0.5％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20.5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零点漂移  ±0.5％F.S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21</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红外分光测油仪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定性方式：红外特征吸收谱图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萃取剂：四氯乙烯、四氯化碳、氟利昂等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方法检出限：≤0.06mg/L油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仪器检出限：≤0.6mg/L石油类标准溶液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样品测量范围：0 ～ 100%油（调整萃取比）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标准溶液量程：0.6～100mg/L石油类标准溶液（4cm石英比色皿）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测量值依据：ρ=X·A2930+Y·A2960+Z·（A3030-A2930÷F）</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标准油品准确度：±8%（50mg/L石油类标准溶液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非标准油品准确度（任意碳氢比）： ±10%（标准8.1要求使用相同校正系数测量20mg/L正十六烷，20mg/L异辛烷和100mg/L笨）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精密度：＜1% （50mg/L石油类标准溶液测量11次）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扫描波数范围：3400cm-1 ～ 2400cm-1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测量波长范围：3200nm ～ 3550nm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吸光度范围：0.00000 ～ 2.00000（AU）对数刻度 （符合朗伯-比尔定律）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吸光度误差：±1%（谱图显示吸光度与带入公式吸光度的误差）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吸光度最小刻度：0.008（AU）、波数2.5 nm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防干扰功能：自动去干扰计算测量结果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溯源功能：不同浓度和油品的比对功能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特征谱图扫描速度：＜ 1分钟/次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21.19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零点稳定度：无漂移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21.20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可使用石英比色皿规格：0.5cm ～ 5cm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★21.21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能量光源：使用专业NC红外光源，可减少杂散光对光路影响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21.22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使用双路稳压电源，极大的提高工作时光源稳定性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★21.23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刻度盘：采用对数刻度盘，符合朗伯比尔定律，测量范围宽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21.24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零点调整：采用机械式零点调整，保证零点的稳定性，淘汰电子实时跟踪的调整零点技术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21.25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满度调整：可随时调整仪器的满度值，确保不同规格的比色皿和不同萃取剂的更换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21.26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测量方法：设有非色散测量、色散测量专有界面，满足在不同标准下使用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萃取装置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21.7.1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萃取时间小于2分钟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21.7.2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萃取数量：同时萃取≥3个样品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21.7.3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最大萃取量：每瓶≥1000ml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21.7.4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加标回收率大于90%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22</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金相显微镜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cs="Arial"/>
                <w:bCs/>
                <w:color w:val="auto"/>
                <w:sz w:val="21"/>
                <w:szCs w:val="21"/>
              </w:rPr>
              <w:t>2</w:t>
            </w:r>
            <w:r>
              <w:rPr>
                <w:rFonts w:hint="eastAsia" w:cs="Arial"/>
                <w:bCs/>
                <w:color w:val="auto"/>
                <w:sz w:val="21"/>
                <w:szCs w:val="21"/>
              </w:rPr>
              <w:t>2.1</w:t>
            </w:r>
          </w:p>
        </w:tc>
        <w:tc>
          <w:tcPr>
            <w:tcW w:w="8726"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显微镜技术规格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cs="Arial"/>
                <w:bCs/>
                <w:color w:val="auto"/>
                <w:sz w:val="21"/>
                <w:szCs w:val="21"/>
              </w:rPr>
              <w:t>2</w:t>
            </w:r>
            <w:r>
              <w:rPr>
                <w:rFonts w:hint="eastAsia" w:cs="Arial"/>
                <w:bCs/>
                <w:color w:val="auto"/>
                <w:sz w:val="21"/>
                <w:szCs w:val="21"/>
              </w:rPr>
              <w:t>2.1.1</w:t>
            </w:r>
          </w:p>
        </w:tc>
        <w:tc>
          <w:tcPr>
            <w:tcW w:w="8726"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机械筒长160mm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cs="Arial"/>
                <w:bCs/>
                <w:color w:val="auto"/>
                <w:sz w:val="21"/>
                <w:szCs w:val="21"/>
              </w:rPr>
              <w:t>2</w:t>
            </w:r>
            <w:r>
              <w:rPr>
                <w:rFonts w:hint="eastAsia" w:cs="Arial"/>
                <w:bCs/>
                <w:color w:val="auto"/>
                <w:sz w:val="21"/>
                <w:szCs w:val="21"/>
              </w:rPr>
              <w:t>2.1.2</w:t>
            </w:r>
          </w:p>
        </w:tc>
        <w:tc>
          <w:tcPr>
            <w:tcW w:w="8726"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无限远金相物镜：  a.放大倍率：5X、10X、20X、50X、b.数值孔径(N.A)：0.12、0.25、0.4、0.60、0.75、0.90、0.80 c.工作距离(mm)：25、11、8、3.8、1.9、0.9、0.85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cs="Arial"/>
                <w:bCs/>
                <w:color w:val="auto"/>
                <w:sz w:val="21"/>
                <w:szCs w:val="21"/>
              </w:rPr>
              <w:t>2</w:t>
            </w:r>
            <w:r>
              <w:rPr>
                <w:rFonts w:hint="eastAsia" w:cs="Arial"/>
                <w:bCs/>
                <w:color w:val="auto"/>
                <w:sz w:val="21"/>
                <w:szCs w:val="21"/>
              </w:rPr>
              <w:t>2.1.3</w:t>
            </w:r>
          </w:p>
        </w:tc>
        <w:tc>
          <w:tcPr>
            <w:tcW w:w="8726"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目  镜:10X  视场直径：φ20mm、φ15mm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cs="Arial"/>
                <w:bCs/>
                <w:color w:val="auto"/>
                <w:sz w:val="21"/>
                <w:szCs w:val="21"/>
              </w:rPr>
              <w:t>2</w:t>
            </w:r>
            <w:r>
              <w:rPr>
                <w:rFonts w:hint="eastAsia" w:cs="Arial"/>
                <w:bCs/>
                <w:color w:val="auto"/>
                <w:sz w:val="21"/>
                <w:szCs w:val="21"/>
              </w:rPr>
              <w:t>2.1.4</w:t>
            </w:r>
          </w:p>
        </w:tc>
        <w:tc>
          <w:tcPr>
            <w:tcW w:w="8726" w:type="dxa"/>
            <w:tcBorders>
              <w:left w:val="single" w:color="auto" w:sz="4" w:space="0"/>
            </w:tcBorders>
          </w:tcPr>
          <w:p>
            <w:pPr>
              <w:ind w:firstLine="0" w:firstLineChars="0"/>
              <w:rPr>
                <w:rFonts w:cs="Arial"/>
                <w:b/>
                <w:color w:val="auto"/>
                <w:sz w:val="21"/>
                <w:szCs w:val="21"/>
              </w:rPr>
            </w:pPr>
            <w:r>
              <w:rPr>
                <w:rFonts w:hint="eastAsia" w:cs="Arial"/>
                <w:bCs/>
                <w:color w:val="auto"/>
                <w:sz w:val="21"/>
                <w:szCs w:val="21"/>
              </w:rPr>
              <w:t>无限远目镜筒放大倍率为≥1×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2.1.5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显微镜总放大倍数：≥50X-500X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2.1.6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双层移动平台，平台尺寸：≥182×151mm，移动范围：≥75×50mm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2.1.7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调焦粗、微动同轴调焦，采用齿轮齿条传动机构，微动格值≤0.002 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2.1.8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照明：透射照明和落射照明，12V30W AC85V-230V亮度可调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标准成像配置参数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2.2.1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适配镜：直径：≥59mm,放大倍率：0.5倍，内调焦距：0～3mm 调焦后可锁紧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2.2.2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摄像机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2.2.2.1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高速USB2.0接口，可达≥480Mb/s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2.2.2.2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灵敏度：≤1V/lux-sec(550nm)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2.2.2.3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像素点尺寸：≤2.2μm x2.2μm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2.2.2.4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白平衡：自动/手动 一键白平衡，帧率：≥40fps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2.2.2.5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图象采集分辨率格式：支持不少于8种格式 较大采集分辨率≥2048×1536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软件功能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2.3.1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图像显示、图像拍摄、录像和图象处理功能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2.3.2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拍摄图片上加定倍标尺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2.3.3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图片可加文字功能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2.3.4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图像与标尺及文字合成并保存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
                <w:color w:val="auto"/>
                <w:sz w:val="21"/>
                <w:szCs w:val="21"/>
              </w:rPr>
              <w:t>2</w:t>
            </w:r>
            <w:r>
              <w:rPr>
                <w:rFonts w:hint="eastAsia" w:cs="Arial"/>
                <w:b/>
                <w:color w:val="auto"/>
                <w:sz w:val="21"/>
                <w:szCs w:val="21"/>
              </w:rPr>
              <w:t>3</w:t>
            </w:r>
          </w:p>
        </w:tc>
        <w:tc>
          <w:tcPr>
            <w:tcW w:w="8726" w:type="dxa"/>
            <w:tcBorders>
              <w:left w:val="single" w:color="auto" w:sz="4" w:space="0"/>
            </w:tcBorders>
          </w:tcPr>
          <w:p>
            <w:pPr>
              <w:ind w:firstLine="0" w:firstLineChars="0"/>
              <w:rPr>
                <w:rFonts w:cs="Arial"/>
                <w:bCs/>
                <w:color w:val="auto"/>
                <w:sz w:val="21"/>
                <w:szCs w:val="21"/>
              </w:rPr>
            </w:pPr>
            <w:r>
              <w:rPr>
                <w:rFonts w:hint="eastAsia" w:cs="Arial"/>
                <w:b/>
                <w:color w:val="auto"/>
                <w:sz w:val="21"/>
                <w:szCs w:val="21"/>
              </w:rPr>
              <w:t>电子天平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可读性 0.1mg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量程 220g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校准 外校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显示器 液晶LCD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数据接口 RS232C标准接口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超级双杠杆单体传感器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内置RS-232C接口，符合GLP标准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四级防震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五面玻璃防风罩，视野清晰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3.10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密度直读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
                <w:color w:val="auto"/>
                <w:sz w:val="21"/>
                <w:szCs w:val="21"/>
              </w:rPr>
              <w:t>2</w:t>
            </w:r>
            <w:r>
              <w:rPr>
                <w:rFonts w:hint="eastAsia" w:cs="Arial"/>
                <w:b/>
                <w:color w:val="auto"/>
                <w:sz w:val="21"/>
                <w:szCs w:val="21"/>
              </w:rPr>
              <w:t>4</w:t>
            </w:r>
          </w:p>
        </w:tc>
        <w:tc>
          <w:tcPr>
            <w:tcW w:w="8726" w:type="dxa"/>
            <w:tcBorders>
              <w:left w:val="single" w:color="auto" w:sz="4" w:space="0"/>
            </w:tcBorders>
          </w:tcPr>
          <w:p>
            <w:pPr>
              <w:ind w:firstLine="0" w:firstLineChars="0"/>
              <w:rPr>
                <w:rFonts w:cs="Arial"/>
                <w:bCs/>
                <w:color w:val="auto"/>
                <w:sz w:val="21"/>
                <w:szCs w:val="21"/>
              </w:rPr>
            </w:pPr>
            <w:r>
              <w:rPr>
                <w:rFonts w:hint="eastAsia" w:cs="Arial"/>
                <w:b/>
                <w:color w:val="auto"/>
                <w:sz w:val="21"/>
                <w:szCs w:val="21"/>
              </w:rPr>
              <w:t>箱式电阻炉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4.1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额定功率（KW）：2.5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2</w:t>
            </w:r>
            <w:r>
              <w:rPr>
                <w:rFonts w:hint="eastAsia" w:cs="Arial"/>
                <w:bCs/>
                <w:color w:val="auto"/>
                <w:sz w:val="21"/>
                <w:szCs w:val="21"/>
              </w:rPr>
              <w:t>4.2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额定温度（℃）≥1200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25</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粘度计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控制/显示方式：彩色触摸屏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转速（r/min）：</w:t>
            </w:r>
            <w:r>
              <w:rPr>
                <w:rFonts w:cs="Arial"/>
                <w:bCs/>
                <w:color w:val="auto"/>
                <w:sz w:val="21"/>
                <w:szCs w:val="21"/>
              </w:rPr>
              <w:t>200种转速，可用于很宽范围的粘度分析。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测量范围：</w:t>
            </w:r>
            <w:r>
              <w:rPr>
                <w:rFonts w:cs="Arial"/>
                <w:bCs/>
                <w:color w:val="auto"/>
                <w:sz w:val="21"/>
                <w:szCs w:val="21"/>
              </w:rPr>
              <w:t>15cp-6 McP。</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标准转子测试样品量：</w:t>
            </w:r>
            <w:r>
              <w:rPr>
                <w:rFonts w:cs="Arial"/>
                <w:bCs/>
                <w:color w:val="auto"/>
                <w:sz w:val="21"/>
                <w:szCs w:val="21"/>
              </w:rPr>
              <w:t>300-500</w:t>
            </w:r>
            <w:r>
              <w:rPr>
                <w:rFonts w:hint="eastAsia" w:cs="Arial"/>
                <w:bCs/>
                <w:color w:val="auto"/>
                <w:sz w:val="21"/>
                <w:szCs w:val="21"/>
              </w:rPr>
              <w:t>ml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测量误差（牛顿液体）：±1%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重复误差（牛顿液体）：±0.5%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w:t>
            </w:r>
            <w:r>
              <w:rPr>
                <w:rFonts w:hint="eastAsia" w:cs="Arial"/>
                <w:bCs/>
                <w:color w:val="auto"/>
                <w:sz w:val="21"/>
                <w:szCs w:val="21"/>
              </w:rPr>
              <w:t>25.7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自动扫描功能：可自动量程显示当前转子及转速组合下得最大测量粘度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cs="Arial"/>
                <w:bCs/>
                <w:color w:val="auto"/>
                <w:sz w:val="21"/>
                <w:szCs w:val="21"/>
              </w:rPr>
              <w:t>*</w:t>
            </w:r>
            <w:r>
              <w:rPr>
                <w:rFonts w:hint="eastAsia" w:cs="Arial"/>
                <w:bCs/>
                <w:color w:val="auto"/>
                <w:sz w:val="21"/>
                <w:szCs w:val="21"/>
              </w:rPr>
              <w:t>25.8</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自建测量程序：电脑和软件可实现对仪器自动控制及数据采集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25.9</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保存测量结果：可以检测样品的粘度值</w:t>
            </w:r>
            <w:r>
              <w:rPr>
                <w:rFonts w:cs="Arial"/>
                <w:bCs/>
                <w:color w:val="auto"/>
                <w:sz w:val="21"/>
                <w:szCs w:val="21"/>
              </w:rPr>
              <w:t xml:space="preserve"> ，在内置显示屏上浏览结果 显示信息：粘度、温度、%扭矩值。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25.10</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粘度曲线：具有连续感应和显示的粘度仪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w:t>
            </w:r>
            <w:r>
              <w:rPr>
                <w:rFonts w:cs="Arial"/>
                <w:bCs/>
                <w:color w:val="auto"/>
                <w:sz w:val="21"/>
                <w:szCs w:val="21"/>
              </w:rPr>
              <w:t>5.11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数据处理：可进行数据分析，定时测量，数据平均，可编程</w:t>
            </w:r>
            <w:r>
              <w:rPr>
                <w:rFonts w:cs="Arial"/>
                <w:bCs/>
                <w:color w:val="auto"/>
                <w:sz w:val="21"/>
                <w:szCs w:val="21"/>
              </w:rPr>
              <w:t>QC上下</w:t>
            </w:r>
            <w:r>
              <w:rPr>
                <w:rFonts w:hint="eastAsia" w:cs="Arial"/>
                <w:bCs/>
                <w:color w:val="auto"/>
                <w:sz w:val="21"/>
                <w:szCs w:val="21"/>
              </w:rPr>
              <w:t>限。可自定义测试程序并上传至主机中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
                <w:color w:val="auto"/>
                <w:sz w:val="21"/>
                <w:szCs w:val="21"/>
              </w:rPr>
            </w:pPr>
            <w:r>
              <w:rPr>
                <w:rFonts w:hint="eastAsia" w:cs="Arial"/>
                <w:b/>
                <w:color w:val="auto"/>
                <w:sz w:val="21"/>
                <w:szCs w:val="21"/>
              </w:rPr>
              <w:t>26</w:t>
            </w:r>
          </w:p>
        </w:tc>
        <w:tc>
          <w:tcPr>
            <w:tcW w:w="8726" w:type="dxa"/>
            <w:tcBorders>
              <w:left w:val="single" w:color="auto" w:sz="4" w:space="0"/>
            </w:tcBorders>
          </w:tcPr>
          <w:p>
            <w:pPr>
              <w:ind w:firstLine="0" w:firstLineChars="0"/>
              <w:rPr>
                <w:rFonts w:cs="Arial"/>
                <w:b/>
                <w:color w:val="auto"/>
                <w:sz w:val="21"/>
                <w:szCs w:val="21"/>
              </w:rPr>
            </w:pPr>
            <w:r>
              <w:rPr>
                <w:rFonts w:hint="eastAsia" w:cs="Arial"/>
                <w:b/>
                <w:color w:val="auto"/>
                <w:sz w:val="21"/>
                <w:szCs w:val="21"/>
              </w:rPr>
              <w:t>恒温槽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261</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温度范围(℃)：-5～100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26.2</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温度波动度(℃)：±0.05(水或者纯酒精在25℃时)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26.3</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容量(L)：7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26.4</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开口尺寸(mm)：φ70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26.5</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泵循环方式：内、外循环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26.6</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泵流量(L/min)：泵流量(L/min)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9" w:hRule="atLeast"/>
        </w:trPr>
        <w:tc>
          <w:tcPr>
            <w:tcW w:w="1315" w:type="dxa"/>
            <w:tcBorders>
              <w:left w:val="double" w:color="auto" w:sz="4" w:space="0"/>
            </w:tcBorders>
            <w:vAlign w:val="center"/>
          </w:tcPr>
          <w:p>
            <w:pPr>
              <w:ind w:firstLine="0" w:firstLineChars="0"/>
              <w:jc w:val="center"/>
              <w:rPr>
                <w:rFonts w:cs="Arial"/>
                <w:bCs/>
                <w:color w:val="auto"/>
                <w:sz w:val="21"/>
                <w:szCs w:val="21"/>
              </w:rPr>
            </w:pPr>
            <w:r>
              <w:rPr>
                <w:rFonts w:hint="eastAsia" w:cs="Arial"/>
                <w:bCs/>
                <w:color w:val="auto"/>
                <w:sz w:val="21"/>
                <w:szCs w:val="21"/>
              </w:rPr>
              <w:t>26.7</w:t>
            </w:r>
          </w:p>
        </w:tc>
        <w:tc>
          <w:tcPr>
            <w:tcW w:w="8726" w:type="dxa"/>
            <w:tcBorders>
              <w:left w:val="single" w:color="auto" w:sz="4" w:space="0"/>
            </w:tcBorders>
          </w:tcPr>
          <w:p>
            <w:pPr>
              <w:ind w:firstLine="0" w:firstLineChars="0"/>
              <w:rPr>
                <w:rFonts w:cs="Arial"/>
                <w:bCs/>
                <w:color w:val="auto"/>
                <w:sz w:val="21"/>
                <w:szCs w:val="21"/>
              </w:rPr>
            </w:pPr>
            <w:r>
              <w:rPr>
                <w:rFonts w:hint="eastAsia" w:cs="Arial"/>
                <w:bCs/>
                <w:color w:val="auto"/>
                <w:sz w:val="21"/>
                <w:szCs w:val="21"/>
              </w:rPr>
              <w:t>制冷方式：压缩机</w:t>
            </w:r>
          </w:p>
        </w:tc>
      </w:tr>
    </w:tbl>
    <w:p>
      <w:pPr>
        <w:ind w:firstLine="480"/>
        <w:rPr>
          <w:color w:val="auto"/>
        </w:rPr>
      </w:pPr>
      <w:r>
        <w:rPr>
          <w:rFonts w:hint="eastAsia"/>
          <w:color w:val="auto"/>
        </w:rPr>
        <w:br w:type="page"/>
      </w:r>
    </w:p>
    <w:p>
      <w:pPr>
        <w:pStyle w:val="4"/>
        <w:rPr>
          <w:rFonts w:cs="宋体"/>
          <w:color w:val="auto"/>
          <w:sz w:val="36"/>
          <w:szCs w:val="36"/>
        </w:rPr>
      </w:pPr>
      <w:r>
        <w:rPr>
          <w:rFonts w:hint="eastAsia" w:cs="宋体"/>
          <w:color w:val="auto"/>
          <w:sz w:val="36"/>
          <w:szCs w:val="36"/>
        </w:rPr>
        <w:t>第三章 投标人须知</w:t>
      </w:r>
      <w:bookmarkEnd w:id="39"/>
      <w:bookmarkEnd w:id="40"/>
    </w:p>
    <w:p>
      <w:pPr>
        <w:pStyle w:val="5"/>
        <w:jc w:val="center"/>
        <w:rPr>
          <w:rFonts w:cs="宋体"/>
          <w:color w:val="auto"/>
        </w:rPr>
      </w:pPr>
      <w:bookmarkStart w:id="41" w:name="_Toc21699"/>
      <w:bookmarkStart w:id="42" w:name="_Toc452457413"/>
      <w:bookmarkStart w:id="43" w:name="_Toc8778"/>
      <w:bookmarkStart w:id="44" w:name="_Toc12845"/>
      <w:bookmarkStart w:id="45" w:name="_Toc2290"/>
      <w:r>
        <w:rPr>
          <w:rFonts w:hint="eastAsia" w:cs="宋体"/>
          <w:color w:val="auto"/>
        </w:rPr>
        <w:t>前 附 表</w:t>
      </w:r>
      <w:bookmarkEnd w:id="41"/>
      <w:bookmarkEnd w:id="42"/>
      <w:bookmarkEnd w:id="43"/>
      <w:bookmarkEnd w:id="44"/>
      <w:bookmarkEnd w:id="45"/>
    </w:p>
    <w:p>
      <w:pPr>
        <w:pStyle w:val="12"/>
        <w:ind w:firstLine="0" w:firstLineChars="0"/>
        <w:rPr>
          <w:rFonts w:ascii="宋体" w:eastAsia="宋体" w:cs="宋体"/>
          <w:color w:val="auto"/>
        </w:rPr>
      </w:pPr>
    </w:p>
    <w:tbl>
      <w:tblPr>
        <w:tblStyle w:val="46"/>
        <w:tblW w:w="956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944"/>
        <w:gridCol w:w="6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946" w:type="dxa"/>
            <w:vAlign w:val="center"/>
          </w:tcPr>
          <w:p>
            <w:pPr>
              <w:adjustRightInd w:val="0"/>
              <w:snapToGrid w:val="0"/>
              <w:spacing w:line="240" w:lineRule="auto"/>
              <w:ind w:firstLine="0" w:firstLineChars="0"/>
              <w:jc w:val="center"/>
              <w:rPr>
                <w:rFonts w:cs="宋体"/>
                <w:color w:val="auto"/>
              </w:rPr>
            </w:pPr>
            <w:r>
              <w:rPr>
                <w:rFonts w:hint="eastAsia" w:cs="宋体"/>
                <w:color w:val="auto"/>
              </w:rPr>
              <w:t>序号</w:t>
            </w:r>
          </w:p>
        </w:tc>
        <w:tc>
          <w:tcPr>
            <w:tcW w:w="1944" w:type="dxa"/>
            <w:vAlign w:val="center"/>
          </w:tcPr>
          <w:p>
            <w:pPr>
              <w:adjustRightInd w:val="0"/>
              <w:snapToGrid w:val="0"/>
              <w:spacing w:line="240" w:lineRule="auto"/>
              <w:ind w:firstLine="0" w:firstLineChars="0"/>
              <w:jc w:val="center"/>
              <w:rPr>
                <w:rFonts w:cs="宋体"/>
                <w:color w:val="auto"/>
                <w:lang w:val="zh-CN"/>
              </w:rPr>
            </w:pPr>
            <w:r>
              <w:rPr>
                <w:rFonts w:hint="eastAsia" w:cs="宋体"/>
                <w:color w:val="auto"/>
                <w:lang w:val="zh-CN"/>
              </w:rPr>
              <w:t>事项</w:t>
            </w:r>
          </w:p>
        </w:tc>
        <w:tc>
          <w:tcPr>
            <w:tcW w:w="6670" w:type="dxa"/>
            <w:vAlign w:val="center"/>
          </w:tcPr>
          <w:p>
            <w:pPr>
              <w:adjustRightInd w:val="0"/>
              <w:snapToGrid w:val="0"/>
              <w:spacing w:line="240" w:lineRule="auto"/>
              <w:ind w:firstLine="0" w:firstLineChars="0"/>
              <w:jc w:val="center"/>
              <w:rPr>
                <w:rFonts w:cs="宋体"/>
                <w:color w:val="auto"/>
                <w:lang w:val="zh-CN"/>
              </w:rPr>
            </w:pPr>
            <w:r>
              <w:rPr>
                <w:rFonts w:hint="eastAsia" w:cs="宋体"/>
                <w:color w:val="auto"/>
                <w:lang w:val="zh-CN"/>
              </w:rPr>
              <w:t>本项目的特别规定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项目概况</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采购人：浙江海洋大学</w:t>
            </w:r>
          </w:p>
          <w:p>
            <w:pPr>
              <w:adjustRightInd w:val="0"/>
              <w:snapToGrid w:val="0"/>
              <w:spacing w:line="240" w:lineRule="auto"/>
              <w:ind w:firstLine="0" w:firstLineChars="0"/>
              <w:rPr>
                <w:rFonts w:cs="宋体"/>
                <w:color w:val="auto"/>
              </w:rPr>
            </w:pPr>
            <w:r>
              <w:rPr>
                <w:rFonts w:hint="eastAsia" w:cs="宋体"/>
                <w:color w:val="auto"/>
              </w:rPr>
              <w:t>项目名称：浙江海洋大学油气储运工程教学实验平台建设项目</w:t>
            </w:r>
          </w:p>
          <w:p>
            <w:pPr>
              <w:adjustRightInd w:val="0"/>
              <w:snapToGrid w:val="0"/>
              <w:spacing w:line="240" w:lineRule="auto"/>
              <w:ind w:firstLine="0" w:firstLineChars="0"/>
              <w:rPr>
                <w:rFonts w:cs="宋体"/>
                <w:color w:val="auto"/>
              </w:rPr>
            </w:pPr>
            <w:r>
              <w:rPr>
                <w:rFonts w:hint="eastAsia" w:cs="宋体"/>
                <w:color w:val="auto"/>
              </w:rPr>
              <w:t>招标编号：ZJWS-20210145HY</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采购方式及评标办法</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经批准或确认的本次采购方式：公开招标</w:t>
            </w:r>
          </w:p>
          <w:p>
            <w:pPr>
              <w:adjustRightInd w:val="0"/>
              <w:snapToGrid w:val="0"/>
              <w:spacing w:line="240" w:lineRule="auto"/>
              <w:ind w:firstLine="0" w:firstLineChars="0"/>
              <w:rPr>
                <w:rFonts w:cs="宋体"/>
                <w:color w:val="auto"/>
              </w:rPr>
            </w:pPr>
            <w:r>
              <w:rPr>
                <w:rFonts w:hint="eastAsia" w:cs="宋体"/>
                <w:color w:val="auto"/>
              </w:rPr>
              <w:t>评标办法：综合评分法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spacing w:line="240" w:lineRule="auto"/>
              <w:ind w:firstLine="0" w:firstLineChars="0"/>
              <w:jc w:val="center"/>
              <w:rPr>
                <w:rFonts w:cs="宋体"/>
                <w:color w:val="auto"/>
              </w:rPr>
            </w:pPr>
            <w:r>
              <w:rPr>
                <w:rFonts w:hint="eastAsia" w:cs="宋体"/>
                <w:color w:val="auto"/>
              </w:rPr>
              <w:t>投标文件编制</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资格证明文件和报价文件、商务技术文件分别单独装订成册。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投标文件份数</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1.纸质版：正本一份，副本四份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▲投标有效期</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从提交投标文件的截止之日起90天。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现场踏勘/样品/演示</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现场踏勘：□ 组织；☑ 不组织</w:t>
            </w:r>
          </w:p>
          <w:p>
            <w:pPr>
              <w:adjustRightInd w:val="0"/>
              <w:snapToGrid w:val="0"/>
              <w:spacing w:line="240" w:lineRule="auto"/>
              <w:ind w:firstLine="0" w:firstLineChars="0"/>
              <w:rPr>
                <w:rFonts w:cs="宋体"/>
                <w:color w:val="auto"/>
              </w:rPr>
            </w:pPr>
            <w:r>
              <w:rPr>
                <w:rFonts w:hint="eastAsia" w:cs="宋体"/>
                <w:color w:val="auto"/>
              </w:rPr>
              <w:t>样品：□ 提供；☑ 不提供</w:t>
            </w:r>
          </w:p>
          <w:p>
            <w:pPr>
              <w:adjustRightInd w:val="0"/>
              <w:snapToGrid w:val="0"/>
              <w:spacing w:line="240" w:lineRule="auto"/>
              <w:ind w:firstLine="0" w:firstLineChars="0"/>
              <w:rPr>
                <w:rFonts w:cs="宋体"/>
                <w:color w:val="auto"/>
              </w:rPr>
            </w:pPr>
            <w:r>
              <w:rPr>
                <w:rFonts w:hint="eastAsia" w:cs="宋体"/>
                <w:color w:val="auto"/>
              </w:rPr>
              <w:t>演示：□ 提供；☑ 不提供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信息公告及评标结果公告媒体</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浙江政府采购网（http://zfcg.czt.zj.gov.cn）、浙江五石工程咨询有限公司官网：（http://zjwsbidding.com/）上发布。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4" w:hRule="atLeast"/>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报价要求</w:t>
            </w:r>
          </w:p>
        </w:tc>
        <w:tc>
          <w:tcPr>
            <w:tcW w:w="6670" w:type="dxa"/>
            <w:vAlign w:val="center"/>
          </w:tcPr>
          <w:p>
            <w:pPr>
              <w:adjustRightInd w:val="0"/>
              <w:snapToGrid w:val="0"/>
              <w:spacing w:line="240" w:lineRule="auto"/>
              <w:ind w:firstLine="0" w:firstLineChars="0"/>
              <w:rPr>
                <w:color w:val="auto"/>
              </w:rPr>
            </w:pPr>
            <w:r>
              <w:rPr>
                <w:rFonts w:hint="eastAsia"/>
                <w:color w:val="auto"/>
              </w:rPr>
              <w:t>1.总价，人民币报价；</w:t>
            </w:r>
          </w:p>
          <w:p>
            <w:pPr>
              <w:adjustRightInd w:val="0"/>
              <w:snapToGrid w:val="0"/>
              <w:spacing w:line="240" w:lineRule="auto"/>
              <w:ind w:firstLine="0" w:firstLineChars="0"/>
              <w:rPr>
                <w:color w:val="auto"/>
              </w:rPr>
            </w:pPr>
            <w:r>
              <w:rPr>
                <w:rFonts w:hint="eastAsia"/>
                <w:color w:val="auto"/>
              </w:rPr>
              <w:t>2.报价内容：本项目为交钥匙价，报价应包含按要求完成本项目的所有费用，包含但不仅限于项目实施所需的软件、硬件、附件、备品备件等费用，以及本项目在实施过程中涉及的专用工具、安装、调试、检验、培训、技术服务、运杂、保险费、税金、验收检定、首次第三方计量/验收的费用供应商认为需要的所有费用。中标价格一经确定，除采购单位要求的追加或变动项目外，不再另行支付任何费用。采购文件未列明，而投标人认为必需的费用也需列入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jc w:val="center"/>
              <w:rPr>
                <w:rFonts w:cs="宋体"/>
                <w:color w:val="auto"/>
              </w:rPr>
            </w:pPr>
            <w:r>
              <w:rPr>
                <w:rFonts w:hint="eastAsia" w:cs="宋体"/>
                <w:color w:val="auto"/>
              </w:rPr>
              <w:t>合同签订</w:t>
            </w:r>
          </w:p>
        </w:tc>
        <w:tc>
          <w:tcPr>
            <w:tcW w:w="667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ind w:firstLine="0" w:firstLineChars="0"/>
              <w:rPr>
                <w:rFonts w:cs="宋体"/>
                <w:color w:val="auto"/>
              </w:rPr>
            </w:pPr>
            <w:r>
              <w:rPr>
                <w:rFonts w:hint="eastAsia" w:cs="宋体"/>
                <w:color w:val="auto"/>
              </w:rPr>
              <w:t>中标通知书发出后30日内，中标供应商持中标通知书与采购人签订合同。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采购机构代理费用</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1.参照国家发改委发改办价格[2003]857号通知和原国家计[2002]1980号文件规定的招标费率标准，按照成交通知书确定的金额0.5%，向中标人收取招标代理服务费。服务费须包含在总报价中，并以人民币方式支付。</w:t>
            </w:r>
          </w:p>
          <w:p>
            <w:pPr>
              <w:adjustRightInd w:val="0"/>
              <w:snapToGrid w:val="0"/>
              <w:spacing w:line="240" w:lineRule="auto"/>
              <w:ind w:firstLine="0" w:firstLineChars="0"/>
              <w:rPr>
                <w:rFonts w:cs="宋体"/>
                <w:color w:val="auto"/>
              </w:rPr>
            </w:pPr>
            <w:r>
              <w:rPr>
                <w:rFonts w:hint="eastAsia" w:cs="宋体"/>
                <w:color w:val="auto"/>
              </w:rPr>
              <w:t>2.中标人在领取中标通知书后应向招标代理机构交纳招标代理服务费。</w:t>
            </w:r>
          </w:p>
          <w:p>
            <w:pPr>
              <w:adjustRightInd w:val="0"/>
              <w:snapToGrid w:val="0"/>
              <w:spacing w:line="240" w:lineRule="auto"/>
              <w:ind w:firstLine="0" w:firstLineChars="0"/>
              <w:rPr>
                <w:rFonts w:cs="宋体"/>
                <w:color w:val="auto"/>
              </w:rPr>
            </w:pPr>
            <w:r>
              <w:rPr>
                <w:rFonts w:hint="eastAsia" w:cs="宋体"/>
                <w:color w:val="auto"/>
              </w:rPr>
              <w:t>3.招标代理服务费以现金或电汇方式支付。</w:t>
            </w:r>
          </w:p>
          <w:p>
            <w:pPr>
              <w:adjustRightInd w:val="0"/>
              <w:snapToGrid w:val="0"/>
              <w:spacing w:line="240" w:lineRule="auto"/>
              <w:ind w:firstLine="0" w:firstLineChars="0"/>
              <w:rPr>
                <w:rFonts w:cs="宋体"/>
                <w:color w:val="auto"/>
              </w:rPr>
            </w:pPr>
            <w:r>
              <w:rPr>
                <w:rFonts w:hint="eastAsia" w:cs="宋体"/>
                <w:color w:val="auto"/>
              </w:rPr>
              <w:t>户名：浙江五石工程咨询有限公司宁波分公司</w:t>
            </w:r>
          </w:p>
          <w:p>
            <w:pPr>
              <w:adjustRightInd w:val="0"/>
              <w:snapToGrid w:val="0"/>
              <w:spacing w:line="240" w:lineRule="auto"/>
              <w:ind w:firstLine="0" w:firstLineChars="0"/>
              <w:rPr>
                <w:rFonts w:cs="宋体"/>
                <w:color w:val="auto"/>
              </w:rPr>
            </w:pPr>
            <w:r>
              <w:rPr>
                <w:rFonts w:hint="eastAsia" w:cs="宋体"/>
                <w:color w:val="auto"/>
              </w:rPr>
              <w:t>开户银行：中国建设银行宁波市段塘支行</w:t>
            </w:r>
          </w:p>
          <w:p>
            <w:pPr>
              <w:adjustRightInd w:val="0"/>
              <w:snapToGrid w:val="0"/>
              <w:spacing w:line="240" w:lineRule="auto"/>
              <w:ind w:firstLine="0" w:firstLineChars="0"/>
              <w:rPr>
                <w:rFonts w:cs="宋体"/>
                <w:color w:val="auto"/>
              </w:rPr>
            </w:pPr>
            <w:r>
              <w:rPr>
                <w:rFonts w:hint="eastAsia" w:cs="宋体"/>
                <w:color w:val="auto"/>
              </w:rPr>
              <w:t>账号：33101984336050506455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中标后注意事项</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1.若中标人未在约定时间内支付招标代理服务费，从逾期之日起按日利率千分之一承担违约金。</w:t>
            </w:r>
          </w:p>
          <w:p>
            <w:pPr>
              <w:adjustRightInd w:val="0"/>
              <w:snapToGrid w:val="0"/>
              <w:spacing w:line="240" w:lineRule="auto"/>
              <w:ind w:firstLine="0" w:firstLineChars="0"/>
              <w:rPr>
                <w:rFonts w:cs="宋体"/>
                <w:color w:val="auto"/>
              </w:rPr>
            </w:pPr>
            <w:r>
              <w:rPr>
                <w:rFonts w:hint="eastAsia" w:cs="宋体"/>
                <w:color w:val="auto"/>
              </w:rPr>
              <w:t>2.若中标人未按上述规定办理，需承担招标代理机构为实现债权的所有费用（包括但不限于律师费、催讨车旅费、保全担保费等）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投标保证金</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其他说明</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lang w:val="zh-CN"/>
              </w:rPr>
              <w:t>带“</w:t>
            </w:r>
            <w:r>
              <w:rPr>
                <w:rFonts w:hint="eastAsia" w:cs="宋体"/>
                <w:color w:val="auto"/>
              </w:rPr>
              <w:t>▲”的条款是实质性条款，投标文件须作出实质性响应，否则作无效投标处理。</w:t>
            </w:r>
          </w:p>
          <w:p>
            <w:pPr>
              <w:adjustRightInd w:val="0"/>
              <w:snapToGrid w:val="0"/>
              <w:spacing w:line="240" w:lineRule="auto"/>
              <w:ind w:firstLine="0" w:firstLineChars="0"/>
              <w:rPr>
                <w:rFonts w:cs="宋体"/>
                <w:color w:val="auto"/>
              </w:rPr>
            </w:pPr>
            <w:r>
              <w:rPr>
                <w:rFonts w:hint="eastAsia" w:cs="宋体"/>
                <w:color w:val="auto"/>
              </w:rPr>
              <w:t>中标后，供应商拒绝签订合同的，采购人可以按照评审报告推荐的中标候选人名单排序，确定下一候选人为中标供应商，也可以重新开展政府采购活动。</w:t>
            </w:r>
          </w:p>
          <w:p>
            <w:pPr>
              <w:adjustRightInd w:val="0"/>
              <w:snapToGrid w:val="0"/>
              <w:spacing w:line="240" w:lineRule="auto"/>
              <w:ind w:firstLine="0" w:firstLineChars="0"/>
              <w:rPr>
                <w:rFonts w:cs="宋体"/>
                <w:color w:val="auto"/>
              </w:rPr>
            </w:pPr>
            <w:r>
              <w:rPr>
                <w:rFonts w:hint="eastAsia" w:cs="宋体"/>
                <w:color w:val="auto"/>
              </w:rPr>
              <w:t>存在下列行为的，招标代理机构将其失信行为上报政府采购主管部门，由主管部门按有关规定对其违法失信行为记录进行公开：</w:t>
            </w:r>
          </w:p>
          <w:p>
            <w:pPr>
              <w:adjustRightInd w:val="0"/>
              <w:snapToGrid w:val="0"/>
              <w:spacing w:line="240" w:lineRule="auto"/>
              <w:ind w:firstLine="0" w:firstLineChars="0"/>
              <w:rPr>
                <w:rFonts w:cs="宋体"/>
                <w:color w:val="auto"/>
              </w:rPr>
            </w:pPr>
            <w:r>
              <w:rPr>
                <w:rFonts w:hint="eastAsia" w:cs="宋体"/>
                <w:color w:val="auto"/>
              </w:rPr>
              <w:t>（1）中标或者成交后，拒绝签订政府采购合同的；</w:t>
            </w:r>
          </w:p>
          <w:p>
            <w:pPr>
              <w:adjustRightInd w:val="0"/>
              <w:snapToGrid w:val="0"/>
              <w:spacing w:line="240" w:lineRule="auto"/>
              <w:ind w:firstLine="0" w:firstLineChars="0"/>
              <w:rPr>
                <w:rFonts w:cs="宋体"/>
                <w:color w:val="auto"/>
              </w:rPr>
            </w:pPr>
            <w:r>
              <w:rPr>
                <w:rFonts w:hint="eastAsia" w:cs="宋体"/>
                <w:color w:val="auto"/>
              </w:rPr>
              <w:t>（2）投标有效期内撤销投标文件的。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jc w:val="center"/>
              <w:rPr>
                <w:rFonts w:cs="宋体"/>
                <w:color w:val="auto"/>
              </w:rPr>
            </w:pPr>
            <w:r>
              <w:rPr>
                <w:rFonts w:hint="eastAsia" w:cs="宋体"/>
                <w:color w:val="auto"/>
              </w:rPr>
              <w:t>质疑与投诉：</w:t>
            </w: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质疑：根据《政府采购法》第五十二条的规定，投标人认为招标文件、采购过程和中标、成交结果使自己的权益受到损害的，可以在知道或者应知其权益受到损害之日起七个工作日内，以书面形式向采购人、招标代理机构提出质疑（格式详见附件）。联系人：毛先生0574-87208097</w:t>
            </w:r>
          </w:p>
          <w:p>
            <w:pPr>
              <w:adjustRightInd w:val="0"/>
              <w:snapToGrid w:val="0"/>
              <w:spacing w:line="240" w:lineRule="auto"/>
              <w:ind w:firstLine="0" w:firstLineChars="0"/>
              <w:rPr>
                <w:rFonts w:cs="宋体"/>
                <w:color w:val="auto"/>
              </w:rPr>
            </w:pPr>
            <w:r>
              <w:rPr>
                <w:rFonts w:hint="eastAsia" w:cs="宋体"/>
                <w:color w:val="auto"/>
              </w:rPr>
              <w:t>质疑起算日期：1、对采购公告信息（含投标人资格条件）提出质疑的，质疑期限自采购公告发布之日起计算。2、对招标文件提出质疑的，质疑期限自投标人获得招标文件之日起计算。（发售截止日之后报名的供应商，质疑起算日期以发售截止日起计算）3、对招标过程提出质疑的，为各招标程序环节结束之日。否则，被质疑人可不予接受。4、对采购结果提出质疑的，质疑期限自采购结果公告（包括公示、预公告、结果变更公告等）之日起计算。</w:t>
            </w:r>
          </w:p>
          <w:p>
            <w:pPr>
              <w:adjustRightInd w:val="0"/>
              <w:snapToGrid w:val="0"/>
              <w:spacing w:line="240" w:lineRule="auto"/>
              <w:ind w:firstLine="0" w:firstLineChars="0"/>
              <w:rPr>
                <w:rFonts w:cs="宋体"/>
                <w:color w:val="auto"/>
              </w:rPr>
            </w:pPr>
            <w:r>
              <w:rPr>
                <w:rFonts w:hint="eastAsia" w:cs="宋体"/>
                <w:color w:val="auto"/>
              </w:rPr>
              <w:t>质疑人可以采取直接递交、传真或邮寄方式提交质疑书（一式三份以上）。以其他方式提出的质疑，被质疑人可不予接受、答复。采取邮寄方式送达质疑书的，以邮件注明的收件人实际收到邮件之日作为收到质疑的日期。采取传真方式送达质疑书的，质疑人应当取得被质疑人确认收到传真的意见，并及时将质疑书原件送达被质疑人。被质疑人可以实际收到原件之日作为收到质疑的日期。</w:t>
            </w:r>
          </w:p>
          <w:p>
            <w:pPr>
              <w:adjustRightInd w:val="0"/>
              <w:snapToGrid w:val="0"/>
              <w:spacing w:line="240" w:lineRule="auto"/>
              <w:ind w:firstLine="0" w:firstLineChars="0"/>
              <w:rPr>
                <w:rFonts w:cs="宋体"/>
                <w:color w:val="auto"/>
              </w:rPr>
            </w:pPr>
            <w:r>
              <w:rPr>
                <w:rFonts w:hint="eastAsia" w:cs="宋体"/>
                <w:color w:val="auto"/>
              </w:rPr>
              <w:t>投诉：根据《政府采购法》第五十五条的规定，质疑投标人对采购人、招标代理机构的答复不满意或者采购人、招标代理机构未在规定的时间内作出答复的，可以在答复期满后十五个工作日内向同级政府采购监督管理部门投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6" w:type="dxa"/>
            <w:vAlign w:val="center"/>
          </w:tcPr>
          <w:p>
            <w:pPr>
              <w:numPr>
                <w:ilvl w:val="0"/>
                <w:numId w:val="6"/>
              </w:numPr>
              <w:adjustRightInd w:val="0"/>
              <w:snapToGrid w:val="0"/>
              <w:spacing w:line="240" w:lineRule="auto"/>
              <w:ind w:firstLine="213" w:firstLineChars="89"/>
              <w:jc w:val="center"/>
              <w:rPr>
                <w:rFonts w:cs="宋体"/>
                <w:color w:val="auto"/>
              </w:rPr>
            </w:pPr>
          </w:p>
        </w:tc>
        <w:tc>
          <w:tcPr>
            <w:tcW w:w="1944" w:type="dxa"/>
            <w:vAlign w:val="center"/>
          </w:tcPr>
          <w:p>
            <w:pPr>
              <w:adjustRightInd w:val="0"/>
              <w:snapToGrid w:val="0"/>
              <w:spacing w:line="240" w:lineRule="auto"/>
              <w:ind w:firstLine="0" w:firstLineChars="0"/>
              <w:rPr>
                <w:rFonts w:cs="宋体"/>
                <w:color w:val="auto"/>
              </w:rPr>
            </w:pPr>
            <w:r>
              <w:rPr>
                <w:rFonts w:hint="eastAsia" w:cs="宋体"/>
                <w:color w:val="auto"/>
              </w:rPr>
              <w:t>落实的政策</w:t>
            </w:r>
          </w:p>
          <w:p>
            <w:pPr>
              <w:adjustRightInd w:val="0"/>
              <w:snapToGrid w:val="0"/>
              <w:spacing w:line="240" w:lineRule="auto"/>
              <w:ind w:firstLine="0" w:firstLineChars="0"/>
              <w:rPr>
                <w:rFonts w:cs="宋体"/>
                <w:color w:val="auto"/>
              </w:rPr>
            </w:pPr>
          </w:p>
        </w:tc>
        <w:tc>
          <w:tcPr>
            <w:tcW w:w="6670" w:type="dxa"/>
            <w:vAlign w:val="center"/>
          </w:tcPr>
          <w:p>
            <w:pPr>
              <w:adjustRightInd w:val="0"/>
              <w:snapToGrid w:val="0"/>
              <w:spacing w:line="240" w:lineRule="auto"/>
              <w:ind w:firstLine="0" w:firstLineChars="0"/>
              <w:rPr>
                <w:rFonts w:cs="宋体"/>
                <w:color w:val="auto"/>
              </w:rPr>
            </w:pPr>
            <w:r>
              <w:rPr>
                <w:rFonts w:hint="eastAsia" w:cs="宋体"/>
                <w:color w:val="auto"/>
              </w:rPr>
              <w:t>《政府采购促进中小企业发展管理办法》（财库〔2020〕46号）、《政府采购促进中小企业发展暂行办法》（财库[2011]181号）、《关于政府采购支持监狱企业发展有关问题的通知》(财库[2014]68号)、《关于环境标志产品政府采购实施的意见》（财库〔2006〕90号、《节能产品政府采购实施意见》的通知（财库〔2004〕185号）。</w:t>
            </w:r>
          </w:p>
        </w:tc>
      </w:tr>
    </w:tbl>
    <w:p>
      <w:pPr>
        <w:pStyle w:val="5"/>
        <w:jc w:val="center"/>
        <w:rPr>
          <w:rFonts w:cs="宋体"/>
          <w:color w:val="auto"/>
        </w:rPr>
        <w:sectPr>
          <w:footerReference r:id="rId13" w:type="default"/>
          <w:pgSz w:w="11906" w:h="16838"/>
          <w:pgMar w:top="1440" w:right="1080" w:bottom="1440" w:left="1080" w:header="850" w:footer="992" w:gutter="0"/>
          <w:cols w:space="720" w:num="1"/>
          <w:docGrid w:linePitch="381" w:charSpace="0"/>
        </w:sectPr>
      </w:pPr>
      <w:bookmarkStart w:id="46" w:name="_Toc2440"/>
      <w:bookmarkStart w:id="47" w:name="_Toc22147"/>
      <w:bookmarkStart w:id="48" w:name="_Toc6777"/>
      <w:bookmarkStart w:id="49" w:name="_Toc152042306"/>
      <w:bookmarkStart w:id="50" w:name="_Toc152045530"/>
      <w:bookmarkStart w:id="51" w:name="_Toc179632547"/>
      <w:bookmarkStart w:id="52" w:name="_Toc144974498"/>
      <w:bookmarkStart w:id="53" w:name="_Toc246996176"/>
      <w:bookmarkStart w:id="54" w:name="_Toc247085690"/>
      <w:bookmarkStart w:id="55" w:name="_Toc246996919"/>
      <w:bookmarkStart w:id="56" w:name="_Toc296602421"/>
    </w:p>
    <w:p>
      <w:pPr>
        <w:pStyle w:val="5"/>
        <w:jc w:val="center"/>
        <w:rPr>
          <w:rFonts w:cs="宋体"/>
          <w:color w:val="auto"/>
        </w:rPr>
      </w:pPr>
      <w:bookmarkStart w:id="57" w:name="_Toc14541"/>
      <w:r>
        <w:rPr>
          <w:rFonts w:hint="eastAsia" w:cs="宋体"/>
          <w:color w:val="auto"/>
        </w:rPr>
        <w:t>第一节 总 则</w:t>
      </w:r>
      <w:bookmarkEnd w:id="46"/>
      <w:bookmarkEnd w:id="47"/>
      <w:bookmarkEnd w:id="48"/>
      <w:bookmarkEnd w:id="57"/>
    </w:p>
    <w:p>
      <w:pPr>
        <w:pStyle w:val="6"/>
        <w:rPr>
          <w:rFonts w:cs="宋体"/>
          <w:color w:val="auto"/>
        </w:rPr>
      </w:pPr>
      <w:bookmarkStart w:id="58" w:name="_Toc29454"/>
      <w:r>
        <w:rPr>
          <w:rFonts w:hint="eastAsia" w:cs="宋体"/>
          <w:color w:val="auto"/>
        </w:rPr>
        <w:t>一、适用范围</w:t>
      </w:r>
      <w:bookmarkEnd w:id="58"/>
    </w:p>
    <w:p>
      <w:pPr>
        <w:ind w:firstLine="480"/>
        <w:rPr>
          <w:rFonts w:cs="宋体"/>
          <w:color w:val="auto"/>
        </w:rPr>
      </w:pPr>
      <w:r>
        <w:rPr>
          <w:rFonts w:hint="eastAsia" w:cs="宋体"/>
          <w:color w:val="auto"/>
        </w:rPr>
        <w:t>本招标文件适用于该项目的招标、投标、开标、资格审查及信用信息查询、评标、定标、合同、验收等行为（法律、法规另有规定的，从其规定）。</w:t>
      </w:r>
    </w:p>
    <w:p>
      <w:pPr>
        <w:pStyle w:val="6"/>
        <w:rPr>
          <w:rFonts w:cs="宋体"/>
          <w:color w:val="auto"/>
        </w:rPr>
      </w:pPr>
      <w:bookmarkStart w:id="59" w:name="_Toc1362"/>
      <w:r>
        <w:rPr>
          <w:rFonts w:hint="eastAsia" w:cs="宋体"/>
          <w:color w:val="auto"/>
        </w:rPr>
        <w:t>二、定义</w:t>
      </w:r>
      <w:bookmarkEnd w:id="59"/>
    </w:p>
    <w:p>
      <w:pPr>
        <w:ind w:firstLine="480"/>
        <w:rPr>
          <w:rFonts w:cs="宋体"/>
          <w:color w:val="auto"/>
        </w:rPr>
      </w:pPr>
      <w:r>
        <w:rPr>
          <w:rFonts w:hint="eastAsia" w:cs="宋体"/>
          <w:color w:val="auto"/>
        </w:rPr>
        <w:t>（一）“采购人”系指浙江海洋大学。</w:t>
      </w:r>
    </w:p>
    <w:p>
      <w:pPr>
        <w:ind w:firstLine="480"/>
        <w:rPr>
          <w:rFonts w:cs="宋体"/>
          <w:color w:val="auto"/>
        </w:rPr>
      </w:pPr>
      <w:r>
        <w:rPr>
          <w:rFonts w:hint="eastAsia" w:cs="宋体"/>
          <w:color w:val="auto"/>
        </w:rPr>
        <w:t>（二）“采购代理机构”系组织本次招标的浙江五石工程咨询有限公司。</w:t>
      </w:r>
    </w:p>
    <w:p>
      <w:pPr>
        <w:ind w:firstLine="480"/>
        <w:rPr>
          <w:rFonts w:cs="宋体"/>
          <w:color w:val="auto"/>
        </w:rPr>
      </w:pPr>
      <w:r>
        <w:rPr>
          <w:rFonts w:hint="eastAsia" w:cs="宋体"/>
          <w:color w:val="auto"/>
        </w:rPr>
        <w:t>（三）“投标人”和“投标方”系指参加本次招标活动符合资格条件的供应商。</w:t>
      </w:r>
    </w:p>
    <w:p>
      <w:pPr>
        <w:ind w:firstLine="480"/>
        <w:rPr>
          <w:rFonts w:cs="宋体"/>
          <w:color w:val="auto"/>
        </w:rPr>
      </w:pPr>
      <w:r>
        <w:rPr>
          <w:rFonts w:hint="eastAsia" w:cs="宋体"/>
          <w:color w:val="auto"/>
        </w:rPr>
        <w:t>（四）“全权代表”系指参加本次招标活动的授权代表。</w:t>
      </w:r>
    </w:p>
    <w:p>
      <w:pPr>
        <w:ind w:firstLine="480"/>
        <w:rPr>
          <w:rFonts w:cs="宋体"/>
          <w:color w:val="auto"/>
        </w:rPr>
      </w:pPr>
      <w:r>
        <w:rPr>
          <w:rFonts w:hint="eastAsia" w:cs="宋体"/>
          <w:color w:val="auto"/>
        </w:rPr>
        <w:t>（五）“▲”系指实质性要求条款，投标人应做出实质性响应；“★”系指重要条款。</w:t>
      </w:r>
    </w:p>
    <w:p>
      <w:pPr>
        <w:ind w:firstLine="480"/>
        <w:rPr>
          <w:rFonts w:cs="宋体"/>
          <w:color w:val="auto"/>
        </w:rPr>
      </w:pPr>
      <w:r>
        <w:rPr>
          <w:rFonts w:hint="eastAsia" w:cs="宋体"/>
          <w:color w:val="auto"/>
        </w:rPr>
        <w:t>（六）联合体：</w:t>
      </w:r>
    </w:p>
    <w:p>
      <w:pPr>
        <w:ind w:firstLine="480"/>
        <w:rPr>
          <w:rFonts w:cs="宋体"/>
          <w:color w:val="auto"/>
        </w:rPr>
      </w:pPr>
      <w:r>
        <w:rPr>
          <w:rFonts w:hint="eastAsia" w:cs="宋体"/>
          <w:color w:val="auto"/>
        </w:rPr>
        <w:t>联合体投标的，应遵守以下规定：</w:t>
      </w:r>
    </w:p>
    <w:p>
      <w:pPr>
        <w:numPr>
          <w:ilvl w:val="0"/>
          <w:numId w:val="7"/>
        </w:numPr>
        <w:ind w:firstLine="480"/>
        <w:rPr>
          <w:rFonts w:cs="宋体"/>
          <w:color w:val="auto"/>
        </w:rPr>
      </w:pPr>
      <w:r>
        <w:rPr>
          <w:rFonts w:hint="eastAsia" w:cs="宋体"/>
          <w:color w:val="auto"/>
        </w:rPr>
        <w:t>两个以上供应商可以组成一个联合体，以一个供应商的身份共同参加政府采购；</w:t>
      </w:r>
    </w:p>
    <w:p>
      <w:pPr>
        <w:numPr>
          <w:ilvl w:val="0"/>
          <w:numId w:val="7"/>
        </w:numPr>
        <w:ind w:firstLine="480"/>
        <w:rPr>
          <w:rFonts w:cs="宋体"/>
          <w:color w:val="auto"/>
        </w:rPr>
      </w:pPr>
      <w:r>
        <w:rPr>
          <w:rFonts w:hint="eastAsia" w:cs="宋体"/>
          <w:color w:val="auto"/>
        </w:rPr>
        <w:t>组成联合体参加本项目的，须在购买招标文件时做出相关声明，否则不予接受。</w:t>
      </w:r>
    </w:p>
    <w:p>
      <w:pPr>
        <w:numPr>
          <w:ilvl w:val="0"/>
          <w:numId w:val="7"/>
        </w:numPr>
        <w:ind w:firstLine="480"/>
        <w:rPr>
          <w:rFonts w:cs="宋体"/>
          <w:color w:val="auto"/>
        </w:rPr>
      </w:pPr>
      <w:r>
        <w:rPr>
          <w:rFonts w:hint="eastAsia" w:cs="宋体"/>
          <w:color w:val="auto"/>
        </w:rPr>
        <w:t>以联合体形式参加本项目的，联合体的各成员均应当具备《中华人民共和国政府采购法》第二十二条规定的条件；联合体各方中至少应当有一方符合采购人规定的特定条件，联合体中有同类资质的供应商按照联合体分工承担相同工作的，按照资质等级较低的供应商确定资质等级；</w:t>
      </w:r>
    </w:p>
    <w:p>
      <w:pPr>
        <w:numPr>
          <w:ilvl w:val="0"/>
          <w:numId w:val="7"/>
        </w:numPr>
        <w:ind w:firstLine="480"/>
        <w:rPr>
          <w:rFonts w:cs="宋体"/>
          <w:color w:val="auto"/>
        </w:rPr>
      </w:pPr>
      <w:r>
        <w:rPr>
          <w:rFonts w:hint="eastAsia" w:cs="宋体"/>
          <w:color w:val="auto"/>
        </w:rPr>
        <w:t>联合体各方之间应当签订联合协议，明确约定联合体各方承担的工作和相应的责任，在联合协议中指定本项目主办人，并将联合协议作为投标文件组成的一部分；本项目的主体、关键性工作须由主办人完成，并在联合协议中进行说明；</w:t>
      </w:r>
    </w:p>
    <w:p>
      <w:pPr>
        <w:numPr>
          <w:ilvl w:val="0"/>
          <w:numId w:val="7"/>
        </w:numPr>
        <w:ind w:firstLine="480"/>
        <w:rPr>
          <w:rFonts w:cs="宋体"/>
          <w:color w:val="auto"/>
        </w:rPr>
      </w:pPr>
      <w:r>
        <w:rPr>
          <w:rFonts w:hint="eastAsia" w:cs="宋体"/>
          <w:color w:val="auto"/>
        </w:rPr>
        <w:t>联合体各方签订联合协议后，不得再以自己名义单独在同一项目中参加投标，也不得组成新的联合体参加同一项目投标；</w:t>
      </w:r>
    </w:p>
    <w:p>
      <w:pPr>
        <w:numPr>
          <w:ilvl w:val="0"/>
          <w:numId w:val="7"/>
        </w:numPr>
        <w:ind w:firstLine="480"/>
        <w:rPr>
          <w:rFonts w:cs="宋体"/>
          <w:color w:val="auto"/>
        </w:rPr>
      </w:pPr>
      <w:r>
        <w:rPr>
          <w:rFonts w:hint="eastAsia" w:cs="宋体"/>
          <w:color w:val="auto"/>
        </w:rPr>
        <w:t>联合体各方应当共同与采购人签订采购合同，就采购合同约定的事项对采购人承担连带责任；</w:t>
      </w:r>
    </w:p>
    <w:p>
      <w:pPr>
        <w:numPr>
          <w:ilvl w:val="0"/>
          <w:numId w:val="7"/>
        </w:numPr>
        <w:ind w:firstLine="480"/>
        <w:rPr>
          <w:rFonts w:cs="宋体"/>
          <w:color w:val="auto"/>
        </w:rPr>
      </w:pPr>
      <w:r>
        <w:rPr>
          <w:rFonts w:hint="eastAsia" w:cs="宋体"/>
          <w:color w:val="auto"/>
        </w:rPr>
        <w:t>投标文件须由主办人盖章及其代表签署。</w:t>
      </w:r>
    </w:p>
    <w:p>
      <w:pPr>
        <w:numPr>
          <w:ilvl w:val="0"/>
          <w:numId w:val="7"/>
        </w:numPr>
        <w:ind w:firstLine="480"/>
        <w:rPr>
          <w:rFonts w:cs="宋体"/>
          <w:color w:val="auto"/>
        </w:rPr>
      </w:pPr>
      <w:r>
        <w:rPr>
          <w:rFonts w:hint="eastAsia" w:cs="宋体"/>
          <w:color w:val="auto"/>
        </w:rPr>
        <w:t>联合体投标，投标文件中供应商名称应注明“成员单位名称1和成员单位名称2的联合体”。</w:t>
      </w:r>
    </w:p>
    <w:p>
      <w:pPr>
        <w:pStyle w:val="6"/>
        <w:rPr>
          <w:rFonts w:cs="宋体"/>
          <w:color w:val="auto"/>
        </w:rPr>
      </w:pPr>
      <w:bookmarkStart w:id="60" w:name="_Toc18732"/>
      <w:r>
        <w:rPr>
          <w:rFonts w:hint="eastAsia" w:cs="宋体"/>
          <w:color w:val="auto"/>
        </w:rPr>
        <w:t>三、合格的投标人</w:t>
      </w:r>
      <w:bookmarkEnd w:id="60"/>
    </w:p>
    <w:p>
      <w:pPr>
        <w:ind w:firstLine="480"/>
        <w:rPr>
          <w:rFonts w:cs="宋体"/>
          <w:color w:val="auto"/>
        </w:rPr>
      </w:pPr>
      <w:r>
        <w:rPr>
          <w:rFonts w:hint="eastAsia" w:cs="宋体"/>
          <w:color w:val="auto"/>
        </w:rPr>
        <w:t>详见招标公告“投标人资格要求”。</w:t>
      </w:r>
    </w:p>
    <w:p>
      <w:pPr>
        <w:pStyle w:val="6"/>
        <w:rPr>
          <w:rFonts w:cs="宋体"/>
          <w:color w:val="auto"/>
        </w:rPr>
      </w:pPr>
      <w:bookmarkStart w:id="61" w:name="_Toc24994"/>
      <w:r>
        <w:rPr>
          <w:rFonts w:hint="eastAsia" w:cs="宋体"/>
          <w:color w:val="auto"/>
        </w:rPr>
        <w:t>四、投标费用</w:t>
      </w:r>
      <w:bookmarkEnd w:id="61"/>
    </w:p>
    <w:p>
      <w:pPr>
        <w:ind w:firstLine="480"/>
        <w:rPr>
          <w:rFonts w:cs="宋体"/>
          <w:color w:val="auto"/>
        </w:rPr>
      </w:pPr>
      <w:r>
        <w:rPr>
          <w:rFonts w:hint="eastAsia" w:cs="宋体"/>
          <w:color w:val="auto"/>
        </w:rPr>
        <w:t>无论投标结果如何，投标人自行承担所有与参加投标有关的全部费用。</w:t>
      </w:r>
    </w:p>
    <w:p>
      <w:pPr>
        <w:pStyle w:val="6"/>
        <w:rPr>
          <w:rFonts w:cs="宋体"/>
          <w:color w:val="auto"/>
        </w:rPr>
      </w:pPr>
      <w:bookmarkStart w:id="62" w:name="_Toc12389"/>
      <w:r>
        <w:rPr>
          <w:rFonts w:hint="eastAsia" w:cs="宋体"/>
          <w:color w:val="auto"/>
        </w:rPr>
        <w:t>五、</w:t>
      </w:r>
      <w:bookmarkEnd w:id="62"/>
      <w:r>
        <w:rPr>
          <w:rFonts w:hint="eastAsia" w:cs="宋体"/>
          <w:color w:val="auto"/>
        </w:rPr>
        <w:t>分包与转包</w:t>
      </w:r>
    </w:p>
    <w:p>
      <w:pPr>
        <w:numPr>
          <w:ilvl w:val="0"/>
          <w:numId w:val="8"/>
        </w:numPr>
        <w:ind w:firstLine="480"/>
        <w:rPr>
          <w:rFonts w:cs="宋体"/>
          <w:color w:val="auto"/>
        </w:rPr>
      </w:pPr>
      <w:r>
        <w:rPr>
          <w:rFonts w:hint="eastAsia" w:cs="宋体"/>
          <w:color w:val="auto"/>
        </w:rPr>
        <w:t>本项目不允许转包、分包；</w:t>
      </w:r>
    </w:p>
    <w:p>
      <w:pPr>
        <w:pStyle w:val="6"/>
        <w:rPr>
          <w:rFonts w:cs="宋体"/>
          <w:color w:val="auto"/>
        </w:rPr>
      </w:pPr>
      <w:r>
        <w:rPr>
          <w:rFonts w:hint="eastAsia" w:cs="宋体"/>
          <w:color w:val="auto"/>
        </w:rPr>
        <w:t>六、采购项目需要落实的政府采购政策</w:t>
      </w:r>
    </w:p>
    <w:p>
      <w:pPr>
        <w:ind w:firstLine="480"/>
        <w:rPr>
          <w:rFonts w:cs="宋体"/>
          <w:color w:val="auto"/>
        </w:rPr>
      </w:pPr>
      <w:r>
        <w:rPr>
          <w:rFonts w:hint="eastAsia" w:cs="宋体"/>
          <w:color w:val="auto"/>
        </w:rPr>
        <w:t>（一）本项目不允许采购进口产品。</w:t>
      </w:r>
    </w:p>
    <w:p>
      <w:pPr>
        <w:ind w:firstLine="480"/>
        <w:rPr>
          <w:rFonts w:cs="宋体"/>
          <w:color w:val="auto"/>
        </w:rPr>
      </w:pPr>
      <w:r>
        <w:rPr>
          <w:rFonts w:hint="eastAsia" w:cs="宋体"/>
          <w:color w:val="auto"/>
        </w:rPr>
        <w:t>（二）小型、微型企业价格扣除。</w:t>
      </w:r>
    </w:p>
    <w:p>
      <w:pPr>
        <w:numPr>
          <w:ilvl w:val="0"/>
          <w:numId w:val="8"/>
        </w:numPr>
        <w:ind w:firstLine="482"/>
        <w:rPr>
          <w:rFonts w:cs="宋体"/>
          <w:b/>
          <w:bCs/>
          <w:color w:val="auto"/>
        </w:rPr>
      </w:pPr>
      <w:r>
        <w:rPr>
          <w:rFonts w:hint="eastAsia" w:cs="宋体"/>
          <w:b/>
          <w:bCs/>
          <w:color w:val="auto"/>
        </w:rPr>
        <w:t>本次采购为非专门面向中小企业预留采购份额的采购项目。</w:t>
      </w:r>
    </w:p>
    <w:p>
      <w:pPr>
        <w:numPr>
          <w:ilvl w:val="0"/>
          <w:numId w:val="8"/>
        </w:numPr>
        <w:ind w:firstLine="480"/>
        <w:rPr>
          <w:rFonts w:cs="宋体"/>
          <w:color w:val="auto"/>
        </w:rPr>
      </w:pPr>
      <w:r>
        <w:rPr>
          <w:rFonts w:hint="eastAsia" w:cs="宋体"/>
          <w:color w:val="auto"/>
        </w:rPr>
        <w:t>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pPr>
        <w:numPr>
          <w:ilvl w:val="0"/>
          <w:numId w:val="8"/>
        </w:numPr>
        <w:ind w:firstLine="480"/>
        <w:rPr>
          <w:rFonts w:cs="宋体"/>
          <w:color w:val="auto"/>
          <w:kern w:val="0"/>
        </w:rPr>
      </w:pPr>
      <w:r>
        <w:rPr>
          <w:rFonts w:hint="eastAsia" w:cs="宋体"/>
          <w:color w:val="auto"/>
          <w:kern w:val="0"/>
        </w:rPr>
        <w:t>本次采购标的为货物，对应的中小企业划分标准所属行业是：</w:t>
      </w:r>
      <w:r>
        <w:rPr>
          <w:rFonts w:hint="eastAsia" w:cs="宋体"/>
          <w:color w:val="auto"/>
          <w:kern w:val="0"/>
          <w:u w:val="single"/>
        </w:rPr>
        <w:t>工业</w:t>
      </w:r>
    </w:p>
    <w:p>
      <w:pPr>
        <w:numPr>
          <w:ilvl w:val="0"/>
          <w:numId w:val="8"/>
        </w:numPr>
        <w:ind w:firstLine="480"/>
        <w:rPr>
          <w:rFonts w:cs="宋体"/>
          <w:color w:val="auto"/>
        </w:rPr>
      </w:pPr>
      <w:r>
        <w:rPr>
          <w:rFonts w:hint="eastAsia" w:cs="宋体"/>
          <w:color w:val="auto"/>
        </w:rPr>
        <w:t>以联合体形式参加政府采购活动，联合体各方均为小微企业的，联合体视同小微企业。</w:t>
      </w:r>
      <w:r>
        <w:rPr>
          <w:rFonts w:hint="eastAsia" w:cs="宋体"/>
          <w:b/>
          <w:bCs/>
          <w:color w:val="auto"/>
        </w:rPr>
        <w:t>（本项目不适用）</w:t>
      </w:r>
    </w:p>
    <w:p>
      <w:pPr>
        <w:numPr>
          <w:ilvl w:val="0"/>
          <w:numId w:val="8"/>
        </w:numPr>
        <w:ind w:firstLine="480"/>
        <w:rPr>
          <w:rFonts w:cs="宋体"/>
          <w:color w:val="auto"/>
          <w:kern w:val="0"/>
        </w:rPr>
      </w:pPr>
      <w:r>
        <w:rPr>
          <w:rFonts w:hint="eastAsia" w:cs="宋体"/>
          <w:color w:val="auto"/>
        </w:rPr>
        <w:t>参加</w:t>
      </w:r>
      <w:r>
        <w:rPr>
          <w:rFonts w:hint="eastAsia" w:cs="宋体"/>
          <w:color w:val="auto"/>
          <w:kern w:val="0"/>
        </w:rPr>
        <w:t>本次采购活动的供应商</w:t>
      </w:r>
      <w:r>
        <w:rPr>
          <w:rFonts w:hint="eastAsia" w:cs="宋体"/>
          <w:b/>
          <w:color w:val="auto"/>
          <w:kern w:val="0"/>
          <w:u w:val="single"/>
        </w:rPr>
        <w:t>提供的货物全部由小微企业生产制造</w:t>
      </w:r>
      <w:r>
        <w:rPr>
          <w:rFonts w:hint="eastAsia" w:cs="宋体"/>
          <w:color w:val="auto"/>
          <w:kern w:val="0"/>
        </w:rPr>
        <w:t>的，其报价给予</w:t>
      </w:r>
      <w:r>
        <w:rPr>
          <w:rFonts w:hint="eastAsia" w:cs="宋体"/>
          <w:b/>
          <w:color w:val="auto"/>
          <w:kern w:val="0"/>
          <w:u w:val="single"/>
        </w:rPr>
        <w:t>6%</w:t>
      </w:r>
      <w:r>
        <w:rPr>
          <w:rFonts w:hint="eastAsia" w:cs="宋体"/>
          <w:color w:val="auto"/>
          <w:kern w:val="0"/>
        </w:rPr>
        <w:t>的扣除，用扣除后的价格参加评审。</w:t>
      </w:r>
    </w:p>
    <w:p>
      <w:pPr>
        <w:numPr>
          <w:ilvl w:val="0"/>
          <w:numId w:val="8"/>
        </w:numPr>
        <w:ind w:firstLine="480"/>
        <w:rPr>
          <w:rFonts w:cs="宋体"/>
          <w:color w:val="auto"/>
        </w:rPr>
      </w:pPr>
      <w:r>
        <w:rPr>
          <w:rFonts w:hint="eastAsia" w:cs="宋体"/>
          <w:color w:val="auto"/>
        </w:rPr>
        <w:t>符合小微企业划分标准的个体工商户，视同小微企业。</w:t>
      </w:r>
    </w:p>
    <w:p>
      <w:pPr>
        <w:numPr>
          <w:ilvl w:val="0"/>
          <w:numId w:val="8"/>
        </w:numPr>
        <w:ind w:firstLine="480"/>
        <w:rPr>
          <w:rFonts w:cs="宋体"/>
          <w:color w:val="auto"/>
        </w:rPr>
      </w:pPr>
      <w:r>
        <w:rPr>
          <w:rFonts w:hint="eastAsia" w:cs="宋体"/>
          <w:color w:val="auto"/>
        </w:rPr>
        <w:t>本项目不接受大中型企业与小微企业组成联合体。</w:t>
      </w:r>
    </w:p>
    <w:p>
      <w:pPr>
        <w:numPr>
          <w:ilvl w:val="0"/>
          <w:numId w:val="8"/>
        </w:numPr>
        <w:ind w:firstLine="480"/>
        <w:rPr>
          <w:rFonts w:cs="宋体"/>
          <w:color w:val="auto"/>
        </w:rPr>
      </w:pPr>
      <w:r>
        <w:rPr>
          <w:rFonts w:hint="eastAsia" w:cs="宋体"/>
          <w:color w:val="auto"/>
        </w:rPr>
        <w:t>本项目不允许大中型企业向一家或者多家小微企业分包。</w:t>
      </w:r>
    </w:p>
    <w:p>
      <w:pPr>
        <w:numPr>
          <w:ilvl w:val="0"/>
          <w:numId w:val="8"/>
        </w:numPr>
        <w:ind w:firstLine="480"/>
        <w:rPr>
          <w:rFonts w:cs="宋体"/>
          <w:color w:val="auto"/>
        </w:rPr>
      </w:pPr>
      <w:r>
        <w:rPr>
          <w:rFonts w:hint="eastAsia" w:cs="宋体"/>
          <w:color w:val="auto"/>
        </w:rPr>
        <w:t>小微企业参加政府采购活动，应当出具《中小企业声明函》，否则其报价不予扣除。</w:t>
      </w:r>
    </w:p>
    <w:p>
      <w:pPr>
        <w:numPr>
          <w:ilvl w:val="0"/>
          <w:numId w:val="8"/>
        </w:numPr>
        <w:ind w:firstLine="480"/>
        <w:rPr>
          <w:rFonts w:cs="宋体"/>
          <w:color w:val="auto"/>
        </w:rPr>
      </w:pPr>
      <w:r>
        <w:rPr>
          <w:rFonts w:hint="eastAsia" w:cs="宋体"/>
          <w:color w:val="auto"/>
        </w:rPr>
        <w:t>监狱企业和残疾人福利性单位视同小型、微型企业，按《财政部司法部关于政府采购支持监狱企业发展有关问题的通知》(财库〔2014〕68号)、《财政部民政部中国残疾人联合会关于促进残疾人就业政府采购政策的通知》（财库〔2017〕141号）的规定执行。</w:t>
      </w:r>
    </w:p>
    <w:p>
      <w:pPr>
        <w:numPr>
          <w:ilvl w:val="0"/>
          <w:numId w:val="9"/>
        </w:numPr>
        <w:ind w:firstLine="480"/>
        <w:rPr>
          <w:rFonts w:cs="宋体"/>
          <w:color w:val="auto"/>
        </w:rPr>
      </w:pPr>
      <w:r>
        <w:rPr>
          <w:rFonts w:hint="eastAsia" w:cs="宋体"/>
          <w:color w:val="auto"/>
        </w:rPr>
        <w:t>节能环保要求</w:t>
      </w:r>
    </w:p>
    <w:p>
      <w:pPr>
        <w:numPr>
          <w:ilvl w:val="0"/>
          <w:numId w:val="10"/>
        </w:numPr>
        <w:ind w:firstLineChars="0"/>
        <w:rPr>
          <w:rFonts w:cs="宋体"/>
          <w:b/>
          <w:bCs/>
          <w:color w:val="auto"/>
        </w:rPr>
      </w:pPr>
      <w:r>
        <w:rPr>
          <w:rFonts w:hint="eastAsia" w:cs="宋体"/>
          <w:b/>
          <w:bCs/>
          <w:color w:val="auto"/>
        </w:rPr>
        <w:t>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numPr>
          <w:ilvl w:val="0"/>
          <w:numId w:val="10"/>
        </w:numPr>
        <w:ind w:firstLineChars="0"/>
        <w:rPr>
          <w:rFonts w:cs="宋体"/>
          <w:color w:val="auto"/>
        </w:rPr>
      </w:pPr>
      <w:r>
        <w:rPr>
          <w:rFonts w:hint="eastAsia" w:cs="宋体"/>
          <w:color w:val="auto"/>
        </w:rPr>
        <w:t>▲</w:t>
      </w:r>
      <w:r>
        <w:rPr>
          <w:rFonts w:hint="eastAsia" w:cs="宋体"/>
          <w:b/>
          <w:bCs/>
          <w:color w:val="auto"/>
        </w:rPr>
        <w:t>采购人拟采购的产品属于政府强制采购的节能产品品目清单范围的，投标人未按招标文件要求提供国家确定的认证机构出具的、处于有效期之内的节能产品认证证书，投标无效。</w:t>
      </w:r>
    </w:p>
    <w:p>
      <w:pPr>
        <w:pStyle w:val="6"/>
        <w:rPr>
          <w:rFonts w:cs="宋体"/>
          <w:color w:val="auto"/>
        </w:rPr>
      </w:pPr>
      <w:bookmarkStart w:id="63" w:name="_Toc28441"/>
      <w:r>
        <w:rPr>
          <w:rFonts w:hint="eastAsia" w:cs="宋体"/>
          <w:color w:val="auto"/>
        </w:rPr>
        <w:t>七、询问、质疑、投诉</w:t>
      </w:r>
      <w:bookmarkEnd w:id="63"/>
    </w:p>
    <w:p>
      <w:pPr>
        <w:ind w:firstLine="480"/>
        <w:rPr>
          <w:rFonts w:cs="宋体"/>
          <w:color w:val="auto"/>
          <w:lang w:val="zh-CN"/>
        </w:rPr>
      </w:pPr>
      <w:r>
        <w:rPr>
          <w:rFonts w:hint="eastAsia" w:cs="宋体"/>
          <w:color w:val="auto"/>
          <w:lang w:val="zh-CN"/>
        </w:rPr>
        <w:t>（</w:t>
      </w:r>
      <w:r>
        <w:rPr>
          <w:rFonts w:hint="eastAsia" w:cs="宋体"/>
          <w:color w:val="auto"/>
        </w:rPr>
        <w:t>一</w:t>
      </w:r>
      <w:r>
        <w:rPr>
          <w:rFonts w:hint="eastAsia" w:cs="宋体"/>
          <w:color w:val="auto"/>
          <w:lang w:val="zh-CN"/>
        </w:rPr>
        <w:t>）供应商询问</w:t>
      </w:r>
    </w:p>
    <w:p>
      <w:pPr>
        <w:ind w:firstLine="480"/>
        <w:rPr>
          <w:rFonts w:cs="宋体"/>
          <w:color w:val="auto"/>
        </w:rPr>
      </w:pPr>
      <w:r>
        <w:rPr>
          <w:rFonts w:hint="eastAsia" w:cs="宋体"/>
          <w:color w:val="auto"/>
        </w:rPr>
        <w:t>供应商可以就采购文件中特定资格条件、采购需求、评分办法及采购过程中有关现场考察或开标前答疑会事项向采购人提出询问，采购人将对此作出答复；供应商可以就采购活动中的其它事项向采购机构提出询问，采购机构将对此作出答复。答复的内容不得涉及商业秘密。</w:t>
      </w:r>
    </w:p>
    <w:p>
      <w:pPr>
        <w:ind w:firstLine="480"/>
        <w:rPr>
          <w:rFonts w:cs="宋体"/>
          <w:color w:val="auto"/>
          <w:lang w:val="zh-CN"/>
        </w:rPr>
      </w:pPr>
      <w:r>
        <w:rPr>
          <w:rFonts w:hint="eastAsia" w:cs="宋体"/>
          <w:color w:val="auto"/>
          <w:lang w:val="zh-CN"/>
        </w:rPr>
        <w:t>（</w:t>
      </w:r>
      <w:r>
        <w:rPr>
          <w:rFonts w:hint="eastAsia" w:cs="宋体"/>
          <w:color w:val="auto"/>
        </w:rPr>
        <w:t>二</w:t>
      </w:r>
      <w:r>
        <w:rPr>
          <w:rFonts w:hint="eastAsia" w:cs="宋体"/>
          <w:color w:val="auto"/>
          <w:lang w:val="zh-CN"/>
        </w:rPr>
        <w:t>）供应商质疑</w:t>
      </w:r>
    </w:p>
    <w:p>
      <w:pPr>
        <w:numPr>
          <w:ilvl w:val="0"/>
          <w:numId w:val="11"/>
        </w:numPr>
        <w:ind w:firstLine="480"/>
        <w:rPr>
          <w:rFonts w:cs="宋体"/>
          <w:color w:val="auto"/>
        </w:rPr>
      </w:pPr>
      <w:r>
        <w:rPr>
          <w:rFonts w:hint="eastAsia" w:cs="宋体"/>
          <w:color w:val="auto"/>
        </w:rPr>
        <w:t>提出质疑的供应商应当是参与所质疑项目采购活动的供应商。潜在供应商已依法获取其可质疑的采购文件的，可以对该文件提出质疑。</w:t>
      </w:r>
    </w:p>
    <w:p>
      <w:pPr>
        <w:numPr>
          <w:ilvl w:val="0"/>
          <w:numId w:val="11"/>
        </w:numPr>
        <w:ind w:firstLine="480"/>
        <w:rPr>
          <w:rFonts w:cs="宋体"/>
          <w:color w:val="auto"/>
        </w:rPr>
      </w:pPr>
      <w:r>
        <w:rPr>
          <w:rFonts w:hint="eastAsia" w:cs="宋体"/>
          <w:color w:val="auto"/>
        </w:rPr>
        <w:t>供应商认为招标文件、采购过程和成交结果使自己的权益受到损害的，可以在知道或者应知其权益受到损害之日起七个工作日内，以书面形式（法定质疑期内）一次性向采购人、采购代理机构提出同一采购环节的质疑，否则，采购人或者采购代理机构不予受理。</w:t>
      </w:r>
    </w:p>
    <w:p>
      <w:pPr>
        <w:numPr>
          <w:ilvl w:val="0"/>
          <w:numId w:val="11"/>
        </w:numPr>
        <w:ind w:firstLine="480"/>
        <w:rPr>
          <w:rFonts w:cs="宋体"/>
          <w:color w:val="auto"/>
        </w:rPr>
      </w:pPr>
      <w:r>
        <w:rPr>
          <w:rFonts w:hint="eastAsia" w:cs="宋体"/>
          <w:color w:val="auto"/>
        </w:rPr>
        <w:t>供应商提出质疑应当提交质疑函和必要的证明材料。质疑函应当包括下列内容：</w:t>
      </w:r>
    </w:p>
    <w:p>
      <w:pPr>
        <w:numPr>
          <w:ilvl w:val="0"/>
          <w:numId w:val="12"/>
        </w:numPr>
        <w:tabs>
          <w:tab w:val="left" w:pos="420"/>
        </w:tabs>
        <w:ind w:firstLineChars="0"/>
        <w:rPr>
          <w:rFonts w:cs="宋体"/>
          <w:color w:val="auto"/>
        </w:rPr>
      </w:pPr>
      <w:r>
        <w:rPr>
          <w:rFonts w:hint="eastAsia" w:cs="宋体"/>
          <w:color w:val="auto"/>
        </w:rPr>
        <w:t>供应商的姓名或者名称、地址、邮编、联系人及联系电话；</w:t>
      </w:r>
    </w:p>
    <w:p>
      <w:pPr>
        <w:numPr>
          <w:ilvl w:val="0"/>
          <w:numId w:val="12"/>
        </w:numPr>
        <w:tabs>
          <w:tab w:val="left" w:pos="420"/>
        </w:tabs>
        <w:ind w:firstLineChars="0"/>
        <w:rPr>
          <w:rFonts w:cs="宋体"/>
          <w:color w:val="auto"/>
        </w:rPr>
      </w:pPr>
      <w:r>
        <w:rPr>
          <w:rFonts w:hint="eastAsia" w:cs="宋体"/>
          <w:color w:val="auto"/>
        </w:rPr>
        <w:t>质疑项目的名称、编号；</w:t>
      </w:r>
    </w:p>
    <w:p>
      <w:pPr>
        <w:numPr>
          <w:ilvl w:val="0"/>
          <w:numId w:val="12"/>
        </w:numPr>
        <w:tabs>
          <w:tab w:val="left" w:pos="420"/>
        </w:tabs>
        <w:ind w:firstLineChars="0"/>
        <w:rPr>
          <w:rFonts w:cs="宋体"/>
          <w:color w:val="auto"/>
        </w:rPr>
      </w:pPr>
      <w:r>
        <w:rPr>
          <w:rFonts w:hint="eastAsia" w:cs="宋体"/>
          <w:color w:val="auto"/>
        </w:rPr>
        <w:t>具体、明确的质疑事项和与质疑事项相关的请求；</w:t>
      </w:r>
    </w:p>
    <w:p>
      <w:pPr>
        <w:numPr>
          <w:ilvl w:val="0"/>
          <w:numId w:val="12"/>
        </w:numPr>
        <w:tabs>
          <w:tab w:val="left" w:pos="420"/>
        </w:tabs>
        <w:ind w:firstLineChars="0"/>
        <w:rPr>
          <w:rFonts w:cs="宋体"/>
          <w:color w:val="auto"/>
        </w:rPr>
      </w:pPr>
      <w:r>
        <w:rPr>
          <w:rFonts w:hint="eastAsia" w:cs="宋体"/>
          <w:color w:val="auto"/>
        </w:rPr>
        <w:t>事实依据；</w:t>
      </w:r>
    </w:p>
    <w:p>
      <w:pPr>
        <w:numPr>
          <w:ilvl w:val="0"/>
          <w:numId w:val="12"/>
        </w:numPr>
        <w:tabs>
          <w:tab w:val="left" w:pos="420"/>
        </w:tabs>
        <w:ind w:firstLineChars="0"/>
        <w:rPr>
          <w:rFonts w:cs="宋体"/>
          <w:color w:val="auto"/>
        </w:rPr>
      </w:pPr>
      <w:r>
        <w:rPr>
          <w:rFonts w:hint="eastAsia" w:cs="宋体"/>
          <w:color w:val="auto"/>
        </w:rPr>
        <w:t>必要的法律依据；</w:t>
      </w:r>
    </w:p>
    <w:p>
      <w:pPr>
        <w:numPr>
          <w:ilvl w:val="0"/>
          <w:numId w:val="12"/>
        </w:numPr>
        <w:tabs>
          <w:tab w:val="left" w:pos="420"/>
        </w:tabs>
        <w:ind w:firstLineChars="0"/>
        <w:rPr>
          <w:rFonts w:cs="宋体"/>
          <w:color w:val="auto"/>
        </w:rPr>
      </w:pPr>
      <w:r>
        <w:rPr>
          <w:rFonts w:hint="eastAsia" w:cs="宋体"/>
          <w:color w:val="auto"/>
        </w:rPr>
        <w:t>提出质疑的日期。</w:t>
      </w:r>
    </w:p>
    <w:p>
      <w:pPr>
        <w:numPr>
          <w:ilvl w:val="0"/>
          <w:numId w:val="11"/>
        </w:numPr>
        <w:ind w:firstLine="480"/>
        <w:rPr>
          <w:rFonts w:cs="宋体"/>
          <w:color w:val="auto"/>
        </w:rPr>
      </w:pPr>
      <w:r>
        <w:rPr>
          <w:rFonts w:hint="eastAsia" w:cs="宋体"/>
          <w:color w:val="auto"/>
        </w:rPr>
        <w:t>供应商提交的质疑函需一式三份。供应商为自然人的，应当由本人签字；供应商为法人或者其他组织的，应当由法定代表人、主要负责人，或者其授权代表签字或者盖章，并加盖公章。</w:t>
      </w:r>
    </w:p>
    <w:p>
      <w:pPr>
        <w:numPr>
          <w:ilvl w:val="0"/>
          <w:numId w:val="11"/>
        </w:numPr>
        <w:ind w:firstLine="480"/>
        <w:rPr>
          <w:rFonts w:cs="宋体"/>
          <w:color w:val="auto"/>
        </w:rPr>
      </w:pPr>
      <w:r>
        <w:rPr>
          <w:rFonts w:hint="eastAsia" w:cs="宋体"/>
          <w:color w:val="auto"/>
        </w:rPr>
        <w:t>质疑函范本及制作说明详见附件。</w:t>
      </w:r>
    </w:p>
    <w:p>
      <w:pPr>
        <w:numPr>
          <w:ilvl w:val="0"/>
          <w:numId w:val="11"/>
        </w:numPr>
        <w:ind w:firstLine="480"/>
        <w:rPr>
          <w:rFonts w:cs="宋体"/>
          <w:color w:val="auto"/>
        </w:rPr>
      </w:pPr>
      <w:r>
        <w:rPr>
          <w:rFonts w:hint="eastAsia" w:cs="宋体"/>
          <w:color w:val="auto"/>
        </w:rPr>
        <w:t>采购人或者采购代理机构应当在收到供应商的书面质疑后七个工作日内作出答复，并以书面形式通知质疑供应商和其他与质疑处理结果有利害关系的政府采购当事人，但答复的内容不得涉及商业秘密。</w:t>
      </w:r>
    </w:p>
    <w:p>
      <w:pPr>
        <w:numPr>
          <w:ilvl w:val="0"/>
          <w:numId w:val="11"/>
        </w:numPr>
        <w:ind w:firstLine="480"/>
        <w:rPr>
          <w:rFonts w:cs="宋体"/>
          <w:color w:val="auto"/>
        </w:rPr>
      </w:pPr>
      <w:r>
        <w:rPr>
          <w:rFonts w:hint="eastAsia" w:cs="宋体"/>
          <w:color w:val="auto"/>
        </w:rPr>
        <w:t>询问或者质疑事项可能影响采购结果的，采购人应当暂停签订合同，已经签订合同的，应当中止履行合同。</w:t>
      </w:r>
    </w:p>
    <w:p>
      <w:pPr>
        <w:numPr>
          <w:ilvl w:val="0"/>
          <w:numId w:val="11"/>
        </w:numPr>
        <w:ind w:firstLine="480"/>
        <w:rPr>
          <w:rFonts w:cs="宋体"/>
          <w:color w:val="auto"/>
        </w:rPr>
      </w:pPr>
      <w:r>
        <w:rPr>
          <w:rFonts w:hint="eastAsia" w:cs="宋体"/>
          <w:color w:val="auto"/>
        </w:rPr>
        <w:t>质疑接收人：</w:t>
      </w:r>
    </w:p>
    <w:p>
      <w:pPr>
        <w:ind w:left="567" w:firstLine="240" w:firstLineChars="100"/>
        <w:rPr>
          <w:rFonts w:cs="宋体"/>
          <w:color w:val="auto"/>
        </w:rPr>
      </w:pPr>
      <w:r>
        <w:rPr>
          <w:rFonts w:hint="eastAsia" w:cs="宋体"/>
          <w:color w:val="auto"/>
        </w:rPr>
        <w:t>姓    名：毛工</w:t>
      </w:r>
    </w:p>
    <w:p>
      <w:pPr>
        <w:ind w:left="567" w:firstLine="240" w:firstLineChars="100"/>
        <w:rPr>
          <w:rFonts w:cs="宋体"/>
          <w:color w:val="auto"/>
        </w:rPr>
      </w:pPr>
      <w:r>
        <w:rPr>
          <w:rFonts w:hint="eastAsia" w:cs="宋体"/>
          <w:color w:val="auto"/>
        </w:rPr>
        <w:t>联系电话：0574-87208097</w:t>
      </w:r>
    </w:p>
    <w:p>
      <w:pPr>
        <w:ind w:left="567" w:firstLine="240" w:firstLineChars="100"/>
        <w:rPr>
          <w:rFonts w:cs="宋体"/>
          <w:color w:val="auto"/>
        </w:rPr>
      </w:pPr>
      <w:r>
        <w:rPr>
          <w:rFonts w:hint="eastAsia" w:cs="宋体"/>
          <w:color w:val="auto"/>
        </w:rPr>
        <w:t>地    址：宁波市鄞州区宁穿路1679号金融硅谷9号楼1402室</w:t>
      </w:r>
    </w:p>
    <w:p>
      <w:pPr>
        <w:ind w:firstLine="480"/>
        <w:rPr>
          <w:rFonts w:cs="宋体"/>
          <w:color w:val="auto"/>
        </w:rPr>
      </w:pPr>
      <w:r>
        <w:rPr>
          <w:rFonts w:hint="eastAsia" w:cs="宋体"/>
          <w:color w:val="auto"/>
          <w:lang w:val="zh-CN"/>
        </w:rPr>
        <w:t>（</w:t>
      </w:r>
      <w:r>
        <w:rPr>
          <w:rFonts w:hint="eastAsia" w:cs="宋体"/>
          <w:color w:val="auto"/>
        </w:rPr>
        <w:t>三</w:t>
      </w:r>
      <w:r>
        <w:rPr>
          <w:rFonts w:hint="eastAsia" w:cs="宋体"/>
          <w:color w:val="auto"/>
          <w:lang w:val="zh-CN"/>
        </w:rPr>
        <w:t>）供应商投诉</w:t>
      </w:r>
    </w:p>
    <w:p>
      <w:pPr>
        <w:numPr>
          <w:ilvl w:val="0"/>
          <w:numId w:val="13"/>
        </w:numPr>
        <w:ind w:firstLine="480"/>
        <w:rPr>
          <w:rFonts w:cs="宋体"/>
          <w:color w:val="auto"/>
        </w:rPr>
      </w:pPr>
      <w:r>
        <w:rPr>
          <w:rFonts w:hint="eastAsia" w:cs="宋体"/>
          <w:color w:val="auto"/>
        </w:rPr>
        <w:t>质疑供应商对采购人、采购代理机构的答复不满意或者采购人、采购代理机构未在规定的时间内作出答复的，可以在答复期满后十五个工作日内向同级采购监督管理部门提出投诉。</w:t>
      </w:r>
    </w:p>
    <w:p>
      <w:pPr>
        <w:numPr>
          <w:ilvl w:val="0"/>
          <w:numId w:val="13"/>
        </w:numPr>
        <w:ind w:firstLine="480"/>
        <w:rPr>
          <w:rFonts w:cs="宋体"/>
          <w:color w:val="auto"/>
        </w:rPr>
      </w:pPr>
      <w:r>
        <w:rPr>
          <w:rFonts w:hint="eastAsia" w:cs="宋体"/>
          <w:color w:val="auto"/>
        </w:rPr>
        <w:t>供应商投诉的事项不得超出已质疑事项的范围，基于质疑答复内容提出的投诉事项除外。</w:t>
      </w:r>
    </w:p>
    <w:p>
      <w:pPr>
        <w:numPr>
          <w:ilvl w:val="0"/>
          <w:numId w:val="13"/>
        </w:numPr>
        <w:ind w:firstLine="480"/>
        <w:rPr>
          <w:rFonts w:cs="宋体"/>
          <w:color w:val="auto"/>
        </w:rPr>
      </w:pPr>
      <w:r>
        <w:rPr>
          <w:rFonts w:hint="eastAsia" w:cs="宋体"/>
          <w:color w:val="auto"/>
        </w:rPr>
        <w:t>供应商投诉应当有明确的请求和必要的证明材料。</w:t>
      </w:r>
    </w:p>
    <w:p>
      <w:pPr>
        <w:numPr>
          <w:ilvl w:val="0"/>
          <w:numId w:val="13"/>
        </w:numPr>
        <w:ind w:firstLine="480"/>
        <w:rPr>
          <w:rFonts w:cs="宋体"/>
          <w:color w:val="auto"/>
        </w:rPr>
      </w:pPr>
      <w:r>
        <w:rPr>
          <w:rFonts w:hint="eastAsia" w:cs="宋体"/>
          <w:color w:val="auto"/>
        </w:rPr>
        <w:t>以联合体形式参加政府采购活动的，其投诉应当由组成联合体的所有供应商共同提出。</w:t>
      </w:r>
    </w:p>
    <w:p>
      <w:pPr>
        <w:pStyle w:val="6"/>
        <w:rPr>
          <w:rFonts w:cs="宋体"/>
          <w:color w:val="auto"/>
        </w:rPr>
      </w:pPr>
      <w:bookmarkStart w:id="64" w:name="_Toc6069"/>
      <w:r>
        <w:rPr>
          <w:rFonts w:hint="eastAsia" w:cs="宋体"/>
          <w:color w:val="auto"/>
        </w:rPr>
        <w:t>八、特别说明</w:t>
      </w:r>
      <w:bookmarkEnd w:id="64"/>
    </w:p>
    <w:p>
      <w:pPr>
        <w:numPr>
          <w:ilvl w:val="0"/>
          <w:numId w:val="14"/>
        </w:numPr>
        <w:ind w:firstLine="480"/>
        <w:rPr>
          <w:rFonts w:cs="宋体"/>
          <w:color w:val="auto"/>
        </w:rPr>
      </w:pPr>
      <w:r>
        <w:rPr>
          <w:rFonts w:hint="eastAsia" w:cs="宋体"/>
          <w:color w:val="auto"/>
        </w:rPr>
        <w:t>投标人投标所使用的资格、信誉、荣誉、业绩与企业认证必须为本法人所拥有。投标人投标所使用的采购项目实施人员必须为本法人员工（指本法人或控股公司正式员工）。</w:t>
      </w:r>
    </w:p>
    <w:p>
      <w:pPr>
        <w:numPr>
          <w:ilvl w:val="0"/>
          <w:numId w:val="14"/>
        </w:numPr>
        <w:ind w:firstLine="480"/>
        <w:rPr>
          <w:rFonts w:cs="宋体"/>
          <w:color w:val="auto"/>
        </w:rPr>
      </w:pPr>
      <w:r>
        <w:rPr>
          <w:rFonts w:hint="eastAsia" w:cs="宋体"/>
          <w:color w:val="auto"/>
        </w:rPr>
        <w:t>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cs="宋体"/>
          <w:color w:val="auto"/>
        </w:rPr>
        <w:tab/>
      </w:r>
    </w:p>
    <w:p>
      <w:pPr>
        <w:numPr>
          <w:ilvl w:val="0"/>
          <w:numId w:val="14"/>
        </w:numPr>
        <w:ind w:firstLine="480"/>
        <w:rPr>
          <w:rFonts w:cs="宋体"/>
          <w:color w:val="auto"/>
        </w:rPr>
      </w:pPr>
      <w:r>
        <w:rPr>
          <w:rFonts w:hint="eastAsia" w:cs="宋体"/>
          <w:color w:val="auto"/>
        </w:rPr>
        <w:t>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numPr>
          <w:ilvl w:val="0"/>
          <w:numId w:val="14"/>
        </w:numPr>
        <w:ind w:firstLine="480"/>
        <w:rPr>
          <w:rFonts w:cs="宋体"/>
          <w:color w:val="auto"/>
        </w:rPr>
      </w:pPr>
      <w:r>
        <w:rPr>
          <w:rFonts w:hint="eastAsia" w:cs="宋体"/>
          <w:color w:val="auto"/>
        </w:rPr>
        <w:t>单位负责人为同一人或者存在直接控股、管理关系的不同供应商，不得参加同一合同项下的政府采购活动。</w:t>
      </w:r>
    </w:p>
    <w:p>
      <w:pPr>
        <w:numPr>
          <w:ilvl w:val="0"/>
          <w:numId w:val="14"/>
        </w:numPr>
        <w:ind w:firstLine="480"/>
        <w:rPr>
          <w:rFonts w:cs="宋体"/>
          <w:color w:val="auto"/>
        </w:rPr>
      </w:pPr>
      <w:r>
        <w:rPr>
          <w:rFonts w:hint="eastAsia" w:cs="宋体"/>
          <w:color w:val="auto"/>
        </w:rPr>
        <w:t>为采购项目提供整体设计、规范编制或者项目管理、监理、检测等服务的供应商，不得再参加该采购项目的其他采购活动。</w:t>
      </w:r>
    </w:p>
    <w:p>
      <w:pPr>
        <w:numPr>
          <w:ilvl w:val="0"/>
          <w:numId w:val="14"/>
        </w:numPr>
        <w:ind w:firstLine="480"/>
        <w:rPr>
          <w:rFonts w:cs="宋体"/>
          <w:color w:val="auto"/>
        </w:rPr>
      </w:pPr>
      <w:r>
        <w:rPr>
          <w:rFonts w:hint="eastAsia" w:cs="宋体"/>
          <w:color w:val="auto"/>
        </w:rPr>
        <w:t>合同履行期内，任何一方因不可抗力事件不能履行合同的，合同履行期限可相应顺延。不可抗力事件发生后，应立即通知对方，并邮寄或送达有关权威机构出具的证明。</w:t>
      </w:r>
    </w:p>
    <w:p>
      <w:pPr>
        <w:numPr>
          <w:ilvl w:val="0"/>
          <w:numId w:val="14"/>
        </w:numPr>
        <w:ind w:firstLine="480"/>
        <w:rPr>
          <w:rFonts w:cs="宋体"/>
          <w:color w:val="auto"/>
        </w:rPr>
      </w:pPr>
      <w:r>
        <w:rPr>
          <w:rFonts w:hint="eastAsia" w:cs="宋体"/>
          <w:color w:val="auto"/>
        </w:rPr>
        <w:t>供应商在采购过程中或合同履行过程中存在其他违法行为的，且违法行为严重的，供应商在承担相应的民事责任以外，采购人将有权向相关行政管理部门建议给予供应商限制本项目内容所涉及的市场响应采购的处罚。</w:t>
      </w:r>
    </w:p>
    <w:p>
      <w:pPr>
        <w:pStyle w:val="5"/>
        <w:jc w:val="center"/>
        <w:rPr>
          <w:rFonts w:cs="宋体"/>
          <w:color w:val="auto"/>
        </w:rPr>
      </w:pPr>
      <w:bookmarkStart w:id="65" w:name="_Toc91899879"/>
      <w:bookmarkStart w:id="66" w:name="_Toc27084"/>
      <w:bookmarkStart w:id="67" w:name="_Toc16985"/>
      <w:bookmarkStart w:id="68" w:name="_Toc32426"/>
      <w:r>
        <w:rPr>
          <w:rFonts w:hint="eastAsia" w:cs="宋体"/>
          <w:color w:val="auto"/>
        </w:rPr>
        <w:t>第二节 招标文件</w:t>
      </w:r>
      <w:bookmarkEnd w:id="65"/>
      <w:r>
        <w:rPr>
          <w:rFonts w:hint="eastAsia" w:cs="宋体"/>
          <w:color w:val="auto"/>
        </w:rPr>
        <w:t>的构成、澄清、修改</w:t>
      </w:r>
      <w:bookmarkEnd w:id="66"/>
      <w:bookmarkEnd w:id="67"/>
      <w:bookmarkEnd w:id="68"/>
    </w:p>
    <w:p>
      <w:pPr>
        <w:pStyle w:val="6"/>
        <w:rPr>
          <w:rFonts w:cs="宋体"/>
          <w:color w:val="auto"/>
          <w:szCs w:val="24"/>
        </w:rPr>
      </w:pPr>
      <w:bookmarkStart w:id="69" w:name="_Toc15003"/>
      <w:bookmarkStart w:id="70" w:name="_Toc91899880"/>
      <w:bookmarkStart w:id="71" w:name="_Hlt74730307"/>
      <w:r>
        <w:rPr>
          <w:rFonts w:hint="eastAsia" w:cs="宋体"/>
          <w:color w:val="auto"/>
          <w:szCs w:val="24"/>
        </w:rPr>
        <w:t>一、招标文件的构成</w:t>
      </w:r>
      <w:bookmarkEnd w:id="69"/>
      <w:bookmarkEnd w:id="70"/>
    </w:p>
    <w:bookmarkEnd w:id="71"/>
    <w:p>
      <w:pPr>
        <w:numPr>
          <w:ilvl w:val="0"/>
          <w:numId w:val="15"/>
        </w:numPr>
        <w:ind w:firstLine="480"/>
        <w:rPr>
          <w:rFonts w:cs="宋体"/>
          <w:color w:val="auto"/>
        </w:rPr>
      </w:pPr>
      <w:r>
        <w:rPr>
          <w:rFonts w:hint="eastAsia" w:cs="宋体"/>
          <w:color w:val="auto"/>
        </w:rPr>
        <w:t>招标文件包括下列文件及附件</w:t>
      </w:r>
    </w:p>
    <w:p>
      <w:pPr>
        <w:numPr>
          <w:ilvl w:val="0"/>
          <w:numId w:val="16"/>
        </w:numPr>
        <w:ind w:left="0" w:firstLine="567" w:firstLineChars="0"/>
        <w:rPr>
          <w:rFonts w:cs="宋体"/>
          <w:color w:val="auto"/>
        </w:rPr>
      </w:pPr>
      <w:r>
        <w:rPr>
          <w:color w:val="auto"/>
        </w:rPr>
        <w:fldChar w:fldCharType="begin"/>
      </w:r>
      <w:r>
        <w:rPr>
          <w:color w:val="auto"/>
        </w:rPr>
        <w:instrText xml:space="preserve"> HYPERLINK \l "_Toc32332" </w:instrText>
      </w:r>
      <w:r>
        <w:rPr>
          <w:color w:val="auto"/>
        </w:rPr>
        <w:fldChar w:fldCharType="separate"/>
      </w:r>
      <w:r>
        <w:rPr>
          <w:rFonts w:hint="eastAsia" w:cs="宋体"/>
          <w:color w:val="auto"/>
        </w:rPr>
        <w:t>第一章 招标公告</w:t>
      </w:r>
      <w:r>
        <w:rPr>
          <w:rFonts w:hint="eastAsia" w:cs="宋体"/>
          <w:color w:val="auto"/>
        </w:rPr>
        <w:fldChar w:fldCharType="end"/>
      </w:r>
    </w:p>
    <w:p>
      <w:pPr>
        <w:numPr>
          <w:ilvl w:val="0"/>
          <w:numId w:val="16"/>
        </w:numPr>
        <w:ind w:left="0" w:firstLine="567" w:firstLineChars="0"/>
        <w:rPr>
          <w:rFonts w:cs="宋体"/>
          <w:color w:val="auto"/>
        </w:rPr>
      </w:pPr>
      <w:r>
        <w:rPr>
          <w:color w:val="auto"/>
        </w:rPr>
        <w:fldChar w:fldCharType="begin"/>
      </w:r>
      <w:r>
        <w:rPr>
          <w:color w:val="auto"/>
        </w:rPr>
        <w:instrText xml:space="preserve"> HYPERLINK \l "_Toc24282" </w:instrText>
      </w:r>
      <w:r>
        <w:rPr>
          <w:color w:val="auto"/>
        </w:rPr>
        <w:fldChar w:fldCharType="separate"/>
      </w:r>
      <w:r>
        <w:rPr>
          <w:rFonts w:hint="eastAsia" w:cs="宋体"/>
          <w:color w:val="auto"/>
        </w:rPr>
        <w:t>第二章 项目需求说明</w:t>
      </w:r>
      <w:r>
        <w:rPr>
          <w:rFonts w:hint="eastAsia" w:cs="宋体"/>
          <w:color w:val="auto"/>
        </w:rPr>
        <w:fldChar w:fldCharType="end"/>
      </w:r>
    </w:p>
    <w:p>
      <w:pPr>
        <w:numPr>
          <w:ilvl w:val="0"/>
          <w:numId w:val="16"/>
        </w:numPr>
        <w:ind w:left="0" w:firstLine="567" w:firstLineChars="0"/>
        <w:rPr>
          <w:rFonts w:cs="宋体"/>
          <w:color w:val="auto"/>
        </w:rPr>
      </w:pPr>
      <w:r>
        <w:rPr>
          <w:color w:val="auto"/>
        </w:rPr>
        <w:fldChar w:fldCharType="begin"/>
      </w:r>
      <w:r>
        <w:rPr>
          <w:color w:val="auto"/>
        </w:rPr>
        <w:instrText xml:space="preserve"> HYPERLINK \l "_Toc7338" </w:instrText>
      </w:r>
      <w:r>
        <w:rPr>
          <w:color w:val="auto"/>
        </w:rPr>
        <w:fldChar w:fldCharType="separate"/>
      </w:r>
      <w:r>
        <w:rPr>
          <w:rFonts w:hint="eastAsia" w:cs="宋体"/>
          <w:color w:val="auto"/>
        </w:rPr>
        <w:t>第三章 投标人须知</w:t>
      </w:r>
      <w:r>
        <w:rPr>
          <w:rFonts w:hint="eastAsia" w:cs="宋体"/>
          <w:color w:val="auto"/>
        </w:rPr>
        <w:fldChar w:fldCharType="end"/>
      </w:r>
    </w:p>
    <w:p>
      <w:pPr>
        <w:numPr>
          <w:ilvl w:val="0"/>
          <w:numId w:val="16"/>
        </w:numPr>
        <w:ind w:left="0" w:firstLine="567" w:firstLineChars="0"/>
        <w:rPr>
          <w:rFonts w:cs="宋体"/>
          <w:color w:val="auto"/>
        </w:rPr>
      </w:pPr>
      <w:r>
        <w:rPr>
          <w:color w:val="auto"/>
        </w:rPr>
        <w:fldChar w:fldCharType="begin"/>
      </w:r>
      <w:r>
        <w:rPr>
          <w:color w:val="auto"/>
        </w:rPr>
        <w:instrText xml:space="preserve"> HYPERLINK \l "_Toc22869" </w:instrText>
      </w:r>
      <w:r>
        <w:rPr>
          <w:color w:val="auto"/>
        </w:rPr>
        <w:fldChar w:fldCharType="separate"/>
      </w:r>
      <w:r>
        <w:rPr>
          <w:rFonts w:hint="eastAsia" w:cs="宋体"/>
          <w:color w:val="auto"/>
        </w:rPr>
        <w:t>第四章 评标办法及评分标准</w:t>
      </w:r>
      <w:r>
        <w:rPr>
          <w:rFonts w:hint="eastAsia" w:cs="宋体"/>
          <w:color w:val="auto"/>
        </w:rPr>
        <w:fldChar w:fldCharType="end"/>
      </w:r>
    </w:p>
    <w:p>
      <w:pPr>
        <w:numPr>
          <w:ilvl w:val="0"/>
          <w:numId w:val="16"/>
        </w:numPr>
        <w:ind w:left="0" w:firstLine="567" w:firstLineChars="0"/>
        <w:rPr>
          <w:rFonts w:cs="宋体"/>
          <w:color w:val="auto"/>
        </w:rPr>
      </w:pPr>
      <w:r>
        <w:rPr>
          <w:color w:val="auto"/>
        </w:rPr>
        <w:fldChar w:fldCharType="begin"/>
      </w:r>
      <w:r>
        <w:rPr>
          <w:color w:val="auto"/>
        </w:rPr>
        <w:instrText xml:space="preserve"> HYPERLINK \l "_Toc7087" </w:instrText>
      </w:r>
      <w:r>
        <w:rPr>
          <w:color w:val="auto"/>
        </w:rPr>
        <w:fldChar w:fldCharType="separate"/>
      </w:r>
      <w:r>
        <w:rPr>
          <w:rFonts w:hint="eastAsia" w:cs="宋体"/>
          <w:color w:val="auto"/>
        </w:rPr>
        <w:t>第五章 合同格式</w:t>
      </w:r>
      <w:r>
        <w:rPr>
          <w:rFonts w:hint="eastAsia" w:cs="宋体"/>
          <w:color w:val="auto"/>
        </w:rPr>
        <w:fldChar w:fldCharType="end"/>
      </w:r>
    </w:p>
    <w:p>
      <w:pPr>
        <w:numPr>
          <w:ilvl w:val="0"/>
          <w:numId w:val="16"/>
        </w:numPr>
        <w:ind w:left="0" w:firstLine="567" w:firstLineChars="0"/>
        <w:rPr>
          <w:rFonts w:cs="宋体"/>
          <w:color w:val="auto"/>
        </w:rPr>
      </w:pPr>
      <w:r>
        <w:rPr>
          <w:color w:val="auto"/>
        </w:rPr>
        <w:fldChar w:fldCharType="begin"/>
      </w:r>
      <w:r>
        <w:rPr>
          <w:color w:val="auto"/>
        </w:rPr>
        <w:instrText xml:space="preserve"> HYPERLINK \l "_Toc29638" </w:instrText>
      </w:r>
      <w:r>
        <w:rPr>
          <w:color w:val="auto"/>
        </w:rPr>
        <w:fldChar w:fldCharType="separate"/>
      </w:r>
      <w:r>
        <w:rPr>
          <w:rFonts w:hint="eastAsia" w:cs="宋体"/>
          <w:color w:val="auto"/>
        </w:rPr>
        <w:t>第六章 投标文件格式</w:t>
      </w:r>
      <w:r>
        <w:rPr>
          <w:rFonts w:hint="eastAsia" w:cs="宋体"/>
          <w:color w:val="auto"/>
        </w:rPr>
        <w:fldChar w:fldCharType="end"/>
      </w:r>
    </w:p>
    <w:p>
      <w:pPr>
        <w:numPr>
          <w:ilvl w:val="0"/>
          <w:numId w:val="15"/>
        </w:numPr>
        <w:ind w:firstLine="480"/>
        <w:rPr>
          <w:rFonts w:cs="宋体"/>
          <w:color w:val="auto"/>
        </w:rPr>
      </w:pPr>
      <w:r>
        <w:rPr>
          <w:rFonts w:hint="eastAsia" w:cs="宋体"/>
          <w:color w:val="auto"/>
        </w:rPr>
        <w:t>与本项目有关的澄清或者修改的内容为招标文件的组成部分。</w:t>
      </w:r>
    </w:p>
    <w:p>
      <w:pPr>
        <w:pStyle w:val="6"/>
        <w:rPr>
          <w:rFonts w:cs="宋体"/>
          <w:color w:val="auto"/>
          <w:szCs w:val="24"/>
        </w:rPr>
      </w:pPr>
      <w:bookmarkStart w:id="72" w:name="_Toc15053"/>
      <w:r>
        <w:rPr>
          <w:rFonts w:hint="eastAsia" w:cs="宋体"/>
          <w:color w:val="auto"/>
          <w:szCs w:val="24"/>
        </w:rPr>
        <w:t>二、招标文件的澄清、修改</w:t>
      </w:r>
      <w:bookmarkEnd w:id="72"/>
    </w:p>
    <w:p>
      <w:pPr>
        <w:numPr>
          <w:ilvl w:val="0"/>
          <w:numId w:val="17"/>
        </w:numPr>
        <w:ind w:firstLine="480"/>
        <w:rPr>
          <w:rFonts w:cs="宋体"/>
          <w:color w:val="auto"/>
        </w:rPr>
      </w:pPr>
      <w:r>
        <w:rPr>
          <w:rFonts w:hint="eastAsia" w:cs="宋体"/>
          <w:color w:val="auto"/>
        </w:rPr>
        <w:t>已获取招标文件的潜在投标人，若有问题需要澄清，应于投标截止时间前，以书面形式向采购代理机构提出，采购代理机构与采购人研究后，对认为有必要回答的问题，将以书面解答形式答复。</w:t>
      </w:r>
    </w:p>
    <w:p>
      <w:pPr>
        <w:numPr>
          <w:ilvl w:val="0"/>
          <w:numId w:val="17"/>
        </w:numPr>
        <w:ind w:firstLine="480"/>
        <w:rPr>
          <w:rFonts w:cs="宋体"/>
          <w:color w:val="auto"/>
        </w:rPr>
      </w:pPr>
      <w:r>
        <w:rPr>
          <w:rFonts w:hint="eastAsia" w:cs="宋体"/>
          <w:color w:val="auto"/>
        </w:rPr>
        <w:t>采购人或者采购代理机构可以对已发出的招标文件进行必要的澄清或者修改，澄清或者修改会在原公告发布媒体上发布澄清公告，澄清或者修改的内容为招标文件的组成部分。</w:t>
      </w:r>
    </w:p>
    <w:p>
      <w:pPr>
        <w:numPr>
          <w:ilvl w:val="0"/>
          <w:numId w:val="17"/>
        </w:numPr>
        <w:ind w:firstLine="480"/>
        <w:rPr>
          <w:rFonts w:cs="宋体"/>
          <w:color w:val="auto"/>
        </w:rPr>
      </w:pPr>
      <w:r>
        <w:rPr>
          <w:rFonts w:hint="eastAsia" w:cs="宋体"/>
          <w:color w:val="auto"/>
        </w:rPr>
        <w:t>澄清或者修改的内容可能影响投标文件编制的，采购人或者采购代理机构会在投标截止时间至少15日前，以公告形式通知所有获取招标文件的潜在投标人；不足15日的，采购人或者采购代理机构会顺延提交投标文件的截止时间。</w:t>
      </w:r>
    </w:p>
    <w:p>
      <w:pPr>
        <w:numPr>
          <w:ilvl w:val="0"/>
          <w:numId w:val="17"/>
        </w:numPr>
        <w:ind w:firstLine="480"/>
        <w:rPr>
          <w:rFonts w:cs="宋体"/>
          <w:color w:val="auto"/>
        </w:rPr>
      </w:pPr>
      <w:r>
        <w:rPr>
          <w:rFonts w:hint="eastAsia" w:cs="宋体"/>
          <w:color w:val="auto"/>
        </w:rPr>
        <w:t>招标文件的修改将以公告形式通知所有购买招标文件的投标人，并对其具有约束力。若发布更正公告后，视同投标人已收到招标文件修改的通知，并受其约束。</w:t>
      </w:r>
    </w:p>
    <w:p>
      <w:pPr>
        <w:ind w:firstLine="482"/>
        <w:rPr>
          <w:rFonts w:cs="宋体"/>
          <w:b/>
          <w:bCs/>
          <w:color w:val="auto"/>
        </w:rPr>
      </w:pPr>
      <w:r>
        <w:rPr>
          <w:rFonts w:hint="eastAsia" w:cs="宋体"/>
          <w:b/>
          <w:bCs/>
          <w:color w:val="auto"/>
        </w:rPr>
        <w:t>▲投标文件未按招标文件的澄清、修改的内容编制，又不符合实质性要求的，投标无效。</w:t>
      </w:r>
    </w:p>
    <w:p>
      <w:pPr>
        <w:pStyle w:val="5"/>
        <w:jc w:val="center"/>
        <w:rPr>
          <w:rFonts w:cs="宋体"/>
          <w:color w:val="auto"/>
        </w:rPr>
      </w:pPr>
      <w:bookmarkStart w:id="73" w:name="_Toc82338241"/>
      <w:bookmarkStart w:id="74" w:name="_Toc19164"/>
      <w:bookmarkStart w:id="75" w:name="_Toc1096"/>
      <w:bookmarkStart w:id="76" w:name="_Toc21160"/>
      <w:bookmarkStart w:id="77" w:name="_Toc82873324"/>
      <w:bookmarkStart w:id="78" w:name="_Toc450840075"/>
      <w:bookmarkStart w:id="79" w:name="_Toc204"/>
      <w:r>
        <w:rPr>
          <w:rFonts w:hint="eastAsia" w:cs="宋体"/>
          <w:color w:val="auto"/>
        </w:rPr>
        <w:t>第三节 投标文件</w:t>
      </w:r>
      <w:bookmarkEnd w:id="73"/>
      <w:bookmarkEnd w:id="74"/>
      <w:bookmarkEnd w:id="75"/>
      <w:bookmarkEnd w:id="76"/>
      <w:bookmarkEnd w:id="77"/>
      <w:bookmarkEnd w:id="78"/>
      <w:bookmarkEnd w:id="79"/>
    </w:p>
    <w:p>
      <w:pPr>
        <w:pStyle w:val="6"/>
        <w:rPr>
          <w:rFonts w:cs="宋体"/>
          <w:color w:val="auto"/>
        </w:rPr>
      </w:pPr>
      <w:bookmarkStart w:id="80" w:name="_Toc8877"/>
      <w:r>
        <w:rPr>
          <w:rFonts w:hint="eastAsia" w:cs="宋体"/>
          <w:color w:val="auto"/>
        </w:rPr>
        <w:t>一、投标文件语言和计量单位</w:t>
      </w:r>
      <w:bookmarkEnd w:id="80"/>
    </w:p>
    <w:p>
      <w:pPr>
        <w:numPr>
          <w:ilvl w:val="0"/>
          <w:numId w:val="18"/>
        </w:numPr>
        <w:ind w:firstLine="480"/>
        <w:rPr>
          <w:rFonts w:cs="宋体"/>
          <w:color w:val="auto"/>
        </w:rPr>
      </w:pPr>
      <w:r>
        <w:rPr>
          <w:rFonts w:hint="eastAsia" w:cs="宋体"/>
          <w:color w:val="auto"/>
        </w:rPr>
        <w:t>投标文件应用中文书写。投标文件中所附或所引用的原件不是中文时，应附中文译本。</w:t>
      </w:r>
    </w:p>
    <w:p>
      <w:pPr>
        <w:numPr>
          <w:ilvl w:val="0"/>
          <w:numId w:val="18"/>
        </w:numPr>
        <w:ind w:firstLine="480"/>
        <w:rPr>
          <w:rFonts w:cs="宋体"/>
          <w:color w:val="auto"/>
        </w:rPr>
      </w:pPr>
      <w:r>
        <w:rPr>
          <w:rFonts w:hint="eastAsia" w:cs="宋体"/>
          <w:color w:val="auto"/>
        </w:rPr>
        <w:t>投标文件中所使用的计量单位，除招标文件中有特殊要求外，应采用国家法定计量单位。</w:t>
      </w:r>
    </w:p>
    <w:p>
      <w:pPr>
        <w:pStyle w:val="6"/>
        <w:rPr>
          <w:rFonts w:cs="宋体"/>
          <w:color w:val="auto"/>
        </w:rPr>
      </w:pPr>
      <w:bookmarkStart w:id="81" w:name="_Toc5487"/>
      <w:r>
        <w:rPr>
          <w:rFonts w:hint="eastAsia" w:cs="宋体"/>
          <w:color w:val="auto"/>
        </w:rPr>
        <w:t>二、投标文件的组成</w:t>
      </w:r>
      <w:bookmarkEnd w:id="81"/>
      <w:r>
        <w:rPr>
          <w:rFonts w:hint="eastAsia" w:cs="宋体"/>
          <w:color w:val="auto"/>
        </w:rPr>
        <w:t>（资格证明文件、报价文件和商务技术文件三部分组成）</w:t>
      </w:r>
    </w:p>
    <w:p>
      <w:pPr>
        <w:ind w:firstLine="0" w:firstLineChars="0"/>
        <w:rPr>
          <w:rFonts w:cs="宋体"/>
          <w:b/>
          <w:bCs/>
          <w:color w:val="auto"/>
        </w:rPr>
      </w:pPr>
      <w:bookmarkStart w:id="82" w:name="_Toc22525"/>
      <w:r>
        <w:rPr>
          <w:rFonts w:hint="eastAsia" w:cs="宋体"/>
          <w:b/>
          <w:bCs/>
          <w:color w:val="auto"/>
        </w:rPr>
        <w:t>（一）资格证明文件：（均须加盖公章）</w:t>
      </w:r>
    </w:p>
    <w:p>
      <w:pPr>
        <w:numPr>
          <w:ilvl w:val="0"/>
          <w:numId w:val="19"/>
        </w:numPr>
        <w:ind w:firstLine="480"/>
        <w:rPr>
          <w:rFonts w:cs="宋体"/>
          <w:color w:val="auto"/>
        </w:rPr>
      </w:pPr>
      <w:r>
        <w:rPr>
          <w:rFonts w:hint="eastAsia" w:cs="宋体"/>
          <w:color w:val="auto"/>
        </w:rPr>
        <w:t>提供有效的经营执照复印件；事业单位的，则提供有效的《事业单位法人证书》副本复印件章；</w:t>
      </w:r>
    </w:p>
    <w:p>
      <w:pPr>
        <w:numPr>
          <w:ilvl w:val="0"/>
          <w:numId w:val="19"/>
        </w:numPr>
        <w:ind w:firstLine="480"/>
        <w:rPr>
          <w:rFonts w:cs="宋体"/>
          <w:color w:val="auto"/>
        </w:rPr>
      </w:pPr>
      <w:r>
        <w:rPr>
          <w:rFonts w:hint="eastAsia" w:cs="宋体"/>
          <w:color w:val="auto"/>
        </w:rPr>
        <w:t>提供2020年度财务报告；</w:t>
      </w:r>
    </w:p>
    <w:p>
      <w:pPr>
        <w:numPr>
          <w:ilvl w:val="0"/>
          <w:numId w:val="19"/>
        </w:numPr>
        <w:ind w:firstLine="480"/>
        <w:rPr>
          <w:rFonts w:cs="宋体"/>
          <w:color w:val="auto"/>
        </w:rPr>
      </w:pPr>
      <w:r>
        <w:rPr>
          <w:rFonts w:hint="eastAsia" w:cs="宋体"/>
          <w:color w:val="auto"/>
        </w:rPr>
        <w:t>提供近一年任意一个月依法缴纳税收证明（完税凭证或税务部门出具的证明）；</w:t>
      </w:r>
    </w:p>
    <w:p>
      <w:pPr>
        <w:numPr>
          <w:ilvl w:val="0"/>
          <w:numId w:val="19"/>
        </w:numPr>
        <w:ind w:firstLine="480"/>
        <w:rPr>
          <w:rFonts w:cs="宋体"/>
          <w:color w:val="auto"/>
        </w:rPr>
      </w:pPr>
      <w:r>
        <w:rPr>
          <w:rFonts w:hint="eastAsia" w:cs="宋体"/>
          <w:color w:val="auto"/>
        </w:rPr>
        <w:t>提供近一年任意一个月依法缴纳社会保障资金证明（缴纳凭证或人社部门出具的证明）；</w:t>
      </w:r>
    </w:p>
    <w:p>
      <w:pPr>
        <w:numPr>
          <w:ilvl w:val="0"/>
          <w:numId w:val="19"/>
        </w:numPr>
        <w:ind w:firstLine="480"/>
        <w:rPr>
          <w:rFonts w:cs="宋体"/>
          <w:color w:val="auto"/>
        </w:rPr>
      </w:pPr>
      <w:r>
        <w:rPr>
          <w:rFonts w:hint="eastAsia" w:cs="宋体"/>
          <w:color w:val="auto"/>
        </w:rPr>
        <w:t>具有履行合同所必需的设备和专业技术能力的承诺函</w:t>
      </w:r>
    </w:p>
    <w:p>
      <w:pPr>
        <w:numPr>
          <w:ilvl w:val="0"/>
          <w:numId w:val="19"/>
        </w:numPr>
        <w:ind w:firstLine="480"/>
        <w:rPr>
          <w:rFonts w:cs="宋体"/>
          <w:color w:val="auto"/>
        </w:rPr>
      </w:pPr>
      <w:r>
        <w:rPr>
          <w:rFonts w:hint="eastAsia" w:cs="宋体"/>
          <w:color w:val="auto"/>
        </w:rPr>
        <w:t>参加政府采购活动前3年内在经营活动中没有重大违法记录的书面声明；</w:t>
      </w:r>
    </w:p>
    <w:p>
      <w:pPr>
        <w:numPr>
          <w:ilvl w:val="0"/>
          <w:numId w:val="19"/>
        </w:numPr>
        <w:ind w:firstLine="480"/>
        <w:rPr>
          <w:rFonts w:cs="宋体"/>
          <w:color w:val="auto"/>
        </w:rPr>
      </w:pPr>
      <w:r>
        <w:rPr>
          <w:rFonts w:hint="eastAsia" w:cs="宋体"/>
          <w:color w:val="auto"/>
        </w:rPr>
        <w:t>信用记录：查询信息网站截图：查询渠道：“信用中国”（www.creditchina.gov.cn）、“中国政府采购网”（www.ccgp.gov.cn），最终审查以代理机构在响应截止前一个工作日查询的最新信息为准。</w:t>
      </w:r>
    </w:p>
    <w:p>
      <w:pPr>
        <w:ind w:firstLine="0" w:firstLineChars="0"/>
        <w:rPr>
          <w:rFonts w:cs="宋体"/>
          <w:color w:val="auto"/>
          <w:szCs w:val="32"/>
        </w:rPr>
      </w:pPr>
      <w:r>
        <w:rPr>
          <w:rFonts w:hint="eastAsia" w:cs="宋体"/>
          <w:b/>
          <w:color w:val="auto"/>
        </w:rPr>
        <w:t>（二）报价文件</w:t>
      </w:r>
      <w:r>
        <w:rPr>
          <w:rFonts w:hint="eastAsia" w:cs="宋体"/>
          <w:color w:val="auto"/>
          <w:szCs w:val="32"/>
        </w:rPr>
        <w:t>：</w:t>
      </w:r>
    </w:p>
    <w:p>
      <w:pPr>
        <w:numPr>
          <w:ilvl w:val="0"/>
          <w:numId w:val="20"/>
        </w:numPr>
        <w:ind w:firstLine="480"/>
        <w:rPr>
          <w:rFonts w:cs="宋体"/>
          <w:color w:val="auto"/>
        </w:rPr>
      </w:pPr>
      <w:r>
        <w:rPr>
          <w:rFonts w:hint="eastAsia" w:cs="宋体"/>
          <w:color w:val="auto"/>
        </w:rPr>
        <w:t>投标函；</w:t>
      </w:r>
    </w:p>
    <w:p>
      <w:pPr>
        <w:numPr>
          <w:ilvl w:val="0"/>
          <w:numId w:val="20"/>
        </w:numPr>
        <w:ind w:firstLine="480"/>
        <w:rPr>
          <w:rFonts w:cs="宋体"/>
          <w:color w:val="auto"/>
        </w:rPr>
      </w:pPr>
      <w:r>
        <w:rPr>
          <w:rFonts w:hint="eastAsia" w:cs="宋体"/>
          <w:color w:val="auto"/>
        </w:rPr>
        <w:t>开标一览表；</w:t>
      </w:r>
    </w:p>
    <w:p>
      <w:pPr>
        <w:numPr>
          <w:ilvl w:val="0"/>
          <w:numId w:val="20"/>
        </w:numPr>
        <w:ind w:firstLine="480"/>
        <w:rPr>
          <w:rFonts w:cs="宋体"/>
          <w:color w:val="auto"/>
        </w:rPr>
      </w:pPr>
      <w:r>
        <w:rPr>
          <w:rFonts w:hint="eastAsia" w:cs="宋体"/>
          <w:color w:val="auto"/>
        </w:rPr>
        <w:t>投标分项报价表</w:t>
      </w:r>
    </w:p>
    <w:p>
      <w:pPr>
        <w:numPr>
          <w:ilvl w:val="0"/>
          <w:numId w:val="20"/>
        </w:numPr>
        <w:ind w:firstLine="480"/>
        <w:rPr>
          <w:rFonts w:cs="宋体"/>
          <w:color w:val="auto"/>
        </w:rPr>
      </w:pPr>
      <w:r>
        <w:rPr>
          <w:rFonts w:hint="eastAsia" w:cs="宋体"/>
          <w:color w:val="auto"/>
        </w:rPr>
        <w:t>《中小企业声明函》及相关证明材料；</w:t>
      </w:r>
    </w:p>
    <w:p>
      <w:pPr>
        <w:numPr>
          <w:ilvl w:val="0"/>
          <w:numId w:val="20"/>
        </w:numPr>
        <w:ind w:firstLine="480"/>
        <w:rPr>
          <w:rFonts w:cs="宋体"/>
          <w:color w:val="auto"/>
        </w:rPr>
      </w:pPr>
      <w:bookmarkStart w:id="83" w:name="_Toc4797"/>
      <w:bookmarkStart w:id="84" w:name="_Toc31456"/>
      <w:r>
        <w:rPr>
          <w:rFonts w:hint="eastAsia" w:cs="宋体"/>
          <w:color w:val="auto"/>
        </w:rPr>
        <w:t>残疾人福利性单位声明函（如有需提供）（格式附后）；</w:t>
      </w:r>
      <w:bookmarkEnd w:id="83"/>
      <w:bookmarkEnd w:id="84"/>
    </w:p>
    <w:p>
      <w:pPr>
        <w:numPr>
          <w:ilvl w:val="0"/>
          <w:numId w:val="20"/>
        </w:numPr>
        <w:ind w:firstLine="480"/>
        <w:rPr>
          <w:rFonts w:cs="宋体"/>
          <w:color w:val="auto"/>
        </w:rPr>
      </w:pPr>
      <w:bookmarkStart w:id="85" w:name="_Toc5746"/>
      <w:bookmarkStart w:id="86" w:name="_Toc6461"/>
      <w:r>
        <w:rPr>
          <w:rFonts w:hint="eastAsia" w:cs="宋体"/>
          <w:color w:val="auto"/>
        </w:rPr>
        <w:t>投标人针对报价需要说明的其他文件和说明。</w:t>
      </w:r>
      <w:bookmarkEnd w:id="85"/>
      <w:bookmarkEnd w:id="86"/>
    </w:p>
    <w:p>
      <w:pPr>
        <w:ind w:firstLine="0" w:firstLineChars="0"/>
        <w:rPr>
          <w:rFonts w:cs="宋体"/>
          <w:b/>
          <w:bCs/>
          <w:color w:val="auto"/>
          <w:szCs w:val="32"/>
        </w:rPr>
      </w:pPr>
      <w:r>
        <w:rPr>
          <w:rFonts w:hint="eastAsia" w:cs="宋体"/>
          <w:b/>
          <w:bCs/>
          <w:color w:val="auto"/>
          <w:szCs w:val="32"/>
        </w:rPr>
        <w:t>（三）商务技术文件：</w:t>
      </w:r>
    </w:p>
    <w:p>
      <w:pPr>
        <w:numPr>
          <w:ilvl w:val="0"/>
          <w:numId w:val="21"/>
        </w:numPr>
        <w:ind w:firstLine="480"/>
        <w:rPr>
          <w:rFonts w:cs="宋体"/>
          <w:color w:val="auto"/>
        </w:rPr>
      </w:pPr>
      <w:r>
        <w:rPr>
          <w:rFonts w:hint="eastAsia" w:cs="宋体"/>
          <w:color w:val="auto"/>
        </w:rPr>
        <w:t>投标声明书；</w:t>
      </w:r>
    </w:p>
    <w:p>
      <w:pPr>
        <w:numPr>
          <w:ilvl w:val="0"/>
          <w:numId w:val="21"/>
        </w:numPr>
        <w:ind w:firstLine="480"/>
        <w:rPr>
          <w:rFonts w:cs="宋体"/>
          <w:color w:val="auto"/>
        </w:rPr>
      </w:pPr>
      <w:r>
        <w:rPr>
          <w:rFonts w:hint="eastAsia" w:cs="宋体"/>
          <w:color w:val="auto"/>
        </w:rPr>
        <w:t>提供有效的经营执照复印件；事业单位的，则提供有效的《事业单位法人证书》副本复印件章；</w:t>
      </w:r>
    </w:p>
    <w:p>
      <w:pPr>
        <w:numPr>
          <w:ilvl w:val="0"/>
          <w:numId w:val="21"/>
        </w:numPr>
        <w:ind w:firstLine="480"/>
        <w:rPr>
          <w:rFonts w:cs="宋体"/>
          <w:color w:val="auto"/>
        </w:rPr>
      </w:pPr>
      <w:r>
        <w:rPr>
          <w:rFonts w:hint="eastAsia" w:cs="宋体"/>
          <w:color w:val="auto"/>
        </w:rPr>
        <w:t>法定代表人资格证明书和法定代表人授权委托书（投标人的代表若为非法定代表人的，必须提交法定代表人授权书；身份证复印件、授权委托人社保证明（近一年任意一个月的社保证明）；</w:t>
      </w:r>
    </w:p>
    <w:p>
      <w:pPr>
        <w:numPr>
          <w:ilvl w:val="0"/>
          <w:numId w:val="21"/>
        </w:numPr>
        <w:ind w:firstLine="480"/>
        <w:rPr>
          <w:rFonts w:cs="宋体"/>
          <w:color w:val="auto"/>
        </w:rPr>
      </w:pPr>
      <w:r>
        <w:rPr>
          <w:rFonts w:hint="eastAsia" w:cs="宋体"/>
          <w:color w:val="auto"/>
        </w:rPr>
        <w:t>廉政承诺书；</w:t>
      </w:r>
    </w:p>
    <w:p>
      <w:pPr>
        <w:numPr>
          <w:ilvl w:val="0"/>
          <w:numId w:val="21"/>
        </w:numPr>
        <w:ind w:firstLine="480"/>
        <w:rPr>
          <w:rFonts w:cs="宋体"/>
          <w:color w:val="auto"/>
        </w:rPr>
      </w:pPr>
      <w:r>
        <w:rPr>
          <w:rFonts w:hint="eastAsia" w:cs="宋体"/>
          <w:color w:val="auto"/>
        </w:rPr>
        <w:t>投标人情况表，质量管理体系（如有）、环境管理体系（如有）、职业健康及安全管理体系（如有）等三体系认证证书；（如有）；</w:t>
      </w:r>
    </w:p>
    <w:p>
      <w:pPr>
        <w:numPr>
          <w:ilvl w:val="0"/>
          <w:numId w:val="21"/>
        </w:numPr>
        <w:ind w:firstLine="480"/>
        <w:rPr>
          <w:rFonts w:cs="宋体"/>
          <w:color w:val="auto"/>
        </w:rPr>
      </w:pPr>
      <w:r>
        <w:rPr>
          <w:rFonts w:hint="eastAsia" w:cs="宋体"/>
          <w:color w:val="auto"/>
        </w:rPr>
        <w:t>同类项目实施情况一览表：2018年1月（以合同签订时间为准）至今实施的类似项目合同复印件（加盖公章），相关实施经验及成功案例介绍（要求提供有关情况，包括：项目名称、项目基本内容、业主名称、联系人及电话，项目金额、实施日期等）</w:t>
      </w:r>
    </w:p>
    <w:p>
      <w:pPr>
        <w:numPr>
          <w:ilvl w:val="0"/>
          <w:numId w:val="21"/>
        </w:numPr>
        <w:ind w:firstLine="456"/>
        <w:rPr>
          <w:rFonts w:hint="eastAsia" w:cs="宋体"/>
          <w:bCs/>
          <w:color w:val="auto"/>
          <w:spacing w:val="-6"/>
        </w:rPr>
      </w:pPr>
      <w:r>
        <w:rPr>
          <w:rFonts w:hint="eastAsia" w:cs="宋体"/>
          <w:bCs/>
          <w:color w:val="auto"/>
          <w:spacing w:val="-6"/>
        </w:rPr>
        <w:t>技术规范偏离表；</w:t>
      </w:r>
    </w:p>
    <w:p>
      <w:pPr>
        <w:numPr>
          <w:ilvl w:val="0"/>
          <w:numId w:val="21"/>
        </w:numPr>
        <w:ind w:firstLine="456"/>
        <w:rPr>
          <w:rFonts w:hint="eastAsia" w:cs="宋体"/>
          <w:bCs/>
          <w:color w:val="auto"/>
          <w:spacing w:val="-6"/>
        </w:rPr>
      </w:pPr>
      <w:r>
        <w:rPr>
          <w:rFonts w:hint="eastAsia" w:cs="宋体"/>
          <w:bCs/>
          <w:color w:val="auto"/>
          <w:spacing w:val="-6"/>
          <w:lang w:eastAsia="zh-CN"/>
        </w:rPr>
        <w:t>商务</w:t>
      </w:r>
      <w:r>
        <w:rPr>
          <w:rFonts w:hint="eastAsia" w:cs="宋体"/>
          <w:bCs/>
          <w:color w:val="auto"/>
          <w:spacing w:val="-6"/>
        </w:rPr>
        <w:t>条</w:t>
      </w:r>
      <w:r>
        <w:rPr>
          <w:rFonts w:hint="eastAsia" w:cs="宋体"/>
          <w:bCs/>
          <w:color w:val="auto"/>
          <w:spacing w:val="-6"/>
          <w:lang w:eastAsia="zh-CN"/>
        </w:rPr>
        <w:t>款偏离表</w:t>
      </w:r>
    </w:p>
    <w:p>
      <w:pPr>
        <w:numPr>
          <w:ilvl w:val="0"/>
          <w:numId w:val="21"/>
        </w:numPr>
        <w:ind w:firstLine="456"/>
        <w:rPr>
          <w:rFonts w:cs="宋体"/>
          <w:bCs/>
          <w:color w:val="auto"/>
          <w:spacing w:val="-6"/>
        </w:rPr>
      </w:pPr>
      <w:r>
        <w:rPr>
          <w:rFonts w:hint="eastAsia" w:cs="宋体"/>
          <w:bCs/>
          <w:color w:val="auto"/>
          <w:spacing w:val="-6"/>
        </w:rPr>
        <w:t>主要维修用零配件清单及价格；</w:t>
      </w:r>
    </w:p>
    <w:p>
      <w:pPr>
        <w:numPr>
          <w:ilvl w:val="0"/>
          <w:numId w:val="21"/>
        </w:numPr>
        <w:ind w:firstLine="456"/>
        <w:rPr>
          <w:rFonts w:cs="宋体"/>
          <w:bCs/>
          <w:color w:val="auto"/>
          <w:spacing w:val="-6"/>
        </w:rPr>
      </w:pPr>
      <w:r>
        <w:rPr>
          <w:rFonts w:hint="eastAsia" w:cs="宋体"/>
          <w:bCs/>
          <w:color w:val="auto"/>
          <w:spacing w:val="-6"/>
        </w:rPr>
        <w:t>产品总体性能及质量水平；</w:t>
      </w:r>
    </w:p>
    <w:p>
      <w:pPr>
        <w:numPr>
          <w:ilvl w:val="0"/>
          <w:numId w:val="21"/>
        </w:numPr>
        <w:ind w:firstLine="456"/>
        <w:rPr>
          <w:rFonts w:cs="宋体"/>
          <w:color w:val="auto"/>
        </w:rPr>
      </w:pPr>
      <w:r>
        <w:rPr>
          <w:rFonts w:hint="eastAsia" w:cs="宋体"/>
          <w:bCs/>
          <w:color w:val="auto"/>
          <w:spacing w:val="-6"/>
        </w:rPr>
        <w:t>产品配置的先进性、完整性和适用性</w:t>
      </w:r>
      <w:r>
        <w:rPr>
          <w:rFonts w:hint="eastAsia" w:cs="宋体"/>
          <w:color w:val="auto"/>
        </w:rPr>
        <w:t>；</w:t>
      </w:r>
    </w:p>
    <w:p>
      <w:pPr>
        <w:numPr>
          <w:ilvl w:val="0"/>
          <w:numId w:val="21"/>
        </w:numPr>
        <w:ind w:firstLine="456"/>
        <w:rPr>
          <w:rFonts w:cs="宋体"/>
          <w:color w:val="auto"/>
        </w:rPr>
      </w:pPr>
      <w:r>
        <w:rPr>
          <w:rFonts w:hint="eastAsia" w:cs="宋体"/>
          <w:bCs/>
          <w:color w:val="auto"/>
          <w:spacing w:val="-6"/>
        </w:rPr>
        <w:t>产品的稳定性、可操作性和可维护性</w:t>
      </w:r>
      <w:r>
        <w:rPr>
          <w:rFonts w:hint="eastAsia" w:cs="宋体"/>
          <w:color w:val="auto"/>
        </w:rPr>
        <w:t>；</w:t>
      </w:r>
    </w:p>
    <w:p>
      <w:pPr>
        <w:numPr>
          <w:ilvl w:val="0"/>
          <w:numId w:val="21"/>
        </w:numPr>
        <w:ind w:firstLine="456"/>
        <w:rPr>
          <w:rFonts w:cs="宋体"/>
          <w:color w:val="auto"/>
        </w:rPr>
      </w:pPr>
      <w:r>
        <w:rPr>
          <w:rFonts w:hint="eastAsia" w:cs="宋体"/>
          <w:bCs/>
          <w:color w:val="auto"/>
          <w:spacing w:val="-6"/>
        </w:rPr>
        <w:t>安装、调试、验收计划及人员安排情况</w:t>
      </w:r>
      <w:r>
        <w:rPr>
          <w:rFonts w:hint="eastAsia" w:cs="宋体"/>
          <w:color w:val="auto"/>
        </w:rPr>
        <w:t>；</w:t>
      </w:r>
    </w:p>
    <w:p>
      <w:pPr>
        <w:numPr>
          <w:ilvl w:val="0"/>
          <w:numId w:val="21"/>
        </w:numPr>
        <w:ind w:firstLine="456"/>
        <w:rPr>
          <w:rFonts w:cs="宋体"/>
          <w:color w:val="auto"/>
        </w:rPr>
      </w:pPr>
      <w:r>
        <w:rPr>
          <w:rFonts w:hint="eastAsia" w:cs="宋体"/>
          <w:bCs/>
          <w:color w:val="auto"/>
          <w:spacing w:val="-6"/>
        </w:rPr>
        <w:t>售后服务</w:t>
      </w:r>
      <w:r>
        <w:rPr>
          <w:rFonts w:hint="eastAsia" w:cs="宋体"/>
          <w:color w:val="auto"/>
        </w:rPr>
        <w:t>；</w:t>
      </w:r>
    </w:p>
    <w:p>
      <w:pPr>
        <w:numPr>
          <w:ilvl w:val="0"/>
          <w:numId w:val="21"/>
        </w:numPr>
        <w:ind w:firstLine="456"/>
        <w:rPr>
          <w:rFonts w:cs="宋体"/>
          <w:color w:val="auto"/>
        </w:rPr>
      </w:pPr>
      <w:r>
        <w:rPr>
          <w:rFonts w:hint="eastAsia" w:cs="宋体"/>
          <w:bCs/>
          <w:color w:val="auto"/>
          <w:spacing w:val="-6"/>
        </w:rPr>
        <w:t>优惠条件</w:t>
      </w:r>
      <w:r>
        <w:rPr>
          <w:rFonts w:hint="eastAsia" w:cs="宋体"/>
          <w:color w:val="auto"/>
        </w:rPr>
        <w:t>；</w:t>
      </w:r>
    </w:p>
    <w:p>
      <w:pPr>
        <w:numPr>
          <w:ilvl w:val="0"/>
          <w:numId w:val="21"/>
        </w:numPr>
        <w:ind w:firstLine="480"/>
        <w:rPr>
          <w:rFonts w:cs="宋体"/>
          <w:color w:val="auto"/>
        </w:rPr>
      </w:pPr>
      <w:r>
        <w:rPr>
          <w:rFonts w:hint="eastAsia" w:cs="宋体"/>
          <w:color w:val="auto"/>
        </w:rPr>
        <w:t>政府采购政策分</w:t>
      </w:r>
    </w:p>
    <w:p>
      <w:pPr>
        <w:numPr>
          <w:ilvl w:val="0"/>
          <w:numId w:val="21"/>
        </w:numPr>
        <w:ind w:firstLine="480"/>
        <w:rPr>
          <w:rFonts w:cs="宋体"/>
          <w:color w:val="auto"/>
        </w:rPr>
      </w:pPr>
      <w:r>
        <w:rPr>
          <w:rFonts w:hint="eastAsia" w:cs="宋体"/>
          <w:color w:val="auto"/>
        </w:rPr>
        <w:t>其它本招标文件评分表要求提供的材料或投标人认为需要的其他技术文件资料或说明。</w:t>
      </w:r>
    </w:p>
    <w:p>
      <w:pPr>
        <w:pStyle w:val="6"/>
        <w:rPr>
          <w:rFonts w:cs="宋体"/>
          <w:color w:val="auto"/>
          <w:szCs w:val="24"/>
        </w:rPr>
      </w:pPr>
      <w:r>
        <w:rPr>
          <w:rFonts w:hint="eastAsia" w:cs="宋体"/>
          <w:color w:val="auto"/>
          <w:szCs w:val="24"/>
        </w:rPr>
        <w:t>三、投标报价</w:t>
      </w:r>
      <w:bookmarkEnd w:id="82"/>
    </w:p>
    <w:p>
      <w:pPr>
        <w:numPr>
          <w:ilvl w:val="0"/>
          <w:numId w:val="22"/>
        </w:numPr>
        <w:ind w:firstLine="480"/>
        <w:rPr>
          <w:rFonts w:cs="宋体"/>
          <w:color w:val="auto"/>
        </w:rPr>
      </w:pPr>
      <w:r>
        <w:rPr>
          <w:rFonts w:hint="eastAsia" w:cs="宋体"/>
          <w:color w:val="auto"/>
        </w:rPr>
        <w:t>投标报价是指一次性报出不得更改的价格；</w:t>
      </w:r>
    </w:p>
    <w:p>
      <w:pPr>
        <w:numPr>
          <w:ilvl w:val="0"/>
          <w:numId w:val="22"/>
        </w:numPr>
        <w:ind w:firstLine="480"/>
        <w:rPr>
          <w:rFonts w:cs="宋体"/>
          <w:color w:val="auto"/>
        </w:rPr>
      </w:pPr>
      <w:r>
        <w:rPr>
          <w:rFonts w:hint="eastAsia" w:cs="宋体"/>
          <w:color w:val="auto"/>
        </w:rPr>
        <w:t>投标人的报价中应包含货物的价格、损耗、运费、仓储、搬运、税费、初加工服务费、质保期服务所需的全部费用，不再支付其他费用。</w:t>
      </w:r>
    </w:p>
    <w:p>
      <w:pPr>
        <w:pStyle w:val="6"/>
        <w:rPr>
          <w:rFonts w:cs="宋体"/>
          <w:color w:val="auto"/>
          <w:szCs w:val="24"/>
        </w:rPr>
      </w:pPr>
      <w:bookmarkStart w:id="87" w:name="_Toc25476"/>
      <w:bookmarkStart w:id="88" w:name="_Toc1"/>
      <w:bookmarkStart w:id="89" w:name="_Toc12521"/>
      <w:r>
        <w:rPr>
          <w:rFonts w:hint="eastAsia" w:cs="宋体"/>
          <w:color w:val="auto"/>
          <w:szCs w:val="24"/>
        </w:rPr>
        <w:t>四、投标文件的有效期</w:t>
      </w:r>
      <w:bookmarkEnd w:id="87"/>
    </w:p>
    <w:p>
      <w:pPr>
        <w:numPr>
          <w:ilvl w:val="0"/>
          <w:numId w:val="23"/>
        </w:numPr>
        <w:ind w:firstLine="480"/>
        <w:rPr>
          <w:rFonts w:cs="宋体"/>
          <w:color w:val="auto"/>
        </w:rPr>
      </w:pPr>
      <w:r>
        <w:rPr>
          <w:rFonts w:hint="eastAsia" w:cs="宋体"/>
          <w:color w:val="auto"/>
        </w:rPr>
        <w:t>投标文件有效期按“供应商须知前附表”规定，投标文件应在该有效期内保持有效。合同签订后，投标文件作为合同附件，投标文件有效期同合同有效期。</w:t>
      </w:r>
    </w:p>
    <w:p>
      <w:pPr>
        <w:numPr>
          <w:ilvl w:val="0"/>
          <w:numId w:val="23"/>
        </w:numPr>
        <w:ind w:firstLine="480"/>
        <w:rPr>
          <w:rFonts w:cs="宋体"/>
          <w:color w:val="auto"/>
        </w:rPr>
      </w:pPr>
      <w:r>
        <w:rPr>
          <w:rFonts w:hint="eastAsia" w:cs="宋体"/>
          <w:color w:val="auto"/>
        </w:rPr>
        <w:t>在特殊情况下，采购人可与供应商协商延长投标文件有效期，这种要求和答复均应以书面形式进行。</w:t>
      </w:r>
    </w:p>
    <w:p>
      <w:pPr>
        <w:pStyle w:val="6"/>
        <w:rPr>
          <w:rFonts w:cs="宋体"/>
          <w:color w:val="auto"/>
        </w:rPr>
      </w:pPr>
      <w:r>
        <w:rPr>
          <w:rFonts w:hint="eastAsia" w:cs="宋体"/>
          <w:color w:val="auto"/>
        </w:rPr>
        <w:t>五、投标文件的签署及规定</w:t>
      </w:r>
    </w:p>
    <w:p>
      <w:pPr>
        <w:numPr>
          <w:ilvl w:val="0"/>
          <w:numId w:val="24"/>
        </w:numPr>
        <w:ind w:firstLineChars="0"/>
        <w:rPr>
          <w:rFonts w:cs="宋体"/>
          <w:color w:val="auto"/>
        </w:rPr>
      </w:pPr>
      <w:r>
        <w:rPr>
          <w:rFonts w:hint="eastAsia" w:cs="宋体"/>
          <w:color w:val="auto"/>
        </w:rPr>
        <w:t>投标人应按本招标文件规定的格式和顺序编制、装订投标文件，投标文件内容不完整、编排混乱导致投标文件被误读、漏读或者查找不到相关内容的，是投标人的责任。</w:t>
      </w:r>
    </w:p>
    <w:p>
      <w:pPr>
        <w:numPr>
          <w:ilvl w:val="0"/>
          <w:numId w:val="24"/>
        </w:numPr>
        <w:ind w:firstLineChars="0"/>
        <w:rPr>
          <w:rFonts w:cs="宋体"/>
          <w:color w:val="auto"/>
        </w:rPr>
      </w:pPr>
      <w:r>
        <w:rPr>
          <w:rFonts w:hint="eastAsia" w:cs="宋体"/>
          <w:color w:val="auto"/>
        </w:rPr>
        <w:t>▲活页装订（卡条、抽杆夹、订书机、散装）的投标文件无效。</w:t>
      </w:r>
    </w:p>
    <w:p>
      <w:pPr>
        <w:numPr>
          <w:ilvl w:val="0"/>
          <w:numId w:val="24"/>
        </w:numPr>
        <w:ind w:firstLineChars="0"/>
        <w:rPr>
          <w:rFonts w:cs="宋体"/>
          <w:color w:val="auto"/>
        </w:rPr>
      </w:pPr>
      <w:r>
        <w:rPr>
          <w:rFonts w:hint="eastAsia" w:cs="宋体"/>
          <w:color w:val="auto"/>
        </w:rPr>
        <w:t>投标文件的正本必须以不褪色的墨水填写或打印（（原件和复印件须加盖公章）），注明“正本”字样，副本可以是正本加盖公章后的复印件。</w:t>
      </w:r>
    </w:p>
    <w:p>
      <w:pPr>
        <w:numPr>
          <w:ilvl w:val="0"/>
          <w:numId w:val="24"/>
        </w:numPr>
        <w:ind w:firstLineChars="0"/>
        <w:rPr>
          <w:rFonts w:cs="宋体"/>
          <w:color w:val="auto"/>
        </w:rPr>
      </w:pPr>
      <w:r>
        <w:rPr>
          <w:rFonts w:hint="eastAsia" w:cs="宋体"/>
          <w:color w:val="auto"/>
        </w:rPr>
        <w:t>投标文件须由投标人在规定位置盖章并由投标人代表签署，投标人应写全称。</w:t>
      </w:r>
    </w:p>
    <w:p>
      <w:pPr>
        <w:numPr>
          <w:ilvl w:val="0"/>
          <w:numId w:val="24"/>
        </w:numPr>
        <w:ind w:firstLineChars="0"/>
        <w:rPr>
          <w:rFonts w:cs="宋体"/>
          <w:color w:val="auto"/>
        </w:rPr>
      </w:pPr>
      <w:r>
        <w:rPr>
          <w:rFonts w:hint="eastAsia" w:cs="宋体"/>
          <w:color w:val="auto"/>
        </w:rPr>
        <w:t>投标文件不得涂改，若有修改错漏处，须由投标人代表签字并加盖公章。投标文件因字迹潦草或表达不清所引起的后果由投标人负责。</w:t>
      </w:r>
    </w:p>
    <w:p>
      <w:pPr>
        <w:ind w:firstLine="480"/>
        <w:rPr>
          <w:rFonts w:cs="宋体"/>
          <w:color w:val="auto"/>
        </w:rPr>
      </w:pPr>
    </w:p>
    <w:p>
      <w:pPr>
        <w:pStyle w:val="5"/>
        <w:jc w:val="center"/>
        <w:rPr>
          <w:rFonts w:cs="宋体"/>
          <w:color w:val="auto"/>
        </w:rPr>
      </w:pPr>
      <w:bookmarkStart w:id="90" w:name="_Toc7245"/>
      <w:bookmarkStart w:id="91" w:name="_Toc22584"/>
      <w:r>
        <w:rPr>
          <w:rFonts w:hint="eastAsia" w:cs="宋体"/>
          <w:color w:val="auto"/>
        </w:rPr>
        <w:t>第四节 投标文件的递交</w:t>
      </w:r>
      <w:bookmarkEnd w:id="88"/>
      <w:bookmarkEnd w:id="89"/>
      <w:bookmarkEnd w:id="90"/>
      <w:bookmarkEnd w:id="91"/>
    </w:p>
    <w:p>
      <w:pPr>
        <w:pStyle w:val="6"/>
        <w:rPr>
          <w:rFonts w:cs="宋体"/>
          <w:color w:val="auto"/>
        </w:rPr>
      </w:pPr>
      <w:bookmarkStart w:id="92" w:name="_Toc27893"/>
      <w:bookmarkStart w:id="93" w:name="_Toc20835"/>
      <w:r>
        <w:rPr>
          <w:rFonts w:hint="eastAsia" w:cs="宋体"/>
          <w:color w:val="auto"/>
        </w:rPr>
        <w:t>一、投标文件的密封及标记</w:t>
      </w:r>
    </w:p>
    <w:p>
      <w:pPr>
        <w:ind w:firstLine="480"/>
        <w:rPr>
          <w:rFonts w:cs="宋体"/>
          <w:color w:val="auto"/>
          <w:spacing w:val="-6"/>
          <w:szCs w:val="21"/>
        </w:rPr>
      </w:pPr>
      <w:r>
        <w:rPr>
          <w:rFonts w:hint="eastAsia" w:cs="宋体"/>
          <w:color w:val="auto"/>
        </w:rPr>
        <w:t>1.将全部投标文件（资格证明文件、报价文件、商务技术文件三部分）分别包装。</w:t>
      </w:r>
    </w:p>
    <w:p>
      <w:pPr>
        <w:ind w:firstLine="480"/>
        <w:rPr>
          <w:rFonts w:cs="宋体"/>
          <w:color w:val="auto"/>
        </w:rPr>
      </w:pPr>
      <w:r>
        <w:rPr>
          <w:rFonts w:hint="eastAsia" w:cs="宋体"/>
          <w:color w:val="auto"/>
        </w:rPr>
        <w:t>2.投标文件（资格证明文件、商务技术文件、报价文件）应按以下方法分别装袋密封：</w:t>
      </w:r>
    </w:p>
    <w:p>
      <w:pPr>
        <w:ind w:firstLine="480"/>
        <w:rPr>
          <w:rFonts w:cs="宋体"/>
          <w:color w:val="auto"/>
        </w:rPr>
      </w:pPr>
      <w:r>
        <w:rPr>
          <w:rFonts w:hint="eastAsia" w:cs="宋体"/>
          <w:color w:val="auto"/>
        </w:rPr>
        <w:t>相同部分的投标文件密封袋内装投标文件正副本。外层封皮上写明采购人名称、招标编号、招标项目名称、投标文件名称</w:t>
      </w:r>
      <w:r>
        <w:rPr>
          <w:rFonts w:hint="eastAsia" w:cs="宋体"/>
          <w:color w:val="auto"/>
          <w:spacing w:val="-6"/>
          <w:szCs w:val="21"/>
        </w:rPr>
        <w:t>（资格证明文件、报价文件、商务技术文件）</w:t>
      </w:r>
      <w:r>
        <w:rPr>
          <w:rFonts w:hint="eastAsia" w:cs="宋体"/>
          <w:color w:val="auto"/>
        </w:rPr>
        <w:t>、投标方名称、投标方地址、投标方授权代表签字及日期并注明“</w:t>
      </w:r>
      <w:r>
        <w:rPr>
          <w:rFonts w:hint="eastAsia" w:cs="宋体"/>
          <w:bCs/>
          <w:color w:val="auto"/>
          <w:spacing w:val="-6"/>
        </w:rPr>
        <w:t>在    年  月  日  时  分之前不得启封</w:t>
      </w:r>
      <w:r>
        <w:rPr>
          <w:rFonts w:hint="eastAsia" w:cs="宋体"/>
          <w:color w:val="auto"/>
        </w:rPr>
        <w:t>”字样。</w:t>
      </w:r>
    </w:p>
    <w:p>
      <w:pPr>
        <w:ind w:firstLine="480"/>
        <w:rPr>
          <w:rFonts w:cs="宋体"/>
          <w:color w:val="auto"/>
        </w:rPr>
      </w:pPr>
      <w:r>
        <w:rPr>
          <w:rFonts w:hint="eastAsia" w:cs="宋体"/>
          <w:color w:val="auto"/>
        </w:rPr>
        <w:t>3.如果投标方未按上述要求密封及加写标记，招标方对投标文件的误投和提前启封概不负责。</w:t>
      </w:r>
    </w:p>
    <w:p>
      <w:pPr>
        <w:ind w:firstLine="480"/>
        <w:rPr>
          <w:rFonts w:cs="宋体"/>
          <w:color w:val="auto"/>
        </w:rPr>
      </w:pPr>
      <w:r>
        <w:rPr>
          <w:rFonts w:hint="eastAsia" w:cs="宋体"/>
          <w:color w:val="auto"/>
        </w:rPr>
        <w:t>4.投标文件必须在投标截止时间前派人送达到指定的投标地点，在投标截止时间以后送达的投标文件或者未按照招标文件要求密封的投标文件，招标方拒绝接收。</w:t>
      </w:r>
    </w:p>
    <w:p>
      <w:pPr>
        <w:pStyle w:val="6"/>
        <w:rPr>
          <w:rFonts w:cs="宋体"/>
          <w:color w:val="auto"/>
        </w:rPr>
      </w:pPr>
      <w:r>
        <w:rPr>
          <w:rFonts w:hint="eastAsia" w:cs="宋体"/>
          <w:color w:val="auto"/>
        </w:rPr>
        <w:t>二、投标文件的补充、修改或撤回</w:t>
      </w:r>
    </w:p>
    <w:p>
      <w:pPr>
        <w:numPr>
          <w:ilvl w:val="0"/>
          <w:numId w:val="25"/>
        </w:numPr>
        <w:ind w:firstLineChars="0"/>
        <w:rPr>
          <w:rFonts w:cs="宋体"/>
          <w:color w:val="auto"/>
        </w:rPr>
      </w:pPr>
      <w:r>
        <w:rPr>
          <w:rFonts w:hint="eastAsia" w:cs="宋体"/>
          <w:color w:val="auto"/>
        </w:rPr>
        <w:t>投标以后，如果投标方在投标截止时间前提出补充、修改或撤回要求，必须提供有法人代表或全权代表签署的要求撤回投标的正式文件，本招标代理公司将予以接受。</w:t>
      </w:r>
    </w:p>
    <w:p>
      <w:pPr>
        <w:numPr>
          <w:ilvl w:val="0"/>
          <w:numId w:val="25"/>
        </w:numPr>
        <w:ind w:firstLineChars="0"/>
        <w:rPr>
          <w:rFonts w:cs="宋体"/>
          <w:color w:val="auto"/>
        </w:rPr>
      </w:pPr>
      <w:r>
        <w:rPr>
          <w:rFonts w:hint="eastAsia" w:cs="宋体"/>
          <w:color w:val="auto"/>
        </w:rPr>
        <w:t>投标方修改投标文件的书面村料，须密封送达招标方，同时应在封套上标明“修改投标文件（并注明招标编号）”和“在    年  月  日  时  分之前不得启封”字样。</w:t>
      </w:r>
    </w:p>
    <w:p>
      <w:pPr>
        <w:numPr>
          <w:ilvl w:val="0"/>
          <w:numId w:val="25"/>
        </w:numPr>
        <w:ind w:firstLineChars="0"/>
        <w:rPr>
          <w:rFonts w:cs="宋体"/>
          <w:color w:val="auto"/>
        </w:rPr>
      </w:pPr>
      <w:r>
        <w:rPr>
          <w:rFonts w:hint="eastAsia" w:cs="宋体"/>
          <w:color w:val="auto"/>
        </w:rPr>
        <w:t>开标后投标方不得撤回投标，投标文件不予退还。</w:t>
      </w:r>
    </w:p>
    <w:p>
      <w:pPr>
        <w:pStyle w:val="12"/>
        <w:ind w:firstLine="280"/>
        <w:rPr>
          <w:rFonts w:ascii="宋体" w:eastAsia="宋体" w:cs="宋体"/>
          <w:color w:val="auto"/>
        </w:rPr>
      </w:pPr>
    </w:p>
    <w:p>
      <w:pPr>
        <w:pStyle w:val="5"/>
        <w:jc w:val="center"/>
        <w:rPr>
          <w:rFonts w:cs="宋体"/>
          <w:color w:val="auto"/>
        </w:rPr>
      </w:pPr>
      <w:bookmarkStart w:id="94" w:name="_Toc11276"/>
      <w:bookmarkStart w:id="95" w:name="_Toc23575"/>
      <w:r>
        <w:rPr>
          <w:rFonts w:hint="eastAsia" w:cs="宋体"/>
          <w:color w:val="auto"/>
        </w:rPr>
        <w:t>第五节 开标</w:t>
      </w:r>
      <w:bookmarkEnd w:id="92"/>
      <w:bookmarkEnd w:id="93"/>
      <w:bookmarkEnd w:id="94"/>
      <w:bookmarkEnd w:id="95"/>
    </w:p>
    <w:p>
      <w:pPr>
        <w:pStyle w:val="6"/>
        <w:rPr>
          <w:rFonts w:cs="宋体"/>
          <w:color w:val="auto"/>
          <w:szCs w:val="24"/>
        </w:rPr>
      </w:pPr>
      <w:bookmarkStart w:id="96" w:name="_Toc13980"/>
      <w:bookmarkStart w:id="97" w:name="_Toc13687"/>
      <w:bookmarkStart w:id="98" w:name="_Toc13357"/>
      <w:r>
        <w:rPr>
          <w:rFonts w:hint="eastAsia" w:cs="宋体"/>
          <w:color w:val="auto"/>
        </w:rPr>
        <w:t>一、开标流程</w:t>
      </w:r>
      <w:bookmarkEnd w:id="96"/>
    </w:p>
    <w:p>
      <w:pPr>
        <w:ind w:firstLine="480"/>
        <w:rPr>
          <w:rFonts w:cs="宋体"/>
          <w:color w:val="auto"/>
        </w:rPr>
      </w:pPr>
      <w:r>
        <w:rPr>
          <w:rFonts w:hint="eastAsia" w:cs="宋体"/>
          <w:color w:val="auto"/>
        </w:rPr>
        <w:t>1.采购代理机构将按照采购公告规定的时间、地点组织开标，开标原则上采取先拆封商务和技术文件、商务技术评审后拆封报价文件的顺序进行。具体按以下程序进行。</w:t>
      </w:r>
    </w:p>
    <w:p>
      <w:pPr>
        <w:ind w:firstLine="480"/>
        <w:rPr>
          <w:rFonts w:cs="宋体"/>
          <w:color w:val="auto"/>
        </w:rPr>
      </w:pPr>
      <w:r>
        <w:rPr>
          <w:rFonts w:hint="eastAsia" w:cs="宋体"/>
          <w:color w:val="auto"/>
        </w:rPr>
        <w:t>（1）采购代理机构开启开标场地的录音录像采集设备，并确保其正常运行。接着将核验出席开标活动现场的各投标人法定代表人或其授权代表及相关单位人员身份，并组织其分别登记、签到，无关人员不得进入现场。各投标人法定代表人或其授权代表应准时参加，携带本人身份证原件，投标文件中按要求提供法定代表人授权书。投标人如不派代表参加开标大会的，视为自动放弃开标监督权利，认可开标结果，事后不得对采购相关人员、开标过程和开标结果提出异议。</w:t>
      </w:r>
    </w:p>
    <w:p>
      <w:pPr>
        <w:ind w:firstLine="480"/>
        <w:rPr>
          <w:rFonts w:cs="宋体"/>
          <w:color w:val="auto"/>
        </w:rPr>
      </w:pPr>
      <w:r>
        <w:rPr>
          <w:rFonts w:hint="eastAsia" w:cs="宋体"/>
          <w:color w:val="auto"/>
        </w:rPr>
        <w:t>（2）采购代理机构接收投标文件并登记，各投标人法定代表人或其授权代表对投标文件的递交记录情况进行签字确认。没有整体密封包装的投标文件，将被当场拒绝。</w:t>
      </w:r>
    </w:p>
    <w:p>
      <w:pPr>
        <w:ind w:firstLine="480"/>
        <w:rPr>
          <w:rFonts w:cs="宋体"/>
          <w:color w:val="auto"/>
        </w:rPr>
      </w:pPr>
      <w:r>
        <w:rPr>
          <w:rFonts w:hint="eastAsia" w:cs="宋体"/>
          <w:color w:val="auto"/>
        </w:rPr>
        <w:t>（3）采购代理机构宣布开标，介绍开标现场的人员情况，宣读递交投标文件的投标人名单、开标纪律、应当回避的情形等注意事项，组织各投标人法定代表人或其授权代表签署不存在影响公平竞争的《采购活动现场确认声明书》。</w:t>
      </w:r>
    </w:p>
    <w:p>
      <w:pPr>
        <w:ind w:firstLine="480"/>
        <w:rPr>
          <w:rFonts w:cs="宋体"/>
          <w:color w:val="auto"/>
        </w:rPr>
      </w:pPr>
      <w:r>
        <w:rPr>
          <w:rFonts w:hint="eastAsia" w:cs="宋体"/>
          <w:color w:val="auto"/>
        </w:rPr>
        <w:t>（4）请投标人或者其推选的代表查验投标文件密封情况。</w:t>
      </w:r>
    </w:p>
    <w:p>
      <w:pPr>
        <w:ind w:firstLine="480"/>
        <w:rPr>
          <w:rFonts w:cs="宋体"/>
          <w:color w:val="auto"/>
        </w:rPr>
      </w:pPr>
      <w:r>
        <w:rPr>
          <w:rFonts w:hint="eastAsia" w:cs="宋体"/>
          <w:color w:val="auto"/>
        </w:rPr>
        <w:t>（5）开标时，按投标人提交投标文件的登记顺序当众拆封、清点投标文件（包括正本、副本）数量，将其中密封的报价文件集中等候拆封。采购代理机构对供应商资格证明文件进行查验、核实，应当由投标人或者其推选的代表检查投标文件的密封情况。资格证明文件审查不通过的，不再进行商务技术文件、报价文件的评审。并退还其他投标文件。</w:t>
      </w:r>
    </w:p>
    <w:p>
      <w:pPr>
        <w:ind w:firstLine="480"/>
        <w:rPr>
          <w:rFonts w:cs="宋体"/>
          <w:color w:val="auto"/>
        </w:rPr>
      </w:pPr>
      <w:r>
        <w:rPr>
          <w:rFonts w:hint="eastAsia" w:cs="宋体"/>
          <w:color w:val="auto"/>
        </w:rPr>
        <w:t>（6）对资格审查通过的商务和技术文件由现场工作人员护送至指定的评审地点。对不符合装订要求的采购响应文件，由现场工作人员退还供应商代表。</w:t>
      </w:r>
    </w:p>
    <w:p>
      <w:pPr>
        <w:ind w:firstLine="480"/>
        <w:rPr>
          <w:rFonts w:cs="宋体"/>
          <w:color w:val="auto"/>
        </w:rPr>
      </w:pPr>
      <w:r>
        <w:rPr>
          <w:rFonts w:hint="eastAsia" w:cs="宋体"/>
          <w:color w:val="auto"/>
        </w:rPr>
        <w:t>（7）商务和技术评审结束后，采购代理机构宣布商务和技术评审无效投标人名单及理由，无效投标人可收回未拆封的报价文件并签字确认；公布经商务和技术评审符合采购需求的投标人名单，采用综合评分法的，公布其商务和技术得分之和的情况。</w:t>
      </w:r>
    </w:p>
    <w:p>
      <w:pPr>
        <w:ind w:firstLine="480"/>
        <w:rPr>
          <w:rFonts w:cs="宋体"/>
          <w:color w:val="auto"/>
        </w:rPr>
      </w:pPr>
      <w:r>
        <w:rPr>
          <w:rFonts w:hint="eastAsia" w:cs="宋体"/>
          <w:color w:val="auto"/>
        </w:rPr>
        <w:t>（8）采购代理机构拆封投标人报价文件，宣读《投标（开标）一览表》有关内容，同时当场制作并打印开标记录表，由各投标人法定代表人或其授权代表在开标记录表上签字确认（不予确认的应说明理由，否则视为无异议）。唱标结束后，采购代理机构将报价文件及开标记录表送至评审地点，由评标委员会对报价的合理性、准确性、有效性等进行审查核实。</w:t>
      </w:r>
    </w:p>
    <w:p>
      <w:pPr>
        <w:ind w:firstLine="480"/>
        <w:rPr>
          <w:rFonts w:cs="宋体"/>
          <w:color w:val="auto"/>
        </w:rPr>
      </w:pPr>
      <w:r>
        <w:rPr>
          <w:rFonts w:hint="eastAsia" w:cs="宋体"/>
          <w:color w:val="auto"/>
        </w:rPr>
        <w:t>（9）评审结束后，采购代理机构公布中标候选人名单，及采购人最终确定中标人名单的时间和公告方式等。</w:t>
      </w:r>
    </w:p>
    <w:p>
      <w:pPr>
        <w:pStyle w:val="6"/>
        <w:rPr>
          <w:rFonts w:cs="宋体"/>
          <w:color w:val="auto"/>
          <w:szCs w:val="24"/>
        </w:rPr>
      </w:pPr>
      <w:bookmarkStart w:id="99" w:name="_Toc32572"/>
      <w:r>
        <w:rPr>
          <w:rFonts w:hint="eastAsia" w:cs="宋体"/>
          <w:color w:val="auto"/>
          <w:szCs w:val="24"/>
        </w:rPr>
        <w:t>二、投标文件鉴定</w:t>
      </w:r>
      <w:bookmarkEnd w:id="99"/>
    </w:p>
    <w:p>
      <w:pPr>
        <w:numPr>
          <w:ilvl w:val="0"/>
          <w:numId w:val="26"/>
        </w:numPr>
        <w:tabs>
          <w:tab w:val="left" w:pos="720"/>
        </w:tabs>
        <w:ind w:left="0" w:firstLine="480"/>
        <w:rPr>
          <w:rFonts w:cs="宋体"/>
          <w:color w:val="auto"/>
        </w:rPr>
      </w:pPr>
      <w:r>
        <w:rPr>
          <w:rFonts w:hint="eastAsia" w:cs="宋体"/>
          <w:color w:val="auto"/>
        </w:rPr>
        <w:t>开标时，采购代理机构将对投标文件进行初步审查，检查投标书内容是否完整、文件签署是否规范以及投标人资格是否符合要求等。如投标文件被确认为无效，采购代理机构将及时通知该投标人。</w:t>
      </w:r>
    </w:p>
    <w:p>
      <w:pPr>
        <w:numPr>
          <w:ilvl w:val="0"/>
          <w:numId w:val="26"/>
        </w:numPr>
        <w:tabs>
          <w:tab w:val="left" w:pos="720"/>
        </w:tabs>
        <w:ind w:left="0" w:firstLine="480"/>
        <w:rPr>
          <w:rFonts w:cs="宋体"/>
          <w:color w:val="auto"/>
        </w:rPr>
      </w:pPr>
      <w:r>
        <w:rPr>
          <w:rFonts w:hint="eastAsia" w:cs="宋体"/>
          <w:color w:val="auto"/>
        </w:rPr>
        <w:t>如果投标文件实质上不响应招标文件的要求，采购代理机构及评标委员会将予以拒绝，并且不允许通过修正或撤消不符合要求的差异或保留，使之成为具有响应性的投标。</w:t>
      </w:r>
    </w:p>
    <w:p>
      <w:pPr>
        <w:numPr>
          <w:ilvl w:val="0"/>
          <w:numId w:val="26"/>
        </w:numPr>
        <w:tabs>
          <w:tab w:val="left" w:pos="720"/>
        </w:tabs>
        <w:ind w:left="0" w:firstLine="480"/>
        <w:rPr>
          <w:rFonts w:cs="宋体"/>
          <w:color w:val="auto"/>
        </w:rPr>
      </w:pPr>
      <w:r>
        <w:rPr>
          <w:rFonts w:hint="eastAsia" w:cs="宋体"/>
          <w:color w:val="auto"/>
        </w:rPr>
        <w:t>经开标后递交至评标委员会的投标文件，仍需接受相关符合性的检查，并有可能在评标过程中被判断为无效。</w:t>
      </w:r>
    </w:p>
    <w:p>
      <w:pPr>
        <w:ind w:firstLine="480"/>
        <w:rPr>
          <w:rFonts w:cs="宋体"/>
          <w:color w:val="auto"/>
        </w:rPr>
      </w:pPr>
    </w:p>
    <w:p>
      <w:pPr>
        <w:pStyle w:val="5"/>
        <w:jc w:val="center"/>
        <w:rPr>
          <w:rFonts w:cs="宋体"/>
          <w:color w:val="auto"/>
        </w:rPr>
      </w:pPr>
      <w:bookmarkStart w:id="100" w:name="_Toc5955"/>
      <w:bookmarkStart w:id="101" w:name="_Toc21559"/>
      <w:r>
        <w:rPr>
          <w:rFonts w:hint="eastAsia" w:cs="宋体"/>
          <w:color w:val="auto"/>
        </w:rPr>
        <w:t>第六节 评标</w:t>
      </w:r>
      <w:bookmarkEnd w:id="97"/>
      <w:bookmarkEnd w:id="98"/>
      <w:bookmarkEnd w:id="100"/>
      <w:bookmarkEnd w:id="101"/>
    </w:p>
    <w:p>
      <w:pPr>
        <w:pStyle w:val="6"/>
        <w:rPr>
          <w:rFonts w:cs="宋体"/>
          <w:color w:val="auto"/>
        </w:rPr>
      </w:pPr>
      <w:bookmarkStart w:id="102" w:name="_Toc19136"/>
      <w:r>
        <w:rPr>
          <w:rFonts w:hint="eastAsia" w:cs="宋体"/>
          <w:color w:val="auto"/>
        </w:rPr>
        <w:t>一、组建评标委员会</w:t>
      </w:r>
      <w:bookmarkEnd w:id="102"/>
    </w:p>
    <w:p>
      <w:pPr>
        <w:ind w:firstLine="480"/>
        <w:rPr>
          <w:rFonts w:cs="宋体"/>
          <w:color w:val="auto"/>
        </w:rPr>
      </w:pPr>
      <w:r>
        <w:rPr>
          <w:rFonts w:hint="eastAsia" w:cs="宋体"/>
          <w:color w:val="auto"/>
        </w:rPr>
        <w:t>采购代理机构依法组建由5人及以上奇数的人员组成的评标委员会，负责对投标文件进行审查、质询、评审和比较等。评标委员会由采购人代表和政府采购咨询专家组成，其中政府采购咨询专家人数不少于成员总数的三分之二。评标委员会成员名单在招标结果确定之前依法保密。</w:t>
      </w:r>
    </w:p>
    <w:p>
      <w:pPr>
        <w:pStyle w:val="6"/>
        <w:rPr>
          <w:rFonts w:cs="宋体"/>
          <w:color w:val="auto"/>
          <w:szCs w:val="24"/>
        </w:rPr>
      </w:pPr>
      <w:bookmarkStart w:id="103" w:name="_Toc26177"/>
      <w:r>
        <w:rPr>
          <w:rFonts w:hint="eastAsia" w:cs="宋体"/>
          <w:color w:val="auto"/>
          <w:szCs w:val="24"/>
        </w:rPr>
        <w:t>二、评标的方式</w:t>
      </w:r>
      <w:bookmarkEnd w:id="103"/>
    </w:p>
    <w:p>
      <w:pPr>
        <w:ind w:firstLine="480"/>
        <w:rPr>
          <w:rFonts w:cs="宋体"/>
          <w:color w:val="auto"/>
        </w:rPr>
      </w:pPr>
      <w:r>
        <w:rPr>
          <w:rFonts w:hint="eastAsia" w:cs="宋体"/>
          <w:color w:val="auto"/>
        </w:rPr>
        <w:t>本项目采用不公开方式评标，评标的依据为招标文件和投标文件。不考虑投标人在开标后提交的任何的补充声明、修正方案。</w:t>
      </w:r>
    </w:p>
    <w:p>
      <w:pPr>
        <w:pStyle w:val="6"/>
        <w:rPr>
          <w:rFonts w:cs="宋体"/>
          <w:color w:val="auto"/>
          <w:szCs w:val="24"/>
        </w:rPr>
      </w:pPr>
      <w:bookmarkStart w:id="104" w:name="_Toc14276"/>
      <w:r>
        <w:rPr>
          <w:rFonts w:hint="eastAsia" w:cs="宋体"/>
          <w:color w:val="auto"/>
          <w:szCs w:val="24"/>
        </w:rPr>
        <w:t>三、评标原则</w:t>
      </w:r>
      <w:bookmarkEnd w:id="104"/>
    </w:p>
    <w:p>
      <w:pPr>
        <w:ind w:firstLine="480"/>
        <w:rPr>
          <w:rFonts w:cs="宋体"/>
          <w:color w:val="auto"/>
        </w:rPr>
      </w:pPr>
      <w:r>
        <w:rPr>
          <w:rFonts w:hint="eastAsia" w:cs="宋体"/>
          <w:color w:val="auto"/>
        </w:rPr>
        <w:t>评标严格按照招标文件的要求和条件，只依据投标内容本身，不依靠开标后的任何外来证明。以公开、公正、公平、效益的原则进行；比较报价，同时考虑以下因素；</w:t>
      </w:r>
    </w:p>
    <w:p>
      <w:pPr>
        <w:numPr>
          <w:ilvl w:val="0"/>
          <w:numId w:val="27"/>
        </w:numPr>
        <w:ind w:firstLine="480"/>
        <w:rPr>
          <w:rFonts w:cs="宋体"/>
          <w:color w:val="auto"/>
        </w:rPr>
      </w:pPr>
      <w:r>
        <w:rPr>
          <w:rFonts w:hint="eastAsia" w:cs="宋体"/>
          <w:color w:val="auto"/>
        </w:rPr>
        <w:t>价格合理，方案、产品先进、可靠。</w:t>
      </w:r>
    </w:p>
    <w:p>
      <w:pPr>
        <w:numPr>
          <w:ilvl w:val="0"/>
          <w:numId w:val="27"/>
        </w:numPr>
        <w:ind w:firstLine="480"/>
        <w:rPr>
          <w:rFonts w:cs="宋体"/>
          <w:color w:val="auto"/>
        </w:rPr>
      </w:pPr>
      <w:r>
        <w:rPr>
          <w:rFonts w:hint="eastAsia" w:cs="宋体"/>
          <w:color w:val="auto"/>
        </w:rPr>
        <w:t>经营信誉。</w:t>
      </w:r>
    </w:p>
    <w:p>
      <w:pPr>
        <w:numPr>
          <w:ilvl w:val="0"/>
          <w:numId w:val="27"/>
        </w:numPr>
        <w:ind w:firstLine="480"/>
        <w:rPr>
          <w:rFonts w:cs="宋体"/>
          <w:color w:val="auto"/>
        </w:rPr>
      </w:pPr>
      <w:r>
        <w:rPr>
          <w:rFonts w:hint="eastAsia" w:cs="宋体"/>
          <w:color w:val="auto"/>
        </w:rPr>
        <w:t>反对不正当竞争。</w:t>
      </w:r>
    </w:p>
    <w:p>
      <w:pPr>
        <w:pStyle w:val="6"/>
        <w:rPr>
          <w:rFonts w:cs="宋体"/>
          <w:color w:val="auto"/>
          <w:szCs w:val="24"/>
        </w:rPr>
      </w:pPr>
      <w:bookmarkStart w:id="105" w:name="_Toc17753"/>
      <w:r>
        <w:rPr>
          <w:rFonts w:hint="eastAsia" w:cs="宋体"/>
          <w:color w:val="auto"/>
          <w:szCs w:val="24"/>
        </w:rPr>
        <w:t>四、评标程序</w:t>
      </w:r>
      <w:bookmarkEnd w:id="105"/>
    </w:p>
    <w:p>
      <w:pPr>
        <w:ind w:firstLine="480"/>
        <w:rPr>
          <w:rFonts w:cs="宋体"/>
          <w:color w:val="auto"/>
        </w:rPr>
      </w:pPr>
      <w:r>
        <w:rPr>
          <w:rFonts w:hint="eastAsia" w:cs="宋体"/>
          <w:color w:val="auto"/>
        </w:rPr>
        <w:t>采购代理机构按照招标文件规定的时间、地点及程序组织评审。评审活动一般应按以下程序组织开展：</w:t>
      </w:r>
    </w:p>
    <w:p>
      <w:pPr>
        <w:numPr>
          <w:ilvl w:val="0"/>
          <w:numId w:val="28"/>
        </w:numPr>
        <w:ind w:firstLine="480"/>
        <w:rPr>
          <w:rFonts w:cs="宋体"/>
          <w:color w:val="auto"/>
        </w:rPr>
      </w:pPr>
      <w:r>
        <w:rPr>
          <w:rFonts w:hint="eastAsia" w:cs="宋体"/>
          <w:color w:val="auto"/>
        </w:rPr>
        <w:t>开启评审场地的录音录像采集设备，并确保其正常运行。</w:t>
      </w:r>
    </w:p>
    <w:p>
      <w:pPr>
        <w:numPr>
          <w:ilvl w:val="0"/>
          <w:numId w:val="28"/>
        </w:numPr>
        <w:ind w:firstLine="480"/>
        <w:rPr>
          <w:rFonts w:cs="宋体"/>
          <w:color w:val="auto"/>
        </w:rPr>
      </w:pPr>
      <w:r>
        <w:rPr>
          <w:rFonts w:hint="eastAsia" w:cs="宋体"/>
          <w:color w:val="auto"/>
        </w:rPr>
        <w:t>核验出席评审活动现场的评标委员会各成员身份，并要求其分别登记、签到，按规定统一收缴、保存其通讯工具，无关人员一律拒绝其进入评审现场。</w:t>
      </w:r>
    </w:p>
    <w:p>
      <w:pPr>
        <w:numPr>
          <w:ilvl w:val="0"/>
          <w:numId w:val="28"/>
        </w:numPr>
        <w:ind w:firstLine="480"/>
        <w:rPr>
          <w:rFonts w:cs="宋体"/>
          <w:color w:val="auto"/>
        </w:rPr>
      </w:pPr>
      <w:r>
        <w:rPr>
          <w:rFonts w:hint="eastAsia" w:cs="宋体"/>
          <w:color w:val="auto"/>
        </w:rPr>
        <w:t>介绍评审现场的人员情况，宣布评审工作纪律，告知评标委员会应当回避情形；组织推选评标委员会组长。</w:t>
      </w:r>
    </w:p>
    <w:p>
      <w:pPr>
        <w:numPr>
          <w:ilvl w:val="0"/>
          <w:numId w:val="28"/>
        </w:numPr>
        <w:ind w:firstLine="480"/>
        <w:rPr>
          <w:rFonts w:cs="宋体"/>
          <w:color w:val="auto"/>
        </w:rPr>
      </w:pPr>
      <w:r>
        <w:rPr>
          <w:rFonts w:hint="eastAsia" w:cs="宋体"/>
          <w:color w:val="auto"/>
        </w:rPr>
        <w:t>通报报名参加本项目的投标人名单及资格预审情况（如有），宣读最终提交投标文件且通过资格审查的投标人名单，组织评标委员会各位成员签订《政府采购评审人员廉洁自律承诺书》。</w:t>
      </w:r>
    </w:p>
    <w:p>
      <w:pPr>
        <w:numPr>
          <w:ilvl w:val="0"/>
          <w:numId w:val="28"/>
        </w:numPr>
        <w:ind w:firstLine="480"/>
        <w:rPr>
          <w:rFonts w:cs="宋体"/>
          <w:color w:val="auto"/>
        </w:rPr>
      </w:pPr>
      <w:r>
        <w:rPr>
          <w:rFonts w:hint="eastAsia" w:cs="宋体"/>
          <w:color w:val="auto"/>
        </w:rPr>
        <w:t>根据需要简要介绍招标文件（含补充文件）制定及质疑答复情况、按书面陈述项目基本情况及评审工作需注意事项等，让评审专家尽快知悉和了解所评审项目的采购需求、评审依据、评审标准、工作程序等；提醒评标委员会对客观评审项目应统一评审依据和评审标准，对主观评审项目应确定大致的评审要求和评审尺度；对评标委员会提出的有关招标文件、投标文件的问题进行必要的说明、解释或讨论。</w:t>
      </w:r>
    </w:p>
    <w:p>
      <w:pPr>
        <w:numPr>
          <w:ilvl w:val="0"/>
          <w:numId w:val="28"/>
        </w:numPr>
        <w:ind w:firstLine="480"/>
        <w:rPr>
          <w:rFonts w:cs="宋体"/>
          <w:color w:val="auto"/>
        </w:rPr>
      </w:pPr>
      <w:r>
        <w:rPr>
          <w:rFonts w:hint="eastAsia" w:cs="宋体"/>
          <w:color w:val="auto"/>
        </w:rPr>
        <w:t>评标委员会组长组织评标委员会独立评审。评标委员会依据招标文件的规定，从投标文件的有效性、完整性和对招标文件的响应程度进行审查，以确定是否对招标文件的实质性要求作出响应。评标委员会对拟认定为投标文件无效的，应组织相关供应商代表进行陈述、澄清或申辩；采购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pPr>
        <w:numPr>
          <w:ilvl w:val="0"/>
          <w:numId w:val="28"/>
        </w:numPr>
        <w:ind w:firstLine="480"/>
        <w:rPr>
          <w:rFonts w:cs="宋体"/>
          <w:color w:val="auto"/>
        </w:rPr>
      </w:pPr>
      <w:r>
        <w:rPr>
          <w:rFonts w:hint="eastAsia" w:cs="宋体"/>
          <w:color w:val="auto"/>
        </w:rPr>
        <w:t>做好评审现场相关记录，协助评标委员会组长做好评审报告起草、有关内容电脑文字录入等工作，并要求评标委员会各成员签字确认。</w:t>
      </w:r>
    </w:p>
    <w:p>
      <w:pPr>
        <w:numPr>
          <w:ilvl w:val="0"/>
          <w:numId w:val="28"/>
        </w:numPr>
        <w:ind w:firstLine="480"/>
        <w:rPr>
          <w:rFonts w:cs="宋体"/>
          <w:color w:val="auto"/>
        </w:rPr>
      </w:pPr>
      <w:r>
        <w:rPr>
          <w:rFonts w:hint="eastAsia" w:cs="宋体"/>
          <w:color w:val="auto"/>
        </w:rPr>
        <w:t>评审结束后，采购代理机构交还评审人员及其他现场相关人员的通讯工具。</w:t>
      </w:r>
    </w:p>
    <w:p>
      <w:pPr>
        <w:pStyle w:val="6"/>
        <w:rPr>
          <w:rFonts w:cs="宋体"/>
          <w:color w:val="auto"/>
          <w:szCs w:val="24"/>
        </w:rPr>
      </w:pPr>
      <w:bookmarkStart w:id="106" w:name="_Toc2991"/>
      <w:r>
        <w:rPr>
          <w:rFonts w:hint="eastAsia" w:cs="宋体"/>
          <w:color w:val="auto"/>
          <w:szCs w:val="24"/>
        </w:rPr>
        <w:t>五、投标文件的澄清</w:t>
      </w:r>
      <w:bookmarkEnd w:id="106"/>
    </w:p>
    <w:p>
      <w:pPr>
        <w:numPr>
          <w:ilvl w:val="0"/>
          <w:numId w:val="29"/>
        </w:numPr>
        <w:ind w:firstLine="480"/>
        <w:rPr>
          <w:rFonts w:cs="宋体"/>
          <w:color w:val="auto"/>
        </w:rPr>
      </w:pPr>
      <w:r>
        <w:rPr>
          <w:rFonts w:hint="eastAsia" w:cs="宋体"/>
          <w:color w:val="auto"/>
        </w:rPr>
        <w:t>评标委员会可要求供应商对投标文件中含义不明确、同类问题表述不一致、有明显的文字和计算错误的内容等进行澄清并做出书面答复。投标人必须按照采购代理机构通知的时间、地点派技术和商务人员进行答疑和澄清。</w:t>
      </w:r>
    </w:p>
    <w:p>
      <w:pPr>
        <w:numPr>
          <w:ilvl w:val="0"/>
          <w:numId w:val="29"/>
        </w:numPr>
        <w:ind w:firstLine="480"/>
        <w:rPr>
          <w:rFonts w:cs="宋体"/>
          <w:color w:val="auto"/>
        </w:rPr>
      </w:pPr>
      <w:r>
        <w:rPr>
          <w:rFonts w:hint="eastAsia" w:cs="宋体"/>
          <w:color w:val="auto"/>
        </w:rPr>
        <w:t>投标人应对需要澄清的问题作书面回答，该书面回答应有投标人全权代表（或法定代表人）的签字（或盖章），书面澄清将作为投标内容的一部分。</w:t>
      </w:r>
    </w:p>
    <w:p>
      <w:pPr>
        <w:numPr>
          <w:ilvl w:val="0"/>
          <w:numId w:val="29"/>
        </w:numPr>
        <w:ind w:firstLine="480"/>
        <w:rPr>
          <w:rFonts w:cs="宋体"/>
          <w:color w:val="auto"/>
        </w:rPr>
      </w:pPr>
      <w:r>
        <w:rPr>
          <w:rFonts w:hint="eastAsia" w:cs="宋体"/>
          <w:color w:val="auto"/>
        </w:rPr>
        <w:t>投标人对投标文件的澄清不得超出投标文件的范围或者改变投标文件的实质性内容。否则，不予接受。</w:t>
      </w:r>
    </w:p>
    <w:p>
      <w:pPr>
        <w:numPr>
          <w:ilvl w:val="0"/>
          <w:numId w:val="29"/>
        </w:numPr>
        <w:ind w:firstLine="480"/>
        <w:rPr>
          <w:rFonts w:cs="宋体"/>
          <w:color w:val="auto"/>
        </w:rPr>
      </w:pPr>
      <w:r>
        <w:rPr>
          <w:rFonts w:hint="eastAsia" w:cs="宋体"/>
          <w:color w:val="auto"/>
        </w:rPr>
        <w:t>评标委员会认为供应商的报价明显低于其他通过符合性审查供应商的报价，有可能影响产品质量或者不能诚信履约的，应当要求其在30分钟内提供书面说明，必要时提交相关证明材料；供应商不能证明其报价合理性的，评标委员会应当将其作为无效投标处理。</w:t>
      </w:r>
    </w:p>
    <w:p>
      <w:pPr>
        <w:pStyle w:val="22"/>
        <w:rPr>
          <w:rFonts w:hAnsi="宋体" w:cs="宋体"/>
          <w:color w:val="auto"/>
        </w:rPr>
      </w:pPr>
    </w:p>
    <w:p>
      <w:pPr>
        <w:pStyle w:val="6"/>
        <w:rPr>
          <w:rFonts w:cs="宋体"/>
          <w:color w:val="auto"/>
          <w:szCs w:val="24"/>
        </w:rPr>
      </w:pPr>
      <w:bookmarkStart w:id="107" w:name="_Toc19231"/>
      <w:r>
        <w:rPr>
          <w:rFonts w:hint="eastAsia" w:cs="宋体"/>
          <w:color w:val="auto"/>
          <w:szCs w:val="24"/>
        </w:rPr>
        <w:t>六、错误修正</w:t>
      </w:r>
      <w:bookmarkEnd w:id="107"/>
    </w:p>
    <w:p>
      <w:pPr>
        <w:ind w:firstLine="480"/>
        <w:rPr>
          <w:rFonts w:cs="宋体"/>
          <w:color w:val="auto"/>
        </w:rPr>
      </w:pPr>
      <w:r>
        <w:rPr>
          <w:rFonts w:hint="eastAsia" w:cs="宋体"/>
          <w:color w:val="auto"/>
        </w:rPr>
        <w:t>评标委员会将对确定为实质上响应采购文件要求的投标文件进行校核，看其在投标报价方面是否有计算、累计或表达上的错误，修正错误的原则及顺序如下：</w:t>
      </w:r>
    </w:p>
    <w:p>
      <w:pPr>
        <w:numPr>
          <w:ilvl w:val="0"/>
          <w:numId w:val="30"/>
        </w:numPr>
        <w:ind w:firstLine="480"/>
        <w:rPr>
          <w:rFonts w:cs="宋体"/>
          <w:color w:val="auto"/>
        </w:rPr>
      </w:pPr>
      <w:r>
        <w:rPr>
          <w:rFonts w:hint="eastAsia" w:cs="宋体"/>
          <w:color w:val="auto"/>
        </w:rPr>
        <w:t>投标文件中开标一览表（报价表）内容与投标文件中相应内容不一致的，以开标一览表（报价表）为准；</w:t>
      </w:r>
    </w:p>
    <w:p>
      <w:pPr>
        <w:numPr>
          <w:ilvl w:val="0"/>
          <w:numId w:val="30"/>
        </w:numPr>
        <w:ind w:firstLine="480"/>
        <w:rPr>
          <w:rFonts w:cs="宋体"/>
          <w:color w:val="auto"/>
        </w:rPr>
      </w:pPr>
      <w:r>
        <w:rPr>
          <w:rFonts w:hint="eastAsia" w:cs="宋体"/>
          <w:color w:val="auto"/>
        </w:rPr>
        <w:t>大写金额和小写金额不一致的，以大写金额为准；</w:t>
      </w:r>
    </w:p>
    <w:p>
      <w:pPr>
        <w:numPr>
          <w:ilvl w:val="0"/>
          <w:numId w:val="30"/>
        </w:numPr>
        <w:ind w:firstLine="480"/>
        <w:rPr>
          <w:rFonts w:cs="宋体"/>
          <w:color w:val="auto"/>
        </w:rPr>
      </w:pPr>
      <w:r>
        <w:rPr>
          <w:rFonts w:hint="eastAsia" w:cs="宋体"/>
          <w:color w:val="auto"/>
        </w:rPr>
        <w:t>单价金额小数点或者百分比有明显错位的，以开标一览表的总价为准，并修改单价；</w:t>
      </w:r>
    </w:p>
    <w:p>
      <w:pPr>
        <w:numPr>
          <w:ilvl w:val="0"/>
          <w:numId w:val="30"/>
        </w:numPr>
        <w:ind w:firstLine="480"/>
        <w:rPr>
          <w:rFonts w:cs="宋体"/>
          <w:color w:val="auto"/>
        </w:rPr>
      </w:pPr>
      <w:r>
        <w:rPr>
          <w:rFonts w:hint="eastAsia" w:cs="宋体"/>
          <w:color w:val="auto"/>
        </w:rPr>
        <w:t>总价金额与按单价汇总金额不一致的，以单价金额计算结果为准。</w:t>
      </w:r>
    </w:p>
    <w:p>
      <w:pPr>
        <w:numPr>
          <w:ilvl w:val="0"/>
          <w:numId w:val="30"/>
        </w:numPr>
        <w:ind w:firstLine="480"/>
        <w:rPr>
          <w:rFonts w:cs="宋体"/>
          <w:color w:val="auto"/>
        </w:rPr>
      </w:pPr>
      <w:r>
        <w:rPr>
          <w:rFonts w:hint="eastAsia" w:cs="宋体"/>
          <w:color w:val="auto"/>
        </w:rPr>
        <w:t>如投标文件中报价明细表分项价格或单价有遗报，应视作已含在投标总价中；其投标总价在评标过程中不予调整。其分项价或单价由评标委员会在投标总价不变的前提下根据合理的原则对其予以确定；</w:t>
      </w:r>
    </w:p>
    <w:p>
      <w:pPr>
        <w:numPr>
          <w:ilvl w:val="0"/>
          <w:numId w:val="30"/>
        </w:numPr>
        <w:ind w:firstLine="480"/>
        <w:rPr>
          <w:rFonts w:cs="宋体"/>
          <w:color w:val="auto"/>
        </w:rPr>
      </w:pPr>
      <w:r>
        <w:rPr>
          <w:rFonts w:hint="eastAsia" w:cs="宋体"/>
          <w:color w:val="auto"/>
        </w:rPr>
        <w:t>同时出现两种以上不一致的，按照前款规定的顺序修正。修正后的报价以澄清方式经供应商确认后产生约束力，供应商不确认的，其投标无效。</w:t>
      </w:r>
    </w:p>
    <w:p>
      <w:pPr>
        <w:pStyle w:val="6"/>
        <w:rPr>
          <w:rFonts w:cs="宋体"/>
          <w:color w:val="auto"/>
          <w:szCs w:val="24"/>
        </w:rPr>
      </w:pPr>
      <w:bookmarkStart w:id="108" w:name="_Toc30310"/>
      <w:r>
        <w:rPr>
          <w:rFonts w:hint="eastAsia" w:cs="宋体"/>
          <w:color w:val="auto"/>
          <w:szCs w:val="24"/>
        </w:rPr>
        <w:t>七、投标无效的情形</w:t>
      </w:r>
      <w:bookmarkEnd w:id="108"/>
    </w:p>
    <w:p>
      <w:pPr>
        <w:ind w:firstLine="0" w:firstLineChars="0"/>
        <w:rPr>
          <w:rFonts w:cs="宋体"/>
          <w:color w:val="auto"/>
        </w:rPr>
      </w:pPr>
      <w:r>
        <w:rPr>
          <w:rFonts w:hint="eastAsia" w:cs="宋体"/>
          <w:color w:val="auto"/>
        </w:rPr>
        <w:t>（一）在符合性审查、商务和技术评审时，如发现下列情形之一的，投标文件将被视为无效：</w:t>
      </w:r>
    </w:p>
    <w:p>
      <w:pPr>
        <w:numPr>
          <w:ilvl w:val="0"/>
          <w:numId w:val="26"/>
        </w:numPr>
        <w:tabs>
          <w:tab w:val="left" w:pos="720"/>
        </w:tabs>
        <w:ind w:left="0" w:firstLine="480"/>
        <w:rPr>
          <w:rFonts w:cs="宋体"/>
          <w:color w:val="auto"/>
        </w:rPr>
      </w:pPr>
      <w:r>
        <w:rPr>
          <w:rFonts w:hint="eastAsia" w:cs="宋体"/>
          <w:color w:val="auto"/>
        </w:rPr>
        <w:t>供应商提交两份或两份以上内容不同的投标方案，未声明哪一份有效的；</w:t>
      </w:r>
    </w:p>
    <w:p>
      <w:pPr>
        <w:numPr>
          <w:ilvl w:val="0"/>
          <w:numId w:val="26"/>
        </w:numPr>
        <w:tabs>
          <w:tab w:val="left" w:pos="720"/>
        </w:tabs>
        <w:ind w:left="0" w:firstLine="480"/>
        <w:rPr>
          <w:rFonts w:cs="宋体"/>
          <w:color w:val="auto"/>
        </w:rPr>
      </w:pPr>
      <w:r>
        <w:rPr>
          <w:rFonts w:hint="eastAsia" w:cs="宋体"/>
          <w:color w:val="auto"/>
        </w:rPr>
        <w:t>投标文件非供应商法定代表人签署的，未提供或提供无效的法定代表人授权书；</w:t>
      </w:r>
    </w:p>
    <w:p>
      <w:pPr>
        <w:numPr>
          <w:ilvl w:val="0"/>
          <w:numId w:val="26"/>
        </w:numPr>
        <w:tabs>
          <w:tab w:val="left" w:pos="720"/>
        </w:tabs>
        <w:ind w:left="0" w:firstLine="480"/>
        <w:rPr>
          <w:rFonts w:cs="宋体"/>
          <w:color w:val="auto"/>
        </w:rPr>
      </w:pPr>
      <w:r>
        <w:rPr>
          <w:rFonts w:hint="eastAsia" w:cs="宋体"/>
          <w:color w:val="auto"/>
        </w:rPr>
        <w:t>投标文件内容不全或内容字迹模糊辨认不清的等而导致评标活动无法正常进行；</w:t>
      </w:r>
    </w:p>
    <w:p>
      <w:pPr>
        <w:numPr>
          <w:ilvl w:val="0"/>
          <w:numId w:val="26"/>
        </w:numPr>
        <w:tabs>
          <w:tab w:val="left" w:pos="720"/>
        </w:tabs>
        <w:ind w:left="0" w:firstLine="480"/>
        <w:rPr>
          <w:rFonts w:cs="宋体"/>
          <w:color w:val="auto"/>
        </w:rPr>
      </w:pPr>
      <w:r>
        <w:rPr>
          <w:rFonts w:hint="eastAsia" w:cs="宋体"/>
          <w:color w:val="auto"/>
        </w:rPr>
        <w:t>供应商未按采购文件变更通知更改投标文件的；</w:t>
      </w:r>
    </w:p>
    <w:p>
      <w:pPr>
        <w:numPr>
          <w:ilvl w:val="0"/>
          <w:numId w:val="26"/>
        </w:numPr>
        <w:tabs>
          <w:tab w:val="left" w:pos="720"/>
        </w:tabs>
        <w:ind w:left="0" w:firstLine="480"/>
        <w:rPr>
          <w:rFonts w:cs="宋体"/>
          <w:color w:val="auto"/>
        </w:rPr>
      </w:pPr>
      <w:r>
        <w:rPr>
          <w:rFonts w:hint="eastAsia" w:cs="宋体"/>
          <w:color w:val="auto"/>
        </w:rPr>
        <w:t>未实质性响应采购文件中带“▲”条款要求的投标文件；</w:t>
      </w:r>
    </w:p>
    <w:p>
      <w:pPr>
        <w:numPr>
          <w:ilvl w:val="0"/>
          <w:numId w:val="26"/>
        </w:numPr>
        <w:tabs>
          <w:tab w:val="left" w:pos="720"/>
        </w:tabs>
        <w:ind w:left="0" w:firstLine="480"/>
        <w:rPr>
          <w:rFonts w:cs="宋体"/>
          <w:color w:val="auto"/>
        </w:rPr>
      </w:pPr>
      <w:r>
        <w:rPr>
          <w:rFonts w:hint="eastAsia" w:cs="宋体"/>
          <w:color w:val="auto"/>
        </w:rPr>
        <w:t>投标有效期、交货期、质保期等商务条款不能满足招标文件要求的；</w:t>
      </w:r>
    </w:p>
    <w:p>
      <w:pPr>
        <w:numPr>
          <w:ilvl w:val="0"/>
          <w:numId w:val="26"/>
        </w:numPr>
        <w:tabs>
          <w:tab w:val="left" w:pos="720"/>
        </w:tabs>
        <w:ind w:left="0" w:firstLine="480"/>
        <w:rPr>
          <w:rFonts w:cs="宋体"/>
          <w:color w:val="auto"/>
        </w:rPr>
      </w:pPr>
      <w:r>
        <w:rPr>
          <w:rFonts w:hint="eastAsia" w:cs="宋体"/>
          <w:color w:val="auto"/>
        </w:rPr>
        <w:t>投标文件附有采购人不能接受的条款；</w:t>
      </w:r>
    </w:p>
    <w:p>
      <w:pPr>
        <w:numPr>
          <w:ilvl w:val="0"/>
          <w:numId w:val="26"/>
        </w:numPr>
        <w:tabs>
          <w:tab w:val="left" w:pos="720"/>
        </w:tabs>
        <w:ind w:left="0" w:firstLine="480"/>
        <w:rPr>
          <w:rFonts w:cs="宋体"/>
          <w:color w:val="auto"/>
        </w:rPr>
      </w:pPr>
      <w:r>
        <w:rPr>
          <w:rFonts w:hint="eastAsia" w:cs="宋体"/>
          <w:color w:val="auto"/>
        </w:rPr>
        <w:t>投标文件中提供了与采购无关的赠品、回扣或者其他商品、服务；</w:t>
      </w:r>
    </w:p>
    <w:p>
      <w:pPr>
        <w:numPr>
          <w:ilvl w:val="0"/>
          <w:numId w:val="26"/>
        </w:numPr>
        <w:tabs>
          <w:tab w:val="left" w:pos="720"/>
        </w:tabs>
        <w:ind w:left="0" w:firstLine="480"/>
        <w:rPr>
          <w:rFonts w:cs="宋体"/>
          <w:color w:val="auto"/>
        </w:rPr>
      </w:pPr>
      <w:r>
        <w:rPr>
          <w:rFonts w:hint="eastAsia" w:cs="宋体"/>
          <w:color w:val="auto"/>
        </w:rPr>
        <w:t>供应商串通投标，妨碍其他供应商的竞争行为，损害采购人或者其他供应商的合法权益；</w:t>
      </w:r>
    </w:p>
    <w:p>
      <w:pPr>
        <w:numPr>
          <w:ilvl w:val="0"/>
          <w:numId w:val="26"/>
        </w:numPr>
        <w:tabs>
          <w:tab w:val="left" w:pos="720"/>
        </w:tabs>
        <w:ind w:left="0" w:firstLine="480"/>
        <w:rPr>
          <w:rFonts w:cs="宋体"/>
          <w:color w:val="auto"/>
        </w:rPr>
      </w:pPr>
      <w:r>
        <w:rPr>
          <w:rFonts w:hint="eastAsia" w:cs="宋体"/>
          <w:color w:val="auto"/>
        </w:rPr>
        <w:t>违反国家及政府部门相关法律、法规、文件规定或经评标委员会认定的其他属于重大偏离。</w:t>
      </w:r>
    </w:p>
    <w:p>
      <w:pPr>
        <w:ind w:firstLine="0" w:firstLineChars="0"/>
        <w:rPr>
          <w:rFonts w:cs="宋体"/>
          <w:color w:val="auto"/>
        </w:rPr>
      </w:pPr>
      <w:r>
        <w:rPr>
          <w:rFonts w:hint="eastAsia" w:cs="宋体"/>
          <w:color w:val="auto"/>
        </w:rPr>
        <w:t>（二）报价文件评审阶段：</w:t>
      </w:r>
    </w:p>
    <w:p>
      <w:pPr>
        <w:numPr>
          <w:ilvl w:val="0"/>
          <w:numId w:val="31"/>
        </w:numPr>
        <w:ind w:firstLine="480"/>
        <w:rPr>
          <w:rFonts w:cs="宋体"/>
          <w:color w:val="auto"/>
        </w:rPr>
      </w:pPr>
      <w:r>
        <w:rPr>
          <w:rFonts w:hint="eastAsia" w:cs="宋体"/>
          <w:color w:val="auto"/>
        </w:rPr>
        <w:t>供应商提交两份或两份以上内容不同的投标报价，未声明哪一份有效的；</w:t>
      </w:r>
    </w:p>
    <w:p>
      <w:pPr>
        <w:numPr>
          <w:ilvl w:val="0"/>
          <w:numId w:val="31"/>
        </w:numPr>
        <w:ind w:firstLine="480"/>
        <w:rPr>
          <w:rFonts w:cs="宋体"/>
          <w:color w:val="auto"/>
        </w:rPr>
      </w:pPr>
      <w:r>
        <w:rPr>
          <w:rFonts w:hint="eastAsia" w:cs="宋体"/>
          <w:color w:val="auto"/>
        </w:rPr>
        <w:t>《开标一览表》和《投标价格组成明细表》内容不完整且不接受修正意见或字迹不能辨认的或未提供；</w:t>
      </w:r>
    </w:p>
    <w:p>
      <w:pPr>
        <w:numPr>
          <w:ilvl w:val="0"/>
          <w:numId w:val="31"/>
        </w:numPr>
        <w:ind w:firstLine="480"/>
        <w:rPr>
          <w:rFonts w:cs="宋体"/>
          <w:color w:val="auto"/>
        </w:rPr>
      </w:pPr>
      <w:r>
        <w:rPr>
          <w:rFonts w:hint="eastAsia" w:cs="宋体"/>
          <w:color w:val="auto"/>
        </w:rPr>
        <w:t>所投标项的投标报价超过采购文件规定的预算金额或最高限价；</w:t>
      </w:r>
    </w:p>
    <w:p>
      <w:pPr>
        <w:numPr>
          <w:ilvl w:val="0"/>
          <w:numId w:val="31"/>
        </w:numPr>
        <w:ind w:firstLine="480"/>
        <w:rPr>
          <w:rFonts w:cs="宋体"/>
          <w:color w:val="auto"/>
        </w:rPr>
      </w:pPr>
      <w:r>
        <w:rPr>
          <w:rFonts w:hint="eastAsia" w:cs="宋体"/>
          <w:color w:val="auto"/>
        </w:rPr>
        <w:t>《开标一览表》投标报价为零的，或其报价（大写）无法按正常书写方式进行报价唱标的或无投标报价的；</w:t>
      </w:r>
    </w:p>
    <w:p>
      <w:pPr>
        <w:numPr>
          <w:ilvl w:val="0"/>
          <w:numId w:val="31"/>
        </w:numPr>
        <w:ind w:firstLine="480"/>
        <w:rPr>
          <w:rFonts w:cs="宋体"/>
          <w:color w:val="auto"/>
        </w:rPr>
      </w:pPr>
      <w:r>
        <w:rPr>
          <w:rFonts w:hint="eastAsia" w:cs="宋体"/>
          <w:color w:val="auto"/>
        </w:rPr>
        <w:t>投标报价明显低于其他通过符合性审查投标人的报价，有可能影响产品质量或者不能诚信履约的，且在规定时间内不能合理说明原因并提供证明材料的；</w:t>
      </w:r>
    </w:p>
    <w:p>
      <w:pPr>
        <w:numPr>
          <w:ilvl w:val="0"/>
          <w:numId w:val="31"/>
        </w:numPr>
        <w:ind w:firstLine="480"/>
        <w:rPr>
          <w:rFonts w:cs="宋体"/>
          <w:color w:val="auto"/>
        </w:rPr>
      </w:pPr>
      <w:r>
        <w:rPr>
          <w:rFonts w:hint="eastAsia" w:cs="宋体"/>
          <w:color w:val="auto"/>
        </w:rPr>
        <w:t>投标文件内容不全或内容字迹模糊辨认不清的等而导致评标活动无法正常进行；</w:t>
      </w:r>
    </w:p>
    <w:p>
      <w:pPr>
        <w:numPr>
          <w:ilvl w:val="0"/>
          <w:numId w:val="31"/>
        </w:numPr>
        <w:ind w:firstLine="480"/>
        <w:rPr>
          <w:rFonts w:cs="宋体"/>
          <w:color w:val="auto"/>
        </w:rPr>
      </w:pPr>
      <w:r>
        <w:rPr>
          <w:rFonts w:hint="eastAsia" w:cs="宋体"/>
          <w:color w:val="auto"/>
        </w:rPr>
        <w:t>采购人拟采购的产品属于政府强制采购的节能产品品目清单范围的，投标人未按招标文件要求提供国家确定的认证机构出具的、处于有效期之内的节能产品认证证书的；</w:t>
      </w:r>
    </w:p>
    <w:p>
      <w:pPr>
        <w:numPr>
          <w:ilvl w:val="0"/>
          <w:numId w:val="31"/>
        </w:numPr>
        <w:ind w:firstLine="480"/>
        <w:rPr>
          <w:rFonts w:cs="宋体"/>
          <w:color w:val="auto"/>
        </w:rPr>
      </w:pPr>
      <w:r>
        <w:rPr>
          <w:rFonts w:hint="eastAsia" w:cs="宋体"/>
          <w:color w:val="auto"/>
        </w:rPr>
        <w:t>投标有效期、交货期、质保期等商务条款不能满足招标文件要求的；</w:t>
      </w:r>
    </w:p>
    <w:p>
      <w:pPr>
        <w:numPr>
          <w:ilvl w:val="0"/>
          <w:numId w:val="31"/>
        </w:numPr>
        <w:ind w:firstLine="480"/>
        <w:rPr>
          <w:rFonts w:cs="宋体"/>
          <w:color w:val="auto"/>
        </w:rPr>
      </w:pPr>
      <w:r>
        <w:rPr>
          <w:rFonts w:hint="eastAsia" w:cs="宋体"/>
          <w:color w:val="auto"/>
        </w:rPr>
        <w:t>投标文件附有采购人不能接受的条款；</w:t>
      </w:r>
    </w:p>
    <w:p>
      <w:pPr>
        <w:numPr>
          <w:ilvl w:val="0"/>
          <w:numId w:val="31"/>
        </w:numPr>
        <w:ind w:firstLine="480"/>
        <w:rPr>
          <w:rFonts w:cs="宋体"/>
          <w:color w:val="auto"/>
        </w:rPr>
      </w:pPr>
      <w:r>
        <w:rPr>
          <w:rFonts w:hint="eastAsia" w:cs="宋体"/>
          <w:color w:val="auto"/>
        </w:rPr>
        <w:t>投标文件中提供了与采购无关的赠品、回扣或者其他商品、服务；</w:t>
      </w:r>
    </w:p>
    <w:p>
      <w:pPr>
        <w:numPr>
          <w:ilvl w:val="0"/>
          <w:numId w:val="31"/>
        </w:numPr>
        <w:ind w:firstLine="480"/>
        <w:rPr>
          <w:rFonts w:cs="宋体"/>
          <w:color w:val="auto"/>
        </w:rPr>
      </w:pPr>
      <w:r>
        <w:rPr>
          <w:rFonts w:hint="eastAsia" w:cs="宋体"/>
          <w:color w:val="auto"/>
        </w:rPr>
        <w:t>供应商串通投标，妨碍其他供应商的竞争行为，损害采购人或者其他供应商的合法权益；</w:t>
      </w:r>
    </w:p>
    <w:p>
      <w:pPr>
        <w:numPr>
          <w:ilvl w:val="0"/>
          <w:numId w:val="31"/>
        </w:numPr>
        <w:ind w:firstLine="480"/>
        <w:rPr>
          <w:rFonts w:cs="宋体"/>
          <w:color w:val="auto"/>
        </w:rPr>
      </w:pPr>
      <w:r>
        <w:rPr>
          <w:rFonts w:hint="eastAsia" w:cs="宋体"/>
          <w:color w:val="auto"/>
        </w:rPr>
        <w:t>违反国家及政府部门相关法律、法规、文件规定或经评标委员会认定的其他属于重大偏离。</w:t>
      </w:r>
    </w:p>
    <w:p>
      <w:pPr>
        <w:ind w:firstLine="0" w:firstLineChars="0"/>
        <w:rPr>
          <w:rFonts w:cs="宋体"/>
          <w:color w:val="auto"/>
        </w:rPr>
      </w:pPr>
      <w:r>
        <w:rPr>
          <w:rFonts w:hint="eastAsia" w:cs="宋体"/>
          <w:color w:val="auto"/>
        </w:rPr>
        <w:t>（三）有下列情形之一的，视为投标人串通投标，其投标无效，由采购人或采购代理机构上报政府采购监督管理部门，视情列入不良行为记录名单，在一至三年内禁止参加政府采购活动：</w:t>
      </w:r>
    </w:p>
    <w:p>
      <w:pPr>
        <w:numPr>
          <w:ilvl w:val="0"/>
          <w:numId w:val="32"/>
        </w:numPr>
        <w:ind w:firstLine="480"/>
        <w:rPr>
          <w:rFonts w:cs="宋体"/>
          <w:color w:val="auto"/>
        </w:rPr>
      </w:pPr>
      <w:r>
        <w:rPr>
          <w:rFonts w:hint="eastAsia" w:cs="宋体"/>
          <w:color w:val="auto"/>
        </w:rPr>
        <w:t>不同投标人的投标文件由同一单位或者个人编制；</w:t>
      </w:r>
    </w:p>
    <w:p>
      <w:pPr>
        <w:numPr>
          <w:ilvl w:val="0"/>
          <w:numId w:val="32"/>
        </w:numPr>
        <w:ind w:firstLine="480"/>
        <w:rPr>
          <w:rFonts w:cs="宋体"/>
          <w:color w:val="auto"/>
        </w:rPr>
      </w:pPr>
      <w:r>
        <w:rPr>
          <w:rFonts w:hint="eastAsia" w:cs="宋体"/>
          <w:color w:val="auto"/>
        </w:rPr>
        <w:t>不同投标人委托同一单位或者个人办理投标事宜；</w:t>
      </w:r>
    </w:p>
    <w:p>
      <w:pPr>
        <w:numPr>
          <w:ilvl w:val="0"/>
          <w:numId w:val="32"/>
        </w:numPr>
        <w:ind w:firstLine="480"/>
        <w:rPr>
          <w:rFonts w:cs="宋体"/>
          <w:color w:val="auto"/>
        </w:rPr>
      </w:pPr>
      <w:r>
        <w:rPr>
          <w:rFonts w:hint="eastAsia" w:cs="宋体"/>
          <w:color w:val="auto"/>
        </w:rPr>
        <w:t>不同投标人的投标文件载明的项目管理成员或者联系人员为同一人；</w:t>
      </w:r>
    </w:p>
    <w:p>
      <w:pPr>
        <w:numPr>
          <w:ilvl w:val="0"/>
          <w:numId w:val="32"/>
        </w:numPr>
        <w:ind w:firstLine="480"/>
        <w:rPr>
          <w:rFonts w:cs="宋体"/>
          <w:color w:val="auto"/>
        </w:rPr>
      </w:pPr>
      <w:r>
        <w:rPr>
          <w:rFonts w:hint="eastAsia" w:cs="宋体"/>
          <w:color w:val="auto"/>
        </w:rPr>
        <w:t>不同投标人的投标文件异常一致或者投标报价呈规律性差异；</w:t>
      </w:r>
    </w:p>
    <w:p>
      <w:pPr>
        <w:numPr>
          <w:ilvl w:val="0"/>
          <w:numId w:val="32"/>
        </w:numPr>
        <w:ind w:firstLine="480"/>
        <w:rPr>
          <w:rFonts w:cs="宋体"/>
          <w:color w:val="auto"/>
        </w:rPr>
      </w:pPr>
      <w:r>
        <w:rPr>
          <w:rFonts w:hint="eastAsia" w:cs="宋体"/>
          <w:color w:val="auto"/>
        </w:rPr>
        <w:t>不同投标人的投标文件相互混装；</w:t>
      </w:r>
    </w:p>
    <w:p>
      <w:pPr>
        <w:widowControl/>
        <w:numPr>
          <w:ilvl w:val="0"/>
          <w:numId w:val="32"/>
        </w:numPr>
        <w:shd w:val="clear" w:color="auto" w:fill="FFFFFF"/>
        <w:spacing w:line="240" w:lineRule="auto"/>
        <w:ind w:firstLine="480"/>
        <w:rPr>
          <w:rFonts w:cs="宋体"/>
          <w:color w:val="auto"/>
        </w:rPr>
      </w:pPr>
      <w:r>
        <w:rPr>
          <w:rFonts w:hint="eastAsia" w:cs="宋体"/>
          <w:color w:val="auto"/>
        </w:rPr>
        <w:t>不同投标人的投标保证金从同一单位或者个人的账户转出。</w:t>
      </w:r>
    </w:p>
    <w:p>
      <w:pPr>
        <w:pStyle w:val="6"/>
        <w:rPr>
          <w:rFonts w:cs="宋体"/>
          <w:color w:val="auto"/>
          <w:szCs w:val="24"/>
        </w:rPr>
      </w:pPr>
      <w:bookmarkStart w:id="109" w:name="_Toc5376"/>
      <w:r>
        <w:rPr>
          <w:rFonts w:hint="eastAsia" w:cs="宋体"/>
          <w:color w:val="auto"/>
          <w:szCs w:val="24"/>
        </w:rPr>
        <w:t>八、投标品牌认定（依据《财政部令第87号》）</w:t>
      </w:r>
      <w:bookmarkEnd w:id="109"/>
    </w:p>
    <w:p>
      <w:pPr>
        <w:numPr>
          <w:ilvl w:val="0"/>
          <w:numId w:val="33"/>
        </w:numPr>
        <w:ind w:firstLine="480"/>
        <w:rPr>
          <w:rFonts w:cs="宋体"/>
          <w:color w:val="auto"/>
        </w:rPr>
      </w:pPr>
      <w:r>
        <w:rPr>
          <w:rFonts w:hint="eastAsia" w:cs="宋体"/>
          <w:color w:val="auto"/>
        </w:rPr>
        <w:t>采用最低评标价法的采购项目，提供相同品牌产品的不同投标人参加同一合同项下投标的，以其中通过资格审查、符合性审查且报价最低的参加评标;报价相同的，由采购人或者采购人委托评标委员会按照招标文件规定的方式确定一个参加评标的投标人，招标文件未规定的采取随机抽取方式确定，其他投标无效。</w:t>
      </w:r>
    </w:p>
    <w:p>
      <w:pPr>
        <w:numPr>
          <w:ilvl w:val="0"/>
          <w:numId w:val="33"/>
        </w:numPr>
        <w:ind w:firstLine="480"/>
        <w:rPr>
          <w:rFonts w:cs="宋体"/>
          <w:color w:val="auto"/>
        </w:rPr>
      </w:pPr>
      <w:r>
        <w:rPr>
          <w:rFonts w:hint="eastAsia" w:cs="宋体"/>
          <w:color w:val="auto"/>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numPr>
          <w:ilvl w:val="0"/>
          <w:numId w:val="33"/>
        </w:numPr>
        <w:ind w:firstLine="480"/>
        <w:rPr>
          <w:rFonts w:cs="宋体"/>
          <w:color w:val="auto"/>
        </w:rPr>
      </w:pPr>
      <w:r>
        <w:rPr>
          <w:rFonts w:hint="eastAsia" w:cs="宋体"/>
          <w:color w:val="auto"/>
        </w:rPr>
        <w:t>非单一产品采购项目，采购人应当根据采购项目技术构成、产品价格比重等合理确定核心产品，并在招标文件中载明。多家投标人提供的核心产品品牌相同的，按前两款规定处理。</w:t>
      </w:r>
    </w:p>
    <w:p>
      <w:pPr>
        <w:pStyle w:val="6"/>
        <w:rPr>
          <w:rFonts w:cs="宋体"/>
          <w:color w:val="auto"/>
          <w:szCs w:val="24"/>
        </w:rPr>
      </w:pPr>
      <w:bookmarkStart w:id="110" w:name="_Toc85"/>
      <w:r>
        <w:rPr>
          <w:rFonts w:hint="eastAsia" w:cs="宋体"/>
          <w:color w:val="auto"/>
          <w:szCs w:val="24"/>
        </w:rPr>
        <w:t>九、评标办法</w:t>
      </w:r>
      <w:bookmarkEnd w:id="110"/>
    </w:p>
    <w:p>
      <w:pPr>
        <w:ind w:firstLine="480"/>
        <w:rPr>
          <w:rFonts w:cs="宋体"/>
          <w:color w:val="auto"/>
        </w:rPr>
      </w:pPr>
      <w:r>
        <w:rPr>
          <w:rFonts w:hint="eastAsia" w:cs="宋体"/>
          <w:color w:val="auto"/>
        </w:rPr>
        <w:t>本项目评标办法是综合评分法，具体评标内容及评分标准等详见《第四部分：评标办法及评分标准》。</w:t>
      </w:r>
    </w:p>
    <w:p>
      <w:pPr>
        <w:ind w:firstLine="480"/>
        <w:rPr>
          <w:rFonts w:cs="宋体"/>
          <w:color w:val="auto"/>
        </w:rPr>
      </w:pPr>
    </w:p>
    <w:p>
      <w:pPr>
        <w:pStyle w:val="5"/>
        <w:jc w:val="center"/>
        <w:rPr>
          <w:rFonts w:cs="宋体"/>
          <w:color w:val="auto"/>
        </w:rPr>
      </w:pPr>
      <w:bookmarkStart w:id="111" w:name="_Toc31535"/>
      <w:bookmarkStart w:id="112" w:name="_Toc12192"/>
      <w:bookmarkStart w:id="113" w:name="_Toc24239"/>
      <w:bookmarkStart w:id="114" w:name="_Toc15663"/>
      <w:r>
        <w:rPr>
          <w:rFonts w:hint="eastAsia" w:cs="宋体"/>
          <w:color w:val="auto"/>
        </w:rPr>
        <w:t>第七节 授予合同</w:t>
      </w:r>
      <w:bookmarkEnd w:id="111"/>
      <w:bookmarkEnd w:id="112"/>
      <w:bookmarkEnd w:id="113"/>
      <w:bookmarkEnd w:id="114"/>
    </w:p>
    <w:p>
      <w:pPr>
        <w:pStyle w:val="6"/>
        <w:rPr>
          <w:rFonts w:cs="宋体"/>
          <w:color w:val="auto"/>
          <w:szCs w:val="24"/>
        </w:rPr>
      </w:pPr>
      <w:bookmarkStart w:id="115" w:name="_Toc14799"/>
      <w:r>
        <w:rPr>
          <w:rFonts w:hint="eastAsia" w:cs="宋体"/>
          <w:color w:val="auto"/>
          <w:szCs w:val="24"/>
        </w:rPr>
        <w:t>一、公告及定标</w:t>
      </w:r>
      <w:bookmarkEnd w:id="115"/>
    </w:p>
    <w:p>
      <w:pPr>
        <w:numPr>
          <w:ilvl w:val="0"/>
          <w:numId w:val="34"/>
        </w:numPr>
        <w:ind w:firstLine="480"/>
        <w:rPr>
          <w:rFonts w:cs="宋体"/>
          <w:color w:val="auto"/>
        </w:rPr>
      </w:pPr>
      <w:r>
        <w:rPr>
          <w:rFonts w:hint="eastAsia" w:cs="宋体"/>
          <w:color w:val="auto"/>
        </w:rPr>
        <w:t>采购代理机构自评审结束之日起2个工作日内将评审报告送交采购人。采购人收到评审报告之日起5个工作日内在评审报告推荐的中标候选人中按顺序确定中标供应商。</w:t>
      </w:r>
    </w:p>
    <w:p>
      <w:pPr>
        <w:numPr>
          <w:ilvl w:val="0"/>
          <w:numId w:val="34"/>
        </w:numPr>
        <w:ind w:firstLine="480"/>
        <w:rPr>
          <w:rFonts w:cs="宋体"/>
          <w:color w:val="auto"/>
        </w:rPr>
      </w:pPr>
      <w:r>
        <w:rPr>
          <w:rFonts w:hint="eastAsia" w:cs="宋体"/>
          <w:color w:val="auto"/>
        </w:rPr>
        <w:t>采购代理机构自中标供应商确定之日起2个工作日内，发出中标通知书，并在浙江政府采购网等相关网站或媒体上公告中标结果。中标公告期限为1个工作日。</w:t>
      </w:r>
    </w:p>
    <w:p>
      <w:pPr>
        <w:pStyle w:val="6"/>
        <w:rPr>
          <w:rFonts w:cs="宋体"/>
          <w:color w:val="auto"/>
          <w:szCs w:val="24"/>
        </w:rPr>
      </w:pPr>
      <w:bookmarkStart w:id="116" w:name="_Toc20286"/>
      <w:r>
        <w:rPr>
          <w:rFonts w:hint="eastAsia" w:cs="宋体"/>
          <w:color w:val="auto"/>
          <w:szCs w:val="24"/>
        </w:rPr>
        <w:t>二、签订合同</w:t>
      </w:r>
      <w:bookmarkEnd w:id="116"/>
    </w:p>
    <w:p>
      <w:pPr>
        <w:numPr>
          <w:ilvl w:val="0"/>
          <w:numId w:val="35"/>
        </w:numPr>
        <w:ind w:firstLine="480"/>
        <w:rPr>
          <w:rFonts w:cs="宋体"/>
          <w:color w:val="auto"/>
        </w:rPr>
      </w:pPr>
      <w:r>
        <w:rPr>
          <w:rFonts w:hint="eastAsia" w:cs="宋体"/>
          <w:color w:val="auto"/>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pPr>
        <w:numPr>
          <w:ilvl w:val="0"/>
          <w:numId w:val="35"/>
        </w:numPr>
        <w:ind w:firstLine="480"/>
        <w:rPr>
          <w:rFonts w:cs="宋体"/>
          <w:color w:val="auto"/>
        </w:rPr>
      </w:pPr>
      <w:r>
        <w:rPr>
          <w:rFonts w:hint="eastAsia" w:cs="宋体"/>
          <w:color w:val="auto"/>
        </w:rPr>
        <w:t>招标文件，中标人的投标文件及评标过程中有关澄清文件均应作为合同附件。</w:t>
      </w:r>
    </w:p>
    <w:p>
      <w:pPr>
        <w:numPr>
          <w:ilvl w:val="0"/>
          <w:numId w:val="35"/>
        </w:numPr>
        <w:ind w:firstLine="480"/>
        <w:rPr>
          <w:rFonts w:cs="宋体"/>
          <w:color w:val="auto"/>
        </w:rPr>
      </w:pPr>
      <w:r>
        <w:rPr>
          <w:rFonts w:hint="eastAsia" w:cs="宋体"/>
          <w:color w:val="auto"/>
        </w:rPr>
        <w:t>中标人拖延、拒签合同的,将被取消中标资格。</w:t>
      </w:r>
    </w:p>
    <w:p>
      <w:pPr>
        <w:pStyle w:val="5"/>
        <w:jc w:val="center"/>
        <w:rPr>
          <w:rFonts w:cs="宋体"/>
          <w:color w:val="auto"/>
        </w:rPr>
      </w:pPr>
      <w:bookmarkStart w:id="117" w:name="_Toc15220"/>
      <w:bookmarkStart w:id="118" w:name="_Toc14481"/>
      <w:bookmarkStart w:id="119" w:name="_Toc12481"/>
      <w:bookmarkStart w:id="120" w:name="_Toc15982"/>
      <w:r>
        <w:rPr>
          <w:rFonts w:hint="eastAsia" w:cs="宋体"/>
          <w:color w:val="auto"/>
        </w:rPr>
        <w:t>第八节 例外处理</w:t>
      </w:r>
      <w:bookmarkEnd w:id="117"/>
      <w:bookmarkEnd w:id="118"/>
      <w:bookmarkEnd w:id="119"/>
      <w:bookmarkEnd w:id="120"/>
    </w:p>
    <w:p>
      <w:pPr>
        <w:ind w:firstLine="480"/>
        <w:rPr>
          <w:rFonts w:cs="宋体"/>
          <w:color w:val="auto"/>
        </w:rPr>
      </w:pPr>
      <w:r>
        <w:rPr>
          <w:rFonts w:hint="eastAsia" w:cs="宋体"/>
          <w:color w:val="auto"/>
        </w:rPr>
        <w:t>投标截止时间结束后或评审过程中参加标项投标的供应商不足三家的，除采购任务取消情形外，采购人可选择以下方式之一处理：</w:t>
      </w:r>
    </w:p>
    <w:p>
      <w:pPr>
        <w:numPr>
          <w:ilvl w:val="0"/>
          <w:numId w:val="36"/>
        </w:numPr>
        <w:ind w:firstLine="480"/>
        <w:rPr>
          <w:rFonts w:cs="宋体"/>
          <w:color w:val="auto"/>
        </w:rPr>
      </w:pPr>
      <w:r>
        <w:rPr>
          <w:rFonts w:hint="eastAsia" w:cs="宋体"/>
          <w:color w:val="auto"/>
        </w:rPr>
        <w:t>可将本标项作废标处理，重新组织采购；</w:t>
      </w:r>
    </w:p>
    <w:p>
      <w:pPr>
        <w:numPr>
          <w:ilvl w:val="0"/>
          <w:numId w:val="36"/>
        </w:numPr>
        <w:ind w:firstLine="480"/>
        <w:rPr>
          <w:rFonts w:cs="宋体"/>
          <w:color w:val="auto"/>
        </w:rPr>
      </w:pPr>
      <w:r>
        <w:rPr>
          <w:rFonts w:hint="eastAsia" w:cs="宋体"/>
          <w:color w:val="auto"/>
        </w:rPr>
        <w:t>可按财政部门的审批意见采用其他采购方式组织采购。</w:t>
      </w:r>
    </w:p>
    <w:p>
      <w:pPr>
        <w:pStyle w:val="12"/>
        <w:ind w:firstLine="280"/>
        <w:rPr>
          <w:rFonts w:ascii="宋体" w:eastAsia="宋体" w:cs="宋体"/>
          <w:color w:val="auto"/>
        </w:rPr>
      </w:pPr>
    </w:p>
    <w:p>
      <w:pPr>
        <w:pStyle w:val="12"/>
        <w:ind w:firstLine="280"/>
        <w:rPr>
          <w:rFonts w:ascii="宋体" w:eastAsia="宋体" w:cs="宋体"/>
          <w:color w:val="auto"/>
        </w:rPr>
        <w:sectPr>
          <w:pgSz w:w="11906" w:h="16838"/>
          <w:pgMar w:top="1440" w:right="1080" w:bottom="1440" w:left="1080" w:header="850" w:footer="992" w:gutter="0"/>
          <w:cols w:space="720" w:num="1"/>
          <w:docGrid w:linePitch="381" w:charSpace="0"/>
        </w:sectPr>
      </w:pPr>
    </w:p>
    <w:p>
      <w:pPr>
        <w:pStyle w:val="4"/>
        <w:rPr>
          <w:rFonts w:cs="宋体"/>
          <w:color w:val="auto"/>
        </w:rPr>
      </w:pPr>
      <w:bookmarkStart w:id="121" w:name="_Toc82873316"/>
      <w:bookmarkStart w:id="122" w:name="_Toc450840079"/>
      <w:bookmarkStart w:id="123" w:name="_Toc82338233"/>
      <w:bookmarkStart w:id="124" w:name="_Toc16410"/>
      <w:bookmarkStart w:id="125" w:name="_Toc21368"/>
      <w:r>
        <w:rPr>
          <w:rFonts w:hint="eastAsia" w:cs="宋体"/>
          <w:color w:val="auto"/>
        </w:rPr>
        <w:t xml:space="preserve">第四章 </w:t>
      </w:r>
      <w:bookmarkEnd w:id="121"/>
      <w:bookmarkEnd w:id="122"/>
      <w:bookmarkEnd w:id="123"/>
      <w:r>
        <w:rPr>
          <w:rFonts w:hint="eastAsia" w:cs="宋体"/>
          <w:color w:val="auto"/>
        </w:rPr>
        <w:t>评标办法及评分标准</w:t>
      </w:r>
      <w:bookmarkEnd w:id="124"/>
      <w:bookmarkEnd w:id="125"/>
    </w:p>
    <w:p>
      <w:pPr>
        <w:pStyle w:val="5"/>
        <w:rPr>
          <w:rFonts w:cs="宋体"/>
          <w:color w:val="auto"/>
        </w:rPr>
      </w:pPr>
      <w:bookmarkStart w:id="126" w:name="_Toc3017"/>
      <w:bookmarkStart w:id="127" w:name="_Toc29775"/>
      <w:bookmarkStart w:id="128" w:name="_Toc3811"/>
      <w:bookmarkStart w:id="129" w:name="OLE_LINK3"/>
      <w:bookmarkStart w:id="130" w:name="_Toc11391"/>
      <w:bookmarkStart w:id="131" w:name="_Toc3110"/>
      <w:r>
        <w:rPr>
          <w:rFonts w:hint="eastAsia" w:cs="宋体"/>
          <w:color w:val="auto"/>
        </w:rPr>
        <w:t>一、评分总则</w:t>
      </w:r>
      <w:bookmarkEnd w:id="126"/>
      <w:bookmarkEnd w:id="127"/>
      <w:r>
        <w:rPr>
          <w:rFonts w:hint="eastAsia" w:cs="宋体"/>
          <w:color w:val="auto"/>
        </w:rPr>
        <w:t xml:space="preserve">  </w:t>
      </w:r>
    </w:p>
    <w:p>
      <w:pPr>
        <w:ind w:firstLine="480"/>
        <w:rPr>
          <w:rFonts w:cs="宋体"/>
          <w:color w:val="auto"/>
        </w:rPr>
      </w:pPr>
      <w:r>
        <w:rPr>
          <w:rFonts w:hint="eastAsia" w:cs="宋体"/>
          <w:color w:val="auto"/>
        </w:rPr>
        <w:t>以招标文件要求为基础，考虑各项相关因素的影响，将相关因素以定量计算的办法转换成分数表示形式，以最高“评标分数”确定评标结果顺序。</w:t>
      </w:r>
    </w:p>
    <w:p>
      <w:pPr>
        <w:ind w:firstLine="480"/>
        <w:rPr>
          <w:rFonts w:cs="宋体"/>
          <w:color w:val="auto"/>
        </w:rPr>
      </w:pPr>
      <w:r>
        <w:rPr>
          <w:rFonts w:hint="eastAsia" w:cs="宋体"/>
          <w:color w:val="auto"/>
        </w:rPr>
        <w:t>本次招标的评标采用</w:t>
      </w:r>
      <w:r>
        <w:rPr>
          <w:rFonts w:hint="eastAsia" w:cs="宋体"/>
          <w:b/>
          <w:bCs/>
          <w:color w:val="auto"/>
        </w:rPr>
        <w:t>综合评分法</w:t>
      </w:r>
      <w:r>
        <w:rPr>
          <w:rFonts w:hint="eastAsia" w:cs="宋体"/>
          <w:color w:val="auto"/>
        </w:rPr>
        <w:t>。</w:t>
      </w:r>
    </w:p>
    <w:bookmarkEnd w:id="128"/>
    <w:bookmarkEnd w:id="129"/>
    <w:bookmarkEnd w:id="130"/>
    <w:bookmarkEnd w:id="131"/>
    <w:p>
      <w:pPr>
        <w:ind w:firstLine="480"/>
        <w:rPr>
          <w:rFonts w:cs="宋体"/>
          <w:color w:val="auto"/>
        </w:rPr>
      </w:pPr>
      <w:bookmarkStart w:id="132" w:name="_Toc82873317"/>
      <w:bookmarkStart w:id="133" w:name="_Toc450840083"/>
      <w:bookmarkStart w:id="134" w:name="_Toc82338234"/>
      <w:r>
        <w:rPr>
          <w:rFonts w:hint="eastAsia" w:cs="宋体"/>
          <w:color w:val="auto"/>
        </w:rPr>
        <w:t>评标总分为100分，合格投标人的评标得分为各项目汇总得分，中标候选资格按评标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ind w:firstLine="480"/>
        <w:rPr>
          <w:rFonts w:cs="宋体"/>
          <w:color w:val="auto"/>
        </w:rPr>
      </w:pPr>
      <w:r>
        <w:rPr>
          <w:rFonts w:hint="eastAsia" w:cs="宋体"/>
          <w:color w:val="auto"/>
        </w:rPr>
        <w:t>评分过程中采用四舍五入法，并保留小数2位</w:t>
      </w:r>
    </w:p>
    <w:p>
      <w:pPr>
        <w:ind w:firstLine="480"/>
        <w:rPr>
          <w:rFonts w:cs="宋体"/>
          <w:color w:val="auto"/>
        </w:rPr>
      </w:pPr>
      <w:r>
        <w:rPr>
          <w:rFonts w:hint="eastAsia" w:cs="宋体"/>
          <w:color w:val="auto"/>
        </w:rPr>
        <w:t>投标人评标综合得分=商务分+技术分+价格分</w:t>
      </w:r>
    </w:p>
    <w:p>
      <w:pPr>
        <w:ind w:firstLine="480"/>
        <w:rPr>
          <w:rFonts w:cs="宋体"/>
          <w:color w:val="auto"/>
        </w:rPr>
      </w:pPr>
      <w:r>
        <w:rPr>
          <w:rFonts w:hint="eastAsia" w:cs="宋体"/>
          <w:color w:val="auto"/>
        </w:rPr>
        <w:t>商务技术分按照评标委员会成员的独立评分结果的算术平均分计算，计算公式为：商务技术分=（评标委员会所有成员评分合计数）/（评标委员会组成人员数）</w:t>
      </w:r>
    </w:p>
    <w:p>
      <w:pPr>
        <w:pStyle w:val="5"/>
        <w:rPr>
          <w:rFonts w:cs="宋体"/>
          <w:color w:val="auto"/>
          <w:sz w:val="24"/>
          <w:szCs w:val="24"/>
        </w:rPr>
      </w:pPr>
      <w:bookmarkStart w:id="135" w:name="_Toc7047"/>
      <w:bookmarkStart w:id="136" w:name="_Toc23140"/>
      <w:bookmarkStart w:id="137" w:name="_Toc30520"/>
      <w:bookmarkStart w:id="138" w:name="_Toc7789"/>
      <w:bookmarkStart w:id="139" w:name="_Toc30517"/>
      <w:r>
        <w:rPr>
          <w:rFonts w:hint="eastAsia" w:cs="宋体"/>
          <w:color w:val="auto"/>
          <w:sz w:val="24"/>
          <w:szCs w:val="24"/>
        </w:rPr>
        <w:t>二、评标程序：</w:t>
      </w:r>
      <w:bookmarkEnd w:id="135"/>
      <w:bookmarkEnd w:id="136"/>
    </w:p>
    <w:p>
      <w:pPr>
        <w:ind w:firstLine="482"/>
        <w:rPr>
          <w:rFonts w:cs="宋体"/>
          <w:b/>
          <w:color w:val="auto"/>
        </w:rPr>
      </w:pPr>
      <w:r>
        <w:rPr>
          <w:rFonts w:hint="eastAsia" w:cs="宋体"/>
          <w:b/>
          <w:color w:val="auto"/>
        </w:rPr>
        <w:t>2.1第一阶段评审</w:t>
      </w:r>
    </w:p>
    <w:p>
      <w:pPr>
        <w:ind w:firstLine="480"/>
        <w:rPr>
          <w:rFonts w:cs="宋体"/>
          <w:b/>
          <w:color w:val="auto"/>
        </w:rPr>
      </w:pPr>
      <w:r>
        <w:rPr>
          <w:rFonts w:hint="eastAsia" w:cs="宋体"/>
          <w:color w:val="auto"/>
        </w:rPr>
        <w:t>★2.1.1商务和技术文件初步审查：包含资格性审查和符合性审查。资格性审查是指采购人或代理机构根据“附表1资格性审查表”的要求对投标文件逐一进行评审。符合性审查是指评标委员会根据“附表2符合性审查表”的要求对投标文件逐一进行评审。</w:t>
      </w:r>
      <w:r>
        <w:rPr>
          <w:rFonts w:hint="eastAsia" w:cs="宋体"/>
          <w:b/>
          <w:color w:val="auto"/>
        </w:rPr>
        <w:t>资格性审查和符合性审查中，有任意一项审查结论不合格的，作无效标处理。</w:t>
      </w:r>
    </w:p>
    <w:p>
      <w:pPr>
        <w:ind w:firstLine="480"/>
        <w:rPr>
          <w:rFonts w:cs="宋体"/>
          <w:color w:val="auto"/>
        </w:rPr>
      </w:pPr>
      <w:r>
        <w:rPr>
          <w:rFonts w:hint="eastAsia" w:cs="宋体"/>
          <w:color w:val="auto"/>
        </w:rPr>
        <w:t>2.1.2</w:t>
      </w:r>
      <w:r>
        <w:rPr>
          <w:rFonts w:hint="eastAsia" w:cs="宋体"/>
          <w:color w:val="auto"/>
          <w:lang w:val="zh-CN"/>
        </w:rPr>
        <w:t>比较与评价：</w:t>
      </w:r>
      <w:r>
        <w:rPr>
          <w:rFonts w:hint="eastAsia" w:cs="宋体"/>
          <w:color w:val="auto"/>
        </w:rPr>
        <w:t>评标委员会根据“附表3评分表（兼评委打分表）”的要求，</w:t>
      </w:r>
      <w:r>
        <w:rPr>
          <w:rFonts w:hint="eastAsia" w:cs="宋体"/>
          <w:color w:val="auto"/>
          <w:lang w:val="zh-CN"/>
        </w:rPr>
        <w:t>对照投标文件的应答进行比较，判定其偏差性质和程度，</w:t>
      </w:r>
      <w:r>
        <w:rPr>
          <w:rFonts w:hint="eastAsia" w:cs="宋体"/>
          <w:color w:val="auto"/>
        </w:rPr>
        <w:t>由评标委员会成员在分值范围内自行评分。供应商商务和技术得分为各评标委员会成员有效评分的算术平均值（小数点后保留二位数）。</w:t>
      </w:r>
    </w:p>
    <w:p>
      <w:pPr>
        <w:ind w:firstLine="482"/>
        <w:rPr>
          <w:rFonts w:cs="宋体"/>
          <w:b/>
          <w:color w:val="auto"/>
        </w:rPr>
      </w:pPr>
      <w:r>
        <w:rPr>
          <w:rFonts w:hint="eastAsia" w:cs="宋体"/>
          <w:b/>
          <w:color w:val="auto"/>
        </w:rPr>
        <w:t>2.2第二阶段评审</w:t>
      </w:r>
    </w:p>
    <w:p>
      <w:pPr>
        <w:ind w:firstLine="480"/>
        <w:rPr>
          <w:rFonts w:cs="宋体"/>
          <w:b/>
          <w:color w:val="auto"/>
        </w:rPr>
      </w:pPr>
      <w:r>
        <w:rPr>
          <w:rFonts w:hint="eastAsia" w:cs="宋体"/>
          <w:color w:val="auto"/>
        </w:rPr>
        <w:t>★2.2.1报价文件审查：投标报价超出最高限价或预算金额的</w:t>
      </w:r>
      <w:r>
        <w:rPr>
          <w:rFonts w:hint="eastAsia" w:cs="宋体"/>
          <w:b/>
          <w:color w:val="auto"/>
        </w:rPr>
        <w:t>，审查结论不合格的，作无效标处理。</w:t>
      </w:r>
    </w:p>
    <w:p>
      <w:pPr>
        <w:ind w:firstLine="480"/>
        <w:rPr>
          <w:rFonts w:cs="宋体"/>
          <w:color w:val="auto"/>
        </w:rPr>
      </w:pPr>
      <w:r>
        <w:rPr>
          <w:rFonts w:hint="eastAsia" w:cs="宋体"/>
          <w:color w:val="auto"/>
        </w:rPr>
        <w:t>2.2.2综合评估：供应商的综合得分为商务和技术得分与报价得分之和。</w:t>
      </w:r>
    </w:p>
    <w:p>
      <w:pPr>
        <w:ind w:firstLine="480"/>
        <w:rPr>
          <w:rFonts w:cs="宋体"/>
          <w:color w:val="auto"/>
        </w:rPr>
      </w:pPr>
      <w:r>
        <w:rPr>
          <w:rFonts w:hint="eastAsia" w:cs="宋体"/>
          <w:color w:val="auto"/>
        </w:rPr>
        <w:t>2.2.3推荐中标候选人：按综合得分由高到低进行排序，推荐综合得分排序第1的供应商为中标候选人。若供应商的综合得分相等，则投标报价低者列前；若投标报价也相同时，采取随机抽签的方式确定排序。</w:t>
      </w:r>
    </w:p>
    <w:p>
      <w:pPr>
        <w:ind w:firstLine="482"/>
        <w:rPr>
          <w:rFonts w:cs="宋体"/>
          <w:b/>
          <w:color w:val="auto"/>
        </w:rPr>
      </w:pPr>
      <w:r>
        <w:rPr>
          <w:rFonts w:hint="eastAsia" w:cs="宋体"/>
          <w:b/>
          <w:color w:val="auto"/>
        </w:rPr>
        <w:t>2.3确定中标供应商</w:t>
      </w:r>
    </w:p>
    <w:p>
      <w:pPr>
        <w:ind w:firstLine="480"/>
        <w:rPr>
          <w:color w:val="auto"/>
        </w:rPr>
      </w:pPr>
      <w:r>
        <w:rPr>
          <w:rFonts w:hint="eastAsia"/>
          <w:color w:val="auto"/>
        </w:rPr>
        <w:t>2.3.1</w:t>
      </w:r>
      <w:r>
        <w:rPr>
          <w:rFonts w:hint="eastAsia" w:cs="宋体"/>
          <w:color w:val="auto"/>
        </w:rPr>
        <w:t>中标候选人</w:t>
      </w:r>
      <w:r>
        <w:rPr>
          <w:rFonts w:hint="eastAsia"/>
          <w:color w:val="auto"/>
        </w:rPr>
        <w:t>推荐原则:评标委员会按综合得分由高到低排序，推荐排序第一、第二、第三名的供应商依次为第一、第二、第三</w:t>
      </w:r>
      <w:r>
        <w:rPr>
          <w:rFonts w:hint="eastAsia" w:cs="宋体"/>
          <w:color w:val="auto"/>
        </w:rPr>
        <w:t>中标候选人</w:t>
      </w:r>
      <w:r>
        <w:rPr>
          <w:rFonts w:hint="eastAsia"/>
          <w:color w:val="auto"/>
        </w:rPr>
        <w:t>。</w:t>
      </w:r>
    </w:p>
    <w:p>
      <w:pPr>
        <w:ind w:firstLine="480"/>
        <w:rPr>
          <w:color w:val="auto"/>
        </w:rPr>
      </w:pPr>
      <w:r>
        <w:rPr>
          <w:rFonts w:hint="eastAsia"/>
          <w:color w:val="auto"/>
        </w:rPr>
        <w:t>2.3.2确定</w:t>
      </w:r>
      <w:r>
        <w:rPr>
          <w:rFonts w:hint="eastAsia" w:cs="宋体"/>
          <w:color w:val="auto"/>
        </w:rPr>
        <w:t>中标人</w:t>
      </w:r>
      <w:r>
        <w:rPr>
          <w:rFonts w:hint="eastAsia"/>
          <w:color w:val="auto"/>
        </w:rPr>
        <w:t>：采购人按照评审小组推荐的</w:t>
      </w:r>
      <w:r>
        <w:rPr>
          <w:rFonts w:hint="eastAsia" w:cs="宋体"/>
          <w:color w:val="auto"/>
        </w:rPr>
        <w:t>中标候选人</w:t>
      </w:r>
      <w:r>
        <w:rPr>
          <w:rFonts w:hint="eastAsia"/>
          <w:color w:val="auto"/>
        </w:rPr>
        <w:t>名单顺序，确定排序第一</w:t>
      </w:r>
      <w:r>
        <w:rPr>
          <w:rFonts w:hint="eastAsia" w:cs="宋体"/>
          <w:color w:val="auto"/>
        </w:rPr>
        <w:t>中标候选人</w:t>
      </w:r>
      <w:r>
        <w:rPr>
          <w:rFonts w:hint="eastAsia"/>
          <w:color w:val="auto"/>
        </w:rPr>
        <w:t>为</w:t>
      </w:r>
      <w:r>
        <w:rPr>
          <w:rFonts w:hint="eastAsia" w:cs="宋体"/>
          <w:color w:val="auto"/>
        </w:rPr>
        <w:t>中标人</w:t>
      </w:r>
      <w:r>
        <w:rPr>
          <w:rFonts w:hint="eastAsia"/>
          <w:color w:val="auto"/>
        </w:rPr>
        <w:t>。排序第一</w:t>
      </w:r>
      <w:r>
        <w:rPr>
          <w:rFonts w:hint="eastAsia" w:cs="宋体"/>
          <w:color w:val="auto"/>
        </w:rPr>
        <w:t>中标候选人</w:t>
      </w:r>
      <w:r>
        <w:rPr>
          <w:rFonts w:hint="eastAsia"/>
          <w:color w:val="auto"/>
        </w:rPr>
        <w:t>如拒绝与采购人签订合同的，或因不可抗力提出不能履行合同，采购人可以确定下一排序</w:t>
      </w:r>
      <w:r>
        <w:rPr>
          <w:rFonts w:hint="eastAsia" w:cs="宋体"/>
          <w:color w:val="auto"/>
        </w:rPr>
        <w:t>中标候选人</w:t>
      </w:r>
      <w:r>
        <w:rPr>
          <w:rFonts w:hint="eastAsia"/>
          <w:color w:val="auto"/>
        </w:rPr>
        <w:t>为</w:t>
      </w:r>
      <w:r>
        <w:rPr>
          <w:rFonts w:hint="eastAsia" w:cs="宋体"/>
          <w:color w:val="auto"/>
        </w:rPr>
        <w:t>中标人</w:t>
      </w:r>
      <w:r>
        <w:rPr>
          <w:rFonts w:hint="eastAsia"/>
          <w:color w:val="auto"/>
        </w:rPr>
        <w:t>，依此类推，直至排序第三</w:t>
      </w:r>
      <w:r>
        <w:rPr>
          <w:rFonts w:hint="eastAsia" w:cs="宋体"/>
          <w:color w:val="auto"/>
        </w:rPr>
        <w:t>中标候选人</w:t>
      </w:r>
      <w:r>
        <w:rPr>
          <w:rFonts w:hint="eastAsia"/>
          <w:color w:val="auto"/>
        </w:rPr>
        <w:t>；采购人也可以重新组织采购。</w:t>
      </w:r>
    </w:p>
    <w:p>
      <w:pPr>
        <w:ind w:firstLine="482"/>
        <w:rPr>
          <w:rFonts w:cs="宋体"/>
          <w:b/>
          <w:color w:val="auto"/>
        </w:rPr>
      </w:pPr>
      <w:r>
        <w:rPr>
          <w:rFonts w:hint="eastAsia" w:cs="宋体"/>
          <w:b/>
          <w:color w:val="auto"/>
        </w:rPr>
        <w:t>三、投标的澄清</w:t>
      </w:r>
    </w:p>
    <w:p>
      <w:pPr>
        <w:ind w:firstLine="480"/>
        <w:rPr>
          <w:rFonts w:cs="宋体"/>
          <w:color w:val="auto"/>
        </w:rPr>
      </w:pPr>
      <w:r>
        <w:rPr>
          <w:rFonts w:hint="eastAsia" w:cs="宋体"/>
          <w:color w:val="auto"/>
        </w:rPr>
        <w:t>3.1对投标文件审查中发现的投标文件表达含义不明确、同类问题表述不一致或者有明显文字和计算错误的内容，评标委员会可通过询标，要求供应商做出澄清。供应商必须按照代理机构通知的时间、方式派技术和商务人员进行答疑和澄清。</w:t>
      </w:r>
    </w:p>
    <w:p>
      <w:pPr>
        <w:ind w:firstLine="480"/>
        <w:rPr>
          <w:rFonts w:cs="宋体"/>
          <w:color w:val="auto"/>
        </w:rPr>
      </w:pPr>
      <w:r>
        <w:rPr>
          <w:rFonts w:hint="eastAsia" w:cs="宋体"/>
          <w:color w:val="auto"/>
        </w:rPr>
        <w:t>3.2供应商应对需要澄清的问题作书面回答，该书面回答应有盖章，书面澄清将作为投标内容的一部分。</w:t>
      </w:r>
    </w:p>
    <w:p>
      <w:pPr>
        <w:ind w:firstLine="480"/>
        <w:rPr>
          <w:rFonts w:cs="宋体"/>
          <w:color w:val="auto"/>
        </w:rPr>
      </w:pPr>
      <w:r>
        <w:rPr>
          <w:rFonts w:hint="eastAsia" w:cs="宋体"/>
          <w:color w:val="auto"/>
        </w:rPr>
        <w:t>3.3供应商对投标文件的澄清不得超出投标文件的范围或改变投标价格等投标文件的实质性内容。</w:t>
      </w:r>
    </w:p>
    <w:p>
      <w:pPr>
        <w:ind w:firstLine="480"/>
        <w:rPr>
          <w:rFonts w:cs="宋体"/>
          <w:color w:val="auto"/>
        </w:rPr>
      </w:pPr>
      <w:r>
        <w:rPr>
          <w:rFonts w:hint="eastAsia" w:cs="宋体"/>
          <w:color w:val="auto"/>
        </w:rPr>
        <w:t>3.4若供应商未响应澄清安排的通知进行答疑和澄清，将被视作自动放弃。</w:t>
      </w:r>
    </w:p>
    <w:p>
      <w:pPr>
        <w:spacing w:line="400" w:lineRule="exact"/>
        <w:ind w:firstLine="482"/>
        <w:rPr>
          <w:rFonts w:cs="宋体"/>
          <w:b/>
          <w:color w:val="auto"/>
          <w:szCs w:val="21"/>
        </w:rPr>
      </w:pPr>
      <w:r>
        <w:rPr>
          <w:rFonts w:hint="eastAsia" w:cs="宋体"/>
          <w:b/>
          <w:color w:val="auto"/>
          <w:szCs w:val="21"/>
        </w:rPr>
        <w:t>附表1：</w:t>
      </w:r>
    </w:p>
    <w:p>
      <w:pPr>
        <w:spacing w:line="400" w:lineRule="exact"/>
        <w:ind w:firstLine="482"/>
        <w:jc w:val="center"/>
        <w:rPr>
          <w:rFonts w:cs="宋体"/>
          <w:b/>
          <w:color w:val="auto"/>
          <w:szCs w:val="21"/>
        </w:rPr>
      </w:pPr>
      <w:r>
        <w:rPr>
          <w:rFonts w:hint="eastAsia" w:cs="宋体"/>
          <w:b/>
          <w:color w:val="auto"/>
          <w:szCs w:val="21"/>
        </w:rPr>
        <w:t>资格审查表</w:t>
      </w:r>
    </w:p>
    <w:tbl>
      <w:tblPr>
        <w:tblStyle w:val="46"/>
        <w:tblW w:w="98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1867"/>
        <w:gridCol w:w="2255"/>
        <w:gridCol w:w="51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b/>
                <w:color w:val="auto"/>
              </w:rPr>
            </w:pPr>
            <w:r>
              <w:rPr>
                <w:rFonts w:hint="eastAsia" w:cs="宋体"/>
                <w:b/>
                <w:color w:val="auto"/>
              </w:rPr>
              <w:t>序号</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b/>
                <w:color w:val="auto"/>
              </w:rPr>
            </w:pPr>
            <w:r>
              <w:rPr>
                <w:rFonts w:hint="eastAsia" w:cs="宋体"/>
                <w:b/>
                <w:color w:val="auto"/>
              </w:rPr>
              <w:t>审查因素</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b/>
                <w:color w:val="auto"/>
              </w:rPr>
            </w:pPr>
            <w:r>
              <w:rPr>
                <w:rFonts w:hint="eastAsia" w:cs="宋体"/>
                <w:b/>
                <w:color w:val="auto"/>
              </w:rPr>
              <w:t>审查内容</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b/>
                <w:color w:val="auto"/>
              </w:rPr>
            </w:pPr>
            <w:r>
              <w:rPr>
                <w:rFonts w:hint="eastAsia" w:cs="宋体"/>
                <w:b/>
                <w:color w:val="auto"/>
              </w:rPr>
              <w:t>审查标准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1</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具有独立承担民事责任的能力</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 xml:space="preserve">营业执照（副本）复印件 </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rPr>
                <w:rFonts w:cs="宋体"/>
                <w:color w:val="auto"/>
              </w:rPr>
            </w:pPr>
            <w:r>
              <w:rPr>
                <w:rFonts w:hint="eastAsia" w:cs="宋体"/>
                <w:color w:val="auto"/>
              </w:rPr>
              <w:t>（1）如投标人是企业（包括合伙企业），提供在工商部门注册的有效“企业法人营业执照”或“营业执照”；</w:t>
            </w:r>
          </w:p>
          <w:p>
            <w:pPr>
              <w:spacing w:line="440" w:lineRule="exact"/>
              <w:ind w:firstLine="0" w:firstLineChars="0"/>
              <w:rPr>
                <w:rFonts w:cs="宋体"/>
                <w:color w:val="auto"/>
              </w:rPr>
            </w:pPr>
            <w:r>
              <w:rPr>
                <w:rFonts w:hint="eastAsia" w:cs="宋体"/>
                <w:color w:val="auto"/>
              </w:rPr>
              <w:t>（2）如投标人是事业单位，提供有效的“事业单位法人证书”；</w:t>
            </w:r>
          </w:p>
          <w:p>
            <w:pPr>
              <w:spacing w:line="440" w:lineRule="exact"/>
              <w:ind w:firstLine="0" w:firstLineChars="0"/>
              <w:rPr>
                <w:rFonts w:cs="宋体"/>
                <w:color w:val="auto"/>
              </w:rPr>
            </w:pPr>
            <w:r>
              <w:rPr>
                <w:rFonts w:hint="eastAsia" w:cs="宋体"/>
                <w:color w:val="auto"/>
              </w:rPr>
              <w:t>（3）如投标人是非企业专业服务机构的，提供执业许可证等证明文件；</w:t>
            </w:r>
          </w:p>
          <w:p>
            <w:pPr>
              <w:spacing w:line="440" w:lineRule="exact"/>
              <w:ind w:firstLine="0" w:firstLineChars="0"/>
              <w:rPr>
                <w:rFonts w:cs="宋体"/>
                <w:color w:val="auto"/>
              </w:rPr>
            </w:pPr>
            <w:r>
              <w:rPr>
                <w:rFonts w:hint="eastAsia" w:cs="宋体"/>
                <w:color w:val="auto"/>
              </w:rPr>
              <w:t>（4）如投标人是个体工商户，提供有效的“个体工商户营业执照”；</w:t>
            </w:r>
          </w:p>
          <w:p>
            <w:pPr>
              <w:spacing w:line="440" w:lineRule="exact"/>
              <w:ind w:firstLine="0" w:firstLineChars="0"/>
              <w:rPr>
                <w:rFonts w:cs="宋体"/>
                <w:color w:val="auto"/>
              </w:rPr>
            </w:pPr>
            <w:r>
              <w:rPr>
                <w:rFonts w:hint="eastAsia" w:cs="宋体"/>
                <w:color w:val="auto"/>
              </w:rPr>
              <w:t>（5）如投标人是自然人，提供有效的自然人身份证明。</w:t>
            </w:r>
          </w:p>
          <w:p>
            <w:pPr>
              <w:spacing w:line="440" w:lineRule="exact"/>
              <w:ind w:firstLine="0" w:firstLineChars="0"/>
              <w:rPr>
                <w:rFonts w:cs="宋体"/>
                <w:color w:val="auto"/>
              </w:rPr>
            </w:pPr>
            <w:r>
              <w:rPr>
                <w:rFonts w:hint="eastAsia" w:cs="宋体"/>
                <w:color w:val="auto"/>
              </w:rPr>
              <w:t>注：以上材料需要复印件加盖公章（自然人则签字）。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7"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2</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具有良好的商业信誉和健全的财务会计制度</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上一年度财务报告</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rPr>
                <w:rFonts w:cs="宋体"/>
                <w:color w:val="auto"/>
              </w:rPr>
            </w:pPr>
            <w:r>
              <w:rPr>
                <w:rFonts w:hint="eastAsia" w:cs="宋体"/>
                <w:color w:val="auto"/>
                <w:szCs w:val="21"/>
              </w:rPr>
              <w:t>提供2020年度财务会计报表复印件加盖供应商公章（供应商注册成立不足一年的，应提供投标截止时间前一个月的财务会计报表）</w:t>
            </w:r>
            <w:r>
              <w:rPr>
                <w:rFonts w:hint="eastAsia" w:cs="宋体"/>
                <w:color w:val="auto"/>
              </w:rPr>
              <w:t>或开标前三个月内出具的银行资信证明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65"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3</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具有履行合同所必需的设备和专业技术能力</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承诺函</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rPr>
                <w:rFonts w:cs="宋体"/>
                <w:color w:val="auto"/>
              </w:rPr>
            </w:pPr>
            <w:r>
              <w:rPr>
                <w:rFonts w:hint="eastAsia" w:cs="宋体"/>
                <w:color w:val="auto"/>
              </w:rPr>
              <w:t>提供承诺函，格式附后。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2"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4</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有依法缴纳税收和社会保障资金的良好记录</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纳税证明复印件、社保缴纳证明复印件</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rPr>
                <w:rFonts w:cs="宋体"/>
                <w:color w:val="auto"/>
              </w:rPr>
            </w:pPr>
            <w:r>
              <w:rPr>
                <w:rFonts w:hint="eastAsia" w:cs="宋体"/>
                <w:color w:val="auto"/>
              </w:rPr>
              <w:t>（1）最近六个月任意一月依法缴纳税收的证明材料指投标人参加政府采购活动前最近六个月任意一月内依法缴纳税收的凭据（完税证明或纳税证明或银行电子缴税付款凭证等）；</w:t>
            </w:r>
          </w:p>
          <w:p>
            <w:pPr>
              <w:spacing w:line="440" w:lineRule="exact"/>
              <w:ind w:firstLine="0" w:firstLineChars="0"/>
              <w:rPr>
                <w:rFonts w:cs="宋体"/>
                <w:color w:val="auto"/>
              </w:rPr>
            </w:pPr>
            <w:r>
              <w:rPr>
                <w:rFonts w:hint="eastAsia" w:cs="宋体"/>
                <w:color w:val="auto"/>
              </w:rPr>
              <w:t>（2）依法免税的投标人，应提供相应文件证明其依法免税；</w:t>
            </w:r>
          </w:p>
          <w:p>
            <w:pPr>
              <w:spacing w:line="440" w:lineRule="exact"/>
              <w:ind w:firstLine="0" w:firstLineChars="0"/>
              <w:rPr>
                <w:rFonts w:cs="宋体"/>
                <w:color w:val="auto"/>
              </w:rPr>
            </w:pPr>
            <w:r>
              <w:rPr>
                <w:rFonts w:hint="eastAsia" w:cs="宋体"/>
                <w:color w:val="auto"/>
              </w:rPr>
              <w:t>（3）最近六个月任意一月依法缴纳社会保障资金的证明材料指投标人参加政府采购活动前最近六个月任意一月内依法缴纳社会保险的凭据（社保缴费专用收据或银行电子缴税付款凭证或社会保险缴纳清单等）；</w:t>
            </w:r>
          </w:p>
          <w:p>
            <w:pPr>
              <w:spacing w:line="440" w:lineRule="exact"/>
              <w:ind w:firstLine="0" w:firstLineChars="0"/>
              <w:rPr>
                <w:rFonts w:cs="宋体"/>
                <w:color w:val="auto"/>
              </w:rPr>
            </w:pPr>
            <w:r>
              <w:rPr>
                <w:rFonts w:hint="eastAsia" w:cs="宋体"/>
                <w:color w:val="auto"/>
              </w:rPr>
              <w:t>（4）依法不需要缴纳社会保障资金的投标人，应提供相应文件证明其依法不需要缴纳社会保障资金；</w:t>
            </w:r>
          </w:p>
          <w:p>
            <w:pPr>
              <w:spacing w:line="440" w:lineRule="exact"/>
              <w:ind w:firstLine="0" w:firstLineChars="0"/>
              <w:rPr>
                <w:rFonts w:cs="宋体"/>
                <w:color w:val="auto"/>
              </w:rPr>
            </w:pPr>
            <w:r>
              <w:rPr>
                <w:rFonts w:hint="eastAsia" w:cs="宋体"/>
                <w:color w:val="auto"/>
              </w:rPr>
              <w:t>投标人因新注册成立等原因无法提供相关材料的，应在投标文件中提交如实的情况说明。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46"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5</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参加政府采购活动前三年内，在经营活动中没有重大违法记录</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投标人在《无重大违法记录声明函》中承诺参加政府采购活动前三年内，在经营活动中无重大违法记录书面声明</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rPr>
                <w:rFonts w:cs="宋体"/>
                <w:color w:val="auto"/>
              </w:rPr>
            </w:pPr>
            <w:r>
              <w:rPr>
                <w:rFonts w:hint="eastAsia" w:cs="宋体"/>
                <w:color w:val="auto"/>
              </w:rPr>
              <w:t>提供《无重大违法记录声明函》，格式以采购文件附件为准。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6</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诚信记录</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投标人“信用中国”网站（www.creditchina.gov.cn）、中国政府采购网（www.ccgp.gov.cn）信用记录情况无不良记录。</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rPr>
                <w:rFonts w:cs="宋体"/>
                <w:color w:val="auto"/>
              </w:rPr>
            </w:pPr>
            <w:r>
              <w:rPr>
                <w:rFonts w:hint="eastAsia" w:cs="宋体"/>
                <w:color w:val="auto"/>
              </w:rPr>
              <w:t>开标当日为准对投标人“信用中国”网站（www.creditchina.gov.cn）、中国政府采购网（www.ccgp.gov.cn）信用记录情况进行核实，未被列入失信被执行人、重大税收违法案件当事人名单、政府采购严重违法失信行为记录名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 w:hRule="atLeast"/>
        </w:trPr>
        <w:tc>
          <w:tcPr>
            <w:tcW w:w="57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hint="eastAsia" w:eastAsia="宋体" w:cs="宋体"/>
                <w:color w:val="auto"/>
                <w:lang w:eastAsia="zh-CN"/>
              </w:rPr>
            </w:pPr>
            <w:r>
              <w:rPr>
                <w:rFonts w:hint="eastAsia" w:cs="宋体"/>
                <w:color w:val="auto"/>
                <w:lang w:val="en-US" w:eastAsia="zh-CN"/>
              </w:rPr>
              <w:t>7</w:t>
            </w:r>
          </w:p>
        </w:tc>
        <w:tc>
          <w:tcPr>
            <w:tcW w:w="1867"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联合体投标</w:t>
            </w:r>
          </w:p>
        </w:tc>
        <w:tc>
          <w:tcPr>
            <w:tcW w:w="2255"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jc w:val="center"/>
              <w:rPr>
                <w:rFonts w:cs="宋体"/>
                <w:color w:val="auto"/>
              </w:rPr>
            </w:pPr>
            <w:r>
              <w:rPr>
                <w:rFonts w:hint="eastAsia" w:cs="宋体"/>
                <w:color w:val="auto"/>
              </w:rPr>
              <w:t>是否为联合体投标</w:t>
            </w:r>
          </w:p>
        </w:tc>
        <w:tc>
          <w:tcPr>
            <w:tcW w:w="5133" w:type="dxa"/>
            <w:tcBorders>
              <w:top w:val="single" w:color="auto" w:sz="4" w:space="0"/>
              <w:left w:val="single" w:color="auto" w:sz="4" w:space="0"/>
              <w:bottom w:val="single" w:color="auto" w:sz="4" w:space="0"/>
              <w:right w:val="single" w:color="auto" w:sz="4" w:space="0"/>
            </w:tcBorders>
            <w:vAlign w:val="center"/>
          </w:tcPr>
          <w:p>
            <w:pPr>
              <w:spacing w:line="440" w:lineRule="exact"/>
              <w:ind w:firstLine="0" w:firstLineChars="0"/>
              <w:rPr>
                <w:rFonts w:cs="宋体"/>
                <w:color w:val="auto"/>
              </w:rPr>
            </w:pPr>
            <w:r>
              <w:rPr>
                <w:rFonts w:hint="eastAsia" w:cs="宋体"/>
                <w:color w:val="auto"/>
              </w:rPr>
              <w:t>本项目不接受联合体投标</w:t>
            </w:r>
          </w:p>
        </w:tc>
      </w:tr>
    </w:tbl>
    <w:p>
      <w:pPr>
        <w:spacing w:line="400" w:lineRule="exact"/>
        <w:ind w:firstLine="482"/>
        <w:rPr>
          <w:rFonts w:cs="宋体"/>
          <w:b/>
          <w:bCs/>
          <w:color w:val="auto"/>
        </w:rPr>
      </w:pPr>
      <w:r>
        <w:rPr>
          <w:rFonts w:hint="eastAsia" w:cs="宋体"/>
          <w:b/>
          <w:color w:val="auto"/>
        </w:rPr>
        <w:t>注：</w:t>
      </w:r>
      <w:r>
        <w:rPr>
          <w:rFonts w:hint="eastAsia" w:cs="宋体"/>
          <w:b/>
          <w:bCs/>
          <w:color w:val="auto"/>
        </w:rPr>
        <w:t>1、上述资格证明文件未按招标文件要求附入投标文件中的，资格性审查不合格。</w:t>
      </w:r>
    </w:p>
    <w:p>
      <w:pPr>
        <w:spacing w:line="400" w:lineRule="exact"/>
        <w:ind w:firstLine="482"/>
        <w:rPr>
          <w:rFonts w:cs="宋体"/>
          <w:b/>
          <w:bCs/>
          <w:color w:val="auto"/>
        </w:rPr>
      </w:pPr>
      <w:r>
        <w:rPr>
          <w:rFonts w:hint="eastAsia" w:cs="宋体"/>
          <w:b/>
          <w:bCs/>
          <w:color w:val="auto"/>
        </w:rPr>
        <w:t>2、上述审查项目中，任意一项不符合的，资格性审查不合格。</w:t>
      </w:r>
    </w:p>
    <w:p>
      <w:pPr>
        <w:spacing w:line="400" w:lineRule="exact"/>
        <w:ind w:firstLine="482"/>
        <w:rPr>
          <w:rFonts w:cs="宋体"/>
          <w:b/>
          <w:bCs/>
          <w:color w:val="auto"/>
        </w:rPr>
      </w:pPr>
      <w:r>
        <w:rPr>
          <w:rFonts w:hint="eastAsia" w:cs="宋体"/>
          <w:b/>
          <w:bCs/>
          <w:color w:val="auto"/>
        </w:rPr>
        <w:t>3、供应商注册成立不足一年的，应提供供应商单位成立至今的财务会计报表、缴纳税收的证明资料、缴纳社保的证明资料复印件加盖供应商公章。</w:t>
      </w:r>
    </w:p>
    <w:p>
      <w:pPr>
        <w:spacing w:line="400" w:lineRule="exact"/>
        <w:ind w:firstLine="482"/>
        <w:rPr>
          <w:rFonts w:cs="宋体"/>
          <w:b/>
          <w:color w:val="auto"/>
        </w:rPr>
      </w:pPr>
      <w:r>
        <w:rPr>
          <w:rFonts w:hint="eastAsia" w:cs="宋体"/>
          <w:b/>
          <w:bCs/>
          <w:color w:val="auto"/>
        </w:rPr>
        <w:t>4、依法免税或不需要缴纳社保的供应商，应提供相应文件证明其依法免税或不需要缴纳社保。</w:t>
      </w:r>
    </w:p>
    <w:p>
      <w:pPr>
        <w:spacing w:line="400" w:lineRule="exact"/>
        <w:ind w:firstLine="482"/>
        <w:rPr>
          <w:rFonts w:cs="宋体"/>
          <w:b/>
          <w:color w:val="auto"/>
          <w:szCs w:val="21"/>
        </w:rPr>
      </w:pPr>
      <w:r>
        <w:rPr>
          <w:rFonts w:hint="eastAsia" w:cs="宋体"/>
          <w:b/>
          <w:color w:val="auto"/>
          <w:szCs w:val="21"/>
        </w:rPr>
        <w:t>附表2：</w:t>
      </w:r>
    </w:p>
    <w:p>
      <w:pPr>
        <w:spacing w:line="400" w:lineRule="exact"/>
        <w:ind w:firstLine="482"/>
        <w:jc w:val="center"/>
        <w:rPr>
          <w:rFonts w:cs="宋体"/>
          <w:b/>
          <w:color w:val="auto"/>
          <w:szCs w:val="21"/>
        </w:rPr>
      </w:pPr>
      <w:r>
        <w:rPr>
          <w:rFonts w:hint="eastAsia" w:cs="宋体"/>
          <w:b/>
          <w:color w:val="auto"/>
          <w:szCs w:val="21"/>
        </w:rPr>
        <w:t>符合性审查表</w:t>
      </w:r>
    </w:p>
    <w:tbl>
      <w:tblPr>
        <w:tblStyle w:val="46"/>
        <w:tblW w:w="941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174"/>
        <w:gridCol w:w="65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tcPr>
          <w:p>
            <w:pPr>
              <w:spacing w:line="400" w:lineRule="exact"/>
              <w:ind w:firstLine="0" w:firstLineChars="0"/>
              <w:jc w:val="center"/>
              <w:rPr>
                <w:rFonts w:cs="宋体"/>
                <w:b/>
                <w:color w:val="auto"/>
                <w:szCs w:val="21"/>
              </w:rPr>
            </w:pPr>
            <w:r>
              <w:rPr>
                <w:rFonts w:hint="eastAsia" w:cs="宋体"/>
                <w:b/>
                <w:color w:val="auto"/>
                <w:szCs w:val="21"/>
              </w:rPr>
              <w:t>序号</w:t>
            </w:r>
          </w:p>
        </w:tc>
        <w:tc>
          <w:tcPr>
            <w:tcW w:w="2174" w:type="dxa"/>
          </w:tcPr>
          <w:p>
            <w:pPr>
              <w:spacing w:line="400" w:lineRule="exact"/>
              <w:ind w:firstLine="0" w:firstLineChars="0"/>
              <w:jc w:val="center"/>
              <w:rPr>
                <w:rFonts w:cs="宋体"/>
                <w:b/>
                <w:color w:val="auto"/>
                <w:szCs w:val="21"/>
              </w:rPr>
            </w:pPr>
            <w:r>
              <w:rPr>
                <w:rFonts w:hint="eastAsia" w:cs="宋体"/>
                <w:b/>
                <w:color w:val="auto"/>
                <w:szCs w:val="21"/>
              </w:rPr>
              <w:t>审查项目</w:t>
            </w:r>
          </w:p>
        </w:tc>
        <w:tc>
          <w:tcPr>
            <w:tcW w:w="6521" w:type="dxa"/>
          </w:tcPr>
          <w:p>
            <w:pPr>
              <w:spacing w:line="400" w:lineRule="exact"/>
              <w:ind w:firstLine="0" w:firstLineChars="0"/>
              <w:jc w:val="center"/>
              <w:rPr>
                <w:rFonts w:cs="宋体"/>
                <w:b/>
                <w:color w:val="auto"/>
                <w:szCs w:val="21"/>
              </w:rPr>
            </w:pPr>
            <w:r>
              <w:rPr>
                <w:rFonts w:hint="eastAsia" w:cs="宋体"/>
                <w:b/>
                <w:color w:val="auto"/>
                <w:szCs w:val="21"/>
              </w:rPr>
              <w:t>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center"/>
          </w:tcPr>
          <w:p>
            <w:pPr>
              <w:spacing w:line="400" w:lineRule="exact"/>
              <w:ind w:firstLine="0" w:firstLineChars="0"/>
              <w:jc w:val="center"/>
              <w:rPr>
                <w:rFonts w:cs="宋体"/>
                <w:color w:val="auto"/>
                <w:szCs w:val="21"/>
              </w:rPr>
            </w:pPr>
            <w:r>
              <w:rPr>
                <w:rFonts w:hint="eastAsia" w:cs="宋体"/>
                <w:color w:val="auto"/>
                <w:szCs w:val="21"/>
              </w:rPr>
              <w:t>1</w:t>
            </w:r>
          </w:p>
        </w:tc>
        <w:tc>
          <w:tcPr>
            <w:tcW w:w="2174" w:type="dxa"/>
            <w:vAlign w:val="center"/>
          </w:tcPr>
          <w:p>
            <w:pPr>
              <w:spacing w:line="400" w:lineRule="exact"/>
              <w:ind w:firstLine="0" w:firstLineChars="0"/>
              <w:jc w:val="center"/>
              <w:rPr>
                <w:rFonts w:cs="宋体"/>
                <w:color w:val="auto"/>
                <w:szCs w:val="21"/>
              </w:rPr>
            </w:pPr>
            <w:r>
              <w:rPr>
                <w:rFonts w:hint="eastAsia" w:cs="宋体"/>
                <w:color w:val="auto"/>
                <w:szCs w:val="21"/>
              </w:rPr>
              <w:t>投标文件的签署盖章</w:t>
            </w:r>
          </w:p>
        </w:tc>
        <w:tc>
          <w:tcPr>
            <w:tcW w:w="6521" w:type="dxa"/>
            <w:vAlign w:val="center"/>
          </w:tcPr>
          <w:p>
            <w:pPr>
              <w:spacing w:line="400" w:lineRule="exact"/>
              <w:ind w:firstLine="0" w:firstLineChars="0"/>
              <w:rPr>
                <w:rFonts w:cs="宋体"/>
                <w:color w:val="auto"/>
                <w:szCs w:val="21"/>
              </w:rPr>
            </w:pPr>
            <w:r>
              <w:rPr>
                <w:rFonts w:hint="eastAsia" w:cs="宋体"/>
                <w:color w:val="auto"/>
              </w:rPr>
              <w:t>按采购文件规定签字或盖章的</w:t>
            </w:r>
            <w:r>
              <w:rPr>
                <w:rFonts w:hint="eastAsia" w:cs="宋体"/>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20" w:type="dxa"/>
            <w:vAlign w:val="center"/>
          </w:tcPr>
          <w:p>
            <w:pPr>
              <w:spacing w:line="400" w:lineRule="exact"/>
              <w:ind w:firstLine="0" w:firstLineChars="0"/>
              <w:jc w:val="center"/>
              <w:rPr>
                <w:rFonts w:cs="宋体"/>
                <w:color w:val="auto"/>
                <w:szCs w:val="21"/>
              </w:rPr>
            </w:pPr>
            <w:r>
              <w:rPr>
                <w:rFonts w:hint="eastAsia" w:cs="宋体"/>
                <w:color w:val="auto"/>
                <w:szCs w:val="21"/>
              </w:rPr>
              <w:t>2</w:t>
            </w:r>
          </w:p>
        </w:tc>
        <w:tc>
          <w:tcPr>
            <w:tcW w:w="2174" w:type="dxa"/>
            <w:vAlign w:val="center"/>
          </w:tcPr>
          <w:p>
            <w:pPr>
              <w:spacing w:line="400" w:lineRule="exact"/>
              <w:ind w:firstLine="0" w:firstLineChars="0"/>
              <w:jc w:val="center"/>
              <w:rPr>
                <w:rFonts w:cs="宋体"/>
                <w:color w:val="auto"/>
                <w:szCs w:val="21"/>
              </w:rPr>
            </w:pPr>
            <w:r>
              <w:rPr>
                <w:rFonts w:hint="eastAsia" w:cs="宋体"/>
                <w:color w:val="auto"/>
              </w:rPr>
              <w:t>实质性条款响应</w:t>
            </w:r>
          </w:p>
        </w:tc>
        <w:tc>
          <w:tcPr>
            <w:tcW w:w="6521" w:type="dxa"/>
            <w:vAlign w:val="center"/>
          </w:tcPr>
          <w:p>
            <w:pPr>
              <w:ind w:firstLine="0" w:firstLineChars="0"/>
              <w:rPr>
                <w:rFonts w:cs="宋体"/>
                <w:color w:val="auto"/>
                <w:szCs w:val="21"/>
              </w:rPr>
            </w:pPr>
            <w:r>
              <w:rPr>
                <w:rFonts w:hint="eastAsia" w:cs="宋体"/>
                <w:color w:val="auto"/>
              </w:rPr>
              <w:t>投标文件完全满足招标文件的实质性条款（即标注</w:t>
            </w:r>
            <w:r>
              <w:rPr>
                <w:rFonts w:hint="eastAsia" w:cs="宋体"/>
                <w:color w:val="auto"/>
                <w:szCs w:val="21"/>
              </w:rPr>
              <w:t>▲</w:t>
            </w:r>
            <w:r>
              <w:rPr>
                <w:rFonts w:hint="eastAsia" w:cs="宋体"/>
                <w:color w:val="auto"/>
              </w:rPr>
              <w:t>号条款）无负偏离的。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center"/>
          </w:tcPr>
          <w:p>
            <w:pPr>
              <w:spacing w:line="400" w:lineRule="exact"/>
              <w:ind w:firstLine="0" w:firstLineChars="0"/>
              <w:jc w:val="center"/>
              <w:rPr>
                <w:rFonts w:cs="宋体"/>
                <w:color w:val="auto"/>
                <w:szCs w:val="21"/>
              </w:rPr>
            </w:pPr>
            <w:r>
              <w:rPr>
                <w:rFonts w:hint="eastAsia" w:cs="宋体"/>
                <w:color w:val="auto"/>
                <w:szCs w:val="21"/>
              </w:rPr>
              <w:t>3</w:t>
            </w:r>
          </w:p>
        </w:tc>
        <w:tc>
          <w:tcPr>
            <w:tcW w:w="2174" w:type="dxa"/>
            <w:vAlign w:val="center"/>
          </w:tcPr>
          <w:p>
            <w:pPr>
              <w:spacing w:line="400" w:lineRule="exact"/>
              <w:ind w:firstLine="0" w:firstLineChars="0"/>
              <w:jc w:val="center"/>
              <w:rPr>
                <w:rFonts w:cs="宋体"/>
                <w:color w:val="auto"/>
                <w:szCs w:val="21"/>
              </w:rPr>
            </w:pPr>
            <w:r>
              <w:rPr>
                <w:rFonts w:hint="eastAsia" w:cs="宋体"/>
                <w:color w:val="auto"/>
              </w:rPr>
              <w:t>法定代表人</w:t>
            </w:r>
            <w:r>
              <w:rPr>
                <w:rFonts w:hint="eastAsia" w:cs="宋体"/>
                <w:color w:val="auto"/>
                <w:szCs w:val="21"/>
              </w:rPr>
              <w:t>授权书</w:t>
            </w:r>
          </w:p>
        </w:tc>
        <w:tc>
          <w:tcPr>
            <w:tcW w:w="6521" w:type="dxa"/>
            <w:vAlign w:val="center"/>
          </w:tcPr>
          <w:p>
            <w:pPr>
              <w:ind w:firstLine="0" w:firstLineChars="0"/>
              <w:rPr>
                <w:rFonts w:cs="宋体"/>
                <w:color w:val="auto"/>
                <w:szCs w:val="21"/>
              </w:rPr>
            </w:pPr>
            <w:r>
              <w:rPr>
                <w:rFonts w:hint="eastAsia" w:cs="宋体"/>
                <w:color w:val="auto"/>
              </w:rPr>
              <w:t>提供有效的法定代表人证明书/法定代表人授权委托书。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06" w:hRule="atLeast"/>
          <w:jc w:val="center"/>
        </w:trPr>
        <w:tc>
          <w:tcPr>
            <w:tcW w:w="720" w:type="dxa"/>
            <w:vAlign w:val="center"/>
          </w:tcPr>
          <w:p>
            <w:pPr>
              <w:spacing w:line="400" w:lineRule="exact"/>
              <w:ind w:firstLine="0" w:firstLineChars="0"/>
              <w:jc w:val="center"/>
              <w:rPr>
                <w:rFonts w:cs="宋体"/>
                <w:color w:val="auto"/>
                <w:szCs w:val="21"/>
              </w:rPr>
            </w:pPr>
            <w:r>
              <w:rPr>
                <w:rFonts w:hint="eastAsia" w:cs="宋体"/>
                <w:color w:val="auto"/>
                <w:szCs w:val="21"/>
              </w:rPr>
              <w:t>4</w:t>
            </w:r>
          </w:p>
        </w:tc>
        <w:tc>
          <w:tcPr>
            <w:tcW w:w="2174" w:type="dxa"/>
            <w:vAlign w:val="center"/>
          </w:tcPr>
          <w:p>
            <w:pPr>
              <w:spacing w:line="400" w:lineRule="exact"/>
              <w:ind w:firstLine="0" w:firstLineChars="0"/>
              <w:jc w:val="center"/>
              <w:rPr>
                <w:rFonts w:cs="宋体"/>
                <w:color w:val="auto"/>
                <w:szCs w:val="21"/>
              </w:rPr>
            </w:pPr>
            <w:r>
              <w:rPr>
                <w:rFonts w:hint="eastAsia" w:cs="宋体"/>
                <w:color w:val="auto"/>
                <w:szCs w:val="21"/>
              </w:rPr>
              <w:t>无效条款</w:t>
            </w:r>
          </w:p>
        </w:tc>
        <w:tc>
          <w:tcPr>
            <w:tcW w:w="6521" w:type="dxa"/>
            <w:vAlign w:val="center"/>
          </w:tcPr>
          <w:p>
            <w:pPr>
              <w:ind w:firstLine="0" w:firstLineChars="0"/>
              <w:rPr>
                <w:rFonts w:cs="宋体"/>
                <w:color w:val="auto"/>
                <w:szCs w:val="21"/>
              </w:rPr>
            </w:pPr>
            <w:r>
              <w:rPr>
                <w:rFonts w:hint="eastAsia" w:cs="宋体"/>
                <w:color w:val="auto"/>
              </w:rPr>
              <w:t>投标文件没有招标文件中规定的其它无效投标条款的。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center"/>
          </w:tcPr>
          <w:p>
            <w:pPr>
              <w:spacing w:line="400" w:lineRule="exact"/>
              <w:ind w:firstLine="0" w:firstLineChars="0"/>
              <w:jc w:val="center"/>
              <w:rPr>
                <w:rFonts w:cs="宋体"/>
                <w:color w:val="auto"/>
                <w:szCs w:val="21"/>
              </w:rPr>
            </w:pPr>
            <w:r>
              <w:rPr>
                <w:rFonts w:hint="eastAsia" w:cs="宋体"/>
                <w:color w:val="auto"/>
                <w:szCs w:val="21"/>
              </w:rPr>
              <w:t>5</w:t>
            </w:r>
          </w:p>
        </w:tc>
        <w:tc>
          <w:tcPr>
            <w:tcW w:w="2174" w:type="dxa"/>
            <w:vAlign w:val="center"/>
          </w:tcPr>
          <w:p>
            <w:pPr>
              <w:spacing w:line="400" w:lineRule="exact"/>
              <w:ind w:firstLine="0" w:firstLineChars="0"/>
              <w:jc w:val="center"/>
              <w:rPr>
                <w:rFonts w:cs="宋体"/>
                <w:color w:val="auto"/>
                <w:szCs w:val="21"/>
              </w:rPr>
            </w:pPr>
            <w:r>
              <w:rPr>
                <w:rFonts w:hint="eastAsia" w:cs="宋体"/>
                <w:color w:val="auto"/>
                <w:szCs w:val="21"/>
              </w:rPr>
              <w:t>其他</w:t>
            </w:r>
          </w:p>
        </w:tc>
        <w:tc>
          <w:tcPr>
            <w:tcW w:w="6521" w:type="dxa"/>
            <w:vAlign w:val="center"/>
          </w:tcPr>
          <w:p>
            <w:pPr>
              <w:ind w:firstLine="0" w:firstLineChars="0"/>
              <w:rPr>
                <w:rFonts w:cs="宋体"/>
                <w:color w:val="auto"/>
              </w:rPr>
            </w:pPr>
            <w:r>
              <w:rPr>
                <w:rFonts w:hint="eastAsia" w:cs="宋体"/>
                <w:color w:val="auto"/>
              </w:rPr>
              <w:t>投标供应商无虚假应标、串通投标的情形。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720" w:type="dxa"/>
            <w:vAlign w:val="center"/>
          </w:tcPr>
          <w:p>
            <w:pPr>
              <w:spacing w:line="400" w:lineRule="exact"/>
              <w:ind w:firstLine="0" w:firstLineChars="0"/>
              <w:jc w:val="center"/>
              <w:rPr>
                <w:rFonts w:cs="宋体"/>
                <w:color w:val="auto"/>
                <w:szCs w:val="21"/>
              </w:rPr>
            </w:pPr>
            <w:r>
              <w:rPr>
                <w:rFonts w:hint="eastAsia" w:cs="宋体"/>
                <w:color w:val="auto"/>
                <w:szCs w:val="21"/>
              </w:rPr>
              <w:t>6</w:t>
            </w:r>
          </w:p>
        </w:tc>
        <w:tc>
          <w:tcPr>
            <w:tcW w:w="2174" w:type="dxa"/>
            <w:vAlign w:val="center"/>
          </w:tcPr>
          <w:p>
            <w:pPr>
              <w:spacing w:line="400" w:lineRule="exact"/>
              <w:ind w:firstLine="0" w:firstLineChars="0"/>
              <w:jc w:val="center"/>
              <w:rPr>
                <w:rFonts w:cs="宋体"/>
                <w:color w:val="auto"/>
                <w:szCs w:val="21"/>
              </w:rPr>
            </w:pPr>
            <w:r>
              <w:rPr>
                <w:rFonts w:hint="eastAsia" w:cs="宋体"/>
                <w:color w:val="auto"/>
                <w:szCs w:val="21"/>
              </w:rPr>
              <w:t>其他</w:t>
            </w:r>
          </w:p>
        </w:tc>
        <w:tc>
          <w:tcPr>
            <w:tcW w:w="6521" w:type="dxa"/>
            <w:vAlign w:val="center"/>
          </w:tcPr>
          <w:p>
            <w:pPr>
              <w:ind w:firstLine="0" w:firstLineChars="0"/>
              <w:rPr>
                <w:rFonts w:cs="宋体"/>
                <w:color w:val="auto"/>
                <w:szCs w:val="21"/>
              </w:rPr>
            </w:pPr>
            <w:r>
              <w:rPr>
                <w:rFonts w:hint="eastAsia" w:cs="宋体"/>
                <w:color w:val="auto"/>
              </w:rPr>
              <w:t>按有关法律、法规、规章不属于投标无效的。</w:t>
            </w:r>
          </w:p>
        </w:tc>
      </w:tr>
    </w:tbl>
    <w:p>
      <w:pPr>
        <w:pStyle w:val="2"/>
        <w:tabs>
          <w:tab w:val="left" w:pos="0"/>
          <w:tab w:val="left" w:pos="1260"/>
          <w:tab w:val="left" w:pos="1365"/>
        </w:tabs>
        <w:ind w:firstLine="482"/>
        <w:rPr>
          <w:rFonts w:cs="宋体"/>
          <w:color w:val="auto"/>
        </w:rPr>
      </w:pPr>
      <w:r>
        <w:rPr>
          <w:rFonts w:hint="eastAsia" w:cs="宋体"/>
          <w:b/>
          <w:color w:val="auto"/>
        </w:rPr>
        <w:t>注：1、上述审查项目中，任意一项不符合的，符合性审查不合格。</w:t>
      </w:r>
    </w:p>
    <w:p>
      <w:pPr>
        <w:spacing w:line="500" w:lineRule="exact"/>
        <w:ind w:firstLine="482"/>
        <w:rPr>
          <w:rFonts w:cs="宋体"/>
          <w:b/>
          <w:color w:val="auto"/>
        </w:rPr>
      </w:pPr>
      <w:r>
        <w:rPr>
          <w:rFonts w:hint="eastAsia" w:cs="宋体"/>
          <w:b/>
          <w:color w:val="auto"/>
        </w:rPr>
        <w:t>附表3：</w:t>
      </w:r>
    </w:p>
    <w:p>
      <w:pPr>
        <w:ind w:firstLine="482"/>
        <w:rPr>
          <w:rFonts w:cs="宋体"/>
          <w:b/>
          <w:bCs/>
          <w:color w:val="auto"/>
        </w:rPr>
      </w:pPr>
      <w:r>
        <w:rPr>
          <w:rFonts w:hint="eastAsia" w:cs="宋体"/>
          <w:b/>
          <w:bCs/>
          <w:color w:val="auto"/>
        </w:rPr>
        <w:t>1.投标人如为小型或微型企业并提交相关证明材料且所投产品为小型或微型企业制造的，其小型或微型企业部分的投标报价扣除6%后参与评审；</w:t>
      </w:r>
    </w:p>
    <w:p>
      <w:pPr>
        <w:ind w:firstLine="482"/>
        <w:rPr>
          <w:rFonts w:cs="宋体"/>
          <w:b/>
          <w:bCs/>
          <w:color w:val="auto"/>
        </w:rPr>
      </w:pPr>
      <w:r>
        <w:rPr>
          <w:rFonts w:hint="eastAsia" w:cs="宋体"/>
          <w:b/>
          <w:bCs/>
          <w:color w:val="auto"/>
        </w:rPr>
        <w:t>2.投标人如为监狱企业并提交相关证明材料且所投产品为小型或微型企业制造的，其小型或微型企业部分的投标报价扣除6%后参与评审；</w:t>
      </w:r>
    </w:p>
    <w:p>
      <w:pPr>
        <w:ind w:firstLine="482"/>
        <w:rPr>
          <w:rFonts w:cs="宋体"/>
          <w:b/>
          <w:bCs/>
          <w:color w:val="auto"/>
        </w:rPr>
      </w:pPr>
      <w:r>
        <w:rPr>
          <w:rFonts w:hint="eastAsia" w:cs="宋体"/>
          <w:b/>
          <w:bCs/>
          <w:color w:val="auto"/>
        </w:rPr>
        <w:t>3.投标人如为残疾人福利性单位并提交《残疾人福利性单位声明函》且所投产品为本企业或其他残疾人福利性单位制造的，其残疾人福利性单位部分的投标报价扣除6%后参与评审；</w:t>
      </w:r>
    </w:p>
    <w:p>
      <w:pPr>
        <w:ind w:firstLine="482"/>
        <w:rPr>
          <w:rFonts w:cs="宋体"/>
          <w:b/>
          <w:bCs/>
          <w:color w:val="auto"/>
        </w:rPr>
      </w:pPr>
      <w:r>
        <w:rPr>
          <w:rFonts w:hint="eastAsia" w:cs="宋体"/>
          <w:b/>
          <w:bCs/>
          <w:color w:val="auto"/>
        </w:rPr>
        <w:t>4.残疾人福利性单位属于小型、微型企业的，不重复享受政策。</w:t>
      </w:r>
    </w:p>
    <w:bookmarkEnd w:id="137"/>
    <w:bookmarkEnd w:id="138"/>
    <w:bookmarkEnd w:id="139"/>
    <w:p>
      <w:pPr>
        <w:spacing w:before="120" w:beforeLines="50" w:after="120" w:afterLines="50"/>
        <w:ind w:firstLine="472" w:firstLineChars="196"/>
        <w:rPr>
          <w:rFonts w:cs="宋体"/>
          <w:b/>
          <w:bCs/>
          <w:color w:val="auto"/>
        </w:rPr>
      </w:pPr>
      <w:r>
        <w:rPr>
          <w:rFonts w:hint="eastAsia" w:cs="宋体"/>
          <w:b/>
          <w:color w:val="auto"/>
        </w:rPr>
        <w:t>（一）资信及商务部分（</w:t>
      </w:r>
      <w:r>
        <w:rPr>
          <w:rFonts w:hint="eastAsia" w:cs="宋体"/>
          <w:b/>
          <w:color w:val="auto"/>
          <w:u w:val="single"/>
        </w:rPr>
        <w:t>6</w:t>
      </w:r>
      <w:r>
        <w:rPr>
          <w:rFonts w:hint="eastAsia" w:cs="宋体"/>
          <w:b/>
          <w:color w:val="auto"/>
        </w:rPr>
        <w:t>分）</w:t>
      </w:r>
    </w:p>
    <w:tbl>
      <w:tblPr>
        <w:tblStyle w:val="46"/>
        <w:tblW w:w="9288" w:type="dxa"/>
        <w:tblInd w:w="33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7572"/>
        <w:gridCol w:w="8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7" w:hRule="atLeast"/>
        </w:trPr>
        <w:tc>
          <w:tcPr>
            <w:tcW w:w="889"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bCs/>
                <w:color w:val="auto"/>
                <w:spacing w:val="-6"/>
              </w:rPr>
            </w:pPr>
            <w:r>
              <w:rPr>
                <w:rFonts w:hint="eastAsia" w:cs="宋体"/>
                <w:bCs/>
                <w:color w:val="auto"/>
                <w:spacing w:val="-6"/>
              </w:rPr>
              <w:t>序号</w:t>
            </w:r>
          </w:p>
        </w:tc>
        <w:tc>
          <w:tcPr>
            <w:tcW w:w="7572"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bCs/>
                <w:color w:val="auto"/>
                <w:spacing w:val="-6"/>
              </w:rPr>
            </w:pPr>
            <w:r>
              <w:rPr>
                <w:rFonts w:hint="eastAsia" w:cs="宋体"/>
                <w:bCs/>
                <w:color w:val="auto"/>
                <w:spacing w:val="-6"/>
              </w:rPr>
              <w:t>评审项目和评审标准</w:t>
            </w:r>
          </w:p>
        </w:tc>
        <w:tc>
          <w:tcPr>
            <w:tcW w:w="827"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bCs/>
                <w:color w:val="auto"/>
                <w:spacing w:val="-6"/>
              </w:rPr>
            </w:pPr>
            <w:r>
              <w:rPr>
                <w:rFonts w:hint="eastAsia" w:cs="宋体"/>
                <w:bCs/>
                <w:color w:val="auto"/>
                <w:spacing w:val="-6"/>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889"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bCs/>
                <w:color w:val="auto"/>
                <w:spacing w:val="-6"/>
              </w:rPr>
            </w:pPr>
            <w:r>
              <w:rPr>
                <w:rFonts w:hint="eastAsia" w:cs="宋体"/>
                <w:bCs/>
                <w:color w:val="auto"/>
                <w:spacing w:val="-6"/>
              </w:rPr>
              <w:t>1</w:t>
            </w:r>
          </w:p>
        </w:tc>
        <w:tc>
          <w:tcPr>
            <w:tcW w:w="7572" w:type="dxa"/>
            <w:tcBorders>
              <w:top w:val="single" w:color="auto" w:sz="4" w:space="0"/>
              <w:left w:val="single" w:color="auto" w:sz="4" w:space="0"/>
              <w:bottom w:val="single" w:color="auto" w:sz="4" w:space="0"/>
              <w:right w:val="single" w:color="auto" w:sz="4" w:space="0"/>
            </w:tcBorders>
            <w:vAlign w:val="center"/>
          </w:tcPr>
          <w:p>
            <w:pPr>
              <w:ind w:firstLine="0" w:firstLineChars="0"/>
              <w:rPr>
                <w:rFonts w:cs="宋体"/>
                <w:bCs/>
                <w:color w:val="auto"/>
                <w:spacing w:val="-6"/>
              </w:rPr>
            </w:pPr>
            <w:r>
              <w:rPr>
                <w:rFonts w:hint="eastAsia" w:cs="宋体"/>
                <w:bCs/>
                <w:color w:val="auto"/>
                <w:spacing w:val="-6"/>
              </w:rPr>
              <w:t>2018年1月1日（以合同签订日期为准）以来，投标人具有核心产品或同类设备销售业绩的：每提供1个得1分，最高得6分。</w:t>
            </w:r>
          </w:p>
          <w:p>
            <w:pPr>
              <w:ind w:firstLine="0" w:firstLineChars="0"/>
              <w:rPr>
                <w:rFonts w:cs="宋体"/>
                <w:bCs/>
                <w:color w:val="auto"/>
                <w:spacing w:val="-6"/>
              </w:rPr>
            </w:pPr>
            <w:r>
              <w:rPr>
                <w:rFonts w:hint="eastAsia" w:cs="宋体"/>
                <w:bCs/>
                <w:color w:val="auto"/>
                <w:spacing w:val="-6"/>
              </w:rPr>
              <w:t>开标提供合同原件备查。</w:t>
            </w:r>
          </w:p>
        </w:tc>
        <w:tc>
          <w:tcPr>
            <w:tcW w:w="827"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bCs/>
                <w:color w:val="auto"/>
                <w:spacing w:val="-6"/>
              </w:rPr>
            </w:pPr>
            <w:r>
              <w:rPr>
                <w:rFonts w:hint="eastAsia" w:cs="宋体"/>
                <w:bCs/>
                <w:color w:val="auto"/>
                <w:spacing w:val="-6"/>
              </w:rPr>
              <w:t>6</w:t>
            </w:r>
          </w:p>
        </w:tc>
      </w:tr>
    </w:tbl>
    <w:p>
      <w:pPr>
        <w:spacing w:before="120" w:beforeLines="50" w:after="120" w:afterLines="50"/>
        <w:ind w:firstLine="472" w:firstLineChars="196"/>
        <w:rPr>
          <w:rFonts w:cs="宋体"/>
          <w:b/>
          <w:color w:val="auto"/>
        </w:rPr>
      </w:pPr>
      <w:r>
        <w:rPr>
          <w:rFonts w:hint="eastAsia" w:cs="宋体"/>
          <w:b/>
          <w:bCs/>
          <w:color w:val="auto"/>
        </w:rPr>
        <w:t>（二）</w:t>
      </w:r>
      <w:r>
        <w:rPr>
          <w:rFonts w:hint="eastAsia" w:cs="宋体"/>
          <w:b/>
          <w:color w:val="auto"/>
        </w:rPr>
        <w:t>技术部分（</w:t>
      </w:r>
      <w:r>
        <w:rPr>
          <w:rFonts w:hint="eastAsia" w:cs="宋体"/>
          <w:b/>
          <w:color w:val="auto"/>
          <w:u w:val="single"/>
        </w:rPr>
        <w:t xml:space="preserve"> 64 </w:t>
      </w:r>
      <w:r>
        <w:rPr>
          <w:rFonts w:hint="eastAsia" w:cs="宋体"/>
          <w:b/>
          <w:color w:val="auto"/>
        </w:rPr>
        <w:t xml:space="preserve">分） </w:t>
      </w:r>
    </w:p>
    <w:tbl>
      <w:tblPr>
        <w:tblStyle w:val="46"/>
        <w:tblW w:w="928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389"/>
        <w:gridCol w:w="6232"/>
        <w:gridCol w:w="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序号</w:t>
            </w:r>
          </w:p>
        </w:tc>
        <w:tc>
          <w:tcPr>
            <w:tcW w:w="1389" w:type="dxa"/>
            <w:vAlign w:val="center"/>
          </w:tcPr>
          <w:p>
            <w:pPr>
              <w:ind w:firstLine="0" w:firstLineChars="0"/>
              <w:jc w:val="center"/>
              <w:rPr>
                <w:rFonts w:cs="宋体"/>
                <w:bCs/>
                <w:color w:val="auto"/>
                <w:spacing w:val="-6"/>
              </w:rPr>
            </w:pPr>
            <w:r>
              <w:rPr>
                <w:rFonts w:hint="eastAsia" w:cs="宋体"/>
                <w:bCs/>
                <w:color w:val="auto"/>
                <w:spacing w:val="-6"/>
              </w:rPr>
              <w:t>评审因素</w:t>
            </w:r>
          </w:p>
        </w:tc>
        <w:tc>
          <w:tcPr>
            <w:tcW w:w="6232" w:type="dxa"/>
            <w:vAlign w:val="center"/>
          </w:tcPr>
          <w:p>
            <w:pPr>
              <w:ind w:firstLine="0" w:firstLineChars="0"/>
              <w:jc w:val="center"/>
              <w:rPr>
                <w:rFonts w:cs="宋体"/>
                <w:bCs/>
                <w:color w:val="auto"/>
                <w:spacing w:val="-6"/>
              </w:rPr>
            </w:pPr>
            <w:r>
              <w:rPr>
                <w:rFonts w:hint="eastAsia" w:cs="宋体"/>
                <w:bCs/>
                <w:color w:val="auto"/>
                <w:spacing w:val="-6"/>
              </w:rPr>
              <w:t>评分细则</w:t>
            </w:r>
          </w:p>
        </w:tc>
        <w:tc>
          <w:tcPr>
            <w:tcW w:w="776" w:type="dxa"/>
            <w:vAlign w:val="center"/>
          </w:tcPr>
          <w:p>
            <w:pPr>
              <w:ind w:firstLine="0" w:firstLineChars="0"/>
              <w:jc w:val="center"/>
              <w:rPr>
                <w:rFonts w:cs="宋体"/>
                <w:bCs/>
                <w:color w:val="auto"/>
                <w:spacing w:val="-6"/>
              </w:rPr>
            </w:pPr>
            <w:r>
              <w:rPr>
                <w:rFonts w:hint="eastAsia" w:cs="宋体"/>
                <w:bCs/>
                <w:color w:val="auto"/>
                <w:spacing w:val="-6"/>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1</w:t>
            </w:r>
          </w:p>
        </w:tc>
        <w:tc>
          <w:tcPr>
            <w:tcW w:w="1389" w:type="dxa"/>
            <w:vAlign w:val="center"/>
          </w:tcPr>
          <w:p>
            <w:pPr>
              <w:ind w:firstLine="0" w:firstLineChars="0"/>
              <w:jc w:val="center"/>
              <w:rPr>
                <w:rFonts w:cs="宋体"/>
                <w:bCs/>
                <w:color w:val="auto"/>
                <w:spacing w:val="-6"/>
              </w:rPr>
            </w:pPr>
            <w:r>
              <w:rPr>
                <w:rFonts w:hint="eastAsia" w:cs="宋体"/>
                <w:bCs/>
                <w:color w:val="auto"/>
                <w:spacing w:val="-6"/>
              </w:rPr>
              <w:t>产品总体性能及质量水平</w:t>
            </w:r>
          </w:p>
        </w:tc>
        <w:tc>
          <w:tcPr>
            <w:tcW w:w="6232" w:type="dxa"/>
            <w:vAlign w:val="center"/>
          </w:tcPr>
          <w:p>
            <w:pPr>
              <w:ind w:firstLine="0" w:firstLineChars="0"/>
              <w:jc w:val="both"/>
              <w:rPr>
                <w:rFonts w:cs="宋体"/>
                <w:bCs/>
                <w:color w:val="auto"/>
                <w:spacing w:val="-6"/>
              </w:rPr>
            </w:pPr>
            <w:r>
              <w:rPr>
                <w:rFonts w:hint="eastAsia" w:cs="宋体"/>
                <w:bCs/>
                <w:color w:val="auto"/>
                <w:spacing w:val="-6"/>
              </w:rPr>
              <w:t>根据所供产品总体性能及质量水平进行评析：</w:t>
            </w:r>
          </w:p>
          <w:p>
            <w:pPr>
              <w:ind w:firstLine="0" w:firstLineChars="0"/>
              <w:jc w:val="both"/>
              <w:rPr>
                <w:rFonts w:cs="宋体"/>
                <w:bCs/>
                <w:color w:val="auto"/>
                <w:spacing w:val="-6"/>
              </w:rPr>
            </w:pPr>
            <w:r>
              <w:rPr>
                <w:rFonts w:hint="eastAsia" w:cs="宋体"/>
                <w:bCs/>
                <w:color w:val="auto"/>
                <w:spacing w:val="-6"/>
              </w:rPr>
              <w:t>所提供产品的主要技术、结构、性能、特点、操作说明和质量水平的描述详细，技术支持资料或证明文件完整、有效，能较好地反映产品的性能特点和质量状况，得7-10分；所提供产品的性能特点、质量水平等描述基本完整，得4-6分；所提供产品的性能特点、质量水平等完整性较差或未描述完整,得0-3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2</w:t>
            </w:r>
          </w:p>
        </w:tc>
        <w:tc>
          <w:tcPr>
            <w:tcW w:w="1389" w:type="dxa"/>
            <w:vAlign w:val="center"/>
          </w:tcPr>
          <w:p>
            <w:pPr>
              <w:ind w:firstLine="0" w:firstLineChars="0"/>
              <w:jc w:val="center"/>
              <w:rPr>
                <w:rFonts w:cs="宋体"/>
                <w:bCs/>
                <w:color w:val="auto"/>
                <w:spacing w:val="-6"/>
              </w:rPr>
            </w:pPr>
            <w:r>
              <w:rPr>
                <w:rFonts w:hint="eastAsia" w:cs="宋体"/>
                <w:bCs/>
                <w:color w:val="auto"/>
                <w:spacing w:val="-6"/>
              </w:rPr>
              <w:t>产品技术指标及功能响应（满足）程度</w:t>
            </w:r>
          </w:p>
        </w:tc>
        <w:tc>
          <w:tcPr>
            <w:tcW w:w="6232" w:type="dxa"/>
            <w:vAlign w:val="center"/>
          </w:tcPr>
          <w:p>
            <w:pPr>
              <w:ind w:firstLine="0" w:firstLineChars="0"/>
              <w:jc w:val="both"/>
              <w:rPr>
                <w:rFonts w:cs="宋体"/>
                <w:bCs/>
                <w:color w:val="auto"/>
                <w:spacing w:val="-6"/>
              </w:rPr>
            </w:pPr>
            <w:r>
              <w:rPr>
                <w:rFonts w:hint="eastAsia" w:cs="宋体"/>
                <w:bCs/>
                <w:color w:val="auto"/>
                <w:spacing w:val="-6"/>
              </w:rPr>
              <w:t>根据所供产品的技术指标及功能描述的详细程度及响应（满足）程度进行评析：</w:t>
            </w:r>
          </w:p>
          <w:p>
            <w:pPr>
              <w:ind w:firstLine="0" w:firstLineChars="0"/>
              <w:jc w:val="both"/>
              <w:rPr>
                <w:rFonts w:cs="宋体"/>
                <w:bCs/>
                <w:color w:val="auto"/>
                <w:spacing w:val="-6"/>
              </w:rPr>
            </w:pPr>
            <w:r>
              <w:rPr>
                <w:rFonts w:hint="eastAsia" w:cs="宋体"/>
                <w:bCs/>
                <w:color w:val="auto"/>
                <w:spacing w:val="-6"/>
              </w:rPr>
              <w:t>全部满足招标文件要求：得25分，正偏离不加分；</w:t>
            </w:r>
          </w:p>
          <w:p>
            <w:pPr>
              <w:ind w:firstLine="0" w:firstLineChars="0"/>
              <w:jc w:val="both"/>
              <w:rPr>
                <w:rFonts w:cs="宋体"/>
                <w:bCs/>
                <w:color w:val="auto"/>
                <w:spacing w:val="-6"/>
              </w:rPr>
            </w:pPr>
            <w:r>
              <w:rPr>
                <w:rFonts w:hint="eastAsia" w:cs="宋体"/>
                <w:bCs/>
                <w:color w:val="auto"/>
                <w:spacing w:val="-6"/>
              </w:rPr>
              <w:t>标注 “★”的重要技术指标（条款、参数）有偏离的，负偏离（功能、性能和技术指标低于招标内容及需求）项每项扣4分；扣完为止。</w:t>
            </w:r>
          </w:p>
          <w:p>
            <w:pPr>
              <w:ind w:firstLine="0" w:firstLineChars="0"/>
              <w:jc w:val="both"/>
              <w:rPr>
                <w:rFonts w:cs="宋体"/>
                <w:bCs/>
                <w:color w:val="auto"/>
                <w:spacing w:val="-6"/>
              </w:rPr>
            </w:pPr>
            <w:r>
              <w:rPr>
                <w:rFonts w:hint="eastAsia" w:cs="宋体"/>
                <w:bCs/>
                <w:color w:val="auto"/>
                <w:spacing w:val="-6"/>
              </w:rPr>
              <w:t>未标注“★”或“▲”的一般技术指标（条款、参数）有偏离的，负偏离（功能、性能和技术指标低于招标内容及需求）项每项扣1分；扣完为止。</w:t>
            </w:r>
          </w:p>
          <w:p>
            <w:pPr>
              <w:ind w:firstLine="0" w:firstLineChars="0"/>
              <w:jc w:val="both"/>
              <w:rPr>
                <w:rFonts w:cs="宋体"/>
                <w:bCs/>
                <w:color w:val="auto"/>
                <w:spacing w:val="-6"/>
              </w:rPr>
            </w:pPr>
            <w:r>
              <w:rPr>
                <w:rFonts w:hint="eastAsia" w:cs="宋体"/>
                <w:bCs/>
                <w:color w:val="auto"/>
                <w:spacing w:val="-6"/>
              </w:rPr>
              <w:t>注：(1)未满足招标文件标注“▲”的实质性要求（条款、参数）的，该供应商的投标文件将被视为无效。</w:t>
            </w:r>
          </w:p>
          <w:p>
            <w:pPr>
              <w:ind w:firstLine="0" w:firstLineChars="0"/>
              <w:jc w:val="both"/>
              <w:rPr>
                <w:rFonts w:cs="宋体"/>
                <w:bCs/>
                <w:color w:val="auto"/>
                <w:spacing w:val="-6"/>
              </w:rPr>
            </w:pPr>
            <w:r>
              <w:rPr>
                <w:rFonts w:hint="eastAsia" w:cs="宋体"/>
                <w:bCs/>
                <w:color w:val="auto"/>
                <w:spacing w:val="-6"/>
              </w:rPr>
              <w:t>(2)若技术偏离表技术要求中响应规格与技术资料不一致的，评审专家有权对其按技术资料中的参数进行评分。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95"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3</w:t>
            </w:r>
          </w:p>
        </w:tc>
        <w:tc>
          <w:tcPr>
            <w:tcW w:w="1389" w:type="dxa"/>
            <w:vAlign w:val="center"/>
          </w:tcPr>
          <w:p>
            <w:pPr>
              <w:ind w:firstLine="0" w:firstLineChars="0"/>
              <w:jc w:val="center"/>
              <w:rPr>
                <w:rFonts w:cs="宋体"/>
                <w:bCs/>
                <w:color w:val="auto"/>
                <w:spacing w:val="-6"/>
              </w:rPr>
            </w:pPr>
            <w:r>
              <w:rPr>
                <w:rFonts w:hint="eastAsia" w:cs="宋体"/>
                <w:bCs/>
                <w:color w:val="auto"/>
                <w:spacing w:val="-6"/>
              </w:rPr>
              <w:t>产品配置的先进性、完整性和适用性</w:t>
            </w:r>
          </w:p>
        </w:tc>
        <w:tc>
          <w:tcPr>
            <w:tcW w:w="6232" w:type="dxa"/>
            <w:vAlign w:val="center"/>
          </w:tcPr>
          <w:p>
            <w:pPr>
              <w:ind w:firstLine="0" w:firstLineChars="0"/>
              <w:jc w:val="both"/>
              <w:rPr>
                <w:rFonts w:cs="宋体"/>
                <w:bCs/>
                <w:color w:val="auto"/>
                <w:spacing w:val="-6"/>
              </w:rPr>
            </w:pPr>
            <w:r>
              <w:rPr>
                <w:rFonts w:hint="eastAsia" w:cs="宋体"/>
                <w:bCs/>
                <w:color w:val="auto"/>
                <w:spacing w:val="-6"/>
              </w:rPr>
              <w:t>根据所提供产品配置的先进性、完整性和适用性进行评析优：</w:t>
            </w:r>
          </w:p>
          <w:p>
            <w:pPr>
              <w:ind w:firstLine="0" w:firstLineChars="0"/>
              <w:jc w:val="both"/>
              <w:rPr>
                <w:rFonts w:cs="宋体"/>
                <w:bCs/>
                <w:color w:val="auto"/>
                <w:spacing w:val="-6"/>
              </w:rPr>
            </w:pPr>
            <w:r>
              <w:rPr>
                <w:rFonts w:hint="eastAsia" w:cs="宋体"/>
                <w:bCs/>
                <w:color w:val="auto"/>
                <w:spacing w:val="-6"/>
              </w:rPr>
              <w:t>所提供产品配置完整、技术先进，且完全能满足采购人的使用要求的，得5-6分；所提供产品配置基本完整、基本能满足采购人的使用要求的，得3-4分；所提供产品配置的完整性较差或未描述完整的，得0-2分。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4</w:t>
            </w:r>
          </w:p>
        </w:tc>
        <w:tc>
          <w:tcPr>
            <w:tcW w:w="1389" w:type="dxa"/>
            <w:vAlign w:val="center"/>
          </w:tcPr>
          <w:p>
            <w:pPr>
              <w:ind w:firstLine="0" w:firstLineChars="0"/>
              <w:jc w:val="center"/>
              <w:rPr>
                <w:rFonts w:cs="宋体"/>
                <w:bCs/>
                <w:color w:val="auto"/>
                <w:spacing w:val="-6"/>
              </w:rPr>
            </w:pPr>
            <w:r>
              <w:rPr>
                <w:rFonts w:hint="eastAsia" w:cs="宋体"/>
                <w:bCs/>
                <w:color w:val="auto"/>
                <w:spacing w:val="-6"/>
              </w:rPr>
              <w:t>产品的稳定性、可操作性和可维护性</w:t>
            </w:r>
          </w:p>
        </w:tc>
        <w:tc>
          <w:tcPr>
            <w:tcW w:w="6232" w:type="dxa"/>
            <w:vAlign w:val="center"/>
          </w:tcPr>
          <w:p>
            <w:pPr>
              <w:ind w:firstLine="0" w:firstLineChars="0"/>
              <w:jc w:val="both"/>
              <w:rPr>
                <w:rFonts w:cs="宋体"/>
                <w:bCs/>
                <w:color w:val="auto"/>
                <w:spacing w:val="-6"/>
              </w:rPr>
            </w:pPr>
            <w:r>
              <w:rPr>
                <w:rFonts w:hint="eastAsia" w:cs="宋体"/>
                <w:bCs/>
                <w:color w:val="auto"/>
                <w:spacing w:val="-6"/>
              </w:rPr>
              <w:t>根据所提供产品的稳定性、可操作性和可维护性进行评析：</w:t>
            </w:r>
          </w:p>
          <w:p>
            <w:pPr>
              <w:ind w:firstLine="0" w:firstLineChars="0"/>
              <w:jc w:val="both"/>
              <w:rPr>
                <w:rFonts w:cs="宋体"/>
                <w:bCs/>
                <w:color w:val="auto"/>
                <w:spacing w:val="-6"/>
              </w:rPr>
            </w:pPr>
            <w:r>
              <w:rPr>
                <w:rFonts w:hint="eastAsia" w:cs="宋体"/>
                <w:bCs/>
                <w:color w:val="auto"/>
                <w:spacing w:val="-6"/>
              </w:rPr>
              <w:t>所提供产品的稳定性好，可操作性强，维护简便，得5-6分；所提供产品的稳定性一般，可操作性一般，维护相对简便的，得3-4分；所提供产品的稳定性、可操作性和可维护性较差的，得0-2分。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5</w:t>
            </w:r>
          </w:p>
        </w:tc>
        <w:tc>
          <w:tcPr>
            <w:tcW w:w="1389" w:type="dxa"/>
            <w:vAlign w:val="center"/>
          </w:tcPr>
          <w:p>
            <w:pPr>
              <w:ind w:firstLine="0" w:firstLineChars="0"/>
              <w:jc w:val="center"/>
              <w:rPr>
                <w:rFonts w:cs="宋体"/>
                <w:bCs/>
                <w:color w:val="auto"/>
                <w:spacing w:val="-6"/>
              </w:rPr>
            </w:pPr>
            <w:r>
              <w:rPr>
                <w:rFonts w:hint="eastAsia" w:cs="宋体"/>
                <w:bCs/>
                <w:color w:val="auto"/>
                <w:spacing w:val="-6"/>
              </w:rPr>
              <w:t>安装、调试、验收计划及人员安排情况</w:t>
            </w:r>
          </w:p>
        </w:tc>
        <w:tc>
          <w:tcPr>
            <w:tcW w:w="6232" w:type="dxa"/>
            <w:vAlign w:val="center"/>
          </w:tcPr>
          <w:p>
            <w:pPr>
              <w:ind w:firstLine="0" w:firstLineChars="0"/>
              <w:jc w:val="both"/>
              <w:rPr>
                <w:rFonts w:cs="宋体"/>
                <w:bCs/>
                <w:color w:val="auto"/>
                <w:spacing w:val="-6"/>
              </w:rPr>
            </w:pPr>
            <w:r>
              <w:rPr>
                <w:rFonts w:hint="eastAsia" w:cs="宋体"/>
                <w:bCs/>
                <w:color w:val="auto"/>
                <w:spacing w:val="-6"/>
              </w:rPr>
              <w:t>根据供应商安装、调试、验收计划的完整性和合理性，以及拟派人员的经验能力情况进行评析：</w:t>
            </w:r>
          </w:p>
          <w:p>
            <w:pPr>
              <w:ind w:firstLine="0" w:firstLineChars="0"/>
              <w:jc w:val="both"/>
              <w:rPr>
                <w:rFonts w:cs="宋体"/>
                <w:bCs/>
                <w:color w:val="auto"/>
                <w:spacing w:val="-6"/>
              </w:rPr>
            </w:pPr>
            <w:r>
              <w:rPr>
                <w:rFonts w:hint="eastAsia" w:cs="宋体"/>
                <w:bCs/>
                <w:color w:val="auto"/>
                <w:spacing w:val="-6"/>
              </w:rPr>
              <w:t>供货、安装、调试计划科学、合理，拟派人员经验丰富、技术能力强得4-5分；供货、安装、调试计划基本合理，拟派人员具有一定的技术能力，得3-4分；供货、安装、调试计划及人员安排情况较差或未描述完整，得0-3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Merge w:val="restart"/>
            <w:vAlign w:val="center"/>
          </w:tcPr>
          <w:p>
            <w:pPr>
              <w:ind w:firstLine="0" w:firstLineChars="0"/>
              <w:jc w:val="center"/>
              <w:rPr>
                <w:rFonts w:cs="宋体"/>
                <w:bCs/>
                <w:color w:val="auto"/>
                <w:spacing w:val="-6"/>
              </w:rPr>
            </w:pPr>
            <w:r>
              <w:rPr>
                <w:rFonts w:hint="eastAsia" w:cs="宋体"/>
                <w:bCs/>
                <w:color w:val="auto"/>
                <w:spacing w:val="-6"/>
              </w:rPr>
              <w:t>6</w:t>
            </w:r>
          </w:p>
        </w:tc>
        <w:tc>
          <w:tcPr>
            <w:tcW w:w="1389" w:type="dxa"/>
            <w:vMerge w:val="restart"/>
            <w:vAlign w:val="center"/>
          </w:tcPr>
          <w:p>
            <w:pPr>
              <w:ind w:firstLine="0" w:firstLineChars="0"/>
              <w:jc w:val="center"/>
              <w:rPr>
                <w:rFonts w:cs="宋体"/>
                <w:bCs/>
                <w:color w:val="auto"/>
                <w:spacing w:val="-6"/>
              </w:rPr>
            </w:pPr>
            <w:r>
              <w:rPr>
                <w:rFonts w:hint="eastAsia" w:cs="宋体"/>
                <w:bCs/>
                <w:color w:val="auto"/>
                <w:spacing w:val="-6"/>
              </w:rPr>
              <w:t>售后服务</w:t>
            </w:r>
          </w:p>
        </w:tc>
        <w:tc>
          <w:tcPr>
            <w:tcW w:w="6232" w:type="dxa"/>
            <w:vAlign w:val="center"/>
          </w:tcPr>
          <w:p>
            <w:pPr>
              <w:ind w:firstLine="0" w:firstLineChars="0"/>
              <w:jc w:val="both"/>
              <w:rPr>
                <w:rFonts w:cs="宋体"/>
                <w:bCs/>
                <w:color w:val="auto"/>
                <w:spacing w:val="-6"/>
              </w:rPr>
            </w:pPr>
            <w:r>
              <w:rPr>
                <w:rFonts w:hint="eastAsia" w:cs="宋体"/>
                <w:bCs/>
                <w:color w:val="auto"/>
                <w:spacing w:val="-6"/>
              </w:rPr>
              <w:t>根据供应商及制造厂商提供的技术支持和售后服务方案（包括售后服务承诺和履约保证、售后服务范围、维修保养具体内容、具体服务标准等）的优劣评价。</w:t>
            </w:r>
          </w:p>
          <w:p>
            <w:pPr>
              <w:ind w:firstLine="0" w:firstLineChars="0"/>
              <w:jc w:val="both"/>
              <w:rPr>
                <w:rFonts w:cs="宋体"/>
                <w:bCs/>
                <w:color w:val="auto"/>
                <w:spacing w:val="-6"/>
              </w:rPr>
            </w:pPr>
            <w:r>
              <w:rPr>
                <w:rFonts w:hint="eastAsia" w:cs="宋体"/>
                <w:bCs/>
                <w:color w:val="auto"/>
                <w:spacing w:val="-6"/>
              </w:rPr>
              <w:t>技术支持和售后服务方案合理，承诺和保证措施完整，服务范围广，维修保养和服务标准阐述详细的，得2分；</w:t>
            </w:r>
          </w:p>
          <w:p>
            <w:pPr>
              <w:ind w:firstLine="0" w:firstLineChars="0"/>
              <w:jc w:val="both"/>
              <w:rPr>
                <w:rFonts w:cs="宋体"/>
                <w:bCs/>
                <w:color w:val="auto"/>
                <w:spacing w:val="-6"/>
              </w:rPr>
            </w:pPr>
            <w:r>
              <w:rPr>
                <w:rFonts w:hint="eastAsia" w:cs="宋体"/>
                <w:bCs/>
                <w:color w:val="auto"/>
                <w:spacing w:val="-6"/>
              </w:rPr>
              <w:t>技术支持和售后服务方案比较合理，有承诺和保证措施，服务范围较广，有关于维修保养和服务标准的阐述的，得1分；</w:t>
            </w:r>
          </w:p>
          <w:p>
            <w:pPr>
              <w:ind w:firstLine="0" w:firstLineChars="0"/>
              <w:jc w:val="both"/>
              <w:rPr>
                <w:rFonts w:cs="宋体"/>
                <w:bCs/>
                <w:color w:val="auto"/>
                <w:spacing w:val="-6"/>
              </w:rPr>
            </w:pPr>
            <w:r>
              <w:rPr>
                <w:rFonts w:hint="eastAsia" w:cs="宋体"/>
                <w:bCs/>
                <w:color w:val="auto"/>
                <w:spacing w:val="-6"/>
              </w:rPr>
              <w:t>技术支持和售后服务方案简单，或缺少和保证措施，或服务范围极少，或缺少关于维修保养和服务标准的阐述的，0.5分；未提供技术支持和售后服务方案的，或未描述的，得0分。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Merge w:val="continue"/>
            <w:vAlign w:val="center"/>
          </w:tcPr>
          <w:p>
            <w:pPr>
              <w:ind w:firstLine="0" w:firstLineChars="0"/>
              <w:jc w:val="center"/>
              <w:rPr>
                <w:rFonts w:cs="宋体"/>
                <w:bCs/>
                <w:color w:val="auto"/>
                <w:spacing w:val="-6"/>
              </w:rPr>
            </w:pPr>
          </w:p>
        </w:tc>
        <w:tc>
          <w:tcPr>
            <w:tcW w:w="1389" w:type="dxa"/>
            <w:vMerge w:val="continue"/>
            <w:vAlign w:val="center"/>
          </w:tcPr>
          <w:p>
            <w:pPr>
              <w:ind w:firstLine="0" w:firstLineChars="0"/>
              <w:jc w:val="center"/>
              <w:rPr>
                <w:rFonts w:cs="宋体"/>
                <w:bCs/>
                <w:color w:val="auto"/>
                <w:spacing w:val="-6"/>
              </w:rPr>
            </w:pPr>
          </w:p>
        </w:tc>
        <w:tc>
          <w:tcPr>
            <w:tcW w:w="6232" w:type="dxa"/>
            <w:vAlign w:val="center"/>
          </w:tcPr>
          <w:p>
            <w:pPr>
              <w:ind w:firstLine="0" w:firstLineChars="0"/>
              <w:jc w:val="both"/>
              <w:rPr>
                <w:rFonts w:cs="宋体"/>
                <w:bCs/>
                <w:color w:val="auto"/>
                <w:spacing w:val="-6"/>
              </w:rPr>
            </w:pPr>
            <w:r>
              <w:rPr>
                <w:rFonts w:hint="eastAsia" w:cs="宋体"/>
                <w:bCs/>
                <w:color w:val="auto"/>
                <w:spacing w:val="-6"/>
              </w:rPr>
              <w:t>根据售后服务机构的技术力量配备情况、培训计划、培训人员情况等的优劣评价。</w:t>
            </w:r>
          </w:p>
          <w:p>
            <w:pPr>
              <w:ind w:firstLine="0" w:firstLineChars="0"/>
              <w:jc w:val="both"/>
              <w:rPr>
                <w:rFonts w:cs="宋体"/>
                <w:bCs/>
                <w:color w:val="auto"/>
                <w:spacing w:val="-6"/>
              </w:rPr>
            </w:pPr>
            <w:r>
              <w:rPr>
                <w:rFonts w:hint="eastAsia" w:cs="宋体"/>
                <w:bCs/>
                <w:color w:val="auto"/>
                <w:spacing w:val="-6"/>
              </w:rPr>
              <w:t>售后服务机构的技术力量配备强，培训计划及人员安排详细合理的，得3分；售后服务机构的技术力量配备较好，有培训计划及人员安排的，得2分；售后服务机构的技术力量配备一般，或培训计划及人员安排简单的，得1分；无售后服务机构的技术力量配备，或无培训计划的，或未描述的，得0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Merge w:val="continue"/>
            <w:vAlign w:val="center"/>
          </w:tcPr>
          <w:p>
            <w:pPr>
              <w:ind w:firstLine="0" w:firstLineChars="0"/>
              <w:jc w:val="center"/>
              <w:rPr>
                <w:rFonts w:cs="宋体"/>
                <w:bCs/>
                <w:color w:val="auto"/>
                <w:spacing w:val="-6"/>
              </w:rPr>
            </w:pPr>
          </w:p>
        </w:tc>
        <w:tc>
          <w:tcPr>
            <w:tcW w:w="1389" w:type="dxa"/>
            <w:vMerge w:val="continue"/>
            <w:vAlign w:val="center"/>
          </w:tcPr>
          <w:p>
            <w:pPr>
              <w:ind w:firstLine="0" w:firstLineChars="0"/>
              <w:jc w:val="center"/>
              <w:rPr>
                <w:rFonts w:cs="宋体"/>
                <w:bCs/>
                <w:color w:val="auto"/>
                <w:spacing w:val="-6"/>
              </w:rPr>
            </w:pPr>
          </w:p>
        </w:tc>
        <w:tc>
          <w:tcPr>
            <w:tcW w:w="6232" w:type="dxa"/>
            <w:vAlign w:val="center"/>
          </w:tcPr>
          <w:p>
            <w:pPr>
              <w:ind w:firstLine="0" w:firstLineChars="0"/>
              <w:jc w:val="both"/>
              <w:rPr>
                <w:rFonts w:cs="宋体"/>
                <w:bCs/>
                <w:color w:val="auto"/>
                <w:spacing w:val="-6"/>
              </w:rPr>
            </w:pPr>
            <w:r>
              <w:rPr>
                <w:rFonts w:hint="eastAsia" w:cs="宋体"/>
                <w:bCs/>
                <w:color w:val="auto"/>
                <w:spacing w:val="-6"/>
              </w:rPr>
              <w:t>售后服务响应时间、故障修复时间，优劣比较评价。</w:t>
            </w:r>
          </w:p>
          <w:p>
            <w:pPr>
              <w:ind w:firstLine="0" w:firstLineChars="0"/>
              <w:jc w:val="both"/>
              <w:rPr>
                <w:rFonts w:cs="宋体"/>
                <w:bCs/>
                <w:color w:val="auto"/>
                <w:spacing w:val="-6"/>
              </w:rPr>
            </w:pPr>
            <w:r>
              <w:rPr>
                <w:rFonts w:hint="eastAsia" w:cs="宋体"/>
                <w:bCs/>
                <w:color w:val="auto"/>
                <w:spacing w:val="-6"/>
              </w:rPr>
              <w:t>优于采购文件要求的，得2分；</w:t>
            </w:r>
          </w:p>
          <w:p>
            <w:pPr>
              <w:ind w:firstLine="0" w:firstLineChars="0"/>
              <w:jc w:val="both"/>
              <w:rPr>
                <w:rFonts w:cs="宋体"/>
                <w:bCs/>
                <w:color w:val="auto"/>
                <w:spacing w:val="-6"/>
              </w:rPr>
            </w:pPr>
            <w:r>
              <w:rPr>
                <w:rFonts w:hint="eastAsia" w:cs="宋体"/>
                <w:bCs/>
                <w:color w:val="auto"/>
                <w:spacing w:val="-6"/>
              </w:rPr>
              <w:t>满足采购文件要求的，得1.5分；</w:t>
            </w:r>
          </w:p>
          <w:p>
            <w:pPr>
              <w:ind w:firstLine="0" w:firstLineChars="0"/>
              <w:jc w:val="both"/>
              <w:rPr>
                <w:rFonts w:cs="宋体"/>
                <w:bCs/>
                <w:color w:val="auto"/>
                <w:spacing w:val="-6"/>
              </w:rPr>
            </w:pPr>
            <w:r>
              <w:rPr>
                <w:rFonts w:hint="eastAsia" w:cs="宋体"/>
                <w:bCs/>
                <w:color w:val="auto"/>
                <w:spacing w:val="-6"/>
              </w:rPr>
              <w:t>部分偏离采购文件要求的，得1分；</w:t>
            </w:r>
          </w:p>
          <w:p>
            <w:pPr>
              <w:ind w:firstLine="0" w:firstLineChars="0"/>
              <w:jc w:val="both"/>
              <w:rPr>
                <w:rFonts w:cs="宋体"/>
                <w:bCs/>
                <w:color w:val="auto"/>
                <w:spacing w:val="-6"/>
              </w:rPr>
            </w:pPr>
            <w:r>
              <w:rPr>
                <w:rFonts w:hint="eastAsia" w:cs="宋体"/>
                <w:bCs/>
                <w:color w:val="auto"/>
                <w:spacing w:val="-6"/>
              </w:rPr>
              <w:t>完全偏离采购文件要求，或未进行相关承诺的，得0分。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7</w:t>
            </w:r>
          </w:p>
        </w:tc>
        <w:tc>
          <w:tcPr>
            <w:tcW w:w="1389" w:type="dxa"/>
            <w:vAlign w:val="center"/>
          </w:tcPr>
          <w:p>
            <w:pPr>
              <w:ind w:firstLine="0" w:firstLineChars="0"/>
              <w:jc w:val="center"/>
              <w:rPr>
                <w:rFonts w:cs="宋体"/>
                <w:bCs/>
                <w:color w:val="auto"/>
                <w:spacing w:val="-6"/>
              </w:rPr>
            </w:pPr>
            <w:r>
              <w:rPr>
                <w:rFonts w:hint="eastAsia" w:cs="宋体"/>
                <w:bCs/>
                <w:color w:val="auto"/>
                <w:spacing w:val="-6"/>
              </w:rPr>
              <w:t>优惠条件</w:t>
            </w:r>
          </w:p>
        </w:tc>
        <w:tc>
          <w:tcPr>
            <w:tcW w:w="6232" w:type="dxa"/>
            <w:vAlign w:val="center"/>
          </w:tcPr>
          <w:p>
            <w:pPr>
              <w:ind w:firstLine="0" w:firstLineChars="0"/>
              <w:jc w:val="both"/>
              <w:rPr>
                <w:rFonts w:cs="宋体"/>
                <w:bCs/>
                <w:color w:val="auto"/>
                <w:spacing w:val="-6"/>
              </w:rPr>
            </w:pPr>
            <w:r>
              <w:rPr>
                <w:rFonts w:hint="eastAsia" w:cs="宋体"/>
                <w:bCs/>
                <w:color w:val="auto"/>
                <w:spacing w:val="-6"/>
              </w:rPr>
              <w:t>其他优惠条件（包括增加产品功能、配置，质保期外重要部件维修、更换及易耗件价格等）：横向比较各种价格优惠情况、折扣率力度等，综合评析。</w:t>
            </w:r>
          </w:p>
          <w:p>
            <w:pPr>
              <w:ind w:firstLine="0" w:firstLineChars="0"/>
              <w:jc w:val="both"/>
              <w:rPr>
                <w:rFonts w:cs="宋体"/>
                <w:bCs/>
                <w:color w:val="auto"/>
                <w:spacing w:val="-6"/>
              </w:rPr>
            </w:pPr>
            <w:r>
              <w:rPr>
                <w:rFonts w:hint="eastAsia" w:cs="宋体"/>
                <w:bCs/>
                <w:color w:val="auto"/>
                <w:spacing w:val="-6"/>
              </w:rPr>
              <w:t>增加了产品的使用功能或大大提高产品配置、利于采购人日常使用的，且维修、更换及易耗件价格优惠程度高的，得3分；增加产品的使用功能或提高产品配置、比较利于采购人日常使用的，或维修、更换及易耗件价格比较优惠的，得2-2.5分；增加产品使用功能或有提高产品配置，但对采购人日常使用益处不大的，或维修、更换及易耗件价格优惠程度不高的，得1；未提供优惠条件的，得0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8</w:t>
            </w:r>
          </w:p>
        </w:tc>
        <w:tc>
          <w:tcPr>
            <w:tcW w:w="1389" w:type="dxa"/>
            <w:vAlign w:val="center"/>
          </w:tcPr>
          <w:p>
            <w:pPr>
              <w:ind w:firstLine="0" w:firstLineChars="0"/>
              <w:jc w:val="center"/>
              <w:rPr>
                <w:rFonts w:cs="宋体"/>
                <w:bCs/>
                <w:color w:val="auto"/>
                <w:spacing w:val="-6"/>
              </w:rPr>
            </w:pPr>
            <w:r>
              <w:rPr>
                <w:rFonts w:hint="eastAsia" w:cs="宋体"/>
                <w:bCs/>
                <w:color w:val="auto"/>
                <w:spacing w:val="-6"/>
              </w:rPr>
              <w:t>政策分</w:t>
            </w:r>
          </w:p>
        </w:tc>
        <w:tc>
          <w:tcPr>
            <w:tcW w:w="6232" w:type="dxa"/>
            <w:vAlign w:val="center"/>
          </w:tcPr>
          <w:p>
            <w:pPr>
              <w:ind w:firstLine="0" w:firstLineChars="0"/>
              <w:jc w:val="both"/>
              <w:rPr>
                <w:rFonts w:cs="宋体"/>
                <w:bCs/>
                <w:color w:val="auto"/>
                <w:spacing w:val="-6"/>
              </w:rPr>
            </w:pPr>
            <w:r>
              <w:rPr>
                <w:rFonts w:hint="eastAsia" w:cs="宋体"/>
                <w:bCs/>
                <w:color w:val="auto"/>
                <w:spacing w:val="-6"/>
              </w:rPr>
              <w:t>（1）投标产品列入财政部、发展改革委发布的节能产品品目清单的，提供国家市场监督管理总局公布的《参与实施政府采购节能产品认证机构名录》内的认证机构出具的、处于有效期之内的节能标志产品认证证书的，得0.5分。</w:t>
            </w:r>
          </w:p>
          <w:p>
            <w:pPr>
              <w:ind w:firstLine="0" w:firstLineChars="0"/>
              <w:jc w:val="both"/>
              <w:rPr>
                <w:rFonts w:cs="宋体"/>
                <w:bCs/>
                <w:color w:val="auto"/>
                <w:spacing w:val="-6"/>
              </w:rPr>
            </w:pPr>
            <w:r>
              <w:rPr>
                <w:rFonts w:hint="eastAsia" w:cs="宋体"/>
                <w:bCs/>
                <w:color w:val="auto"/>
                <w:spacing w:val="-6"/>
              </w:rPr>
              <w:t>（2）投标产品列入财政部、生态环境部发布的环境标志产品品目清单的，提供国家市场监督管理总局公布的《参与实施政府采购环境标志产品认证机构名录》内的认证机构出具的、处于有效期之内的环境标志产品认证证书，得0.5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891" w:type="dxa"/>
            <w:vAlign w:val="center"/>
          </w:tcPr>
          <w:p>
            <w:pPr>
              <w:ind w:firstLine="0" w:firstLineChars="0"/>
              <w:jc w:val="center"/>
              <w:rPr>
                <w:rFonts w:cs="宋体"/>
                <w:bCs/>
                <w:color w:val="auto"/>
                <w:spacing w:val="-6"/>
              </w:rPr>
            </w:pPr>
            <w:r>
              <w:rPr>
                <w:rFonts w:hint="eastAsia" w:cs="宋体"/>
                <w:bCs/>
                <w:color w:val="auto"/>
                <w:spacing w:val="-6"/>
              </w:rPr>
              <w:t>9</w:t>
            </w:r>
          </w:p>
        </w:tc>
        <w:tc>
          <w:tcPr>
            <w:tcW w:w="1389" w:type="dxa"/>
            <w:vAlign w:val="center"/>
          </w:tcPr>
          <w:p>
            <w:pPr>
              <w:ind w:firstLine="0" w:firstLineChars="0"/>
              <w:jc w:val="center"/>
              <w:rPr>
                <w:rFonts w:cs="宋体"/>
                <w:bCs/>
                <w:color w:val="auto"/>
                <w:spacing w:val="-6"/>
              </w:rPr>
            </w:pPr>
            <w:r>
              <w:rPr>
                <w:rFonts w:hint="eastAsia" w:cs="宋体"/>
                <w:bCs/>
                <w:color w:val="auto"/>
                <w:spacing w:val="-6"/>
              </w:rPr>
              <w:t>交货时间</w:t>
            </w:r>
          </w:p>
        </w:tc>
        <w:tc>
          <w:tcPr>
            <w:tcW w:w="6232" w:type="dxa"/>
            <w:vAlign w:val="center"/>
          </w:tcPr>
          <w:p>
            <w:pPr>
              <w:ind w:firstLine="0" w:firstLineChars="0"/>
              <w:jc w:val="both"/>
              <w:rPr>
                <w:rFonts w:cs="宋体"/>
                <w:bCs/>
                <w:color w:val="auto"/>
                <w:spacing w:val="-6"/>
              </w:rPr>
            </w:pPr>
            <w:r>
              <w:rPr>
                <w:rFonts w:hint="eastAsia" w:cs="宋体"/>
                <w:bCs/>
                <w:color w:val="auto"/>
                <w:spacing w:val="-6"/>
              </w:rPr>
              <w:t>交货时间满足或优于招标文件要求的得1分，不满足的得0分。</w:t>
            </w:r>
          </w:p>
        </w:tc>
        <w:tc>
          <w:tcPr>
            <w:tcW w:w="776" w:type="dxa"/>
            <w:vAlign w:val="center"/>
          </w:tcPr>
          <w:p>
            <w:pPr>
              <w:ind w:firstLine="0" w:firstLineChars="0"/>
              <w:jc w:val="center"/>
              <w:rPr>
                <w:rFonts w:cs="宋体"/>
                <w:bCs/>
                <w:color w:val="auto"/>
                <w:spacing w:val="-6"/>
              </w:rPr>
            </w:pPr>
            <w:r>
              <w:rPr>
                <w:rFonts w:hint="eastAsia" w:cs="宋体"/>
                <w:bCs/>
                <w:color w:val="auto"/>
                <w:spacing w:val="-6"/>
              </w:rPr>
              <w:t>1</w:t>
            </w:r>
          </w:p>
        </w:tc>
      </w:tr>
    </w:tbl>
    <w:p>
      <w:pPr>
        <w:pStyle w:val="3"/>
        <w:spacing w:beforeLines="50" w:after="120" w:afterLines="50" w:line="360" w:lineRule="auto"/>
        <w:ind w:firstLine="482" w:firstLineChars="200"/>
        <w:rPr>
          <w:rFonts w:cs="宋体"/>
          <w:b/>
          <w:bCs/>
          <w:color w:val="auto"/>
        </w:rPr>
      </w:pPr>
      <w:r>
        <w:rPr>
          <w:rFonts w:hint="eastAsia" w:cs="宋体"/>
          <w:b/>
          <w:color w:val="auto"/>
        </w:rPr>
        <w:t>（三</w:t>
      </w:r>
      <w:r>
        <w:rPr>
          <w:rFonts w:hint="eastAsia" w:cs="宋体"/>
          <w:b/>
          <w:bCs/>
          <w:color w:val="auto"/>
        </w:rPr>
        <w:t>）价格部分（ 30分）</w:t>
      </w:r>
    </w:p>
    <w:tbl>
      <w:tblPr>
        <w:tblStyle w:val="46"/>
        <w:tblW w:w="940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2"/>
        <w:gridCol w:w="7660"/>
        <w:gridCol w:w="7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72" w:type="dxa"/>
            <w:vAlign w:val="center"/>
          </w:tcPr>
          <w:p>
            <w:pPr>
              <w:ind w:firstLine="0" w:firstLineChars="0"/>
              <w:jc w:val="center"/>
              <w:rPr>
                <w:rFonts w:cs="宋体"/>
                <w:bCs/>
                <w:color w:val="auto"/>
                <w:spacing w:val="-6"/>
              </w:rPr>
            </w:pPr>
            <w:r>
              <w:rPr>
                <w:rFonts w:hint="eastAsia" w:cs="宋体"/>
                <w:bCs/>
                <w:color w:val="auto"/>
                <w:spacing w:val="-6"/>
              </w:rPr>
              <w:t>序号</w:t>
            </w:r>
          </w:p>
        </w:tc>
        <w:tc>
          <w:tcPr>
            <w:tcW w:w="7660" w:type="dxa"/>
            <w:vAlign w:val="center"/>
          </w:tcPr>
          <w:p>
            <w:pPr>
              <w:ind w:firstLine="0" w:firstLineChars="0"/>
              <w:jc w:val="center"/>
              <w:rPr>
                <w:rFonts w:cs="宋体"/>
                <w:bCs/>
                <w:color w:val="auto"/>
                <w:spacing w:val="-6"/>
              </w:rPr>
            </w:pPr>
            <w:r>
              <w:rPr>
                <w:rFonts w:hint="eastAsia" w:cs="宋体"/>
                <w:bCs/>
                <w:color w:val="auto"/>
                <w:spacing w:val="-6"/>
              </w:rPr>
              <w:t>评审项目和评审标准</w:t>
            </w:r>
          </w:p>
        </w:tc>
        <w:tc>
          <w:tcPr>
            <w:tcW w:w="776" w:type="dxa"/>
            <w:vAlign w:val="center"/>
          </w:tcPr>
          <w:p>
            <w:pPr>
              <w:ind w:firstLine="0" w:firstLineChars="0"/>
              <w:jc w:val="center"/>
              <w:rPr>
                <w:rFonts w:cs="宋体"/>
                <w:bCs/>
                <w:color w:val="auto"/>
                <w:spacing w:val="-6"/>
              </w:rPr>
            </w:pPr>
            <w:r>
              <w:rPr>
                <w:rFonts w:hint="eastAsia" w:cs="宋体"/>
                <w:bCs/>
                <w:color w:val="auto"/>
                <w:spacing w:val="-6"/>
              </w:rPr>
              <w:t>分值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jc w:val="center"/>
        </w:trPr>
        <w:tc>
          <w:tcPr>
            <w:tcW w:w="972" w:type="dxa"/>
            <w:vAlign w:val="center"/>
          </w:tcPr>
          <w:p>
            <w:pPr>
              <w:ind w:firstLine="0" w:firstLineChars="0"/>
              <w:jc w:val="center"/>
              <w:rPr>
                <w:rFonts w:cs="宋体"/>
                <w:bCs/>
                <w:color w:val="auto"/>
                <w:spacing w:val="-6"/>
              </w:rPr>
            </w:pPr>
            <w:r>
              <w:rPr>
                <w:rFonts w:hint="eastAsia" w:cs="宋体"/>
                <w:bCs/>
                <w:color w:val="auto"/>
                <w:spacing w:val="-6"/>
              </w:rPr>
              <w:t>1</w:t>
            </w:r>
          </w:p>
        </w:tc>
        <w:tc>
          <w:tcPr>
            <w:tcW w:w="7660" w:type="dxa"/>
            <w:vAlign w:val="center"/>
          </w:tcPr>
          <w:p>
            <w:pPr>
              <w:ind w:firstLine="0" w:firstLineChars="0"/>
              <w:jc w:val="both"/>
              <w:rPr>
                <w:rFonts w:cs="宋体"/>
                <w:bCs/>
                <w:color w:val="auto"/>
                <w:spacing w:val="-6"/>
              </w:rPr>
            </w:pPr>
            <w:r>
              <w:rPr>
                <w:rFonts w:hint="eastAsia" w:cs="宋体"/>
                <w:bCs/>
                <w:color w:val="auto"/>
                <w:spacing w:val="-6"/>
              </w:rPr>
              <w:t>有效投标报价的最低价作为评标基准价，其最低报价为满分；</w:t>
            </w:r>
          </w:p>
          <w:p>
            <w:pPr>
              <w:ind w:firstLine="0" w:firstLineChars="0"/>
              <w:jc w:val="both"/>
              <w:rPr>
                <w:rFonts w:cs="宋体"/>
                <w:bCs/>
                <w:color w:val="auto"/>
                <w:spacing w:val="-6"/>
              </w:rPr>
            </w:pPr>
            <w:r>
              <w:rPr>
                <w:rFonts w:hint="eastAsia" w:cs="宋体"/>
                <w:bCs/>
                <w:color w:val="auto"/>
                <w:spacing w:val="-6"/>
              </w:rPr>
              <w:t>其他供应商报价得分按照［投标报价得分=（评标基准价/投标报价）*价格权值*100］的计算公式计算；</w:t>
            </w:r>
          </w:p>
        </w:tc>
        <w:tc>
          <w:tcPr>
            <w:tcW w:w="776" w:type="dxa"/>
            <w:vAlign w:val="center"/>
          </w:tcPr>
          <w:p>
            <w:pPr>
              <w:ind w:firstLine="0" w:firstLineChars="0"/>
              <w:jc w:val="center"/>
              <w:rPr>
                <w:rFonts w:cs="宋体"/>
                <w:bCs/>
                <w:color w:val="auto"/>
                <w:spacing w:val="-6"/>
              </w:rPr>
            </w:pPr>
            <w:r>
              <w:rPr>
                <w:rFonts w:hint="eastAsia" w:cs="宋体"/>
                <w:bCs/>
                <w:color w:val="auto"/>
                <w:spacing w:val="-6"/>
              </w:rPr>
              <w:t>30</w:t>
            </w:r>
          </w:p>
        </w:tc>
      </w:tr>
    </w:tbl>
    <w:p>
      <w:pPr>
        <w:pStyle w:val="4"/>
        <w:rPr>
          <w:color w:val="auto"/>
        </w:rPr>
        <w:sectPr>
          <w:footerReference r:id="rId14" w:type="default"/>
          <w:pgSz w:w="11907" w:h="16840"/>
          <w:pgMar w:top="1440" w:right="1080" w:bottom="1440" w:left="1080" w:header="850" w:footer="992" w:gutter="0"/>
          <w:cols w:space="720" w:num="1"/>
          <w:docGrid w:linePitch="286" w:charSpace="0"/>
        </w:sectPr>
      </w:pPr>
    </w:p>
    <w:bookmarkEnd w:id="132"/>
    <w:bookmarkEnd w:id="133"/>
    <w:bookmarkEnd w:id="134"/>
    <w:p>
      <w:pPr>
        <w:pStyle w:val="4"/>
        <w:rPr>
          <w:rFonts w:cs="宋体"/>
          <w:color w:val="auto"/>
        </w:rPr>
      </w:pPr>
      <w:bookmarkStart w:id="140" w:name="_Toc28261"/>
      <w:bookmarkStart w:id="141" w:name="_Toc10616"/>
      <w:r>
        <w:rPr>
          <w:rFonts w:hint="eastAsia" w:cs="宋体"/>
          <w:color w:val="auto"/>
        </w:rPr>
        <w:t>第五章 合同格式</w:t>
      </w:r>
      <w:bookmarkEnd w:id="140"/>
      <w:bookmarkEnd w:id="141"/>
    </w:p>
    <w:p>
      <w:pPr>
        <w:pStyle w:val="22"/>
        <w:snapToGrid w:val="0"/>
        <w:spacing w:line="360" w:lineRule="auto"/>
        <w:jc w:val="center"/>
        <w:rPr>
          <w:rFonts w:hAnsi="宋体" w:cs="宋体"/>
          <w:b/>
          <w:color w:val="auto"/>
          <w:sz w:val="24"/>
          <w:szCs w:val="24"/>
        </w:rPr>
      </w:pPr>
      <w:bookmarkStart w:id="142" w:name="_Toc450840088"/>
      <w:r>
        <w:rPr>
          <w:rFonts w:hint="eastAsia" w:hAnsi="宋体" w:cs="宋体"/>
          <w:b/>
          <w:color w:val="auto"/>
          <w:sz w:val="24"/>
          <w:szCs w:val="24"/>
        </w:rPr>
        <w:t>（本合同为合同样稿，最终稿由甲乙双方协商后确定）</w:t>
      </w:r>
    </w:p>
    <w:p>
      <w:pPr>
        <w:pStyle w:val="22"/>
        <w:snapToGrid w:val="0"/>
        <w:spacing w:line="360" w:lineRule="auto"/>
        <w:jc w:val="center"/>
        <w:rPr>
          <w:rFonts w:hAnsi="宋体" w:cs="宋体"/>
          <w:b/>
          <w:color w:val="auto"/>
          <w:sz w:val="24"/>
          <w:szCs w:val="24"/>
        </w:rPr>
      </w:pPr>
      <w:r>
        <w:rPr>
          <w:rFonts w:hint="eastAsia" w:hAnsi="宋体" w:cs="宋体"/>
          <w:color w:val="auto"/>
          <w:sz w:val="24"/>
          <w:szCs w:val="24"/>
        </w:rPr>
        <w:t xml:space="preserve">                                      编号：</w:t>
      </w:r>
    </w:p>
    <w:p>
      <w:pPr>
        <w:ind w:firstLine="482"/>
        <w:rPr>
          <w:rFonts w:cs="宋体"/>
          <w:color w:val="auto"/>
          <w:u w:val="single"/>
        </w:rPr>
      </w:pPr>
      <w:r>
        <w:rPr>
          <w:rFonts w:hint="eastAsia" w:cs="宋体"/>
          <w:b/>
          <w:bCs/>
          <w:color w:val="auto"/>
        </w:rPr>
        <w:t>甲方</w:t>
      </w:r>
      <w:r>
        <w:rPr>
          <w:rFonts w:hint="eastAsia" w:cs="宋体"/>
          <w:color w:val="auto"/>
        </w:rPr>
        <w:t>（采购人）：</w:t>
      </w:r>
      <w:r>
        <w:rPr>
          <w:rFonts w:hint="eastAsia" w:cs="宋体"/>
          <w:color w:val="auto"/>
          <w:u w:val="single"/>
        </w:rPr>
        <w:t xml:space="preserve">                       </w:t>
      </w:r>
    </w:p>
    <w:p>
      <w:pPr>
        <w:ind w:firstLine="482"/>
        <w:rPr>
          <w:rFonts w:cs="宋体"/>
          <w:color w:val="auto"/>
        </w:rPr>
      </w:pPr>
      <w:r>
        <w:rPr>
          <w:rFonts w:hint="eastAsia" w:cs="宋体"/>
          <w:b/>
          <w:bCs/>
          <w:color w:val="auto"/>
        </w:rPr>
        <w:t>乙方</w:t>
      </w:r>
      <w:r>
        <w:rPr>
          <w:rFonts w:hint="eastAsia" w:cs="宋体"/>
          <w:color w:val="auto"/>
        </w:rPr>
        <w:t>（供应商）：</w:t>
      </w:r>
      <w:r>
        <w:rPr>
          <w:rFonts w:hint="eastAsia" w:cs="宋体"/>
          <w:color w:val="auto"/>
          <w:u w:val="single"/>
        </w:rPr>
        <w:t xml:space="preserve">                      </w:t>
      </w:r>
    </w:p>
    <w:p>
      <w:pPr>
        <w:ind w:firstLine="480"/>
        <w:rPr>
          <w:rFonts w:cs="宋体"/>
          <w:color w:val="auto"/>
        </w:rPr>
      </w:pPr>
      <w:r>
        <w:rPr>
          <w:rFonts w:hint="eastAsia" w:cs="宋体"/>
          <w:i/>
          <w:color w:val="auto"/>
          <w:u w:val="single"/>
        </w:rPr>
        <w:t>（采购人）</w:t>
      </w:r>
      <w:r>
        <w:rPr>
          <w:rFonts w:hint="eastAsia" w:cs="宋体"/>
          <w:color w:val="auto"/>
        </w:rPr>
        <w:t>经过公开招标，确定</w:t>
      </w:r>
      <w:r>
        <w:rPr>
          <w:rFonts w:hint="eastAsia" w:cs="宋体"/>
          <w:i/>
          <w:color w:val="auto"/>
          <w:u w:val="single"/>
        </w:rPr>
        <w:t>（中标供应商）</w:t>
      </w:r>
      <w:r>
        <w:rPr>
          <w:rFonts w:hint="eastAsia" w:cs="宋体"/>
          <w:color w:val="auto"/>
        </w:rPr>
        <w:t>为供货单位，经甲乙双方协商，达成以下条款。具体如下：</w:t>
      </w:r>
    </w:p>
    <w:p>
      <w:pPr>
        <w:ind w:firstLine="482"/>
        <w:rPr>
          <w:rFonts w:cs="宋体"/>
          <w:color w:val="auto"/>
        </w:rPr>
      </w:pPr>
      <w:r>
        <w:rPr>
          <w:rFonts w:hint="eastAsia" w:cs="宋体"/>
          <w:b/>
          <w:color w:val="auto"/>
        </w:rPr>
        <w:t>第一条</w:t>
      </w:r>
      <w:r>
        <w:rPr>
          <w:rFonts w:hint="eastAsia" w:cs="宋体"/>
          <w:color w:val="auto"/>
        </w:rPr>
        <w:t xml:space="preserve">  采购商品清单及合同价格  </w:t>
      </w:r>
    </w:p>
    <w:tbl>
      <w:tblPr>
        <w:tblStyle w:val="46"/>
        <w:tblW w:w="8791"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0"/>
        <w:gridCol w:w="1440"/>
        <w:gridCol w:w="2509"/>
        <w:gridCol w:w="900"/>
        <w:gridCol w:w="2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74" w:hRule="atLeast"/>
        </w:trPr>
        <w:tc>
          <w:tcPr>
            <w:tcW w:w="1440" w:type="dxa"/>
            <w:vAlign w:val="center"/>
          </w:tcPr>
          <w:p>
            <w:pPr>
              <w:pStyle w:val="22"/>
              <w:snapToGrid w:val="0"/>
              <w:spacing w:line="360" w:lineRule="auto"/>
              <w:jc w:val="center"/>
              <w:rPr>
                <w:rFonts w:hAnsi="宋体" w:cs="宋体"/>
                <w:color w:val="auto"/>
                <w:sz w:val="24"/>
                <w:szCs w:val="24"/>
              </w:rPr>
            </w:pPr>
            <w:r>
              <w:rPr>
                <w:rFonts w:hint="eastAsia" w:hAnsi="宋体" w:cs="宋体"/>
                <w:color w:val="auto"/>
                <w:sz w:val="24"/>
                <w:szCs w:val="24"/>
              </w:rPr>
              <w:t>使用单位</w:t>
            </w:r>
          </w:p>
        </w:tc>
        <w:tc>
          <w:tcPr>
            <w:tcW w:w="1440" w:type="dxa"/>
            <w:vAlign w:val="center"/>
          </w:tcPr>
          <w:p>
            <w:pPr>
              <w:pStyle w:val="22"/>
              <w:snapToGrid w:val="0"/>
              <w:spacing w:line="360" w:lineRule="auto"/>
              <w:jc w:val="center"/>
              <w:rPr>
                <w:rFonts w:hAnsi="宋体" w:cs="宋体"/>
                <w:color w:val="auto"/>
                <w:sz w:val="24"/>
                <w:szCs w:val="24"/>
              </w:rPr>
            </w:pPr>
            <w:r>
              <w:rPr>
                <w:rFonts w:hint="eastAsia" w:hAnsi="宋体" w:cs="宋体"/>
                <w:color w:val="auto"/>
                <w:sz w:val="24"/>
                <w:szCs w:val="24"/>
              </w:rPr>
              <w:t>商品名称</w:t>
            </w:r>
          </w:p>
        </w:tc>
        <w:tc>
          <w:tcPr>
            <w:tcW w:w="2509" w:type="dxa"/>
            <w:vAlign w:val="center"/>
          </w:tcPr>
          <w:p>
            <w:pPr>
              <w:pStyle w:val="22"/>
              <w:snapToGrid w:val="0"/>
              <w:spacing w:line="360" w:lineRule="auto"/>
              <w:jc w:val="center"/>
              <w:rPr>
                <w:rFonts w:hAnsi="宋体" w:cs="宋体"/>
                <w:color w:val="auto"/>
                <w:sz w:val="24"/>
                <w:szCs w:val="24"/>
              </w:rPr>
            </w:pPr>
            <w:r>
              <w:rPr>
                <w:rFonts w:hint="eastAsia" w:hAnsi="宋体" w:cs="宋体"/>
                <w:color w:val="auto"/>
                <w:sz w:val="24"/>
                <w:szCs w:val="24"/>
              </w:rPr>
              <w:t>配置要求</w:t>
            </w:r>
          </w:p>
        </w:tc>
        <w:tc>
          <w:tcPr>
            <w:tcW w:w="900" w:type="dxa"/>
            <w:vAlign w:val="center"/>
          </w:tcPr>
          <w:p>
            <w:pPr>
              <w:pStyle w:val="22"/>
              <w:snapToGrid w:val="0"/>
              <w:spacing w:line="360" w:lineRule="auto"/>
              <w:jc w:val="center"/>
              <w:rPr>
                <w:rFonts w:hAnsi="宋体" w:cs="宋体"/>
                <w:color w:val="auto"/>
                <w:sz w:val="24"/>
                <w:szCs w:val="24"/>
              </w:rPr>
            </w:pPr>
            <w:r>
              <w:rPr>
                <w:rFonts w:hint="eastAsia" w:hAnsi="宋体" w:cs="宋体"/>
                <w:color w:val="auto"/>
                <w:sz w:val="24"/>
                <w:szCs w:val="24"/>
              </w:rPr>
              <w:t>数量</w:t>
            </w:r>
          </w:p>
        </w:tc>
        <w:tc>
          <w:tcPr>
            <w:tcW w:w="2502" w:type="dxa"/>
            <w:vAlign w:val="center"/>
          </w:tcPr>
          <w:p>
            <w:pPr>
              <w:pStyle w:val="22"/>
              <w:snapToGrid w:val="0"/>
              <w:spacing w:line="360" w:lineRule="auto"/>
              <w:jc w:val="center"/>
              <w:rPr>
                <w:rFonts w:hAnsi="宋体" w:cs="宋体"/>
                <w:color w:val="auto"/>
                <w:sz w:val="24"/>
                <w:szCs w:val="24"/>
              </w:rPr>
            </w:pPr>
            <w:r>
              <w:rPr>
                <w:rFonts w:hint="eastAsia" w:hAnsi="宋体" w:cs="宋体"/>
                <w:color w:val="auto"/>
                <w:sz w:val="24"/>
                <w:szCs w:val="24"/>
              </w:rPr>
              <w:t>折扣率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16" w:hRule="atLeast"/>
        </w:trPr>
        <w:tc>
          <w:tcPr>
            <w:tcW w:w="1440" w:type="dxa"/>
            <w:vAlign w:val="center"/>
          </w:tcPr>
          <w:p>
            <w:pPr>
              <w:pStyle w:val="150"/>
              <w:jc w:val="center"/>
              <w:rPr>
                <w:rFonts w:cs="宋体"/>
                <w:color w:val="auto"/>
                <w:szCs w:val="24"/>
              </w:rPr>
            </w:pPr>
          </w:p>
        </w:tc>
        <w:tc>
          <w:tcPr>
            <w:tcW w:w="1440" w:type="dxa"/>
            <w:vAlign w:val="center"/>
          </w:tcPr>
          <w:p>
            <w:pPr>
              <w:ind w:firstLine="480"/>
              <w:jc w:val="center"/>
              <w:rPr>
                <w:rFonts w:cs="宋体"/>
                <w:color w:val="auto"/>
              </w:rPr>
            </w:pPr>
          </w:p>
        </w:tc>
        <w:tc>
          <w:tcPr>
            <w:tcW w:w="2509" w:type="dxa"/>
            <w:vAlign w:val="center"/>
          </w:tcPr>
          <w:p>
            <w:pPr>
              <w:ind w:firstLine="480"/>
              <w:jc w:val="center"/>
              <w:rPr>
                <w:rFonts w:cs="宋体"/>
                <w:color w:val="auto"/>
              </w:rPr>
            </w:pPr>
          </w:p>
        </w:tc>
        <w:tc>
          <w:tcPr>
            <w:tcW w:w="900" w:type="dxa"/>
            <w:vAlign w:val="center"/>
          </w:tcPr>
          <w:p>
            <w:pPr>
              <w:ind w:firstLine="240" w:firstLineChars="100"/>
              <w:jc w:val="center"/>
              <w:rPr>
                <w:rFonts w:cs="宋体"/>
                <w:color w:val="auto"/>
              </w:rPr>
            </w:pPr>
          </w:p>
        </w:tc>
        <w:tc>
          <w:tcPr>
            <w:tcW w:w="2502" w:type="dxa"/>
            <w:vAlign w:val="center"/>
          </w:tcPr>
          <w:p>
            <w:pPr>
              <w:pStyle w:val="150"/>
              <w:jc w:val="center"/>
              <w:rPr>
                <w:rFonts w:cs="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5389" w:type="dxa"/>
            <w:gridSpan w:val="3"/>
          </w:tcPr>
          <w:p>
            <w:pPr>
              <w:pStyle w:val="22"/>
              <w:snapToGrid w:val="0"/>
              <w:spacing w:line="360" w:lineRule="auto"/>
              <w:rPr>
                <w:rFonts w:hAnsi="宋体" w:cs="宋体"/>
                <w:color w:val="auto"/>
                <w:sz w:val="24"/>
                <w:szCs w:val="24"/>
              </w:rPr>
            </w:pPr>
            <w:r>
              <w:rPr>
                <w:rFonts w:hint="eastAsia" w:hAnsi="宋体" w:cs="宋体"/>
                <w:color w:val="auto"/>
                <w:sz w:val="24"/>
                <w:szCs w:val="24"/>
              </w:rPr>
              <w:t>合    计</w:t>
            </w:r>
          </w:p>
        </w:tc>
        <w:tc>
          <w:tcPr>
            <w:tcW w:w="900" w:type="dxa"/>
          </w:tcPr>
          <w:p>
            <w:pPr>
              <w:pStyle w:val="22"/>
              <w:snapToGrid w:val="0"/>
              <w:spacing w:line="360" w:lineRule="auto"/>
              <w:jc w:val="center"/>
              <w:rPr>
                <w:rFonts w:hAnsi="宋体" w:cs="宋体"/>
                <w:color w:val="auto"/>
                <w:sz w:val="24"/>
                <w:szCs w:val="24"/>
              </w:rPr>
            </w:pPr>
          </w:p>
        </w:tc>
        <w:tc>
          <w:tcPr>
            <w:tcW w:w="2502" w:type="dxa"/>
          </w:tcPr>
          <w:p>
            <w:pPr>
              <w:pStyle w:val="150"/>
              <w:rPr>
                <w:rFonts w:cs="宋体"/>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05" w:hRule="atLeast"/>
        </w:trPr>
        <w:tc>
          <w:tcPr>
            <w:tcW w:w="8791" w:type="dxa"/>
            <w:gridSpan w:val="5"/>
          </w:tcPr>
          <w:p>
            <w:pPr>
              <w:pStyle w:val="22"/>
              <w:snapToGrid w:val="0"/>
              <w:spacing w:line="360" w:lineRule="auto"/>
              <w:rPr>
                <w:rFonts w:hAnsi="宋体" w:cs="宋体"/>
                <w:color w:val="auto"/>
                <w:sz w:val="24"/>
                <w:szCs w:val="24"/>
              </w:rPr>
            </w:pPr>
            <w:r>
              <w:rPr>
                <w:rFonts w:hint="eastAsia" w:hAnsi="宋体" w:cs="宋体"/>
                <w:color w:val="auto"/>
                <w:sz w:val="24"/>
                <w:szCs w:val="24"/>
              </w:rPr>
              <w:t>合同总价：（人民币）元整</w:t>
            </w:r>
          </w:p>
        </w:tc>
      </w:tr>
    </w:tbl>
    <w:p>
      <w:pPr>
        <w:pStyle w:val="22"/>
        <w:snapToGrid w:val="0"/>
        <w:spacing w:line="360" w:lineRule="auto"/>
        <w:rPr>
          <w:rFonts w:hAnsi="宋体" w:cs="宋体"/>
          <w:color w:val="auto"/>
          <w:sz w:val="24"/>
          <w:szCs w:val="24"/>
        </w:rPr>
      </w:pPr>
      <w:r>
        <w:rPr>
          <w:rFonts w:hint="eastAsia" w:hAnsi="宋体" w:cs="宋体"/>
          <w:color w:val="auto"/>
          <w:sz w:val="24"/>
          <w:szCs w:val="24"/>
        </w:rPr>
        <w:t>注：1、商品型号、数量、配置要求及使用单位地址等详后附清单</w:t>
      </w:r>
    </w:p>
    <w:p>
      <w:pPr>
        <w:ind w:firstLine="480"/>
        <w:rPr>
          <w:rFonts w:cs="宋体"/>
          <w:color w:val="auto"/>
        </w:rPr>
      </w:pPr>
      <w:r>
        <w:rPr>
          <w:rFonts w:hint="eastAsia" w:cs="宋体"/>
          <w:color w:val="auto"/>
        </w:rPr>
        <w:t xml:space="preserve"> 2、以上合同总价包括运抵各使用单位的运费及安装调试费等。</w:t>
      </w:r>
    </w:p>
    <w:p>
      <w:pPr>
        <w:ind w:firstLine="480"/>
        <w:rPr>
          <w:rFonts w:cs="宋体"/>
          <w:color w:val="auto"/>
        </w:rPr>
      </w:pPr>
      <w:r>
        <w:rPr>
          <w:rFonts w:hint="eastAsia" w:cs="宋体"/>
          <w:color w:val="auto"/>
        </w:rPr>
        <w:t xml:space="preserve">    </w:t>
      </w:r>
      <w:r>
        <w:rPr>
          <w:rFonts w:hint="eastAsia" w:cs="宋体"/>
          <w:b/>
          <w:color w:val="auto"/>
        </w:rPr>
        <w:t>第二条</w:t>
      </w:r>
      <w:r>
        <w:rPr>
          <w:rFonts w:hint="eastAsia" w:cs="宋体"/>
          <w:color w:val="auto"/>
        </w:rPr>
        <w:t xml:space="preserve">  质量保证</w:t>
      </w:r>
    </w:p>
    <w:p>
      <w:pPr>
        <w:ind w:firstLine="480"/>
        <w:rPr>
          <w:rFonts w:cs="宋体"/>
          <w:color w:val="auto"/>
        </w:rPr>
      </w:pPr>
      <w:r>
        <w:rPr>
          <w:rFonts w:hint="eastAsia" w:cs="宋体"/>
          <w:color w:val="auto"/>
        </w:rPr>
        <w:t>乙方保证本合同中所供应的国产商品是</w:t>
      </w:r>
      <w:r>
        <w:rPr>
          <w:rFonts w:hint="eastAsia" w:cs="宋体"/>
          <w:color w:val="auto"/>
          <w:u w:val="single"/>
        </w:rPr>
        <w:t xml:space="preserve">  </w:t>
      </w:r>
      <w:r>
        <w:rPr>
          <w:rFonts w:hint="eastAsia" w:cs="宋体"/>
          <w:color w:val="auto"/>
        </w:rPr>
        <w:t>年</w:t>
      </w:r>
      <w:r>
        <w:rPr>
          <w:rFonts w:hint="eastAsia" w:cs="宋体"/>
          <w:color w:val="auto"/>
          <w:u w:val="single"/>
        </w:rPr>
        <w:t xml:space="preserve">  </w:t>
      </w:r>
      <w:r>
        <w:rPr>
          <w:rFonts w:hint="eastAsia" w:cs="宋体"/>
          <w:color w:val="auto"/>
        </w:rPr>
        <w:t>月</w:t>
      </w:r>
      <w:r>
        <w:rPr>
          <w:rFonts w:hint="eastAsia" w:cs="宋体"/>
          <w:color w:val="auto"/>
          <w:u w:val="single"/>
        </w:rPr>
        <w:t xml:space="preserve">  </w:t>
      </w:r>
      <w:r>
        <w:rPr>
          <w:rFonts w:hint="eastAsia" w:cs="宋体"/>
          <w:color w:val="auto"/>
        </w:rPr>
        <w:t>日以后生产的符合国家技术规格和质量标准的出厂原装合格产品；进口商品是获得国家商检局颁布安全许可证的出厂原装合格产品。如发生所供商品与合同不符，甲方有权拒收或退货，由此产生的一切责任和后果由乙方承担。</w:t>
      </w:r>
    </w:p>
    <w:p>
      <w:pPr>
        <w:ind w:firstLine="482"/>
        <w:rPr>
          <w:rFonts w:cs="宋体"/>
          <w:color w:val="auto"/>
        </w:rPr>
      </w:pPr>
      <w:r>
        <w:rPr>
          <w:rFonts w:hint="eastAsia" w:cs="宋体"/>
          <w:b/>
          <w:color w:val="auto"/>
        </w:rPr>
        <w:t>第三条</w:t>
      </w:r>
      <w:r>
        <w:rPr>
          <w:rFonts w:hint="eastAsia" w:cs="宋体"/>
          <w:color w:val="auto"/>
        </w:rPr>
        <w:t xml:space="preserve">  交货时间、地点</w:t>
      </w:r>
    </w:p>
    <w:p>
      <w:pPr>
        <w:pStyle w:val="22"/>
        <w:snapToGrid w:val="0"/>
        <w:spacing w:line="360" w:lineRule="auto"/>
        <w:ind w:firstLine="480" w:firstLineChars="200"/>
        <w:rPr>
          <w:rFonts w:hAnsi="宋体" w:cs="宋体"/>
          <w:color w:val="auto"/>
          <w:sz w:val="24"/>
          <w:szCs w:val="24"/>
        </w:rPr>
      </w:pPr>
      <w:r>
        <w:rPr>
          <w:rFonts w:hint="eastAsia" w:hAnsi="宋体" w:cs="宋体"/>
          <w:color w:val="auto"/>
          <w:sz w:val="24"/>
          <w:szCs w:val="24"/>
        </w:rPr>
        <w:t>1、乙方在合同签订后</w:t>
      </w:r>
      <w:r>
        <w:rPr>
          <w:rFonts w:hint="eastAsia" w:hAnsi="宋体" w:cs="宋体"/>
          <w:color w:val="auto"/>
          <w:sz w:val="24"/>
          <w:szCs w:val="24"/>
          <w:u w:val="single"/>
        </w:rPr>
        <w:t xml:space="preserve">   </w:t>
      </w:r>
      <w:r>
        <w:rPr>
          <w:rFonts w:hint="eastAsia" w:hAnsi="宋体" w:cs="宋体"/>
          <w:color w:val="auto"/>
          <w:sz w:val="24"/>
          <w:szCs w:val="24"/>
        </w:rPr>
        <w:t>个工作日内按照其与甲方事先直接联系约定（使用单位地址、联系人等见清单）将所供商品运至甲方指定地点拆箱，并负责安装调试完毕后交使用方验收。</w:t>
      </w:r>
    </w:p>
    <w:p>
      <w:pPr>
        <w:ind w:firstLine="480"/>
        <w:rPr>
          <w:rFonts w:cs="宋体"/>
          <w:color w:val="auto"/>
        </w:rPr>
      </w:pPr>
      <w:r>
        <w:rPr>
          <w:rFonts w:hint="eastAsia" w:cs="宋体"/>
          <w:color w:val="auto"/>
        </w:rPr>
        <w:t>2、在所供商品交付使用时，乙方必须向甲方提供产品说明书、质量保证书、保修卡等必须具备的相关资料和必备的附件。</w:t>
      </w:r>
    </w:p>
    <w:p>
      <w:pPr>
        <w:ind w:firstLine="482"/>
        <w:rPr>
          <w:rFonts w:cs="宋体"/>
          <w:color w:val="auto"/>
        </w:rPr>
      </w:pPr>
      <w:r>
        <w:rPr>
          <w:rFonts w:hint="eastAsia" w:cs="宋体"/>
          <w:b/>
          <w:color w:val="auto"/>
        </w:rPr>
        <w:t>第四条</w:t>
      </w:r>
      <w:r>
        <w:rPr>
          <w:rFonts w:hint="eastAsia" w:cs="宋体"/>
          <w:color w:val="auto"/>
        </w:rPr>
        <w:t xml:space="preserve">  售后服务</w:t>
      </w:r>
    </w:p>
    <w:p>
      <w:pPr>
        <w:ind w:firstLine="480"/>
        <w:rPr>
          <w:rFonts w:cs="宋体"/>
          <w:color w:val="auto"/>
        </w:rPr>
      </w:pPr>
      <w:r>
        <w:rPr>
          <w:rFonts w:hint="eastAsia" w:cs="宋体"/>
          <w:color w:val="auto"/>
        </w:rPr>
        <w:t>质量保修期(质保期从合同商品验收合格之日算起)</w:t>
      </w:r>
      <w:r>
        <w:rPr>
          <w:rFonts w:hint="eastAsia" w:cs="宋体"/>
          <w:color w:val="auto"/>
          <w:u w:val="single"/>
        </w:rPr>
        <w:t xml:space="preserve">    </w:t>
      </w:r>
      <w:r>
        <w:rPr>
          <w:rFonts w:hint="eastAsia" w:cs="宋体"/>
          <w:color w:val="auto"/>
        </w:rPr>
        <w:t>年。保质期内因不能排除的故障而影响工作的情况每发生一次，其质保期相应延长60天，保质期内因合同商品本身缺陷造成各种故障应由卖方免费技术服务和维修；质保期满后，仅收取零配件成本费用，免人工费用。合同商品出现故障后，中标人接到需方通知后,最迟于4小时内做出响应，2个工作日内解决故障。合同商品到达后,中标人提供安装调试，培训服务，帮助需方用户尽快熟悉使用。</w:t>
      </w:r>
    </w:p>
    <w:p>
      <w:pPr>
        <w:ind w:firstLine="482"/>
        <w:rPr>
          <w:rFonts w:cs="宋体"/>
          <w:color w:val="auto"/>
        </w:rPr>
      </w:pPr>
      <w:r>
        <w:rPr>
          <w:rFonts w:hint="eastAsia" w:cs="宋体"/>
          <w:b/>
          <w:color w:val="auto"/>
        </w:rPr>
        <w:t>第五条</w:t>
      </w:r>
      <w:r>
        <w:rPr>
          <w:rFonts w:hint="eastAsia" w:cs="宋体"/>
          <w:color w:val="auto"/>
        </w:rPr>
        <w:t xml:space="preserve">  验收</w:t>
      </w:r>
    </w:p>
    <w:p>
      <w:pPr>
        <w:pStyle w:val="22"/>
        <w:snapToGrid w:val="0"/>
        <w:spacing w:line="360" w:lineRule="auto"/>
        <w:ind w:firstLine="480" w:firstLineChars="200"/>
        <w:rPr>
          <w:rFonts w:hAnsi="宋体" w:cs="宋体"/>
          <w:color w:val="auto"/>
          <w:sz w:val="24"/>
          <w:szCs w:val="24"/>
        </w:rPr>
      </w:pPr>
      <w:r>
        <w:rPr>
          <w:rFonts w:hint="eastAsia" w:hAnsi="宋体" w:cs="宋体"/>
          <w:color w:val="auto"/>
          <w:sz w:val="24"/>
          <w:szCs w:val="24"/>
        </w:rPr>
        <w:t>乙方将所供商品运至交货地点拆箱并安装调试完毕后，由各使用单位及时负责验收。</w:t>
      </w:r>
    </w:p>
    <w:p>
      <w:pPr>
        <w:ind w:firstLine="480"/>
        <w:rPr>
          <w:rFonts w:cs="宋体"/>
          <w:color w:val="auto"/>
        </w:rPr>
      </w:pPr>
      <w:r>
        <w:rPr>
          <w:rFonts w:hint="eastAsia" w:cs="宋体"/>
          <w:color w:val="auto"/>
        </w:rPr>
        <w:t>合同商品从验收合格次日起7天内，出现非使用方人为因素造成的无法排除的故障，由乙方予以整机调换。</w:t>
      </w:r>
    </w:p>
    <w:p>
      <w:pPr>
        <w:ind w:firstLine="472" w:firstLineChars="196"/>
        <w:rPr>
          <w:rFonts w:cs="宋体"/>
          <w:color w:val="auto"/>
        </w:rPr>
      </w:pPr>
      <w:r>
        <w:rPr>
          <w:rFonts w:hint="eastAsia" w:cs="宋体"/>
          <w:b/>
          <w:color w:val="auto"/>
        </w:rPr>
        <w:t>第六条</w:t>
      </w:r>
      <w:r>
        <w:rPr>
          <w:rFonts w:hint="eastAsia" w:cs="宋体"/>
          <w:color w:val="auto"/>
        </w:rPr>
        <w:t xml:space="preserve">  履约保证金及货款的支付</w:t>
      </w:r>
    </w:p>
    <w:p>
      <w:pPr>
        <w:ind w:firstLine="480"/>
        <w:rPr>
          <w:rFonts w:cs="宋体"/>
          <w:color w:val="auto"/>
        </w:rPr>
      </w:pPr>
    </w:p>
    <w:p>
      <w:pPr>
        <w:ind w:firstLine="482"/>
        <w:rPr>
          <w:rFonts w:cs="宋体"/>
          <w:color w:val="auto"/>
        </w:rPr>
      </w:pPr>
      <w:r>
        <w:rPr>
          <w:rFonts w:hint="eastAsia" w:cs="宋体"/>
          <w:b/>
          <w:color w:val="auto"/>
        </w:rPr>
        <w:t>第八条</w:t>
      </w:r>
      <w:r>
        <w:rPr>
          <w:rFonts w:hint="eastAsia" w:cs="宋体"/>
          <w:color w:val="auto"/>
        </w:rPr>
        <w:t xml:space="preserve">  违约责任</w:t>
      </w:r>
    </w:p>
    <w:p>
      <w:pPr>
        <w:ind w:firstLine="480"/>
        <w:rPr>
          <w:rFonts w:cs="宋体"/>
          <w:bCs/>
          <w:color w:val="auto"/>
        </w:rPr>
      </w:pPr>
      <w:r>
        <w:rPr>
          <w:rFonts w:hint="eastAsia" w:cs="宋体"/>
          <w:bCs/>
          <w:color w:val="auto"/>
        </w:rPr>
        <w:t>1.乙方逾期履行合同的，甲方有权没收履约保证金，并自逾期之日起，向甲方每日偿付合同总价千分之二的滞纳金；乙方逾期20日不能交货的，视为乙方不能交货，甲方有权解除合同，乙方应承担违约责任，应向甲方支付合同总价百分之五的违约金。</w:t>
      </w:r>
    </w:p>
    <w:p>
      <w:pPr>
        <w:ind w:firstLine="480"/>
        <w:rPr>
          <w:rFonts w:cs="宋体"/>
          <w:bCs/>
          <w:color w:val="auto"/>
        </w:rPr>
      </w:pPr>
      <w:r>
        <w:rPr>
          <w:rFonts w:hint="eastAsia" w:cs="宋体"/>
          <w:bCs/>
          <w:color w:val="auto"/>
        </w:rPr>
        <w:t>2.若乙方存在撤销响应文件和无正当理由放弃成交、不与甲方签订书面合同等情形或被行政部门查实存在违法违规行为，导致甲方重新采购的，除乙方按预算金额的2%向甲方偿付违约金（赔偿金额不足以弥补采购人损失的，乙方应继续承担超过部分的损失）外，甲方将拒绝该乙方再次响应本项目。</w:t>
      </w:r>
    </w:p>
    <w:p>
      <w:pPr>
        <w:ind w:firstLine="480"/>
        <w:rPr>
          <w:rFonts w:cs="宋体"/>
          <w:bCs/>
          <w:color w:val="auto"/>
        </w:rPr>
      </w:pPr>
      <w:r>
        <w:rPr>
          <w:rFonts w:hint="eastAsia" w:cs="宋体"/>
          <w:bCs/>
          <w:color w:val="auto"/>
        </w:rPr>
        <w:t>3.乙方在采购过程中或合同履行过程中存在其他违法行为的，且违法行为严重的，乙方在承担相应的民事责任以外，甲方将有权向相关行政管理部门建议给予乙方限制本项目内容所涉及的市场响应采购的处罚。</w:t>
      </w:r>
    </w:p>
    <w:p>
      <w:pPr>
        <w:ind w:firstLine="480"/>
        <w:rPr>
          <w:rFonts w:cs="宋体"/>
          <w:bCs/>
          <w:color w:val="auto"/>
        </w:rPr>
      </w:pPr>
      <w:r>
        <w:rPr>
          <w:rFonts w:hint="eastAsia" w:cs="宋体"/>
          <w:bCs/>
          <w:color w:val="auto"/>
        </w:rPr>
        <w:t>4.甲方逾期支付货款的（因财政原因除外），应向乙方每日偿付合同总价千分之二的滞纳金。甲方无正当理由拒收货物、拒付货款的，应向乙方偿付合同总价百分之五的违约金。</w:t>
      </w:r>
    </w:p>
    <w:p>
      <w:pPr>
        <w:ind w:firstLine="480"/>
        <w:rPr>
          <w:rFonts w:cs="宋体"/>
          <w:bCs/>
          <w:color w:val="auto"/>
        </w:rPr>
      </w:pPr>
      <w:r>
        <w:rPr>
          <w:rFonts w:hint="eastAsia" w:cs="宋体"/>
          <w:bCs/>
          <w:color w:val="auto"/>
        </w:rPr>
        <w:t>5.甲方无故拖延支付货款超过合同规定支付时间的，乙方可按照有关规定向甲方直接发起支付申请，并要求当地有关部门对其违规情况予以处理。</w:t>
      </w:r>
    </w:p>
    <w:p>
      <w:pPr>
        <w:ind w:firstLine="480"/>
        <w:rPr>
          <w:rFonts w:cs="宋体"/>
          <w:bCs/>
          <w:color w:val="auto"/>
        </w:rPr>
      </w:pPr>
      <w:r>
        <w:rPr>
          <w:rFonts w:hint="eastAsia" w:cs="宋体"/>
          <w:bCs/>
          <w:color w:val="auto"/>
        </w:rPr>
        <w:t>6.乙方在合同履约期间未完全履行投标文件的承诺内容的，采购人将视其情节严重程度给予相应处罚，甲方保留终止合同的权利。</w:t>
      </w:r>
    </w:p>
    <w:p>
      <w:pPr>
        <w:ind w:firstLine="480"/>
        <w:rPr>
          <w:rFonts w:cs="宋体"/>
          <w:color w:val="auto"/>
        </w:rPr>
      </w:pPr>
      <w:r>
        <w:rPr>
          <w:rFonts w:hint="eastAsia" w:cs="宋体"/>
          <w:color w:val="auto"/>
        </w:rPr>
        <w:t xml:space="preserve">    </w:t>
      </w:r>
      <w:r>
        <w:rPr>
          <w:rFonts w:hint="eastAsia" w:cs="宋体"/>
          <w:b/>
          <w:color w:val="auto"/>
        </w:rPr>
        <w:t>第九条</w:t>
      </w:r>
      <w:r>
        <w:rPr>
          <w:rFonts w:hint="eastAsia" w:cs="宋体"/>
          <w:color w:val="auto"/>
        </w:rPr>
        <w:t xml:space="preserve">  争议的解决</w:t>
      </w:r>
    </w:p>
    <w:p>
      <w:pPr>
        <w:ind w:firstLine="480"/>
        <w:rPr>
          <w:rFonts w:cs="宋体"/>
          <w:color w:val="auto"/>
        </w:rPr>
      </w:pPr>
      <w:r>
        <w:rPr>
          <w:rFonts w:hint="eastAsia" w:cs="宋体"/>
          <w:color w:val="auto"/>
        </w:rPr>
        <w:t>本合同为政府采购之合同，在发生所供商品的质量、售后服务等问题时，甲方有权直接向乙方索赔，签订必要的书面处理协议。如协商不成，在甲方所在地选择诉讼的途径解决。</w:t>
      </w:r>
    </w:p>
    <w:p>
      <w:pPr>
        <w:ind w:firstLine="482"/>
        <w:rPr>
          <w:rFonts w:cs="宋体"/>
          <w:color w:val="auto"/>
        </w:rPr>
      </w:pPr>
      <w:r>
        <w:rPr>
          <w:rFonts w:hint="eastAsia" w:cs="宋体"/>
          <w:b/>
          <w:color w:val="auto"/>
        </w:rPr>
        <w:t>第十条</w:t>
      </w:r>
      <w:r>
        <w:rPr>
          <w:rFonts w:hint="eastAsia" w:cs="宋体"/>
          <w:color w:val="auto"/>
        </w:rPr>
        <w:t xml:space="preserve">  合同的生效</w:t>
      </w:r>
    </w:p>
    <w:p>
      <w:pPr>
        <w:ind w:firstLine="480"/>
        <w:rPr>
          <w:rFonts w:cs="宋体"/>
          <w:color w:val="auto"/>
        </w:rPr>
      </w:pPr>
      <w:r>
        <w:rPr>
          <w:rFonts w:hint="eastAsia" w:cs="宋体"/>
          <w:color w:val="auto"/>
        </w:rPr>
        <w:t>1、本合同经甲乙双方法定代表人或其委托人签字并加盖公章后生效。</w:t>
      </w:r>
    </w:p>
    <w:p>
      <w:pPr>
        <w:ind w:firstLine="480"/>
        <w:rPr>
          <w:rFonts w:cs="宋体"/>
          <w:color w:val="auto"/>
        </w:rPr>
      </w:pPr>
      <w:r>
        <w:rPr>
          <w:rFonts w:hint="eastAsia" w:cs="宋体"/>
          <w:color w:val="auto"/>
        </w:rPr>
        <w:t>2、本合同一式</w:t>
      </w:r>
      <w:r>
        <w:rPr>
          <w:rFonts w:hint="eastAsia" w:cs="宋体"/>
          <w:i/>
          <w:color w:val="auto"/>
          <w:u w:val="single"/>
        </w:rPr>
        <w:t xml:space="preserve">五 </w:t>
      </w:r>
      <w:r>
        <w:rPr>
          <w:rFonts w:hint="eastAsia" w:cs="宋体"/>
          <w:color w:val="auto"/>
        </w:rPr>
        <w:t>份，甲乙双方执</w:t>
      </w:r>
      <w:r>
        <w:rPr>
          <w:rFonts w:hint="eastAsia" w:cs="宋体"/>
          <w:i/>
          <w:color w:val="auto"/>
          <w:u w:val="single"/>
        </w:rPr>
        <w:t xml:space="preserve">二 </w:t>
      </w:r>
      <w:r>
        <w:rPr>
          <w:rFonts w:hint="eastAsia" w:cs="宋体"/>
          <w:color w:val="auto"/>
        </w:rPr>
        <w:t>份，代理机构执一份。</w:t>
      </w:r>
    </w:p>
    <w:p>
      <w:pPr>
        <w:ind w:firstLine="480"/>
        <w:rPr>
          <w:rFonts w:cs="宋体"/>
          <w:color w:val="auto"/>
        </w:rPr>
      </w:pPr>
      <w:r>
        <w:rPr>
          <w:rFonts w:hint="eastAsia" w:cs="宋体"/>
          <w:color w:val="auto"/>
        </w:rPr>
        <w:t xml:space="preserve">    3、相关招标文件、投标文件与本合同具有同等法律效力。</w:t>
      </w:r>
    </w:p>
    <w:p>
      <w:pPr>
        <w:ind w:firstLine="480"/>
        <w:rPr>
          <w:rFonts w:cs="宋体"/>
          <w:color w:val="auto"/>
        </w:rPr>
      </w:pPr>
      <w:r>
        <w:rPr>
          <w:rFonts w:hint="eastAsia" w:cs="宋体"/>
          <w:color w:val="auto"/>
        </w:rPr>
        <w:t xml:space="preserve">甲  方（盖章）：                乙  方（盖章）： </w:t>
      </w:r>
    </w:p>
    <w:p>
      <w:pPr>
        <w:ind w:firstLine="480"/>
        <w:rPr>
          <w:rFonts w:cs="宋体"/>
          <w:color w:val="auto"/>
        </w:rPr>
      </w:pPr>
      <w:r>
        <w:rPr>
          <w:rFonts w:hint="eastAsia" w:cs="宋体"/>
          <w:color w:val="auto"/>
        </w:rPr>
        <w:t>法定代表人或受委托人（签字）：  法定代表人或受委托人（签字）：</w:t>
      </w:r>
    </w:p>
    <w:p>
      <w:pPr>
        <w:ind w:firstLine="480"/>
        <w:rPr>
          <w:rFonts w:cs="宋体"/>
          <w:color w:val="auto"/>
        </w:rPr>
      </w:pPr>
      <w:r>
        <w:rPr>
          <w:rFonts w:hint="eastAsia" w:cs="宋体"/>
          <w:color w:val="auto"/>
        </w:rPr>
        <w:t xml:space="preserve">地  址：                       地 址： </w:t>
      </w:r>
    </w:p>
    <w:p>
      <w:pPr>
        <w:ind w:firstLine="480"/>
        <w:rPr>
          <w:rFonts w:cs="宋体"/>
          <w:color w:val="auto"/>
        </w:rPr>
      </w:pPr>
      <w:r>
        <w:rPr>
          <w:rFonts w:hint="eastAsia" w:cs="宋体"/>
          <w:color w:val="auto"/>
        </w:rPr>
        <w:t xml:space="preserve">电  话：                       电  话： </w:t>
      </w:r>
    </w:p>
    <w:p>
      <w:pPr>
        <w:ind w:firstLine="480"/>
        <w:rPr>
          <w:rFonts w:cs="宋体"/>
          <w:color w:val="auto"/>
        </w:rPr>
      </w:pPr>
      <w:r>
        <w:rPr>
          <w:rFonts w:hint="eastAsia" w:cs="宋体"/>
          <w:color w:val="auto"/>
        </w:rPr>
        <w:t xml:space="preserve">传  真：                       传  真： </w:t>
      </w:r>
    </w:p>
    <w:p>
      <w:pPr>
        <w:ind w:firstLine="400"/>
        <w:rPr>
          <w:rFonts w:cs="宋体"/>
          <w:color w:val="auto"/>
        </w:rPr>
      </w:pPr>
      <w:r>
        <w:rPr>
          <w:rFonts w:hint="eastAsia" w:cs="宋体"/>
          <w:color w:val="auto"/>
          <w:spacing w:val="-20"/>
        </w:rPr>
        <w:t>开户银行</w:t>
      </w:r>
      <w:r>
        <w:rPr>
          <w:rFonts w:hint="eastAsia" w:cs="宋体"/>
          <w:color w:val="auto"/>
        </w:rPr>
        <w:t xml:space="preserve">：                       </w:t>
      </w:r>
      <w:r>
        <w:rPr>
          <w:rFonts w:hint="eastAsia" w:cs="宋体"/>
          <w:color w:val="auto"/>
          <w:spacing w:val="-20"/>
        </w:rPr>
        <w:t>开户银行</w:t>
      </w:r>
      <w:r>
        <w:rPr>
          <w:rFonts w:hint="eastAsia" w:cs="宋体"/>
          <w:color w:val="auto"/>
        </w:rPr>
        <w:t>：</w:t>
      </w:r>
    </w:p>
    <w:p>
      <w:pPr>
        <w:ind w:firstLine="416"/>
        <w:rPr>
          <w:rFonts w:cs="宋体"/>
          <w:color w:val="auto"/>
          <w:spacing w:val="-16"/>
        </w:rPr>
      </w:pPr>
      <w:r>
        <w:rPr>
          <w:rFonts w:hint="eastAsia" w:cs="宋体"/>
          <w:color w:val="auto"/>
          <w:spacing w:val="-16"/>
        </w:rPr>
        <w:t>帐  号：                                  帐  号：</w:t>
      </w:r>
    </w:p>
    <w:p>
      <w:pPr>
        <w:ind w:firstLine="416"/>
        <w:rPr>
          <w:rFonts w:cs="宋体"/>
          <w:color w:val="auto"/>
          <w:spacing w:val="-16"/>
        </w:rPr>
      </w:pPr>
    </w:p>
    <w:p>
      <w:pPr>
        <w:ind w:firstLine="416"/>
        <w:jc w:val="right"/>
        <w:rPr>
          <w:rFonts w:cs="宋体"/>
          <w:color w:val="auto"/>
          <w:spacing w:val="-16"/>
        </w:rPr>
      </w:pPr>
      <w:r>
        <w:rPr>
          <w:rFonts w:hint="eastAsia" w:cs="宋体"/>
          <w:color w:val="auto"/>
          <w:spacing w:val="-16"/>
        </w:rPr>
        <w:t>签约时间：</w:t>
      </w:r>
      <w:r>
        <w:rPr>
          <w:rFonts w:hint="eastAsia" w:cs="宋体"/>
          <w:color w:val="auto"/>
          <w:spacing w:val="-16"/>
          <w:u w:val="single"/>
        </w:rPr>
        <w:t xml:space="preserve">      </w:t>
      </w:r>
      <w:r>
        <w:rPr>
          <w:rFonts w:hint="eastAsia" w:cs="宋体"/>
          <w:color w:val="auto"/>
          <w:spacing w:val="-16"/>
        </w:rPr>
        <w:t>年</w:t>
      </w:r>
      <w:r>
        <w:rPr>
          <w:rFonts w:hint="eastAsia" w:cs="宋体"/>
          <w:color w:val="auto"/>
          <w:spacing w:val="-16"/>
          <w:u w:val="single"/>
        </w:rPr>
        <w:t xml:space="preserve">    </w:t>
      </w:r>
      <w:r>
        <w:rPr>
          <w:rFonts w:hint="eastAsia" w:cs="宋体"/>
          <w:color w:val="auto"/>
          <w:spacing w:val="-16"/>
        </w:rPr>
        <w:t>月</w:t>
      </w:r>
      <w:r>
        <w:rPr>
          <w:rFonts w:hint="eastAsia" w:cs="宋体"/>
          <w:color w:val="auto"/>
          <w:spacing w:val="-16"/>
          <w:u w:val="single"/>
        </w:rPr>
        <w:t xml:space="preserve">    </w:t>
      </w:r>
      <w:r>
        <w:rPr>
          <w:rFonts w:hint="eastAsia" w:cs="宋体"/>
          <w:color w:val="auto"/>
          <w:spacing w:val="-16"/>
        </w:rPr>
        <w:t>日</w:t>
      </w:r>
    </w:p>
    <w:p>
      <w:pPr>
        <w:spacing w:line="400" w:lineRule="atLeast"/>
        <w:ind w:left="688" w:leftChars="200" w:hanging="208" w:hangingChars="100"/>
        <w:rPr>
          <w:rFonts w:cs="宋体"/>
          <w:b/>
          <w:color w:val="auto"/>
        </w:rPr>
      </w:pPr>
      <w:r>
        <w:rPr>
          <w:rFonts w:hint="eastAsia" w:cs="宋体"/>
          <w:color w:val="auto"/>
          <w:spacing w:val="-16"/>
        </w:rPr>
        <w:t xml:space="preserve">                                                                        签约地点：</w:t>
      </w:r>
    </w:p>
    <w:p>
      <w:pPr>
        <w:pStyle w:val="48"/>
        <w:rPr>
          <w:rFonts w:ascii="宋体" w:hAnsi="宋体" w:eastAsia="宋体" w:cs="宋体"/>
          <w:color w:val="auto"/>
        </w:rPr>
        <w:sectPr>
          <w:footerReference r:id="rId15" w:type="default"/>
          <w:pgSz w:w="11907" w:h="16840"/>
          <w:pgMar w:top="1440" w:right="1080" w:bottom="1440" w:left="1080" w:header="850" w:footer="992" w:gutter="0"/>
          <w:cols w:space="720" w:num="1"/>
          <w:docGrid w:linePitch="286" w:charSpace="0"/>
        </w:sectPr>
      </w:pPr>
    </w:p>
    <w:p>
      <w:pPr>
        <w:pStyle w:val="4"/>
        <w:rPr>
          <w:rFonts w:cs="宋体"/>
          <w:color w:val="auto"/>
        </w:rPr>
      </w:pPr>
      <w:bookmarkStart w:id="143" w:name="_Toc11745"/>
      <w:bookmarkStart w:id="144" w:name="_Toc24575"/>
      <w:r>
        <w:rPr>
          <w:rFonts w:hint="eastAsia" w:cs="宋体"/>
          <w:color w:val="auto"/>
        </w:rPr>
        <w:t>第六章 投标文件格式</w:t>
      </w:r>
      <w:bookmarkEnd w:id="142"/>
      <w:bookmarkEnd w:id="143"/>
      <w:bookmarkEnd w:id="144"/>
    </w:p>
    <w:p>
      <w:pPr>
        <w:pStyle w:val="22"/>
        <w:spacing w:line="360" w:lineRule="auto"/>
        <w:ind w:firstLine="420"/>
        <w:jc w:val="center"/>
        <w:rPr>
          <w:rFonts w:hAnsi="宋体" w:cs="宋体"/>
          <w:color w:val="auto"/>
          <w:szCs w:val="22"/>
        </w:rPr>
      </w:pPr>
      <w:r>
        <w:rPr>
          <w:rFonts w:hint="eastAsia" w:hAnsi="宋体" w:cs="宋体"/>
          <w:color w:val="auto"/>
          <w:szCs w:val="22"/>
        </w:rPr>
        <w:t>（要求提供但未提供格式的文件由投标人自行编制）</w:t>
      </w:r>
    </w:p>
    <w:p>
      <w:pPr>
        <w:pStyle w:val="5"/>
        <w:rPr>
          <w:rFonts w:cs="宋体"/>
          <w:color w:val="auto"/>
        </w:rPr>
      </w:pPr>
      <w:bookmarkStart w:id="145" w:name="_Toc21050"/>
      <w:bookmarkStart w:id="146" w:name="_Toc5063"/>
      <w:r>
        <w:rPr>
          <w:rFonts w:hint="eastAsia" w:cs="宋体"/>
          <w:color w:val="auto"/>
        </w:rPr>
        <w:t>外层包装</w:t>
      </w:r>
      <w:bookmarkEnd w:id="145"/>
      <w:bookmarkEnd w:id="146"/>
    </w:p>
    <w:p>
      <w:pPr>
        <w:ind w:firstLine="456"/>
        <w:rPr>
          <w:rFonts w:cs="宋体"/>
          <w:color w:val="auto"/>
          <w:spacing w:val="-6"/>
        </w:rPr>
      </w:pPr>
    </w:p>
    <w:p>
      <w:pPr>
        <w:spacing w:line="600" w:lineRule="auto"/>
        <w:ind w:firstLine="0" w:firstLineChars="0"/>
        <w:jc w:val="center"/>
        <w:rPr>
          <w:rFonts w:cs="宋体"/>
          <w:b/>
          <w:bCs/>
          <w:color w:val="auto"/>
          <w:sz w:val="48"/>
          <w:szCs w:val="48"/>
        </w:rPr>
      </w:pPr>
      <w:r>
        <w:rPr>
          <w:rFonts w:hint="eastAsia" w:cs="宋体"/>
          <w:b/>
          <w:bCs/>
          <w:color w:val="auto"/>
          <w:sz w:val="48"/>
          <w:szCs w:val="48"/>
        </w:rPr>
        <w:t>浙江海洋大学</w:t>
      </w:r>
    </w:p>
    <w:p>
      <w:pPr>
        <w:spacing w:line="600" w:lineRule="auto"/>
        <w:ind w:firstLine="0" w:firstLineChars="0"/>
        <w:jc w:val="center"/>
        <w:rPr>
          <w:rFonts w:cs="宋体"/>
          <w:b/>
          <w:bCs/>
          <w:color w:val="auto"/>
          <w:sz w:val="48"/>
          <w:szCs w:val="48"/>
        </w:rPr>
      </w:pPr>
      <w:r>
        <w:rPr>
          <w:rFonts w:hint="eastAsia" w:cs="宋体"/>
          <w:b/>
          <w:bCs/>
          <w:color w:val="auto"/>
          <w:sz w:val="48"/>
          <w:szCs w:val="48"/>
        </w:rPr>
        <w:t>油气储运工程教学实验平台建设项目</w:t>
      </w:r>
    </w:p>
    <w:p>
      <w:pPr>
        <w:ind w:firstLine="456"/>
        <w:rPr>
          <w:rFonts w:cs="宋体"/>
          <w:color w:val="auto"/>
          <w:spacing w:val="-6"/>
        </w:rPr>
      </w:pPr>
    </w:p>
    <w:p>
      <w:pPr>
        <w:ind w:firstLine="458"/>
        <w:jc w:val="center"/>
        <w:rPr>
          <w:rFonts w:cs="宋体"/>
          <w:b/>
          <w:bCs/>
          <w:color w:val="auto"/>
          <w:spacing w:val="-6"/>
        </w:rPr>
      </w:pPr>
      <w:r>
        <w:rPr>
          <w:rFonts w:hint="eastAsia" w:cs="宋体"/>
          <w:b/>
          <w:bCs/>
          <w:color w:val="auto"/>
          <w:spacing w:val="-6"/>
        </w:rPr>
        <w:t>投 标 文 件</w:t>
      </w:r>
    </w:p>
    <w:p>
      <w:pPr>
        <w:ind w:firstLine="0" w:firstLineChars="0"/>
        <w:rPr>
          <w:rFonts w:cs="宋体"/>
          <w:bCs/>
          <w:color w:val="auto"/>
          <w:spacing w:val="-6"/>
        </w:rPr>
      </w:pPr>
    </w:p>
    <w:p>
      <w:pPr>
        <w:pStyle w:val="13"/>
        <w:rPr>
          <w:rFonts w:ascii="宋体" w:eastAsia="宋体" w:cs="宋体"/>
          <w:bCs/>
          <w:color w:val="auto"/>
          <w:spacing w:val="-6"/>
        </w:rPr>
      </w:pPr>
    </w:p>
    <w:p>
      <w:pPr>
        <w:ind w:firstLine="576"/>
        <w:rPr>
          <w:rFonts w:cs="宋体"/>
          <w:bCs/>
          <w:color w:val="auto"/>
          <w:spacing w:val="-6"/>
          <w:sz w:val="30"/>
          <w:szCs w:val="30"/>
        </w:rPr>
      </w:pPr>
      <w:r>
        <w:rPr>
          <w:rFonts w:hint="eastAsia" w:cs="宋体"/>
          <w:bCs/>
          <w:color w:val="auto"/>
          <w:spacing w:val="-6"/>
          <w:sz w:val="30"/>
          <w:szCs w:val="30"/>
        </w:rPr>
        <w:t>采 购 人：</w:t>
      </w:r>
    </w:p>
    <w:p>
      <w:pPr>
        <w:ind w:firstLine="576"/>
        <w:rPr>
          <w:rFonts w:cs="宋体"/>
          <w:bCs/>
          <w:color w:val="auto"/>
          <w:spacing w:val="-6"/>
          <w:sz w:val="30"/>
          <w:szCs w:val="30"/>
        </w:rPr>
      </w:pPr>
      <w:r>
        <w:rPr>
          <w:rFonts w:hint="eastAsia" w:cs="宋体"/>
          <w:bCs/>
          <w:color w:val="auto"/>
          <w:spacing w:val="-6"/>
          <w:sz w:val="30"/>
          <w:szCs w:val="30"/>
        </w:rPr>
        <w:t>项目名称：</w:t>
      </w:r>
    </w:p>
    <w:p>
      <w:pPr>
        <w:ind w:firstLine="576"/>
        <w:rPr>
          <w:rFonts w:cs="宋体"/>
          <w:bCs/>
          <w:color w:val="auto"/>
          <w:spacing w:val="-6"/>
          <w:sz w:val="30"/>
          <w:szCs w:val="30"/>
        </w:rPr>
      </w:pPr>
      <w:r>
        <w:rPr>
          <w:rFonts w:hint="eastAsia" w:cs="宋体"/>
          <w:bCs/>
          <w:color w:val="auto"/>
          <w:spacing w:val="-6"/>
          <w:sz w:val="30"/>
          <w:szCs w:val="30"/>
        </w:rPr>
        <w:t>项目编号：</w:t>
      </w:r>
    </w:p>
    <w:p>
      <w:pPr>
        <w:ind w:firstLine="576"/>
        <w:rPr>
          <w:rFonts w:cs="宋体"/>
          <w:bCs/>
          <w:color w:val="auto"/>
          <w:spacing w:val="-6"/>
          <w:sz w:val="30"/>
          <w:szCs w:val="30"/>
        </w:rPr>
      </w:pPr>
      <w:r>
        <w:rPr>
          <w:rFonts w:hint="eastAsia" w:cs="宋体"/>
          <w:bCs/>
          <w:color w:val="auto"/>
          <w:spacing w:val="-6"/>
          <w:sz w:val="30"/>
          <w:szCs w:val="30"/>
        </w:rPr>
        <w:t>标项：</w:t>
      </w:r>
    </w:p>
    <w:p>
      <w:pPr>
        <w:ind w:firstLine="576"/>
        <w:rPr>
          <w:rFonts w:cs="宋体"/>
          <w:bCs/>
          <w:color w:val="auto"/>
          <w:spacing w:val="-6"/>
          <w:sz w:val="30"/>
          <w:szCs w:val="30"/>
        </w:rPr>
      </w:pPr>
      <w:r>
        <w:rPr>
          <w:rFonts w:hint="eastAsia" w:cs="宋体"/>
          <w:bCs/>
          <w:color w:val="auto"/>
          <w:spacing w:val="-6"/>
          <w:sz w:val="30"/>
          <w:szCs w:val="30"/>
        </w:rPr>
        <w:t>投标人名称（盖章）：</w:t>
      </w:r>
    </w:p>
    <w:p>
      <w:pPr>
        <w:ind w:firstLine="576"/>
        <w:rPr>
          <w:rFonts w:cs="宋体"/>
          <w:bCs/>
          <w:color w:val="auto"/>
          <w:spacing w:val="-6"/>
          <w:sz w:val="30"/>
          <w:szCs w:val="30"/>
        </w:rPr>
      </w:pPr>
      <w:r>
        <w:rPr>
          <w:rFonts w:hint="eastAsia" w:cs="宋体"/>
          <w:bCs/>
          <w:color w:val="auto"/>
          <w:spacing w:val="-6"/>
          <w:sz w:val="30"/>
          <w:szCs w:val="30"/>
        </w:rPr>
        <w:t>投标人地址：</w:t>
      </w:r>
    </w:p>
    <w:p>
      <w:pPr>
        <w:ind w:firstLine="576"/>
        <w:rPr>
          <w:rFonts w:cs="宋体"/>
          <w:bCs/>
          <w:color w:val="auto"/>
          <w:spacing w:val="-6"/>
          <w:sz w:val="30"/>
          <w:szCs w:val="30"/>
        </w:rPr>
      </w:pPr>
      <w:r>
        <w:rPr>
          <w:rFonts w:hint="eastAsia" w:cs="宋体"/>
          <w:bCs/>
          <w:color w:val="auto"/>
          <w:spacing w:val="-6"/>
          <w:sz w:val="30"/>
          <w:szCs w:val="30"/>
        </w:rPr>
        <w:t>在    年  月  日  时  分之前不得启封</w:t>
      </w:r>
    </w:p>
    <w:p>
      <w:pPr>
        <w:ind w:firstLine="576"/>
        <w:rPr>
          <w:rFonts w:cs="宋体"/>
          <w:bCs/>
          <w:color w:val="auto"/>
          <w:spacing w:val="-6"/>
          <w:sz w:val="30"/>
          <w:szCs w:val="30"/>
        </w:rPr>
      </w:pPr>
    </w:p>
    <w:p>
      <w:pPr>
        <w:ind w:firstLine="576"/>
        <w:rPr>
          <w:rFonts w:cs="宋体"/>
          <w:bCs/>
          <w:color w:val="auto"/>
          <w:spacing w:val="-6"/>
          <w:sz w:val="30"/>
          <w:szCs w:val="30"/>
        </w:rPr>
      </w:pPr>
      <w:r>
        <w:rPr>
          <w:rFonts w:hint="eastAsia" w:cs="宋体"/>
          <w:bCs/>
          <w:color w:val="auto"/>
          <w:spacing w:val="-6"/>
          <w:sz w:val="30"/>
          <w:szCs w:val="30"/>
        </w:rPr>
        <w:t>授权代表姓名：       手机号：</w:t>
      </w:r>
    </w:p>
    <w:p>
      <w:pPr>
        <w:pStyle w:val="13"/>
        <w:rPr>
          <w:rFonts w:ascii="宋体" w:eastAsia="宋体" w:cs="宋体"/>
          <w:color w:val="auto"/>
        </w:rPr>
      </w:pPr>
    </w:p>
    <w:p>
      <w:pPr>
        <w:ind w:firstLine="576"/>
        <w:rPr>
          <w:rFonts w:cs="宋体"/>
          <w:bCs/>
          <w:color w:val="auto"/>
          <w:spacing w:val="-6"/>
          <w:sz w:val="30"/>
          <w:szCs w:val="30"/>
        </w:rPr>
        <w:sectPr>
          <w:pgSz w:w="11907" w:h="16840"/>
          <w:pgMar w:top="1440" w:right="1080" w:bottom="1440" w:left="1080" w:header="850" w:footer="992" w:gutter="0"/>
          <w:cols w:space="720" w:num="1"/>
          <w:docGrid w:linePitch="286" w:charSpace="0"/>
        </w:sectPr>
      </w:pPr>
      <w:r>
        <w:rPr>
          <w:rFonts w:hint="eastAsia" w:cs="宋体"/>
          <w:bCs/>
          <w:color w:val="auto"/>
          <w:spacing w:val="-6"/>
          <w:sz w:val="30"/>
          <w:szCs w:val="30"/>
        </w:rPr>
        <w:t>日期：    年  月  日</w:t>
      </w:r>
    </w:p>
    <w:p>
      <w:pPr>
        <w:ind w:firstLine="480"/>
        <w:rPr>
          <w:rFonts w:cs="宋体"/>
          <w:color w:val="auto"/>
          <w:szCs w:val="22"/>
        </w:rPr>
      </w:pPr>
      <w:r>
        <w:rPr>
          <w:rFonts w:cs="宋体"/>
          <w:color w:val="auto"/>
        </w:rPr>
        <mc:AlternateContent>
          <mc:Choice Requires="wps">
            <w:drawing>
              <wp:anchor distT="0" distB="0" distL="114300" distR="114300" simplePos="0" relativeHeight="251659264" behindDoc="1" locked="0" layoutInCell="1" allowOverlap="1">
                <wp:simplePos x="0" y="0"/>
                <wp:positionH relativeFrom="column">
                  <wp:posOffset>4622800</wp:posOffset>
                </wp:positionH>
                <wp:positionV relativeFrom="paragraph">
                  <wp:posOffset>243205</wp:posOffset>
                </wp:positionV>
                <wp:extent cx="1403350" cy="507365"/>
                <wp:effectExtent l="0" t="0" r="6350" b="6985"/>
                <wp:wrapNone/>
                <wp:docPr id="1" name="文本框 2"/>
                <wp:cNvGraphicFramePr/>
                <a:graphic xmlns:a="http://schemas.openxmlformats.org/drawingml/2006/main">
                  <a:graphicData uri="http://schemas.microsoft.com/office/word/2010/wordprocessingShape">
                    <wps:wsp>
                      <wps:cNvSpPr txBox="1"/>
                      <wps:spPr>
                        <a:xfrm>
                          <a:off x="0" y="0"/>
                          <a:ext cx="1403350" cy="50736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rPr>
                                <w:sz w:val="32"/>
                                <w:szCs w:val="32"/>
                              </w:rPr>
                            </w:pPr>
                            <w:r>
                              <w:rPr>
                                <w:rFonts w:hint="eastAsia"/>
                                <w:sz w:val="32"/>
                                <w:szCs w:val="32"/>
                              </w:rPr>
                              <w:t>正本（</w:t>
                            </w:r>
                            <w:r>
                              <w:rPr>
                                <w:sz w:val="32"/>
                                <w:szCs w:val="32"/>
                              </w:rPr>
                              <w:t>副本）</w:t>
                            </w:r>
                          </w:p>
                        </w:txbxContent>
                      </wps:txbx>
                      <wps:bodyPr upright="1"/>
                    </wps:wsp>
                  </a:graphicData>
                </a:graphic>
              </wp:anchor>
            </w:drawing>
          </mc:Choice>
          <mc:Fallback>
            <w:pict>
              <v:shape id="文本框 2" o:spid="_x0000_s1026" o:spt="202" type="#_x0000_t202" style="position:absolute;left:0pt;margin-left:364pt;margin-top:19.15pt;height:39.95pt;width:110.5pt;z-index:-251657216;mso-width-relative:page;mso-height-relative:page;" fillcolor="#FFFFFF" filled="t" stroked="t" coordsize="21600,21600" o:gfxdata="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Kba99kAAAAKAQAADwAAAAAAAAABACAAAAAiAAAAZHJzL2Rvd25yZXYueG1sUEsBAhQAFAAA&#10;AAgAh07iQOdLzMbuAQAA6AMAAA4AAAAAAAAAAQAgAAAAKAEAAGRycy9lMm9Eb2MueG1sUEsFBgAA&#10;AAAGAAYAWQEAAIgFAAAAAA==&#10;">
                <v:fill on="t" focussize="0,0"/>
                <v:stroke color="#000000" joinstyle="miter"/>
                <v:imagedata o:title=""/>
                <o:lock v:ext="edit" aspectratio="f"/>
                <v:textbox>
                  <w:txbxContent>
                    <w:p>
                      <w:pPr>
                        <w:ind w:firstLine="0" w:firstLineChars="0"/>
                        <w:rPr>
                          <w:sz w:val="32"/>
                          <w:szCs w:val="32"/>
                        </w:rPr>
                      </w:pPr>
                      <w:r>
                        <w:rPr>
                          <w:rFonts w:hint="eastAsia"/>
                          <w:sz w:val="32"/>
                          <w:szCs w:val="32"/>
                        </w:rPr>
                        <w:t>正本（</w:t>
                      </w:r>
                      <w:r>
                        <w:rPr>
                          <w:sz w:val="32"/>
                          <w:szCs w:val="32"/>
                        </w:rPr>
                        <w:t>副本）</w:t>
                      </w:r>
                    </w:p>
                  </w:txbxContent>
                </v:textbox>
              </v:shape>
            </w:pict>
          </mc:Fallback>
        </mc:AlternateContent>
      </w:r>
      <w:r>
        <w:rPr>
          <w:rFonts w:hint="eastAsia" w:cs="宋体"/>
          <w:bCs/>
          <w:color w:val="auto"/>
          <w:spacing w:val="-6"/>
        </w:rPr>
        <w:t xml:space="preserve"> </w:t>
      </w:r>
    </w:p>
    <w:p>
      <w:pPr>
        <w:pStyle w:val="5"/>
        <w:rPr>
          <w:rFonts w:cs="宋体"/>
          <w:color w:val="auto"/>
        </w:rPr>
      </w:pPr>
      <w:bookmarkStart w:id="147" w:name="_Toc29893"/>
      <w:bookmarkStart w:id="148" w:name="_Toc1784"/>
      <w:r>
        <w:rPr>
          <w:rFonts w:hint="eastAsia" w:cs="宋体"/>
          <w:color w:val="auto"/>
        </w:rPr>
        <w:t>资格证明文件封面</w:t>
      </w:r>
      <w:bookmarkEnd w:id="147"/>
      <w:bookmarkEnd w:id="148"/>
    </w:p>
    <w:p>
      <w:pPr>
        <w:ind w:firstLine="880"/>
        <w:rPr>
          <w:rFonts w:cs="宋体"/>
          <w:color w:val="auto"/>
          <w:sz w:val="44"/>
          <w:szCs w:val="32"/>
        </w:rPr>
      </w:pPr>
    </w:p>
    <w:p>
      <w:pPr>
        <w:spacing w:line="600" w:lineRule="auto"/>
        <w:ind w:firstLine="0" w:firstLineChars="0"/>
        <w:jc w:val="center"/>
        <w:rPr>
          <w:rFonts w:cs="宋体"/>
          <w:b/>
          <w:bCs/>
          <w:color w:val="auto"/>
          <w:sz w:val="48"/>
          <w:szCs w:val="48"/>
        </w:rPr>
      </w:pPr>
      <w:r>
        <w:rPr>
          <w:rFonts w:hint="eastAsia" w:cs="宋体"/>
          <w:b/>
          <w:bCs/>
          <w:color w:val="auto"/>
          <w:sz w:val="48"/>
          <w:szCs w:val="48"/>
        </w:rPr>
        <w:t>浙江海洋大学</w:t>
      </w:r>
    </w:p>
    <w:p>
      <w:pPr>
        <w:spacing w:line="600" w:lineRule="auto"/>
        <w:ind w:firstLine="0" w:firstLineChars="0"/>
        <w:jc w:val="center"/>
        <w:rPr>
          <w:rFonts w:cs="宋体"/>
          <w:b/>
          <w:bCs/>
          <w:color w:val="auto"/>
          <w:sz w:val="48"/>
          <w:szCs w:val="48"/>
        </w:rPr>
      </w:pPr>
      <w:r>
        <w:rPr>
          <w:rFonts w:hint="eastAsia" w:cs="宋体"/>
          <w:b/>
          <w:bCs/>
          <w:color w:val="auto"/>
          <w:sz w:val="48"/>
          <w:szCs w:val="48"/>
        </w:rPr>
        <w:t>油气储运工程教学实验平台建设项目</w:t>
      </w:r>
    </w:p>
    <w:p>
      <w:pPr>
        <w:ind w:firstLine="0" w:firstLineChars="0"/>
        <w:jc w:val="center"/>
        <w:rPr>
          <w:rFonts w:cs="宋体"/>
          <w:b/>
          <w:bCs/>
          <w:color w:val="auto"/>
          <w:sz w:val="30"/>
          <w:szCs w:val="30"/>
        </w:rPr>
      </w:pPr>
    </w:p>
    <w:p>
      <w:pPr>
        <w:ind w:firstLine="0" w:firstLineChars="0"/>
        <w:jc w:val="center"/>
        <w:rPr>
          <w:rFonts w:cs="宋体"/>
          <w:color w:val="auto"/>
          <w:sz w:val="30"/>
          <w:szCs w:val="30"/>
        </w:rPr>
      </w:pPr>
      <w:r>
        <w:rPr>
          <w:rFonts w:hint="eastAsia" w:cs="宋体"/>
          <w:b/>
          <w:bCs/>
          <w:color w:val="auto"/>
          <w:sz w:val="30"/>
          <w:szCs w:val="30"/>
        </w:rPr>
        <w:t>资格证明文件</w:t>
      </w:r>
    </w:p>
    <w:p>
      <w:pPr>
        <w:ind w:firstLine="600"/>
        <w:rPr>
          <w:rFonts w:cs="宋体"/>
          <w:color w:val="auto"/>
          <w:sz w:val="30"/>
          <w:szCs w:val="30"/>
        </w:rPr>
      </w:pPr>
    </w:p>
    <w:p>
      <w:pPr>
        <w:ind w:firstLine="600"/>
        <w:rPr>
          <w:rFonts w:cs="宋体"/>
          <w:color w:val="auto"/>
          <w:sz w:val="30"/>
          <w:szCs w:val="30"/>
        </w:rPr>
      </w:pPr>
      <w:r>
        <w:rPr>
          <w:rFonts w:hint="eastAsia" w:cs="宋体"/>
          <w:color w:val="auto"/>
          <w:sz w:val="30"/>
          <w:szCs w:val="30"/>
        </w:rPr>
        <w:t>采 购 人：</w:t>
      </w:r>
    </w:p>
    <w:p>
      <w:pPr>
        <w:ind w:firstLine="600"/>
        <w:rPr>
          <w:rFonts w:cs="宋体"/>
          <w:color w:val="auto"/>
          <w:sz w:val="30"/>
          <w:szCs w:val="30"/>
        </w:rPr>
      </w:pPr>
      <w:r>
        <w:rPr>
          <w:rFonts w:hint="eastAsia" w:cs="宋体"/>
          <w:color w:val="auto"/>
          <w:sz w:val="30"/>
          <w:szCs w:val="30"/>
        </w:rPr>
        <w:t>项目名称：</w:t>
      </w:r>
    </w:p>
    <w:p>
      <w:pPr>
        <w:ind w:firstLine="600"/>
        <w:rPr>
          <w:rFonts w:cs="宋体"/>
          <w:color w:val="auto"/>
          <w:sz w:val="30"/>
          <w:szCs w:val="30"/>
        </w:rPr>
      </w:pPr>
      <w:r>
        <w:rPr>
          <w:rFonts w:hint="eastAsia" w:cs="宋体"/>
          <w:color w:val="auto"/>
          <w:sz w:val="30"/>
          <w:szCs w:val="30"/>
        </w:rPr>
        <w:t>项目编号：</w:t>
      </w:r>
    </w:p>
    <w:p>
      <w:pPr>
        <w:ind w:firstLine="576"/>
        <w:rPr>
          <w:rFonts w:cs="宋体"/>
          <w:bCs/>
          <w:color w:val="auto"/>
          <w:spacing w:val="-6"/>
          <w:sz w:val="30"/>
          <w:szCs w:val="30"/>
        </w:rPr>
      </w:pPr>
      <w:r>
        <w:rPr>
          <w:rFonts w:hint="eastAsia" w:cs="宋体"/>
          <w:bCs/>
          <w:color w:val="auto"/>
          <w:spacing w:val="-6"/>
          <w:sz w:val="30"/>
          <w:szCs w:val="30"/>
        </w:rPr>
        <w:t>标项：</w:t>
      </w:r>
    </w:p>
    <w:p>
      <w:pPr>
        <w:ind w:firstLine="600"/>
        <w:rPr>
          <w:rFonts w:cs="宋体"/>
          <w:color w:val="auto"/>
          <w:sz w:val="30"/>
          <w:szCs w:val="30"/>
        </w:rPr>
      </w:pPr>
      <w:r>
        <w:rPr>
          <w:rFonts w:hint="eastAsia" w:cs="宋体"/>
          <w:color w:val="auto"/>
          <w:sz w:val="30"/>
          <w:szCs w:val="30"/>
        </w:rPr>
        <w:t>投标人名称（盖章）：</w:t>
      </w:r>
    </w:p>
    <w:p>
      <w:pPr>
        <w:ind w:firstLine="600"/>
        <w:rPr>
          <w:rFonts w:cs="宋体"/>
          <w:color w:val="auto"/>
          <w:sz w:val="30"/>
          <w:szCs w:val="30"/>
        </w:rPr>
      </w:pPr>
      <w:r>
        <w:rPr>
          <w:rFonts w:hint="eastAsia" w:cs="宋体"/>
          <w:color w:val="auto"/>
          <w:sz w:val="30"/>
          <w:szCs w:val="30"/>
        </w:rPr>
        <w:t>投标人地址：</w:t>
      </w:r>
    </w:p>
    <w:p>
      <w:pPr>
        <w:ind w:firstLine="600"/>
        <w:rPr>
          <w:rFonts w:cs="宋体"/>
          <w:color w:val="auto"/>
          <w:sz w:val="30"/>
          <w:szCs w:val="30"/>
        </w:rPr>
      </w:pPr>
    </w:p>
    <w:p>
      <w:pPr>
        <w:ind w:firstLine="600"/>
        <w:rPr>
          <w:rFonts w:cs="宋体"/>
          <w:color w:val="auto"/>
          <w:sz w:val="30"/>
          <w:szCs w:val="30"/>
        </w:rPr>
      </w:pPr>
    </w:p>
    <w:p>
      <w:pPr>
        <w:ind w:firstLine="600"/>
        <w:rPr>
          <w:rFonts w:cs="宋体"/>
          <w:color w:val="auto"/>
          <w:sz w:val="30"/>
          <w:szCs w:val="30"/>
        </w:rPr>
      </w:pPr>
      <w:r>
        <w:rPr>
          <w:rFonts w:hint="eastAsia" w:cs="宋体"/>
          <w:color w:val="auto"/>
          <w:sz w:val="30"/>
          <w:szCs w:val="30"/>
        </w:rPr>
        <w:t>授权代表签字或盖章：</w:t>
      </w:r>
    </w:p>
    <w:p>
      <w:pPr>
        <w:ind w:firstLine="600"/>
        <w:rPr>
          <w:rFonts w:cs="宋体"/>
          <w:color w:val="auto"/>
          <w:sz w:val="30"/>
          <w:szCs w:val="30"/>
        </w:rPr>
      </w:pPr>
      <w:r>
        <w:rPr>
          <w:rFonts w:hint="eastAsia" w:cs="宋体"/>
          <w:color w:val="auto"/>
          <w:sz w:val="30"/>
          <w:szCs w:val="30"/>
        </w:rPr>
        <w:t>日期：    年  月  日</w:t>
      </w:r>
    </w:p>
    <w:p>
      <w:pPr>
        <w:ind w:firstLine="576"/>
        <w:rPr>
          <w:rFonts w:cs="宋体"/>
          <w:bCs/>
          <w:color w:val="auto"/>
          <w:spacing w:val="-6"/>
          <w:sz w:val="30"/>
          <w:szCs w:val="30"/>
        </w:rPr>
        <w:sectPr>
          <w:pgSz w:w="11907" w:h="16840"/>
          <w:pgMar w:top="1440" w:right="1080" w:bottom="1440" w:left="1080" w:header="850" w:footer="992" w:gutter="0"/>
          <w:cols w:space="720" w:num="1"/>
          <w:docGrid w:linePitch="286" w:charSpace="0"/>
        </w:sectPr>
      </w:pPr>
      <w:r>
        <w:rPr>
          <w:rFonts w:hint="eastAsia" w:cs="宋体"/>
          <w:bCs/>
          <w:color w:val="auto"/>
          <w:spacing w:val="-6"/>
          <w:sz w:val="30"/>
          <w:szCs w:val="30"/>
        </w:rPr>
        <w:t>授权代表姓名：       手机号：</w:t>
      </w:r>
    </w:p>
    <w:p>
      <w:pPr>
        <w:pStyle w:val="5"/>
        <w:jc w:val="center"/>
        <w:rPr>
          <w:rFonts w:cs="宋体"/>
          <w:color w:val="auto"/>
        </w:rPr>
      </w:pPr>
      <w:bookmarkStart w:id="149" w:name="_Toc5498"/>
      <w:r>
        <w:rPr>
          <w:rFonts w:hint="eastAsia" w:cs="宋体"/>
          <w:color w:val="auto"/>
        </w:rPr>
        <w:t>资格证明文件目录</w:t>
      </w:r>
      <w:bookmarkEnd w:id="149"/>
    </w:p>
    <w:p>
      <w:pPr>
        <w:ind w:firstLine="480"/>
        <w:rPr>
          <w:rFonts w:cs="宋体"/>
          <w:color w:val="auto"/>
        </w:rPr>
      </w:pPr>
    </w:p>
    <w:p>
      <w:pPr>
        <w:numPr>
          <w:ilvl w:val="0"/>
          <w:numId w:val="37"/>
        </w:numPr>
        <w:adjustRightInd w:val="0"/>
        <w:snapToGrid w:val="0"/>
        <w:ind w:firstLine="480"/>
        <w:rPr>
          <w:rFonts w:cs="宋体"/>
          <w:color w:val="auto"/>
        </w:rPr>
      </w:pPr>
      <w:r>
        <w:rPr>
          <w:rFonts w:hint="eastAsia" w:cs="宋体"/>
          <w:color w:val="auto"/>
        </w:rPr>
        <w:t>有效的经营执照复印件；事业单位的，则提供有效的《事业单位法人证书》副本复印件章； ………………………………………………………………………………………（页码）</w:t>
      </w:r>
    </w:p>
    <w:p>
      <w:pPr>
        <w:numPr>
          <w:ilvl w:val="0"/>
          <w:numId w:val="37"/>
        </w:numPr>
        <w:adjustRightInd w:val="0"/>
        <w:snapToGrid w:val="0"/>
        <w:ind w:firstLine="480"/>
        <w:rPr>
          <w:rFonts w:cs="宋体"/>
          <w:color w:val="auto"/>
        </w:rPr>
      </w:pPr>
      <w:r>
        <w:rPr>
          <w:rFonts w:hint="eastAsia" w:cs="宋体"/>
          <w:color w:val="auto"/>
        </w:rPr>
        <w:t>上年度财务报告……………………………………………………………………（页码）</w:t>
      </w:r>
    </w:p>
    <w:p>
      <w:pPr>
        <w:numPr>
          <w:ilvl w:val="0"/>
          <w:numId w:val="37"/>
        </w:numPr>
        <w:adjustRightInd w:val="0"/>
        <w:snapToGrid w:val="0"/>
        <w:ind w:firstLine="480"/>
        <w:rPr>
          <w:rFonts w:cs="宋体"/>
          <w:color w:val="auto"/>
        </w:rPr>
      </w:pPr>
      <w:r>
        <w:rPr>
          <w:rFonts w:hint="eastAsia" w:cs="宋体"/>
          <w:color w:val="auto"/>
        </w:rPr>
        <w:t>近一年任意一个月依法缴纳税收证明……………………………………………（页码）</w:t>
      </w:r>
    </w:p>
    <w:p>
      <w:pPr>
        <w:numPr>
          <w:ilvl w:val="0"/>
          <w:numId w:val="37"/>
        </w:numPr>
        <w:adjustRightInd w:val="0"/>
        <w:snapToGrid w:val="0"/>
        <w:ind w:firstLine="480"/>
        <w:rPr>
          <w:rFonts w:cs="宋体"/>
          <w:color w:val="auto"/>
        </w:rPr>
      </w:pPr>
      <w:r>
        <w:rPr>
          <w:rFonts w:hint="eastAsia" w:cs="宋体"/>
          <w:color w:val="auto"/>
        </w:rPr>
        <w:t>近一年任意一个月依法缴纳社会保障资金证明…………………………………（页码）</w:t>
      </w:r>
    </w:p>
    <w:p>
      <w:pPr>
        <w:numPr>
          <w:ilvl w:val="0"/>
          <w:numId w:val="37"/>
        </w:numPr>
        <w:adjustRightInd w:val="0"/>
        <w:snapToGrid w:val="0"/>
        <w:ind w:firstLine="480"/>
        <w:rPr>
          <w:rFonts w:cs="宋体"/>
          <w:color w:val="auto"/>
        </w:rPr>
      </w:pPr>
      <w:r>
        <w:rPr>
          <w:rFonts w:hint="eastAsia" w:cs="宋体"/>
          <w:color w:val="auto"/>
        </w:rPr>
        <w:t>具有履行合同所必需的设备和专业技术能力的承诺函…………………………（页码）</w:t>
      </w:r>
    </w:p>
    <w:p>
      <w:pPr>
        <w:numPr>
          <w:ilvl w:val="0"/>
          <w:numId w:val="37"/>
        </w:numPr>
        <w:adjustRightInd w:val="0"/>
        <w:snapToGrid w:val="0"/>
        <w:ind w:firstLine="480"/>
        <w:rPr>
          <w:rFonts w:cs="宋体"/>
          <w:color w:val="auto"/>
        </w:rPr>
      </w:pPr>
      <w:r>
        <w:rPr>
          <w:rFonts w:hint="eastAsia" w:cs="宋体"/>
          <w:color w:val="auto"/>
        </w:rPr>
        <w:t>参加政府采购活动前3年内在经营活动中没有重大违法记录的书面声明……（页码）</w:t>
      </w:r>
    </w:p>
    <w:p>
      <w:pPr>
        <w:numPr>
          <w:ilvl w:val="0"/>
          <w:numId w:val="37"/>
        </w:numPr>
        <w:adjustRightInd w:val="0"/>
        <w:snapToGrid w:val="0"/>
        <w:ind w:firstLine="480"/>
        <w:rPr>
          <w:rFonts w:cs="宋体"/>
          <w:color w:val="auto"/>
        </w:rPr>
      </w:pPr>
      <w:r>
        <w:rPr>
          <w:rFonts w:hint="eastAsia" w:cs="宋体"/>
          <w:color w:val="auto"/>
        </w:rPr>
        <w:t>信用记录查询网站截图……………………………………………………………（页码）</w:t>
      </w:r>
    </w:p>
    <w:p>
      <w:pPr>
        <w:ind w:firstLine="480"/>
        <w:rPr>
          <w:rFonts w:cs="宋体"/>
          <w:color w:val="auto"/>
        </w:rPr>
      </w:pPr>
    </w:p>
    <w:p>
      <w:pPr>
        <w:ind w:firstLine="480"/>
        <w:rPr>
          <w:rFonts w:cs="宋体"/>
          <w:color w:val="auto"/>
        </w:rPr>
      </w:pPr>
    </w:p>
    <w:p>
      <w:pPr>
        <w:pStyle w:val="12"/>
        <w:ind w:firstLine="280"/>
        <w:outlineLvl w:val="2"/>
        <w:rPr>
          <w:rFonts w:ascii="宋体" w:eastAsia="宋体" w:cs="宋体"/>
          <w:color w:val="auto"/>
        </w:rPr>
        <w:sectPr>
          <w:pgSz w:w="11907" w:h="16840"/>
          <w:pgMar w:top="1440" w:right="1080" w:bottom="1440" w:left="1080" w:header="850" w:footer="992" w:gutter="0"/>
          <w:cols w:space="720" w:num="1"/>
          <w:docGrid w:linePitch="286" w:charSpace="0"/>
        </w:sectPr>
      </w:pPr>
      <w:bookmarkStart w:id="150" w:name="_Toc25810"/>
    </w:p>
    <w:p>
      <w:pPr>
        <w:pStyle w:val="6"/>
        <w:numPr>
          <w:ilvl w:val="0"/>
          <w:numId w:val="38"/>
        </w:numPr>
        <w:ind w:firstLine="482" w:firstLineChars="200"/>
        <w:rPr>
          <w:rFonts w:cs="宋体"/>
          <w:color w:val="auto"/>
        </w:rPr>
      </w:pPr>
      <w:r>
        <w:rPr>
          <w:rFonts w:hint="eastAsia" w:cs="宋体"/>
          <w:color w:val="auto"/>
        </w:rPr>
        <w:t>提供有效的经营执照复印件；事业单位的，则提供有效的《事业单位法人证书》副本复印件章；自然人的，则提供有效的身份证复印件并签字；</w:t>
      </w:r>
      <w:bookmarkEnd w:id="150"/>
    </w:p>
    <w:p>
      <w:pPr>
        <w:ind w:firstLine="480"/>
        <w:rPr>
          <w:rFonts w:cs="宋体"/>
          <w:color w:val="auto"/>
        </w:rPr>
      </w:pPr>
    </w:p>
    <w:p>
      <w:pPr>
        <w:ind w:firstLine="480"/>
        <w:rPr>
          <w:rFonts w:cs="宋体"/>
          <w:color w:val="auto"/>
        </w:rPr>
      </w:pPr>
    </w:p>
    <w:p>
      <w:pPr>
        <w:ind w:firstLine="480"/>
        <w:rPr>
          <w:rFonts w:cs="宋体"/>
          <w:color w:val="auto"/>
        </w:rPr>
      </w:pPr>
    </w:p>
    <w:p>
      <w:pPr>
        <w:pStyle w:val="6"/>
        <w:numPr>
          <w:ilvl w:val="0"/>
          <w:numId w:val="38"/>
        </w:numPr>
        <w:ind w:firstLine="482" w:firstLineChars="200"/>
        <w:rPr>
          <w:rFonts w:cs="宋体"/>
          <w:color w:val="auto"/>
        </w:rPr>
      </w:pPr>
      <w:bookmarkStart w:id="151" w:name="_Toc29370"/>
      <w:r>
        <w:rPr>
          <w:rFonts w:hint="eastAsia" w:cs="宋体"/>
          <w:color w:val="auto"/>
        </w:rPr>
        <w:t>提供上年度财务报告</w:t>
      </w:r>
      <w:bookmarkEnd w:id="151"/>
    </w:p>
    <w:p>
      <w:pPr>
        <w:ind w:firstLine="480"/>
        <w:rPr>
          <w:rFonts w:cs="宋体"/>
          <w:color w:val="auto"/>
        </w:rPr>
      </w:pPr>
    </w:p>
    <w:p>
      <w:pPr>
        <w:ind w:firstLine="480"/>
        <w:rPr>
          <w:rFonts w:cs="宋体"/>
          <w:color w:val="auto"/>
        </w:rPr>
      </w:pPr>
    </w:p>
    <w:p>
      <w:pPr>
        <w:ind w:firstLine="480"/>
        <w:rPr>
          <w:rFonts w:cs="宋体"/>
          <w:color w:val="auto"/>
        </w:rPr>
      </w:pPr>
    </w:p>
    <w:p>
      <w:pPr>
        <w:pStyle w:val="6"/>
        <w:numPr>
          <w:ilvl w:val="0"/>
          <w:numId w:val="38"/>
        </w:numPr>
        <w:ind w:firstLine="482" w:firstLineChars="200"/>
        <w:rPr>
          <w:rFonts w:cs="宋体"/>
          <w:color w:val="auto"/>
        </w:rPr>
      </w:pPr>
      <w:bookmarkStart w:id="152" w:name="_Toc16270"/>
      <w:r>
        <w:rPr>
          <w:rFonts w:hint="eastAsia" w:cs="宋体"/>
          <w:color w:val="auto"/>
        </w:rPr>
        <w:t>提供近一年任意一个月依法缴纳税收证明（完税凭证或税务部门出具的证明）；</w:t>
      </w:r>
      <w:bookmarkEnd w:id="152"/>
    </w:p>
    <w:p>
      <w:pPr>
        <w:ind w:firstLine="480"/>
        <w:rPr>
          <w:rFonts w:cs="宋体"/>
          <w:color w:val="auto"/>
        </w:rPr>
      </w:pPr>
    </w:p>
    <w:p>
      <w:pPr>
        <w:ind w:firstLine="480"/>
        <w:rPr>
          <w:rFonts w:cs="宋体"/>
          <w:color w:val="auto"/>
        </w:rPr>
      </w:pPr>
      <w:r>
        <w:rPr>
          <w:rFonts w:hint="eastAsia" w:cs="宋体"/>
          <w:color w:val="auto"/>
        </w:rPr>
        <w:t>依法免税的投标人，应提供相应文件证明其依法免税；</w:t>
      </w:r>
    </w:p>
    <w:p>
      <w:pPr>
        <w:ind w:left="480" w:leftChars="200" w:firstLine="0" w:firstLineChars="0"/>
        <w:rPr>
          <w:rFonts w:cs="宋体"/>
          <w:color w:val="auto"/>
        </w:rPr>
      </w:pPr>
      <w:r>
        <w:rPr>
          <w:rFonts w:hint="eastAsia" w:cs="宋体"/>
          <w:color w:val="auto"/>
        </w:rPr>
        <w:t>投标人因新注册成立等原因无法提供相关材料的，应在投标文件中提交如实的情况说明。</w:t>
      </w:r>
    </w:p>
    <w:p>
      <w:pPr>
        <w:ind w:firstLine="480"/>
        <w:rPr>
          <w:rFonts w:cs="宋体"/>
          <w:color w:val="auto"/>
        </w:rPr>
      </w:pPr>
    </w:p>
    <w:p>
      <w:pPr>
        <w:ind w:firstLine="480"/>
        <w:rPr>
          <w:rFonts w:cs="宋体"/>
          <w:color w:val="auto"/>
        </w:rPr>
      </w:pPr>
    </w:p>
    <w:p>
      <w:pPr>
        <w:ind w:firstLine="480"/>
        <w:rPr>
          <w:rFonts w:cs="宋体"/>
          <w:color w:val="auto"/>
        </w:rPr>
      </w:pPr>
    </w:p>
    <w:p>
      <w:pPr>
        <w:pStyle w:val="6"/>
        <w:numPr>
          <w:ilvl w:val="0"/>
          <w:numId w:val="38"/>
        </w:numPr>
        <w:ind w:firstLine="482" w:firstLineChars="200"/>
        <w:rPr>
          <w:rFonts w:cs="宋体"/>
          <w:color w:val="auto"/>
        </w:rPr>
      </w:pPr>
      <w:bookmarkStart w:id="153" w:name="_Toc28317"/>
      <w:r>
        <w:rPr>
          <w:rFonts w:hint="eastAsia" w:cs="宋体"/>
          <w:color w:val="auto"/>
        </w:rPr>
        <w:t>提供近一年任意一个月依法缴纳社会保障资金证明（缴纳凭证或人社部门出具的证明）；</w:t>
      </w:r>
      <w:bookmarkEnd w:id="153"/>
    </w:p>
    <w:p>
      <w:pPr>
        <w:ind w:firstLine="480"/>
        <w:rPr>
          <w:rFonts w:cs="宋体"/>
          <w:color w:val="auto"/>
        </w:rPr>
      </w:pPr>
    </w:p>
    <w:p>
      <w:pPr>
        <w:ind w:firstLine="480"/>
        <w:rPr>
          <w:rFonts w:cs="宋体"/>
          <w:color w:val="auto"/>
        </w:rPr>
      </w:pPr>
      <w:r>
        <w:rPr>
          <w:rFonts w:hint="eastAsia" w:cs="宋体"/>
          <w:color w:val="auto"/>
        </w:rPr>
        <w:t>依法不需要缴纳社会保障资金的投标人，应提供相应文件证明其依法不需要缴纳社会保障资金。</w:t>
      </w:r>
    </w:p>
    <w:p>
      <w:pPr>
        <w:ind w:left="480" w:leftChars="200" w:firstLine="0" w:firstLineChars="0"/>
        <w:rPr>
          <w:rFonts w:cs="宋体"/>
          <w:color w:val="auto"/>
        </w:rPr>
      </w:pPr>
      <w:r>
        <w:rPr>
          <w:rFonts w:hint="eastAsia" w:cs="宋体"/>
          <w:color w:val="auto"/>
        </w:rPr>
        <w:t>投标人因新注册成立等原因无法提供相关材料的，应在投标文件中提交如实的情况说明。</w:t>
      </w:r>
    </w:p>
    <w:p>
      <w:pPr>
        <w:ind w:firstLine="0" w:firstLineChars="0"/>
        <w:jc w:val="both"/>
        <w:rPr>
          <w:rFonts w:cs="宋体"/>
          <w:color w:val="auto"/>
        </w:rPr>
        <w:sectPr>
          <w:pgSz w:w="11907" w:h="16840"/>
          <w:pgMar w:top="1440" w:right="1080" w:bottom="1440" w:left="1080" w:header="850" w:footer="992" w:gutter="0"/>
          <w:cols w:space="720" w:num="1"/>
          <w:docGrid w:linePitch="286" w:charSpace="0"/>
        </w:sectPr>
      </w:pPr>
    </w:p>
    <w:p>
      <w:pPr>
        <w:pStyle w:val="6"/>
        <w:numPr>
          <w:ilvl w:val="0"/>
          <w:numId w:val="38"/>
        </w:numPr>
        <w:ind w:firstLine="482" w:firstLineChars="200"/>
        <w:rPr>
          <w:rFonts w:cs="宋体"/>
          <w:color w:val="auto"/>
        </w:rPr>
      </w:pPr>
      <w:bookmarkStart w:id="154" w:name="_Toc30017"/>
      <w:r>
        <w:rPr>
          <w:rFonts w:hint="eastAsia" w:cs="宋体"/>
          <w:color w:val="auto"/>
        </w:rPr>
        <w:t>具有履行合同所必需的设备和专业技术能力的承诺函</w:t>
      </w:r>
      <w:bookmarkEnd w:id="154"/>
    </w:p>
    <w:p>
      <w:pPr>
        <w:ind w:firstLine="480"/>
        <w:rPr>
          <w:rFonts w:cs="宋体"/>
          <w:color w:val="auto"/>
        </w:rPr>
      </w:pPr>
    </w:p>
    <w:p>
      <w:pPr>
        <w:snapToGrid w:val="0"/>
        <w:ind w:firstLine="0" w:firstLineChars="0"/>
        <w:rPr>
          <w:rFonts w:cs="宋体"/>
          <w:color w:val="auto"/>
        </w:rPr>
      </w:pPr>
      <w:r>
        <w:rPr>
          <w:rFonts w:hint="eastAsia" w:cs="宋体"/>
          <w:color w:val="auto"/>
        </w:rPr>
        <w:t>浙江海洋大学、浙江五石工程咨询有限公司：</w:t>
      </w:r>
    </w:p>
    <w:p>
      <w:pPr>
        <w:ind w:firstLine="480"/>
        <w:rPr>
          <w:rFonts w:cs="宋体"/>
          <w:color w:val="auto"/>
        </w:rPr>
      </w:pPr>
      <w:r>
        <w:rPr>
          <w:rFonts w:hint="eastAsia" w:cs="宋体"/>
          <w:color w:val="auto"/>
        </w:rPr>
        <w:t>我方郑重承诺，我方具有履行</w:t>
      </w:r>
      <w:r>
        <w:rPr>
          <w:rFonts w:hint="eastAsia" w:cs="宋体"/>
          <w:color w:val="auto"/>
          <w:u w:val="single"/>
        </w:rPr>
        <w:t>（项目名称：           ）（项目编号：            ）</w:t>
      </w:r>
      <w:r>
        <w:rPr>
          <w:rFonts w:hint="eastAsia" w:cs="宋体"/>
          <w:color w:val="auto"/>
        </w:rPr>
        <w:t>合同所必需的设备和专业技术能力。如中标，我方将保证合同顺利履行。</w:t>
      </w:r>
    </w:p>
    <w:p>
      <w:pPr>
        <w:ind w:firstLine="480"/>
        <w:rPr>
          <w:rFonts w:cs="宋体"/>
          <w:color w:val="auto"/>
          <w:lang w:val="zh-CN"/>
        </w:rPr>
      </w:pPr>
      <w:r>
        <w:rPr>
          <w:rFonts w:hint="eastAsia" w:cs="宋体"/>
          <w:color w:val="auto"/>
          <w:lang w:val="zh-CN"/>
        </w:rPr>
        <w:t xml:space="preserve"> </w:t>
      </w:r>
    </w:p>
    <w:p>
      <w:pPr>
        <w:snapToGrid w:val="0"/>
        <w:ind w:firstLine="480"/>
        <w:rPr>
          <w:rFonts w:cs="宋体"/>
          <w:color w:val="auto"/>
        </w:rPr>
      </w:pPr>
      <w:r>
        <w:rPr>
          <w:rFonts w:hint="eastAsia" w:cs="宋体"/>
          <w:color w:val="auto"/>
          <w:lang w:val="zh-CN"/>
        </w:rPr>
        <w:t>投标人名称(公章)：</w:t>
      </w:r>
    </w:p>
    <w:p>
      <w:pPr>
        <w:snapToGrid w:val="0"/>
        <w:ind w:firstLine="480"/>
        <w:rPr>
          <w:rFonts w:cs="宋体"/>
          <w:color w:val="auto"/>
        </w:rPr>
      </w:pPr>
      <w:r>
        <w:rPr>
          <w:rFonts w:hint="eastAsia" w:cs="宋体"/>
          <w:color w:val="auto"/>
          <w:lang w:val="zh-CN"/>
        </w:rPr>
        <w:t>法定代表人或其授权代表(签字或盖章)：</w:t>
      </w:r>
    </w:p>
    <w:p>
      <w:pPr>
        <w:snapToGrid w:val="0"/>
        <w:ind w:firstLine="480"/>
        <w:rPr>
          <w:rFonts w:cs="宋体"/>
          <w:b/>
          <w:color w:val="auto"/>
          <w:kern w:val="0"/>
          <w:sz w:val="32"/>
          <w:szCs w:val="32"/>
        </w:rPr>
      </w:pPr>
      <w:r>
        <w:rPr>
          <w:rFonts w:hint="eastAsia" w:cs="宋体"/>
          <w:color w:val="auto"/>
          <w:lang w:val="zh-CN"/>
        </w:rPr>
        <w:t>日期</w:t>
      </w:r>
      <w:r>
        <w:rPr>
          <w:rFonts w:hint="eastAsia" w:cs="宋体"/>
          <w:color w:val="auto"/>
        </w:rPr>
        <w:t xml:space="preserve">：  年  </w:t>
      </w:r>
      <w:r>
        <w:rPr>
          <w:rFonts w:hint="eastAsia" w:cs="宋体"/>
          <w:color w:val="auto"/>
          <w:lang w:val="zh-CN"/>
        </w:rPr>
        <w:t>月</w:t>
      </w:r>
      <w:r>
        <w:rPr>
          <w:rFonts w:hint="eastAsia" w:cs="宋体"/>
          <w:color w:val="auto"/>
        </w:rPr>
        <w:t xml:space="preserve">   </w:t>
      </w:r>
      <w:r>
        <w:rPr>
          <w:rFonts w:hint="eastAsia" w:cs="宋体"/>
          <w:color w:val="auto"/>
          <w:lang w:val="zh-CN"/>
        </w:rPr>
        <w:t>日</w:t>
      </w:r>
    </w:p>
    <w:p>
      <w:pPr>
        <w:ind w:firstLine="480"/>
        <w:rPr>
          <w:rFonts w:cs="宋体"/>
          <w:color w:val="auto"/>
        </w:rPr>
      </w:pPr>
    </w:p>
    <w:p>
      <w:pPr>
        <w:ind w:firstLine="480"/>
        <w:rPr>
          <w:rFonts w:cs="宋体"/>
          <w:color w:val="auto"/>
        </w:rPr>
        <w:sectPr>
          <w:pgSz w:w="11907" w:h="16840"/>
          <w:pgMar w:top="1440" w:right="1080" w:bottom="1440" w:left="1080" w:header="850" w:footer="992" w:gutter="0"/>
          <w:cols w:space="720" w:num="1"/>
          <w:docGrid w:linePitch="286" w:charSpace="0"/>
        </w:sectPr>
      </w:pPr>
    </w:p>
    <w:p>
      <w:pPr>
        <w:pStyle w:val="6"/>
        <w:numPr>
          <w:ilvl w:val="0"/>
          <w:numId w:val="38"/>
        </w:numPr>
        <w:ind w:firstLine="482" w:firstLineChars="200"/>
        <w:rPr>
          <w:rFonts w:cs="宋体"/>
          <w:color w:val="auto"/>
        </w:rPr>
      </w:pPr>
      <w:bookmarkStart w:id="155" w:name="_Toc26770"/>
      <w:r>
        <w:rPr>
          <w:rFonts w:hint="eastAsia" w:cs="宋体"/>
          <w:color w:val="auto"/>
        </w:rPr>
        <w:t>参加政府采购活动前3年内在经营活动中没有重大违法记录的书面声明；</w:t>
      </w:r>
      <w:bookmarkEnd w:id="155"/>
    </w:p>
    <w:p>
      <w:pPr>
        <w:snapToGrid w:val="0"/>
        <w:ind w:firstLine="0" w:firstLineChars="0"/>
        <w:rPr>
          <w:rFonts w:cs="宋体"/>
          <w:color w:val="auto"/>
        </w:rPr>
      </w:pPr>
    </w:p>
    <w:p>
      <w:pPr>
        <w:snapToGrid w:val="0"/>
        <w:ind w:firstLine="0" w:firstLineChars="0"/>
        <w:rPr>
          <w:rFonts w:cs="宋体"/>
          <w:color w:val="auto"/>
        </w:rPr>
      </w:pPr>
      <w:r>
        <w:rPr>
          <w:rFonts w:hint="eastAsia" w:cs="宋体"/>
          <w:color w:val="auto"/>
        </w:rPr>
        <w:t>浙江海洋大学、浙江五石工程咨询有限公司：</w:t>
      </w:r>
    </w:p>
    <w:p>
      <w:pPr>
        <w:snapToGrid w:val="0"/>
        <w:ind w:firstLine="480"/>
        <w:rPr>
          <w:rFonts w:cs="宋体"/>
          <w:color w:val="auto"/>
          <w:lang w:val="zh-CN"/>
        </w:rPr>
      </w:pPr>
      <w:r>
        <w:rPr>
          <w:rFonts w:hint="eastAsia" w:cs="宋体"/>
          <w:color w:val="auto"/>
          <w:lang w:val="zh-CN"/>
        </w:rPr>
        <w:t>我公司</w:t>
      </w:r>
      <w:r>
        <w:rPr>
          <w:rFonts w:hint="eastAsia" w:cs="宋体"/>
          <w:color w:val="auto"/>
        </w:rPr>
        <w:t>声明截止投标时间近三年以来，在政府采购领域中，在项目招标、投标和合同履约期间无任何不良行为记录和违法、违规行为</w:t>
      </w:r>
      <w:r>
        <w:rPr>
          <w:rFonts w:hint="eastAsia" w:cs="宋体"/>
          <w:color w:val="auto"/>
          <w:lang w:val="zh-CN"/>
        </w:rPr>
        <w:t>。</w:t>
      </w:r>
    </w:p>
    <w:p>
      <w:pPr>
        <w:snapToGrid w:val="0"/>
        <w:ind w:firstLine="480"/>
        <w:rPr>
          <w:rFonts w:cs="宋体"/>
          <w:color w:val="auto"/>
          <w:lang w:val="zh-CN"/>
        </w:rPr>
      </w:pPr>
      <w:r>
        <w:rPr>
          <w:rFonts w:hint="eastAsia" w:cs="宋体"/>
          <w:color w:val="auto"/>
          <w:lang w:val="zh-CN"/>
        </w:rPr>
        <w:t>我公司自愿参加（</w:t>
      </w:r>
      <w:r>
        <w:rPr>
          <w:rFonts w:hint="eastAsia" w:cs="宋体"/>
          <w:color w:val="auto"/>
        </w:rPr>
        <w:t>项目名称：</w:t>
      </w:r>
      <w:r>
        <w:rPr>
          <w:rFonts w:hint="eastAsia" w:cs="宋体"/>
          <w:color w:val="auto"/>
          <w:u w:val="single"/>
        </w:rPr>
        <w:t xml:space="preserve">             </w:t>
      </w:r>
      <w:r>
        <w:rPr>
          <w:rFonts w:hint="eastAsia" w:cs="宋体"/>
          <w:color w:val="auto"/>
        </w:rPr>
        <w:t>）（项目编号：</w:t>
      </w:r>
      <w:r>
        <w:rPr>
          <w:rFonts w:hint="eastAsia" w:cs="宋体"/>
          <w:color w:val="auto"/>
          <w:u w:val="single"/>
        </w:rPr>
        <w:t xml:space="preserve">        </w:t>
      </w:r>
      <w:r>
        <w:rPr>
          <w:rFonts w:hint="eastAsia" w:cs="宋体"/>
          <w:color w:val="auto"/>
        </w:rPr>
        <w:t xml:space="preserve"> ）</w:t>
      </w:r>
      <w:r>
        <w:rPr>
          <w:rFonts w:hint="eastAsia" w:cs="宋体"/>
          <w:color w:val="auto"/>
          <w:lang w:val="zh-CN"/>
        </w:rPr>
        <w:t>的投标，并保证投标文件中所列举的投标报价文件及相关资料和公司基本情况资料是真实的、合法的。</w:t>
      </w:r>
    </w:p>
    <w:p>
      <w:pPr>
        <w:snapToGrid w:val="0"/>
        <w:ind w:firstLine="480"/>
        <w:rPr>
          <w:rFonts w:cs="宋体"/>
          <w:color w:val="auto"/>
          <w:lang w:val="zh-CN"/>
        </w:rPr>
      </w:pPr>
      <w:r>
        <w:rPr>
          <w:rFonts w:hint="eastAsia" w:cs="宋体"/>
          <w:color w:val="auto"/>
          <w:lang w:val="zh-CN"/>
        </w:rPr>
        <w:t>我公司已详细阅读全部“招标文件”，包括修改文件（如果有）以及全部招标资料和相关附件，并已了解我公司在招投标过程中的权利和义务。</w:t>
      </w:r>
    </w:p>
    <w:p>
      <w:pPr>
        <w:snapToGrid w:val="0"/>
        <w:ind w:firstLine="480"/>
        <w:rPr>
          <w:rFonts w:cs="宋体"/>
          <w:color w:val="auto"/>
        </w:rPr>
      </w:pPr>
      <w:r>
        <w:rPr>
          <w:rFonts w:hint="eastAsia" w:cs="宋体"/>
          <w:color w:val="auto"/>
          <w:lang w:val="zh-CN"/>
        </w:rPr>
        <w:t>我公司理解并接受招标文件的各项规定和要求，同意此次招标文件中的各项内容，</w:t>
      </w:r>
      <w:r>
        <w:rPr>
          <w:rFonts w:hint="eastAsia" w:cs="宋体"/>
          <w:color w:val="auto"/>
        </w:rPr>
        <w:t>并</w:t>
      </w:r>
      <w:r>
        <w:rPr>
          <w:rFonts w:hint="eastAsia" w:cs="宋体"/>
          <w:color w:val="auto"/>
          <w:lang w:val="zh-CN"/>
        </w:rPr>
        <w:t>同意提供按照贵方可能要求的与投标有关的一切数据或资料等。</w:t>
      </w:r>
    </w:p>
    <w:p>
      <w:pPr>
        <w:snapToGrid w:val="0"/>
        <w:ind w:firstLine="480"/>
        <w:rPr>
          <w:rFonts w:cs="宋体"/>
          <w:color w:val="auto"/>
          <w:lang w:val="zh-CN"/>
        </w:rPr>
      </w:pPr>
      <w:r>
        <w:rPr>
          <w:rFonts w:hint="eastAsia" w:cs="宋体"/>
          <w:color w:val="auto"/>
          <w:lang w:val="zh-CN"/>
        </w:rPr>
        <w:t>本公司如中标，保证按照投标文件的承诺与贵方签订合同，保证履行合同条款并缴纳履约保证金。</w:t>
      </w:r>
    </w:p>
    <w:p>
      <w:pPr>
        <w:snapToGrid w:val="0"/>
        <w:ind w:firstLine="480"/>
        <w:rPr>
          <w:rFonts w:cs="宋体"/>
          <w:color w:val="auto"/>
        </w:rPr>
      </w:pPr>
    </w:p>
    <w:p>
      <w:pPr>
        <w:snapToGrid w:val="0"/>
        <w:ind w:firstLine="480"/>
        <w:rPr>
          <w:rFonts w:cs="宋体"/>
          <w:color w:val="auto"/>
        </w:rPr>
      </w:pPr>
      <w:r>
        <w:rPr>
          <w:rFonts w:hint="eastAsia" w:cs="宋体"/>
          <w:color w:val="auto"/>
          <w:lang w:val="zh-CN"/>
        </w:rPr>
        <w:t>投标人名称(公章)：</w:t>
      </w:r>
    </w:p>
    <w:p>
      <w:pPr>
        <w:snapToGrid w:val="0"/>
        <w:ind w:firstLine="480"/>
        <w:rPr>
          <w:rFonts w:cs="宋体"/>
          <w:color w:val="auto"/>
        </w:rPr>
      </w:pPr>
      <w:r>
        <w:rPr>
          <w:rFonts w:hint="eastAsia" w:cs="宋体"/>
          <w:color w:val="auto"/>
          <w:lang w:val="zh-CN"/>
        </w:rPr>
        <w:t>法定代表人或其授权代表(签字或盖章)：</w:t>
      </w:r>
    </w:p>
    <w:p>
      <w:pPr>
        <w:snapToGrid w:val="0"/>
        <w:ind w:firstLine="480"/>
        <w:rPr>
          <w:rFonts w:cs="宋体"/>
          <w:color w:val="auto"/>
          <w:lang w:val="zh-CN"/>
        </w:rPr>
      </w:pPr>
      <w:r>
        <w:rPr>
          <w:rFonts w:hint="eastAsia" w:cs="宋体"/>
          <w:color w:val="auto"/>
          <w:lang w:val="zh-CN"/>
        </w:rPr>
        <w:t>日期</w:t>
      </w:r>
      <w:r>
        <w:rPr>
          <w:rFonts w:hint="eastAsia" w:cs="宋体"/>
          <w:color w:val="auto"/>
        </w:rPr>
        <w:t xml:space="preserve">：  年  </w:t>
      </w:r>
      <w:r>
        <w:rPr>
          <w:rFonts w:hint="eastAsia" w:cs="宋体"/>
          <w:color w:val="auto"/>
          <w:lang w:val="zh-CN"/>
        </w:rPr>
        <w:t>月</w:t>
      </w:r>
      <w:r>
        <w:rPr>
          <w:rFonts w:hint="eastAsia" w:cs="宋体"/>
          <w:color w:val="auto"/>
        </w:rPr>
        <w:t xml:space="preserve">   </w:t>
      </w:r>
      <w:r>
        <w:rPr>
          <w:rFonts w:hint="eastAsia" w:cs="宋体"/>
          <w:color w:val="auto"/>
          <w:lang w:val="zh-CN"/>
        </w:rPr>
        <w:t>日</w:t>
      </w:r>
    </w:p>
    <w:p>
      <w:pPr>
        <w:ind w:firstLine="480"/>
        <w:rPr>
          <w:rFonts w:cs="宋体"/>
          <w:color w:val="auto"/>
        </w:rPr>
        <w:sectPr>
          <w:pgSz w:w="11907" w:h="16840"/>
          <w:pgMar w:top="1440" w:right="1080" w:bottom="1440" w:left="1080" w:header="850" w:footer="992" w:gutter="0"/>
          <w:cols w:space="720" w:num="1"/>
          <w:docGrid w:linePitch="286" w:charSpace="0"/>
        </w:sectPr>
      </w:pPr>
    </w:p>
    <w:p>
      <w:pPr>
        <w:pStyle w:val="6"/>
        <w:numPr>
          <w:ilvl w:val="0"/>
          <w:numId w:val="38"/>
        </w:numPr>
        <w:ind w:firstLine="482" w:firstLineChars="200"/>
        <w:rPr>
          <w:rFonts w:cs="宋体"/>
          <w:color w:val="auto"/>
        </w:rPr>
      </w:pPr>
      <w:bookmarkStart w:id="156" w:name="_Toc28885"/>
      <w:r>
        <w:rPr>
          <w:rFonts w:hint="eastAsia" w:cs="宋体"/>
          <w:color w:val="auto"/>
        </w:rPr>
        <w:t>信用记录：查询信息网站截图：查询渠道：“信用中国”（www.creditchina.gov.cn）、“中国政府采购网”（www.ccgp.gov.cn），最终审查以代理机构在投标截止时间查询的最新信息为准。</w:t>
      </w:r>
      <w:bookmarkEnd w:id="156"/>
    </w:p>
    <w:p>
      <w:pPr>
        <w:pStyle w:val="38"/>
        <w:rPr>
          <w:rFonts w:cs="宋体"/>
          <w:color w:val="auto"/>
          <w:kern w:val="2"/>
        </w:rPr>
      </w:pPr>
    </w:p>
    <w:p>
      <w:pPr>
        <w:pStyle w:val="38"/>
        <w:rPr>
          <w:rFonts w:cs="宋体"/>
          <w:color w:val="auto"/>
          <w:kern w:val="2"/>
        </w:rPr>
      </w:pPr>
      <w:r>
        <w:rPr>
          <w:rFonts w:hint="eastAsia" w:cs="宋体"/>
          <w:color w:val="auto"/>
          <w:kern w:val="2"/>
        </w:rPr>
        <w:t>对列入失信被执行人、重大税收违法案件当事人名单、政府采购严重违法失信行为记录名单及其他不符合《中华人民共和国政府采购法》第二十二条规定条件的投标人，将拒绝其参与政府采购活动；</w:t>
      </w:r>
    </w:p>
    <w:p>
      <w:pPr>
        <w:pStyle w:val="22"/>
        <w:rPr>
          <w:rFonts w:hAnsi="宋体" w:cs="宋体"/>
          <w:color w:val="auto"/>
          <w:sz w:val="24"/>
          <w:szCs w:val="24"/>
        </w:rPr>
      </w:pPr>
      <w:r>
        <w:rPr>
          <w:rFonts w:hint="eastAsia" w:hAnsi="宋体" w:cs="宋体"/>
          <w:color w:val="auto"/>
          <w:sz w:val="24"/>
          <w:szCs w:val="24"/>
        </w:rPr>
        <w:t>行政处罚较大数额罚款标准认定：按照处罚机关所在地较大金额罚款标准进行认定。</w:t>
      </w:r>
    </w:p>
    <w:p>
      <w:pPr>
        <w:pStyle w:val="22"/>
        <w:rPr>
          <w:rFonts w:hAnsi="宋体" w:cs="宋体"/>
          <w:color w:val="auto"/>
          <w:sz w:val="24"/>
          <w:szCs w:val="24"/>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22"/>
        <w:rPr>
          <w:rFonts w:hAnsi="宋体" w:cs="宋体"/>
          <w:color w:val="auto"/>
        </w:rPr>
      </w:pPr>
    </w:p>
    <w:p>
      <w:pPr>
        <w:pStyle w:val="48"/>
        <w:rPr>
          <w:rFonts w:ascii="宋体" w:hAnsi="宋体" w:eastAsia="宋体" w:cs="宋体"/>
          <w:color w:val="auto"/>
          <w:sz w:val="30"/>
          <w:szCs w:val="30"/>
        </w:rPr>
      </w:pPr>
    </w:p>
    <w:p>
      <w:pPr>
        <w:pStyle w:val="48"/>
        <w:rPr>
          <w:rFonts w:ascii="宋体" w:hAnsi="宋体" w:eastAsia="宋体" w:cs="宋体"/>
          <w:color w:val="auto"/>
          <w:sz w:val="30"/>
          <w:szCs w:val="30"/>
        </w:rPr>
        <w:sectPr>
          <w:pgSz w:w="11907" w:h="16840"/>
          <w:pgMar w:top="1440" w:right="1080" w:bottom="1440" w:left="1080" w:header="850" w:footer="992" w:gutter="0"/>
          <w:cols w:space="720" w:num="1"/>
          <w:docGrid w:linePitch="286" w:charSpace="0"/>
        </w:sectPr>
      </w:pPr>
    </w:p>
    <w:p>
      <w:pPr>
        <w:pStyle w:val="5"/>
        <w:rPr>
          <w:rFonts w:cs="宋体"/>
          <w:color w:val="auto"/>
        </w:rPr>
      </w:pPr>
      <w:bookmarkStart w:id="157" w:name="_Toc2451"/>
      <w:bookmarkStart w:id="158" w:name="_Toc32324"/>
      <w:r>
        <w:rPr>
          <w:rFonts w:cs="宋体"/>
          <w:color w:val="auto"/>
        </w:rPr>
        <mc:AlternateContent>
          <mc:Choice Requires="wps">
            <w:drawing>
              <wp:anchor distT="0" distB="0" distL="114300" distR="114300" simplePos="0" relativeHeight="251660288" behindDoc="0" locked="0" layoutInCell="1" allowOverlap="1">
                <wp:simplePos x="0" y="0"/>
                <wp:positionH relativeFrom="column">
                  <wp:posOffset>4608830</wp:posOffset>
                </wp:positionH>
                <wp:positionV relativeFrom="paragraph">
                  <wp:posOffset>-50800</wp:posOffset>
                </wp:positionV>
                <wp:extent cx="1346200" cy="401955"/>
                <wp:effectExtent l="0" t="0" r="6350" b="0"/>
                <wp:wrapNone/>
                <wp:docPr id="2" name="文本框 7"/>
                <wp:cNvGraphicFramePr/>
                <a:graphic xmlns:a="http://schemas.openxmlformats.org/drawingml/2006/main">
                  <a:graphicData uri="http://schemas.microsoft.com/office/word/2010/wordprocessingShape">
                    <wps:wsp>
                      <wps:cNvSpPr txBox="1"/>
                      <wps:spPr>
                        <a:xfrm>
                          <a:off x="0" y="0"/>
                          <a:ext cx="1346200" cy="4019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rPr>
                                <w:sz w:val="32"/>
                                <w:szCs w:val="32"/>
                              </w:rPr>
                            </w:pPr>
                            <w:r>
                              <w:rPr>
                                <w:rFonts w:hint="eastAsia"/>
                                <w:sz w:val="32"/>
                                <w:szCs w:val="32"/>
                              </w:rPr>
                              <w:t>正本（</w:t>
                            </w:r>
                            <w:r>
                              <w:rPr>
                                <w:sz w:val="32"/>
                                <w:szCs w:val="32"/>
                              </w:rPr>
                              <w:t>副本）</w:t>
                            </w:r>
                          </w:p>
                        </w:txbxContent>
                      </wps:txbx>
                      <wps:bodyPr upright="1"/>
                    </wps:wsp>
                  </a:graphicData>
                </a:graphic>
              </wp:anchor>
            </w:drawing>
          </mc:Choice>
          <mc:Fallback>
            <w:pict>
              <v:shape id="文本框 7" o:spid="_x0000_s1026" o:spt="202" type="#_x0000_t202" style="position:absolute;left:0pt;margin-left:362.9pt;margin-top:-4pt;height:31.65pt;width:106pt;z-index:251660288;mso-width-relative:page;mso-height-relative:page;" fillcolor="#FFFFFF" filled="t" stroked="t" coordsize="21600,21600" o:gfxdata="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B177LDZAAAACQEAAA8AAAAAAAAAAQAgAAAAIgAAAGRycy9kb3ducmV2LnhtbFBLAQIUABQA&#10;AAAIAIdO4kA33eJz7wEAAOgDAAAOAAAAAAAAAAEAIAAAACgBAABkcnMvZTJvRG9jLnhtbFBLBQYA&#10;AAAABgAGAFkBAACJBQAAAAA=&#10;">
                <v:fill on="t" focussize="0,0"/>
                <v:stroke color="#000000" joinstyle="miter"/>
                <v:imagedata o:title=""/>
                <o:lock v:ext="edit" aspectratio="f"/>
                <v:textbox>
                  <w:txbxContent>
                    <w:p>
                      <w:pPr>
                        <w:ind w:firstLine="0" w:firstLineChars="0"/>
                        <w:rPr>
                          <w:sz w:val="32"/>
                          <w:szCs w:val="32"/>
                        </w:rPr>
                      </w:pPr>
                      <w:r>
                        <w:rPr>
                          <w:rFonts w:hint="eastAsia"/>
                          <w:sz w:val="32"/>
                          <w:szCs w:val="32"/>
                        </w:rPr>
                        <w:t>正本（</w:t>
                      </w:r>
                      <w:r>
                        <w:rPr>
                          <w:sz w:val="32"/>
                          <w:szCs w:val="32"/>
                        </w:rPr>
                        <w:t>副本）</w:t>
                      </w:r>
                    </w:p>
                  </w:txbxContent>
                </v:textbox>
              </v:shape>
            </w:pict>
          </mc:Fallback>
        </mc:AlternateContent>
      </w:r>
      <w:r>
        <w:rPr>
          <w:rFonts w:hint="eastAsia" w:cs="宋体"/>
          <w:color w:val="auto"/>
          <w:szCs w:val="40"/>
        </w:rPr>
        <w:t>报价</w:t>
      </w:r>
      <w:r>
        <w:rPr>
          <w:rFonts w:hint="eastAsia" w:cs="宋体"/>
          <w:color w:val="auto"/>
        </w:rPr>
        <w:t>文件封面</w:t>
      </w:r>
      <w:bookmarkEnd w:id="157"/>
      <w:bookmarkEnd w:id="158"/>
    </w:p>
    <w:p>
      <w:pPr>
        <w:ind w:firstLine="880"/>
        <w:rPr>
          <w:rFonts w:cs="宋体"/>
          <w:color w:val="auto"/>
          <w:sz w:val="44"/>
          <w:szCs w:val="32"/>
        </w:rPr>
      </w:pPr>
    </w:p>
    <w:p>
      <w:pPr>
        <w:spacing w:line="600" w:lineRule="auto"/>
        <w:ind w:firstLine="0" w:firstLineChars="0"/>
        <w:jc w:val="center"/>
        <w:rPr>
          <w:rFonts w:cs="宋体"/>
          <w:b/>
          <w:bCs/>
          <w:color w:val="auto"/>
          <w:sz w:val="48"/>
          <w:szCs w:val="48"/>
        </w:rPr>
      </w:pPr>
      <w:r>
        <w:rPr>
          <w:rFonts w:hint="eastAsia" w:cs="宋体"/>
          <w:b/>
          <w:bCs/>
          <w:color w:val="auto"/>
          <w:sz w:val="48"/>
          <w:szCs w:val="48"/>
        </w:rPr>
        <w:t>浙江海洋大学</w:t>
      </w:r>
    </w:p>
    <w:p>
      <w:pPr>
        <w:spacing w:line="600" w:lineRule="auto"/>
        <w:ind w:firstLine="0" w:firstLineChars="0"/>
        <w:jc w:val="center"/>
        <w:rPr>
          <w:rFonts w:cs="宋体"/>
          <w:b/>
          <w:bCs/>
          <w:color w:val="auto"/>
          <w:sz w:val="48"/>
          <w:szCs w:val="48"/>
        </w:rPr>
      </w:pPr>
      <w:r>
        <w:rPr>
          <w:rFonts w:hint="eastAsia" w:cs="宋体"/>
          <w:b/>
          <w:bCs/>
          <w:color w:val="auto"/>
          <w:sz w:val="48"/>
          <w:szCs w:val="48"/>
        </w:rPr>
        <w:t>油气储运工程教学实验平台建设项目</w:t>
      </w:r>
    </w:p>
    <w:p>
      <w:pPr>
        <w:ind w:firstLine="880"/>
        <w:rPr>
          <w:rFonts w:cs="宋体"/>
          <w:color w:val="auto"/>
          <w:sz w:val="44"/>
          <w:szCs w:val="32"/>
        </w:rPr>
      </w:pPr>
    </w:p>
    <w:p>
      <w:pPr>
        <w:ind w:firstLine="602"/>
        <w:jc w:val="center"/>
        <w:rPr>
          <w:rFonts w:cs="宋体"/>
          <w:b/>
          <w:bCs/>
          <w:color w:val="auto"/>
          <w:sz w:val="30"/>
          <w:szCs w:val="30"/>
        </w:rPr>
      </w:pPr>
      <w:r>
        <w:rPr>
          <w:rFonts w:hint="eastAsia" w:cs="宋体"/>
          <w:b/>
          <w:bCs/>
          <w:color w:val="auto"/>
          <w:sz w:val="30"/>
          <w:szCs w:val="30"/>
        </w:rPr>
        <w:t>报价文件</w:t>
      </w:r>
    </w:p>
    <w:p>
      <w:pPr>
        <w:ind w:firstLine="600"/>
        <w:rPr>
          <w:rFonts w:cs="宋体"/>
          <w:color w:val="auto"/>
          <w:sz w:val="30"/>
          <w:szCs w:val="30"/>
        </w:rPr>
      </w:pPr>
    </w:p>
    <w:p>
      <w:pPr>
        <w:ind w:firstLine="600"/>
        <w:rPr>
          <w:rFonts w:cs="宋体"/>
          <w:color w:val="auto"/>
          <w:sz w:val="30"/>
          <w:szCs w:val="30"/>
        </w:rPr>
      </w:pPr>
      <w:r>
        <w:rPr>
          <w:rFonts w:hint="eastAsia" w:cs="宋体"/>
          <w:color w:val="auto"/>
          <w:sz w:val="30"/>
          <w:szCs w:val="30"/>
        </w:rPr>
        <w:t>采 购 人：</w:t>
      </w:r>
    </w:p>
    <w:p>
      <w:pPr>
        <w:ind w:firstLine="600"/>
        <w:rPr>
          <w:rFonts w:cs="宋体"/>
          <w:color w:val="auto"/>
          <w:sz w:val="30"/>
          <w:szCs w:val="30"/>
        </w:rPr>
      </w:pPr>
      <w:r>
        <w:rPr>
          <w:rFonts w:hint="eastAsia" w:cs="宋体"/>
          <w:color w:val="auto"/>
          <w:sz w:val="30"/>
          <w:szCs w:val="30"/>
        </w:rPr>
        <w:t>项目名称：</w:t>
      </w:r>
    </w:p>
    <w:p>
      <w:pPr>
        <w:ind w:firstLine="600"/>
        <w:rPr>
          <w:rFonts w:cs="宋体"/>
          <w:color w:val="auto"/>
          <w:sz w:val="30"/>
          <w:szCs w:val="30"/>
        </w:rPr>
      </w:pPr>
      <w:r>
        <w:rPr>
          <w:rFonts w:hint="eastAsia" w:cs="宋体"/>
          <w:color w:val="auto"/>
          <w:sz w:val="30"/>
          <w:szCs w:val="30"/>
        </w:rPr>
        <w:t>项目编号：</w:t>
      </w:r>
    </w:p>
    <w:p>
      <w:pPr>
        <w:ind w:firstLine="576"/>
        <w:rPr>
          <w:rFonts w:cs="宋体"/>
          <w:bCs/>
          <w:color w:val="auto"/>
          <w:spacing w:val="-6"/>
          <w:sz w:val="30"/>
          <w:szCs w:val="30"/>
        </w:rPr>
      </w:pPr>
      <w:r>
        <w:rPr>
          <w:rFonts w:hint="eastAsia" w:cs="宋体"/>
          <w:bCs/>
          <w:color w:val="auto"/>
          <w:spacing w:val="-6"/>
          <w:sz w:val="30"/>
          <w:szCs w:val="30"/>
        </w:rPr>
        <w:t>标项：</w:t>
      </w:r>
    </w:p>
    <w:p>
      <w:pPr>
        <w:ind w:firstLine="600"/>
        <w:rPr>
          <w:rFonts w:cs="宋体"/>
          <w:color w:val="auto"/>
          <w:sz w:val="30"/>
          <w:szCs w:val="30"/>
        </w:rPr>
      </w:pPr>
      <w:r>
        <w:rPr>
          <w:rFonts w:hint="eastAsia" w:cs="宋体"/>
          <w:color w:val="auto"/>
          <w:sz w:val="30"/>
          <w:szCs w:val="30"/>
        </w:rPr>
        <w:t>投标人名称（盖章）：</w:t>
      </w:r>
    </w:p>
    <w:p>
      <w:pPr>
        <w:ind w:firstLine="600"/>
        <w:rPr>
          <w:rFonts w:cs="宋体"/>
          <w:color w:val="auto"/>
          <w:sz w:val="30"/>
          <w:szCs w:val="30"/>
        </w:rPr>
      </w:pPr>
      <w:r>
        <w:rPr>
          <w:rFonts w:hint="eastAsia" w:cs="宋体"/>
          <w:color w:val="auto"/>
          <w:sz w:val="30"/>
          <w:szCs w:val="30"/>
        </w:rPr>
        <w:t>投标人地址：</w:t>
      </w:r>
    </w:p>
    <w:p>
      <w:pPr>
        <w:ind w:firstLine="600"/>
        <w:rPr>
          <w:rFonts w:cs="宋体"/>
          <w:color w:val="auto"/>
          <w:sz w:val="30"/>
          <w:szCs w:val="30"/>
        </w:rPr>
      </w:pPr>
    </w:p>
    <w:p>
      <w:pPr>
        <w:ind w:firstLine="600"/>
        <w:rPr>
          <w:rFonts w:cs="宋体"/>
          <w:color w:val="auto"/>
          <w:sz w:val="30"/>
          <w:szCs w:val="30"/>
        </w:rPr>
      </w:pPr>
    </w:p>
    <w:p>
      <w:pPr>
        <w:ind w:firstLine="600"/>
        <w:rPr>
          <w:rFonts w:cs="宋体"/>
          <w:color w:val="auto"/>
          <w:sz w:val="30"/>
          <w:szCs w:val="30"/>
        </w:rPr>
      </w:pPr>
      <w:r>
        <w:rPr>
          <w:rFonts w:hint="eastAsia" w:cs="宋体"/>
          <w:color w:val="auto"/>
          <w:sz w:val="30"/>
          <w:szCs w:val="30"/>
        </w:rPr>
        <w:t>授权代表签字或盖章：</w:t>
      </w:r>
    </w:p>
    <w:p>
      <w:pPr>
        <w:ind w:firstLine="600"/>
        <w:rPr>
          <w:rFonts w:cs="宋体"/>
          <w:color w:val="auto"/>
          <w:sz w:val="30"/>
          <w:szCs w:val="30"/>
        </w:rPr>
      </w:pPr>
      <w:r>
        <w:rPr>
          <w:rFonts w:hint="eastAsia" w:cs="宋体"/>
          <w:color w:val="auto"/>
          <w:sz w:val="30"/>
          <w:szCs w:val="30"/>
        </w:rPr>
        <w:t>日期：    年  月  日</w:t>
      </w:r>
    </w:p>
    <w:p>
      <w:pPr>
        <w:ind w:firstLine="576"/>
        <w:rPr>
          <w:rFonts w:cs="宋体"/>
          <w:bCs/>
          <w:color w:val="auto"/>
          <w:spacing w:val="-6"/>
          <w:sz w:val="30"/>
          <w:szCs w:val="30"/>
        </w:rPr>
      </w:pPr>
      <w:r>
        <w:rPr>
          <w:rFonts w:hint="eastAsia" w:cs="宋体"/>
          <w:bCs/>
          <w:color w:val="auto"/>
          <w:spacing w:val="-6"/>
          <w:sz w:val="30"/>
          <w:szCs w:val="30"/>
        </w:rPr>
        <w:t>授权代表姓名：               手机号：</w:t>
      </w:r>
    </w:p>
    <w:p>
      <w:pPr>
        <w:pStyle w:val="168"/>
        <w:rPr>
          <w:rFonts w:ascii="宋体" w:hAnsi="宋体" w:cs="宋体"/>
          <w:color w:val="auto"/>
        </w:rPr>
        <w:sectPr>
          <w:pgSz w:w="11907" w:h="16840"/>
          <w:pgMar w:top="1440" w:right="1080" w:bottom="1440" w:left="1080" w:header="850" w:footer="992" w:gutter="0"/>
          <w:cols w:space="720" w:num="1"/>
          <w:docGrid w:linePitch="286" w:charSpace="0"/>
        </w:sectPr>
      </w:pPr>
    </w:p>
    <w:p>
      <w:pPr>
        <w:pStyle w:val="5"/>
        <w:jc w:val="center"/>
        <w:rPr>
          <w:rFonts w:cs="宋体"/>
          <w:color w:val="auto"/>
        </w:rPr>
      </w:pPr>
      <w:bookmarkStart w:id="159" w:name="_Toc24920"/>
      <w:bookmarkStart w:id="160" w:name="_Toc6136"/>
      <w:r>
        <w:rPr>
          <w:rFonts w:hint="eastAsia" w:cs="宋体"/>
          <w:color w:val="auto"/>
        </w:rPr>
        <w:t>报价文件目录</w:t>
      </w:r>
      <w:bookmarkEnd w:id="159"/>
      <w:bookmarkEnd w:id="160"/>
    </w:p>
    <w:p>
      <w:pPr>
        <w:ind w:firstLine="480"/>
        <w:rPr>
          <w:rFonts w:cs="宋体"/>
          <w:color w:val="auto"/>
        </w:rPr>
      </w:pPr>
    </w:p>
    <w:p>
      <w:pPr>
        <w:numPr>
          <w:ilvl w:val="0"/>
          <w:numId w:val="39"/>
        </w:numPr>
        <w:adjustRightInd w:val="0"/>
        <w:snapToGrid w:val="0"/>
        <w:ind w:firstLine="480"/>
        <w:rPr>
          <w:rFonts w:cs="宋体"/>
          <w:color w:val="auto"/>
        </w:rPr>
      </w:pPr>
      <w:bookmarkStart w:id="161" w:name="_Toc16666"/>
      <w:r>
        <w:rPr>
          <w:rFonts w:hint="eastAsia" w:cs="宋体"/>
          <w:color w:val="auto"/>
        </w:rPr>
        <w:t>投标响应函………………………………………………………………………（页码）</w:t>
      </w:r>
      <w:bookmarkEnd w:id="161"/>
    </w:p>
    <w:p>
      <w:pPr>
        <w:numPr>
          <w:ilvl w:val="0"/>
          <w:numId w:val="39"/>
        </w:numPr>
        <w:adjustRightInd w:val="0"/>
        <w:snapToGrid w:val="0"/>
        <w:ind w:firstLine="480"/>
        <w:rPr>
          <w:rFonts w:cs="宋体"/>
          <w:color w:val="auto"/>
        </w:rPr>
      </w:pPr>
      <w:bookmarkStart w:id="162" w:name="_Toc9814"/>
      <w:r>
        <w:rPr>
          <w:rFonts w:hint="eastAsia" w:cs="宋体"/>
          <w:color w:val="auto"/>
        </w:rPr>
        <w:t>开标一览表………………………………………………………………………（页码）</w:t>
      </w:r>
      <w:bookmarkEnd w:id="162"/>
    </w:p>
    <w:p>
      <w:pPr>
        <w:numPr>
          <w:ilvl w:val="0"/>
          <w:numId w:val="39"/>
        </w:numPr>
        <w:adjustRightInd w:val="0"/>
        <w:snapToGrid w:val="0"/>
        <w:ind w:firstLine="480"/>
        <w:rPr>
          <w:rFonts w:cs="宋体"/>
          <w:color w:val="auto"/>
        </w:rPr>
      </w:pPr>
      <w:r>
        <w:rPr>
          <w:rFonts w:hint="eastAsia" w:cs="宋体"/>
          <w:color w:val="auto"/>
        </w:rPr>
        <w:t>投标分项报价表…………………………………………………………………（页码）</w:t>
      </w:r>
    </w:p>
    <w:p>
      <w:pPr>
        <w:numPr>
          <w:ilvl w:val="0"/>
          <w:numId w:val="39"/>
        </w:numPr>
        <w:adjustRightInd w:val="0"/>
        <w:snapToGrid w:val="0"/>
        <w:ind w:firstLine="480"/>
        <w:rPr>
          <w:rFonts w:cs="宋体"/>
          <w:color w:val="auto"/>
        </w:rPr>
      </w:pPr>
      <w:bookmarkStart w:id="163" w:name="_Toc20916"/>
      <w:r>
        <w:rPr>
          <w:rFonts w:hint="eastAsia" w:cs="宋体"/>
          <w:color w:val="auto"/>
        </w:rPr>
        <w:t>其他………………………………………………………………………………（页码）</w:t>
      </w:r>
      <w:bookmarkEnd w:id="163"/>
    </w:p>
    <w:p>
      <w:pPr>
        <w:pStyle w:val="12"/>
        <w:ind w:firstLine="280"/>
        <w:rPr>
          <w:rFonts w:ascii="宋体" w:eastAsia="宋体" w:cs="宋体"/>
          <w:color w:val="auto"/>
        </w:rPr>
      </w:pPr>
    </w:p>
    <w:p>
      <w:pPr>
        <w:pStyle w:val="6"/>
        <w:rPr>
          <w:rFonts w:cs="宋体"/>
          <w:color w:val="auto"/>
        </w:rPr>
        <w:sectPr>
          <w:footerReference r:id="rId16" w:type="default"/>
          <w:pgSz w:w="11907" w:h="16840"/>
          <w:pgMar w:top="1440" w:right="1080" w:bottom="1440" w:left="1080" w:header="850" w:footer="992" w:gutter="0"/>
          <w:cols w:space="720" w:num="1"/>
          <w:docGrid w:linePitch="286" w:charSpace="0"/>
        </w:sectPr>
      </w:pPr>
    </w:p>
    <w:p>
      <w:pPr>
        <w:pStyle w:val="6"/>
        <w:numPr>
          <w:ilvl w:val="0"/>
          <w:numId w:val="40"/>
        </w:numPr>
        <w:rPr>
          <w:rFonts w:cs="宋体"/>
          <w:color w:val="auto"/>
        </w:rPr>
      </w:pPr>
      <w:bookmarkStart w:id="164" w:name="_Toc25141"/>
      <w:r>
        <w:rPr>
          <w:rFonts w:hint="eastAsia" w:cs="宋体"/>
          <w:color w:val="auto"/>
        </w:rPr>
        <w:t>投标响应函</w:t>
      </w:r>
      <w:bookmarkEnd w:id="164"/>
    </w:p>
    <w:p>
      <w:pPr>
        <w:snapToGrid w:val="0"/>
        <w:ind w:firstLine="0" w:firstLineChars="0"/>
        <w:jc w:val="center"/>
        <w:rPr>
          <w:rFonts w:cs="宋体"/>
          <w:color w:val="auto"/>
        </w:rPr>
      </w:pPr>
      <w:r>
        <w:rPr>
          <w:rFonts w:hint="eastAsia" w:cs="宋体"/>
          <w:b/>
          <w:color w:val="auto"/>
          <w:kern w:val="0"/>
          <w:sz w:val="32"/>
        </w:rPr>
        <w:t>投标响应</w:t>
      </w:r>
      <w:r>
        <w:rPr>
          <w:rFonts w:hint="eastAsia" w:cs="宋体"/>
          <w:b/>
          <w:color w:val="auto"/>
          <w:sz w:val="32"/>
        </w:rPr>
        <w:t>函</w:t>
      </w:r>
    </w:p>
    <w:p>
      <w:pPr>
        <w:ind w:firstLine="0" w:firstLineChars="0"/>
        <w:rPr>
          <w:rFonts w:cs="宋体"/>
          <w:color w:val="auto"/>
        </w:rPr>
      </w:pPr>
    </w:p>
    <w:p>
      <w:pPr>
        <w:ind w:firstLine="0" w:firstLineChars="0"/>
        <w:rPr>
          <w:rFonts w:cs="宋体"/>
          <w:color w:val="auto"/>
        </w:rPr>
      </w:pPr>
      <w:r>
        <w:rPr>
          <w:rFonts w:hint="eastAsia" w:cs="宋体"/>
          <w:color w:val="auto"/>
        </w:rPr>
        <w:t>致：</w:t>
      </w:r>
      <w:r>
        <w:rPr>
          <w:rFonts w:hint="eastAsia" w:cs="宋体"/>
          <w:bCs/>
          <w:color w:val="auto"/>
          <w:spacing w:val="-6"/>
        </w:rPr>
        <w:t>浙江海洋大学、浙江五石工程咨询有限公司</w:t>
      </w:r>
      <w:r>
        <w:rPr>
          <w:rFonts w:hint="eastAsia" w:cs="宋体"/>
          <w:color w:val="auto"/>
          <w:spacing w:val="-6"/>
        </w:rPr>
        <w:t>：</w:t>
      </w:r>
      <w:r>
        <w:rPr>
          <w:rFonts w:hint="eastAsia" w:cs="宋体"/>
          <w:color w:val="auto"/>
        </w:rPr>
        <w:t xml:space="preserve"> </w:t>
      </w:r>
    </w:p>
    <w:p>
      <w:pPr>
        <w:ind w:firstLine="480"/>
        <w:rPr>
          <w:rFonts w:cs="宋体"/>
          <w:color w:val="auto"/>
        </w:rPr>
      </w:pPr>
      <w:r>
        <w:rPr>
          <w:rFonts w:hint="eastAsia" w:cs="宋体"/>
          <w:color w:val="auto"/>
          <w:kern w:val="0"/>
          <w:u w:val="single"/>
          <w:lang w:val="zh-CN"/>
        </w:rPr>
        <w:t xml:space="preserve">                         </w:t>
      </w:r>
      <w:r>
        <w:rPr>
          <w:rFonts w:hint="eastAsia" w:cs="宋体"/>
          <w:color w:val="auto"/>
        </w:rPr>
        <w:t>(投标人全称)授权</w:t>
      </w:r>
      <w:r>
        <w:rPr>
          <w:rFonts w:hint="eastAsia" w:cs="宋体"/>
          <w:color w:val="auto"/>
          <w:kern w:val="0"/>
          <w:u w:val="single"/>
          <w:lang w:val="zh-CN"/>
        </w:rPr>
        <w:t xml:space="preserve">                    </w:t>
      </w:r>
      <w:r>
        <w:rPr>
          <w:rFonts w:hint="eastAsia" w:cs="宋体"/>
          <w:color w:val="auto"/>
        </w:rPr>
        <w:t>(全权代表姓名)</w:t>
      </w:r>
      <w:r>
        <w:rPr>
          <w:rFonts w:hint="eastAsia" w:cs="宋体"/>
          <w:color w:val="auto"/>
          <w:kern w:val="0"/>
          <w:u w:val="single"/>
          <w:lang w:val="zh-CN"/>
        </w:rPr>
        <w:t xml:space="preserve">              </w:t>
      </w:r>
      <w:r>
        <w:rPr>
          <w:rFonts w:hint="eastAsia" w:cs="宋体"/>
          <w:color w:val="auto"/>
        </w:rPr>
        <w:t>(职务、职称)为全权代表，参加贵方组织的</w:t>
      </w:r>
      <w:r>
        <w:rPr>
          <w:rFonts w:hint="eastAsia" w:cs="宋体"/>
          <w:color w:val="auto"/>
          <w:u w:val="single"/>
        </w:rPr>
        <w:t>（项目名称）（项目编号）</w:t>
      </w:r>
      <w:r>
        <w:rPr>
          <w:rFonts w:hint="eastAsia" w:cs="宋体"/>
          <w:color w:val="auto"/>
        </w:rPr>
        <w:t>招标的有关活动，并对此项目进行投标。为此：</w:t>
      </w:r>
    </w:p>
    <w:p>
      <w:pPr>
        <w:ind w:firstLine="480"/>
        <w:rPr>
          <w:rFonts w:cs="宋体"/>
          <w:color w:val="auto"/>
        </w:rPr>
      </w:pPr>
      <w:r>
        <w:rPr>
          <w:rFonts w:hint="eastAsia" w:cs="宋体"/>
          <w:color w:val="auto"/>
        </w:rPr>
        <w:t>1、我方同意在投标人编制和提交采购响应文件须知规定的开标日期起遵守本投标文件中的承诺且在投标有效期满之前均具有约束力。</w:t>
      </w:r>
    </w:p>
    <w:p>
      <w:pPr>
        <w:ind w:firstLine="480"/>
        <w:rPr>
          <w:rFonts w:cs="宋体"/>
          <w:color w:val="auto"/>
        </w:rPr>
      </w:pPr>
      <w:r>
        <w:rPr>
          <w:rFonts w:hint="eastAsia" w:cs="宋体"/>
          <w:color w:val="auto"/>
        </w:rPr>
        <w:t>2、我方承诺已经具备《中华人民共和国政府采购法》中规定的参加政府采购活动的供应商应当具备的条件：</w:t>
      </w:r>
    </w:p>
    <w:p>
      <w:pPr>
        <w:ind w:firstLine="480"/>
        <w:rPr>
          <w:rFonts w:cs="宋体"/>
          <w:color w:val="auto"/>
        </w:rPr>
      </w:pPr>
      <w:r>
        <w:rPr>
          <w:rFonts w:hint="eastAsia" w:cs="宋体"/>
          <w:color w:val="auto"/>
        </w:rPr>
        <w:t>(1)具有独立承担民事责任的能力；</w:t>
      </w:r>
    </w:p>
    <w:p>
      <w:pPr>
        <w:ind w:firstLine="480"/>
        <w:rPr>
          <w:rFonts w:cs="宋体"/>
          <w:color w:val="auto"/>
        </w:rPr>
      </w:pPr>
      <w:r>
        <w:rPr>
          <w:rFonts w:hint="eastAsia" w:cs="宋体"/>
          <w:color w:val="auto"/>
        </w:rPr>
        <w:t>(2)遵守国家法律、行政法规，具有良好的信誉和商业道德；</w:t>
      </w:r>
    </w:p>
    <w:p>
      <w:pPr>
        <w:ind w:firstLine="480"/>
        <w:rPr>
          <w:rFonts w:cs="宋体"/>
          <w:color w:val="auto"/>
        </w:rPr>
      </w:pPr>
      <w:r>
        <w:rPr>
          <w:rFonts w:hint="eastAsia" w:cs="宋体"/>
          <w:color w:val="auto"/>
        </w:rPr>
        <w:t>(3)具有履行合同的能力和良好的履行合同记录；</w:t>
      </w:r>
    </w:p>
    <w:p>
      <w:pPr>
        <w:ind w:firstLine="480"/>
        <w:rPr>
          <w:rFonts w:cs="宋体"/>
          <w:color w:val="auto"/>
        </w:rPr>
      </w:pPr>
      <w:r>
        <w:rPr>
          <w:rFonts w:hint="eastAsia" w:cs="宋体"/>
          <w:color w:val="auto"/>
        </w:rPr>
        <w:t>(4)良好的资金、财务状况；</w:t>
      </w:r>
    </w:p>
    <w:p>
      <w:pPr>
        <w:ind w:firstLine="480"/>
        <w:rPr>
          <w:rFonts w:cs="宋体"/>
          <w:color w:val="auto"/>
        </w:rPr>
      </w:pPr>
      <w:r>
        <w:rPr>
          <w:rFonts w:hint="eastAsia" w:cs="宋体"/>
          <w:color w:val="auto"/>
        </w:rPr>
        <w:t>(5)产品及生产所需装备符合中国政府规定的相应技术标准和环保标准；</w:t>
      </w:r>
    </w:p>
    <w:p>
      <w:pPr>
        <w:ind w:firstLine="480"/>
        <w:rPr>
          <w:rFonts w:cs="宋体"/>
          <w:color w:val="auto"/>
        </w:rPr>
      </w:pPr>
      <w:r>
        <w:rPr>
          <w:rFonts w:hint="eastAsia" w:cs="宋体"/>
          <w:color w:val="auto"/>
        </w:rPr>
        <w:t>(6)没有违反政府采购法规、政策的记录；</w:t>
      </w:r>
    </w:p>
    <w:p>
      <w:pPr>
        <w:ind w:firstLine="480"/>
        <w:rPr>
          <w:rFonts w:cs="宋体"/>
          <w:color w:val="auto"/>
        </w:rPr>
      </w:pPr>
      <w:r>
        <w:rPr>
          <w:rFonts w:hint="eastAsia" w:cs="宋体"/>
          <w:color w:val="auto"/>
        </w:rPr>
        <w:t>(7)没有发生重大经济纠纷和走私犯罪记录。</w:t>
      </w:r>
    </w:p>
    <w:p>
      <w:pPr>
        <w:ind w:firstLine="480"/>
        <w:rPr>
          <w:rFonts w:cs="宋体"/>
          <w:color w:val="auto"/>
        </w:rPr>
      </w:pPr>
      <w:r>
        <w:rPr>
          <w:rFonts w:hint="eastAsia" w:cs="宋体"/>
          <w:color w:val="auto"/>
        </w:rPr>
        <w:t>3、提供编制和提交采购响应文件须知规定的全部投标文件。具体内容为：</w:t>
      </w:r>
    </w:p>
    <w:p>
      <w:pPr>
        <w:ind w:firstLine="480"/>
        <w:rPr>
          <w:rFonts w:cs="宋体"/>
          <w:color w:val="auto"/>
        </w:rPr>
      </w:pPr>
      <w:r>
        <w:rPr>
          <w:rFonts w:hint="eastAsia" w:cs="宋体"/>
          <w:color w:val="auto"/>
        </w:rPr>
        <w:t>(1)开标一览表及投标报价明细清单；</w:t>
      </w:r>
    </w:p>
    <w:p>
      <w:pPr>
        <w:ind w:firstLine="480"/>
        <w:rPr>
          <w:rFonts w:cs="宋体"/>
          <w:color w:val="auto"/>
        </w:rPr>
      </w:pPr>
      <w:r>
        <w:rPr>
          <w:rFonts w:hint="eastAsia" w:cs="宋体"/>
          <w:color w:val="auto"/>
        </w:rPr>
        <w:t>(2)投标商务</w:t>
      </w:r>
      <w:r>
        <w:rPr>
          <w:rFonts w:hint="eastAsia" w:cs="宋体"/>
          <w:color w:val="auto"/>
          <w:lang w:val="zh-CN"/>
        </w:rPr>
        <w:t>技术文件和资格文件</w:t>
      </w:r>
      <w:r>
        <w:rPr>
          <w:rFonts w:hint="eastAsia" w:cs="宋体"/>
          <w:color w:val="auto"/>
        </w:rPr>
        <w:t>；</w:t>
      </w:r>
    </w:p>
    <w:p>
      <w:pPr>
        <w:ind w:firstLine="480"/>
        <w:rPr>
          <w:rFonts w:cs="宋体"/>
          <w:color w:val="auto"/>
        </w:rPr>
      </w:pPr>
      <w:r>
        <w:rPr>
          <w:rFonts w:hint="eastAsia" w:cs="宋体"/>
          <w:color w:val="auto"/>
        </w:rPr>
        <w:t>(3)编制和提交采购响应文件须知要求投标人提交的全部文件；</w:t>
      </w:r>
    </w:p>
    <w:p>
      <w:pPr>
        <w:ind w:firstLine="480"/>
        <w:rPr>
          <w:rFonts w:cs="宋体"/>
          <w:color w:val="auto"/>
        </w:rPr>
      </w:pPr>
      <w:r>
        <w:rPr>
          <w:rFonts w:hint="eastAsia" w:cs="宋体"/>
          <w:color w:val="auto"/>
        </w:rPr>
        <w:t>(4)按招标文件要求提供和交付的货物和服务的投标报价详见投标(开标)一览表；</w:t>
      </w:r>
    </w:p>
    <w:p>
      <w:pPr>
        <w:ind w:firstLine="480"/>
        <w:rPr>
          <w:rFonts w:cs="宋体"/>
          <w:color w:val="auto"/>
        </w:rPr>
      </w:pPr>
      <w:r>
        <w:rPr>
          <w:rFonts w:hint="eastAsia" w:cs="宋体"/>
          <w:color w:val="auto"/>
        </w:rPr>
        <w:t>(5)保证忠实地执行双方所签订的合同，并承担合同规定的责任和义务；</w:t>
      </w:r>
    </w:p>
    <w:p>
      <w:pPr>
        <w:ind w:firstLine="480"/>
        <w:rPr>
          <w:rFonts w:cs="宋体"/>
          <w:color w:val="auto"/>
        </w:rPr>
      </w:pPr>
      <w:r>
        <w:rPr>
          <w:rFonts w:hint="eastAsia" w:cs="宋体"/>
          <w:color w:val="auto"/>
        </w:rPr>
        <w:t>(6)保证遵守招标文件中的其他有关规定。</w:t>
      </w:r>
    </w:p>
    <w:p>
      <w:pPr>
        <w:ind w:firstLine="480"/>
        <w:rPr>
          <w:rFonts w:cs="宋体"/>
          <w:color w:val="auto"/>
        </w:rPr>
      </w:pPr>
      <w:r>
        <w:rPr>
          <w:rFonts w:hint="eastAsia" w:cs="宋体"/>
          <w:color w:val="auto"/>
        </w:rPr>
        <w:t>4、我方承诺投标有效期从提交投标文件的截止之日起 90 天，不少于招标文件中载明的投标有效期（从提交投标文件的截止之日起90天）。</w:t>
      </w:r>
    </w:p>
    <w:p>
      <w:pPr>
        <w:ind w:firstLine="480"/>
        <w:rPr>
          <w:rFonts w:cs="宋体"/>
          <w:color w:val="auto"/>
        </w:rPr>
      </w:pPr>
      <w:r>
        <w:rPr>
          <w:rFonts w:hint="eastAsia" w:cs="宋体"/>
          <w:color w:val="auto"/>
        </w:rPr>
        <w:t>5、我方完全理解贵方不一定要接受最低价的投标。</w:t>
      </w:r>
    </w:p>
    <w:p>
      <w:pPr>
        <w:ind w:firstLine="480"/>
        <w:rPr>
          <w:rFonts w:cs="宋体"/>
          <w:color w:val="auto"/>
        </w:rPr>
      </w:pPr>
      <w:r>
        <w:rPr>
          <w:rFonts w:hint="eastAsia" w:cs="宋体"/>
          <w:color w:val="auto"/>
        </w:rPr>
        <w:t>6、我方愿意向贵方提供任何与该项投标有关的数据、情况和技术资料。若贵方需要，我方愿意提供我方作出的一切承诺的证明材料。</w:t>
      </w:r>
    </w:p>
    <w:p>
      <w:pPr>
        <w:ind w:firstLine="480"/>
        <w:rPr>
          <w:rFonts w:cs="宋体"/>
          <w:color w:val="auto"/>
        </w:rPr>
      </w:pPr>
      <w:r>
        <w:rPr>
          <w:rFonts w:hint="eastAsia" w:cs="宋体"/>
          <w:color w:val="auto"/>
        </w:rPr>
        <w:t>7、我方已详细审核全部招标文件，包括招标文件修改书(如果有)、参考资料及有关附件，确认无误。</w:t>
      </w:r>
    </w:p>
    <w:p>
      <w:pPr>
        <w:ind w:firstLine="480"/>
        <w:rPr>
          <w:rFonts w:cs="宋体"/>
          <w:color w:val="auto"/>
        </w:rPr>
      </w:pPr>
      <w:r>
        <w:rPr>
          <w:rFonts w:hint="eastAsia" w:cs="宋体"/>
          <w:color w:val="auto"/>
        </w:rPr>
        <w:t>8、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ind w:firstLine="480"/>
        <w:rPr>
          <w:rFonts w:cs="宋体"/>
          <w:color w:val="auto"/>
        </w:rPr>
      </w:pPr>
      <w:r>
        <w:rPr>
          <w:rFonts w:hint="eastAsia" w:cs="宋体"/>
          <w:color w:val="auto"/>
        </w:rPr>
        <w:t>a)提供虚假材料谋取中标、成交的；</w:t>
      </w:r>
    </w:p>
    <w:p>
      <w:pPr>
        <w:ind w:firstLine="480"/>
        <w:rPr>
          <w:rFonts w:cs="宋体"/>
          <w:color w:val="auto"/>
        </w:rPr>
      </w:pPr>
      <w:r>
        <w:rPr>
          <w:rFonts w:hint="eastAsia" w:cs="宋体"/>
          <w:color w:val="auto"/>
        </w:rPr>
        <w:t>b)采取不正当手段诋毁、排挤其他供应商的；</w:t>
      </w:r>
    </w:p>
    <w:p>
      <w:pPr>
        <w:ind w:firstLine="480"/>
        <w:rPr>
          <w:rFonts w:cs="宋体"/>
          <w:color w:val="auto"/>
        </w:rPr>
      </w:pPr>
      <w:r>
        <w:rPr>
          <w:rFonts w:hint="eastAsia" w:cs="宋体"/>
          <w:color w:val="auto"/>
        </w:rPr>
        <w:t>c)与采购人、其它供应商或者采购代理机构恶意串通的；</w:t>
      </w:r>
    </w:p>
    <w:p>
      <w:pPr>
        <w:ind w:firstLine="480"/>
        <w:rPr>
          <w:rFonts w:cs="宋体"/>
          <w:color w:val="auto"/>
        </w:rPr>
      </w:pPr>
      <w:r>
        <w:rPr>
          <w:rFonts w:hint="eastAsia" w:cs="宋体"/>
          <w:color w:val="auto"/>
        </w:rPr>
        <w:t>d)向采购人、采购代理机构行贿或者提供其他不正当利益的；</w:t>
      </w:r>
    </w:p>
    <w:p>
      <w:pPr>
        <w:ind w:firstLine="480"/>
        <w:rPr>
          <w:rFonts w:cs="宋体"/>
          <w:color w:val="auto"/>
        </w:rPr>
      </w:pPr>
      <w:r>
        <w:rPr>
          <w:rFonts w:hint="eastAsia" w:cs="宋体"/>
          <w:color w:val="auto"/>
        </w:rPr>
        <w:t>e)在招标采购过程中与采购人进行协商谈判的；</w:t>
      </w:r>
    </w:p>
    <w:p>
      <w:pPr>
        <w:ind w:firstLine="480"/>
        <w:rPr>
          <w:rFonts w:cs="宋体"/>
          <w:color w:val="auto"/>
        </w:rPr>
      </w:pPr>
      <w:r>
        <w:rPr>
          <w:rFonts w:hint="eastAsia" w:cs="宋体"/>
          <w:color w:val="auto"/>
        </w:rPr>
        <w:t>f)拒绝有关部门监督检查或提供虚假情况的。</w:t>
      </w:r>
    </w:p>
    <w:p>
      <w:pPr>
        <w:ind w:firstLine="480"/>
        <w:rPr>
          <w:rFonts w:cs="宋体"/>
          <w:color w:val="auto"/>
        </w:rPr>
      </w:pPr>
      <w:r>
        <w:rPr>
          <w:rFonts w:hint="eastAsia" w:cs="宋体"/>
          <w:color w:val="auto"/>
        </w:rPr>
        <w:t>供应商有前款第a)至e)项情形之一的，中标、成交无效。</w:t>
      </w:r>
    </w:p>
    <w:p>
      <w:pPr>
        <w:ind w:firstLine="3600" w:firstLineChars="1500"/>
        <w:rPr>
          <w:rFonts w:cs="宋体"/>
          <w:color w:val="auto"/>
        </w:rPr>
      </w:pPr>
    </w:p>
    <w:p>
      <w:pPr>
        <w:pStyle w:val="48"/>
        <w:rPr>
          <w:rFonts w:ascii="宋体" w:hAnsi="宋体" w:eastAsia="宋体" w:cs="宋体"/>
          <w:color w:val="auto"/>
        </w:rPr>
      </w:pPr>
    </w:p>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法定代表人或其授权代表（签字或盖章）：</w:t>
      </w:r>
    </w:p>
    <w:p>
      <w:pPr>
        <w:ind w:firstLine="480"/>
        <w:rPr>
          <w:rFonts w:cs="宋体"/>
          <w:color w:val="auto"/>
        </w:rPr>
      </w:pPr>
      <w:r>
        <w:rPr>
          <w:rFonts w:hint="eastAsia" w:cs="宋体"/>
          <w:color w:val="auto"/>
        </w:rPr>
        <w:t>日期：  年   月   日</w:t>
      </w:r>
    </w:p>
    <w:p>
      <w:pPr>
        <w:snapToGrid w:val="0"/>
        <w:ind w:left="480" w:leftChars="200" w:firstLine="4200" w:firstLineChars="1750"/>
        <w:rPr>
          <w:rFonts w:cs="宋体"/>
          <w:color w:val="auto"/>
          <w:kern w:val="0"/>
          <w:u w:val="single"/>
          <w:lang w:val="zh-CN"/>
        </w:rPr>
      </w:pPr>
    </w:p>
    <w:p>
      <w:pPr>
        <w:ind w:firstLine="480"/>
        <w:rPr>
          <w:rFonts w:cs="宋体"/>
          <w:color w:val="auto"/>
        </w:rPr>
      </w:pPr>
      <w:r>
        <w:rPr>
          <w:rFonts w:hint="eastAsia" w:cs="宋体"/>
          <w:color w:val="auto"/>
          <w:lang w:val="zh-CN"/>
        </w:rPr>
        <w:t xml:space="preserve">联系人：                           联系电话：                 </w:t>
      </w:r>
    </w:p>
    <w:p>
      <w:pPr>
        <w:ind w:firstLine="480"/>
        <w:rPr>
          <w:rFonts w:cs="宋体"/>
          <w:color w:val="auto"/>
        </w:rPr>
      </w:pPr>
      <w:r>
        <w:rPr>
          <w:rFonts w:hint="eastAsia" w:cs="宋体"/>
          <w:color w:val="auto"/>
          <w:lang w:val="zh-CN"/>
        </w:rPr>
        <w:t xml:space="preserve">联系地址：                                                    </w:t>
      </w:r>
    </w:p>
    <w:p>
      <w:pPr>
        <w:ind w:firstLine="480"/>
        <w:rPr>
          <w:rFonts w:cs="宋体"/>
          <w:color w:val="auto"/>
        </w:rPr>
      </w:pPr>
      <w:r>
        <w:rPr>
          <w:rFonts w:hint="eastAsia" w:cs="宋体"/>
          <w:color w:val="auto"/>
          <w:lang w:val="zh-CN"/>
        </w:rPr>
        <w:t xml:space="preserve">邮政编码：                     传真号码：                     </w:t>
      </w:r>
    </w:p>
    <w:p>
      <w:pPr>
        <w:ind w:firstLine="482"/>
        <w:rPr>
          <w:rFonts w:cs="宋体"/>
          <w:b/>
          <w:bCs/>
          <w:color w:val="auto"/>
          <w:lang w:val="zh-CN"/>
        </w:rPr>
      </w:pPr>
    </w:p>
    <w:p>
      <w:pPr>
        <w:ind w:firstLine="482"/>
        <w:rPr>
          <w:rFonts w:cs="宋体"/>
          <w:color w:val="auto"/>
          <w:lang w:val="zh-CN"/>
        </w:rPr>
      </w:pPr>
      <w:r>
        <w:rPr>
          <w:rFonts w:hint="eastAsia" w:cs="宋体"/>
          <w:b/>
          <w:bCs/>
          <w:color w:val="auto"/>
          <w:lang w:val="zh-CN"/>
        </w:rPr>
        <w:t>注：未按照本投标响应函要求填报的将被视为非实质性响应投标，从而可能导致该投标被拒绝。</w:t>
      </w:r>
    </w:p>
    <w:p>
      <w:pPr>
        <w:ind w:firstLine="480"/>
        <w:rPr>
          <w:rFonts w:cs="宋体"/>
          <w:color w:val="auto"/>
        </w:rPr>
        <w:sectPr>
          <w:footerReference r:id="rId17" w:type="default"/>
          <w:pgSz w:w="11907" w:h="16840"/>
          <w:pgMar w:top="1440" w:right="1080" w:bottom="1440" w:left="1080" w:header="850" w:footer="992" w:gutter="0"/>
          <w:cols w:space="720" w:num="1"/>
          <w:docGrid w:linePitch="286" w:charSpace="0"/>
        </w:sectPr>
      </w:pPr>
      <w:bookmarkStart w:id="165" w:name="_Toc2416"/>
    </w:p>
    <w:p>
      <w:pPr>
        <w:pStyle w:val="6"/>
        <w:numPr>
          <w:ilvl w:val="0"/>
          <w:numId w:val="40"/>
        </w:numPr>
        <w:rPr>
          <w:rFonts w:cs="宋体"/>
          <w:color w:val="auto"/>
        </w:rPr>
      </w:pPr>
      <w:r>
        <w:rPr>
          <w:rFonts w:hint="eastAsia" w:cs="宋体"/>
          <w:color w:val="auto"/>
        </w:rPr>
        <w:t>开标一览表</w:t>
      </w:r>
      <w:bookmarkEnd w:id="165"/>
    </w:p>
    <w:p>
      <w:pPr>
        <w:snapToGrid w:val="0"/>
        <w:ind w:firstLine="0" w:firstLineChars="0"/>
        <w:jc w:val="center"/>
        <w:rPr>
          <w:rFonts w:cs="宋体"/>
          <w:b/>
          <w:color w:val="auto"/>
          <w:kern w:val="0"/>
          <w:sz w:val="32"/>
        </w:rPr>
      </w:pPr>
      <w:bookmarkStart w:id="166" w:name="_Toc29517"/>
      <w:bookmarkStart w:id="167" w:name="_Toc14446"/>
      <w:r>
        <w:rPr>
          <w:rFonts w:hint="eastAsia" w:cs="宋体"/>
          <w:b/>
          <w:color w:val="auto"/>
          <w:kern w:val="0"/>
          <w:sz w:val="32"/>
        </w:rPr>
        <w:t>开标一览表</w:t>
      </w:r>
      <w:bookmarkEnd w:id="166"/>
      <w:bookmarkEnd w:id="167"/>
    </w:p>
    <w:p>
      <w:pPr>
        <w:ind w:firstLine="480"/>
        <w:rPr>
          <w:rFonts w:cs="宋体"/>
          <w:color w:val="auto"/>
        </w:rPr>
      </w:pPr>
    </w:p>
    <w:p>
      <w:pPr>
        <w:ind w:firstLine="0" w:firstLineChars="0"/>
        <w:rPr>
          <w:rFonts w:cs="宋体"/>
          <w:color w:val="auto"/>
        </w:rPr>
      </w:pPr>
      <w:r>
        <w:rPr>
          <w:rFonts w:hint="eastAsia" w:cs="宋体"/>
          <w:color w:val="auto"/>
        </w:rPr>
        <w:t>致：</w:t>
      </w:r>
      <w:r>
        <w:rPr>
          <w:rFonts w:hint="eastAsia" w:cs="宋体"/>
          <w:bCs/>
          <w:color w:val="auto"/>
          <w:spacing w:val="-6"/>
        </w:rPr>
        <w:t>浙江海洋大学、浙江五石工程咨询有限公司</w:t>
      </w:r>
      <w:r>
        <w:rPr>
          <w:rFonts w:hint="eastAsia" w:cs="宋体"/>
          <w:color w:val="auto"/>
          <w:spacing w:val="-6"/>
        </w:rPr>
        <w:t>：</w:t>
      </w:r>
    </w:p>
    <w:p>
      <w:pPr>
        <w:ind w:firstLine="480"/>
        <w:rPr>
          <w:rFonts w:cs="宋体"/>
          <w:color w:val="auto"/>
          <w:kern w:val="0"/>
          <w:lang w:val="zh-CN"/>
        </w:rPr>
      </w:pPr>
      <w:bookmarkStart w:id="168" w:name="_Toc32310"/>
      <w:bookmarkStart w:id="169" w:name="_Toc18686"/>
      <w:r>
        <w:rPr>
          <w:rFonts w:hint="eastAsia" w:cs="宋体"/>
          <w:color w:val="auto"/>
          <w:kern w:val="0"/>
          <w:lang w:val="zh-CN"/>
        </w:rPr>
        <w:t>按招标文件要求，我方（</w:t>
      </w:r>
      <w:r>
        <w:rPr>
          <w:rFonts w:hint="eastAsia" w:cs="宋体"/>
          <w:color w:val="auto"/>
          <w:kern w:val="0"/>
        </w:rPr>
        <w:t>投标人</w:t>
      </w:r>
      <w:r>
        <w:rPr>
          <w:rFonts w:hint="eastAsia" w:cs="宋体"/>
          <w:color w:val="auto"/>
          <w:kern w:val="0"/>
          <w:lang w:val="zh-CN"/>
        </w:rPr>
        <w:t>）承诺按照如下开标一览表的价格完成[</w:t>
      </w:r>
      <w:r>
        <w:rPr>
          <w:rFonts w:hint="eastAsia" w:cs="宋体"/>
          <w:color w:val="auto"/>
          <w:kern w:val="0"/>
        </w:rPr>
        <w:t>项目</w:t>
      </w:r>
      <w:r>
        <w:rPr>
          <w:rFonts w:hint="eastAsia" w:cs="宋体"/>
          <w:color w:val="auto"/>
          <w:kern w:val="0"/>
          <w:lang w:val="zh-CN"/>
        </w:rPr>
        <w:t>编号：</w:t>
      </w:r>
      <w:r>
        <w:rPr>
          <w:rFonts w:hint="eastAsia" w:cs="宋体"/>
          <w:color w:val="auto"/>
          <w:kern w:val="0"/>
          <w:u w:val="single"/>
        </w:rPr>
        <w:t xml:space="preserve">       </w:t>
      </w:r>
      <w:r>
        <w:rPr>
          <w:rFonts w:hint="eastAsia" w:cs="宋体"/>
          <w:color w:val="auto"/>
          <w:kern w:val="0"/>
          <w:lang w:val="zh-CN"/>
        </w:rPr>
        <w:t>]项目名称：</w:t>
      </w:r>
      <w:r>
        <w:rPr>
          <w:rFonts w:hint="eastAsia" w:cs="宋体"/>
          <w:color w:val="auto"/>
          <w:u w:val="single"/>
        </w:rPr>
        <w:t xml:space="preserve">      </w:t>
      </w:r>
      <w:r>
        <w:rPr>
          <w:rFonts w:hint="eastAsia" w:cs="宋体"/>
          <w:color w:val="auto"/>
          <w:kern w:val="0"/>
          <w:lang w:val="zh-CN"/>
        </w:rPr>
        <w:t>]标项：</w:t>
      </w:r>
      <w:r>
        <w:rPr>
          <w:rFonts w:hint="eastAsia" w:cs="宋体"/>
          <w:color w:val="auto"/>
          <w:kern w:val="0"/>
          <w:u w:val="single"/>
        </w:rPr>
        <w:t xml:space="preserve">     </w:t>
      </w:r>
      <w:r>
        <w:rPr>
          <w:rFonts w:hint="eastAsia" w:cs="宋体"/>
          <w:color w:val="auto"/>
          <w:kern w:val="0"/>
          <w:lang w:val="zh-CN"/>
        </w:rPr>
        <w:t>的</w:t>
      </w:r>
      <w:r>
        <w:rPr>
          <w:rFonts w:hint="eastAsia" w:cs="宋体"/>
          <w:color w:val="auto"/>
          <w:kern w:val="0"/>
        </w:rPr>
        <w:t>内容</w:t>
      </w:r>
      <w:r>
        <w:rPr>
          <w:rFonts w:hint="eastAsia" w:cs="宋体"/>
          <w:color w:val="auto"/>
          <w:kern w:val="0"/>
          <w:lang w:val="zh-CN"/>
        </w:rPr>
        <w:t>实施。</w:t>
      </w:r>
      <w:bookmarkEnd w:id="168"/>
      <w:bookmarkEnd w:id="169"/>
    </w:p>
    <w:p>
      <w:pPr>
        <w:ind w:firstLine="482"/>
        <w:jc w:val="right"/>
        <w:rPr>
          <w:rFonts w:cs="宋体"/>
          <w:b/>
          <w:bCs/>
          <w:color w:val="auto"/>
        </w:rPr>
      </w:pPr>
    </w:p>
    <w:p>
      <w:pPr>
        <w:ind w:firstLine="482"/>
        <w:jc w:val="right"/>
        <w:rPr>
          <w:rFonts w:cs="宋体"/>
          <w:b/>
          <w:bCs/>
          <w:color w:val="auto"/>
        </w:rPr>
      </w:pPr>
      <w:r>
        <w:rPr>
          <w:rFonts w:hint="eastAsia" w:cs="宋体"/>
          <w:b/>
          <w:bCs/>
          <w:color w:val="auto"/>
        </w:rPr>
        <w:t>金额单位：元</w:t>
      </w:r>
    </w:p>
    <w:tbl>
      <w:tblPr>
        <w:tblStyle w:val="46"/>
        <w:tblW w:w="9540"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0"/>
        <w:gridCol w:w="3247"/>
        <w:gridCol w:w="52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8" w:hRule="atLeast"/>
        </w:trPr>
        <w:tc>
          <w:tcPr>
            <w:tcW w:w="1080" w:type="dxa"/>
            <w:vAlign w:val="center"/>
          </w:tcPr>
          <w:p>
            <w:pPr>
              <w:ind w:firstLine="0" w:firstLineChars="0"/>
              <w:jc w:val="center"/>
              <w:rPr>
                <w:rFonts w:cs="宋体"/>
                <w:color w:val="auto"/>
              </w:rPr>
            </w:pPr>
            <w:r>
              <w:rPr>
                <w:rFonts w:hint="eastAsia" w:cs="宋体"/>
                <w:color w:val="auto"/>
              </w:rPr>
              <w:t>标项号</w:t>
            </w:r>
          </w:p>
        </w:tc>
        <w:tc>
          <w:tcPr>
            <w:tcW w:w="3247" w:type="dxa"/>
            <w:vAlign w:val="center"/>
          </w:tcPr>
          <w:p>
            <w:pPr>
              <w:ind w:firstLine="0" w:firstLineChars="0"/>
              <w:jc w:val="center"/>
              <w:rPr>
                <w:rFonts w:cs="宋体"/>
                <w:color w:val="auto"/>
              </w:rPr>
            </w:pPr>
            <w:r>
              <w:rPr>
                <w:rFonts w:hint="eastAsia" w:cs="宋体"/>
                <w:color w:val="auto"/>
              </w:rPr>
              <w:t>项目名称</w:t>
            </w:r>
          </w:p>
        </w:tc>
        <w:tc>
          <w:tcPr>
            <w:tcW w:w="5213" w:type="dxa"/>
            <w:vAlign w:val="center"/>
          </w:tcPr>
          <w:p>
            <w:pPr>
              <w:ind w:firstLine="0" w:firstLineChars="0"/>
              <w:jc w:val="center"/>
              <w:rPr>
                <w:rFonts w:cs="宋体"/>
                <w:color w:val="auto"/>
              </w:rPr>
            </w:pPr>
            <w:r>
              <w:rPr>
                <w:rFonts w:hint="eastAsia" w:cs="宋体"/>
                <w:color w:val="auto"/>
              </w:rPr>
              <w:t>投标报价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45" w:hRule="atLeast"/>
        </w:trPr>
        <w:tc>
          <w:tcPr>
            <w:tcW w:w="1080" w:type="dxa"/>
            <w:vAlign w:val="center"/>
          </w:tcPr>
          <w:p>
            <w:pPr>
              <w:ind w:firstLine="0" w:firstLineChars="0"/>
              <w:jc w:val="center"/>
              <w:rPr>
                <w:rFonts w:cs="宋体"/>
                <w:color w:val="auto"/>
              </w:rPr>
            </w:pPr>
            <w:r>
              <w:rPr>
                <w:rFonts w:hint="eastAsia" w:cs="宋体"/>
                <w:color w:val="auto"/>
              </w:rPr>
              <w:t>一</w:t>
            </w:r>
          </w:p>
        </w:tc>
        <w:tc>
          <w:tcPr>
            <w:tcW w:w="3247" w:type="dxa"/>
            <w:vAlign w:val="center"/>
          </w:tcPr>
          <w:p>
            <w:pPr>
              <w:ind w:firstLine="0" w:firstLineChars="0"/>
              <w:jc w:val="center"/>
              <w:rPr>
                <w:rFonts w:cs="宋体"/>
                <w:color w:val="auto"/>
              </w:rPr>
            </w:pPr>
          </w:p>
        </w:tc>
        <w:tc>
          <w:tcPr>
            <w:tcW w:w="5213" w:type="dxa"/>
            <w:vAlign w:val="center"/>
          </w:tcPr>
          <w:p>
            <w:pPr>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080" w:type="dxa"/>
          </w:tcPr>
          <w:p>
            <w:pPr>
              <w:ind w:firstLine="0" w:firstLineChars="0"/>
              <w:jc w:val="center"/>
              <w:rPr>
                <w:rFonts w:cs="宋体"/>
                <w:color w:val="auto"/>
              </w:rPr>
            </w:pPr>
            <w:r>
              <w:rPr>
                <w:rFonts w:hint="eastAsia" w:cs="宋体"/>
                <w:color w:val="auto"/>
              </w:rPr>
              <w:t>投</w:t>
            </w:r>
          </w:p>
          <w:p>
            <w:pPr>
              <w:ind w:firstLine="0" w:firstLineChars="0"/>
              <w:jc w:val="center"/>
              <w:rPr>
                <w:rFonts w:cs="宋体"/>
                <w:color w:val="auto"/>
              </w:rPr>
            </w:pPr>
            <w:r>
              <w:rPr>
                <w:rFonts w:hint="eastAsia" w:cs="宋体"/>
                <w:color w:val="auto"/>
              </w:rPr>
              <w:t>标</w:t>
            </w:r>
          </w:p>
          <w:p>
            <w:pPr>
              <w:ind w:firstLine="0" w:firstLineChars="0"/>
              <w:jc w:val="center"/>
              <w:rPr>
                <w:rFonts w:cs="宋体"/>
                <w:color w:val="auto"/>
              </w:rPr>
            </w:pPr>
            <w:r>
              <w:rPr>
                <w:rFonts w:hint="eastAsia" w:cs="宋体"/>
                <w:color w:val="auto"/>
              </w:rPr>
              <w:t>人</w:t>
            </w:r>
          </w:p>
          <w:p>
            <w:pPr>
              <w:ind w:firstLine="0" w:firstLineChars="0"/>
              <w:jc w:val="center"/>
              <w:rPr>
                <w:rFonts w:cs="宋体"/>
                <w:color w:val="auto"/>
              </w:rPr>
            </w:pPr>
            <w:r>
              <w:rPr>
                <w:rFonts w:hint="eastAsia" w:cs="宋体"/>
                <w:color w:val="auto"/>
              </w:rPr>
              <w:t>申</w:t>
            </w:r>
          </w:p>
          <w:p>
            <w:pPr>
              <w:ind w:firstLine="0" w:firstLineChars="0"/>
              <w:jc w:val="center"/>
              <w:rPr>
                <w:rFonts w:cs="宋体"/>
                <w:color w:val="auto"/>
              </w:rPr>
            </w:pPr>
            <w:r>
              <w:rPr>
                <w:rFonts w:hint="eastAsia" w:cs="宋体"/>
                <w:color w:val="auto"/>
              </w:rPr>
              <w:t>明</w:t>
            </w:r>
          </w:p>
        </w:tc>
        <w:tc>
          <w:tcPr>
            <w:tcW w:w="8460" w:type="dxa"/>
            <w:gridSpan w:val="2"/>
          </w:tcPr>
          <w:p>
            <w:pPr>
              <w:ind w:firstLine="0" w:firstLineChars="0"/>
              <w:jc w:val="center"/>
              <w:rPr>
                <w:rFonts w:cs="宋体"/>
                <w:color w:val="auto"/>
              </w:rPr>
            </w:pPr>
          </w:p>
          <w:p>
            <w:pPr>
              <w:ind w:firstLine="0" w:firstLineChars="0"/>
              <w:jc w:val="center"/>
              <w:rPr>
                <w:rFonts w:cs="宋体"/>
                <w:color w:val="auto"/>
              </w:rPr>
            </w:pPr>
          </w:p>
          <w:p>
            <w:pPr>
              <w:ind w:firstLine="0" w:firstLineChars="0"/>
              <w:jc w:val="center"/>
              <w:rPr>
                <w:rFonts w:cs="宋体"/>
                <w:color w:val="auto"/>
              </w:rPr>
            </w:pPr>
          </w:p>
          <w:p>
            <w:pPr>
              <w:ind w:firstLine="0" w:firstLineChars="0"/>
              <w:jc w:val="center"/>
              <w:rPr>
                <w:rFonts w:cs="宋体"/>
                <w:color w:val="auto"/>
              </w:rPr>
            </w:pPr>
          </w:p>
          <w:p>
            <w:pPr>
              <w:ind w:firstLine="0" w:firstLineChars="0"/>
              <w:jc w:val="center"/>
              <w:rPr>
                <w:rFonts w:cs="宋体"/>
                <w:color w:val="auto"/>
              </w:rPr>
            </w:pPr>
          </w:p>
        </w:tc>
      </w:tr>
    </w:tbl>
    <w:p>
      <w:pPr>
        <w:ind w:firstLine="480"/>
        <w:rPr>
          <w:rFonts w:cs="宋体"/>
          <w:color w:val="auto"/>
        </w:rPr>
      </w:pPr>
    </w:p>
    <w:p>
      <w:pPr>
        <w:pStyle w:val="22"/>
        <w:rPr>
          <w:rFonts w:hAnsi="宋体" w:cs="宋体"/>
          <w:color w:val="auto"/>
          <w:lang w:val="zh-CN"/>
        </w:rPr>
      </w:pPr>
    </w:p>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法定代表人或其授权代表（签字）：</w:t>
      </w:r>
    </w:p>
    <w:p>
      <w:pPr>
        <w:ind w:firstLine="480"/>
        <w:rPr>
          <w:rFonts w:cs="宋体"/>
          <w:color w:val="auto"/>
        </w:rPr>
      </w:pPr>
      <w:r>
        <w:rPr>
          <w:rFonts w:hint="eastAsia" w:cs="宋体"/>
          <w:color w:val="auto"/>
        </w:rPr>
        <w:t>日期：  年   月   日</w:t>
      </w:r>
    </w:p>
    <w:p>
      <w:pPr>
        <w:ind w:firstLine="480"/>
        <w:rPr>
          <w:rFonts w:cs="宋体"/>
          <w:color w:val="auto"/>
          <w:lang w:val="zh-CN"/>
        </w:rPr>
      </w:pPr>
    </w:p>
    <w:p>
      <w:pPr>
        <w:pStyle w:val="22"/>
        <w:rPr>
          <w:rFonts w:hAnsi="宋体" w:cs="宋体"/>
          <w:color w:val="auto"/>
          <w:lang w:val="zh-CN"/>
        </w:rPr>
      </w:pPr>
    </w:p>
    <w:p>
      <w:pPr>
        <w:pStyle w:val="22"/>
        <w:rPr>
          <w:rFonts w:hAnsi="宋体" w:cs="宋体"/>
          <w:color w:val="auto"/>
          <w:lang w:val="zh-CN"/>
        </w:rPr>
      </w:pPr>
    </w:p>
    <w:p>
      <w:pPr>
        <w:pStyle w:val="22"/>
        <w:rPr>
          <w:rFonts w:hAnsi="宋体" w:cs="宋体"/>
          <w:color w:val="auto"/>
          <w:lang w:val="zh-CN"/>
        </w:rPr>
      </w:pPr>
    </w:p>
    <w:p>
      <w:pPr>
        <w:pStyle w:val="22"/>
        <w:rPr>
          <w:rFonts w:hAnsi="宋体" w:cs="宋体"/>
          <w:color w:val="auto"/>
          <w:lang w:val="zh-CN"/>
        </w:rPr>
      </w:pPr>
    </w:p>
    <w:p>
      <w:pPr>
        <w:pStyle w:val="22"/>
        <w:rPr>
          <w:rFonts w:hAnsi="宋体" w:cs="宋体"/>
          <w:color w:val="auto"/>
          <w:lang w:val="zh-CN"/>
        </w:rPr>
      </w:pPr>
    </w:p>
    <w:p>
      <w:pPr>
        <w:pStyle w:val="12"/>
        <w:ind w:firstLine="0" w:firstLineChars="0"/>
        <w:rPr>
          <w:rFonts w:ascii="宋体" w:eastAsia="宋体" w:cs="宋体"/>
          <w:bCs/>
          <w:color w:val="auto"/>
          <w:spacing w:val="-6"/>
        </w:rPr>
      </w:pPr>
    </w:p>
    <w:p>
      <w:pPr>
        <w:spacing w:line="400" w:lineRule="exact"/>
        <w:ind w:firstLine="482"/>
        <w:jc w:val="center"/>
        <w:rPr>
          <w:rFonts w:cs="宋体"/>
          <w:b/>
          <w:color w:val="auto"/>
        </w:rPr>
        <w:sectPr>
          <w:footerReference r:id="rId18" w:type="default"/>
          <w:pgSz w:w="11907" w:h="16840"/>
          <w:pgMar w:top="1440" w:right="1080" w:bottom="1440" w:left="1080" w:header="850" w:footer="992" w:gutter="0"/>
          <w:cols w:space="720" w:num="1"/>
          <w:docGrid w:linePitch="286" w:charSpace="0"/>
        </w:sectPr>
      </w:pPr>
    </w:p>
    <w:p>
      <w:pPr>
        <w:pStyle w:val="6"/>
        <w:numPr>
          <w:ilvl w:val="0"/>
          <w:numId w:val="40"/>
        </w:numPr>
        <w:rPr>
          <w:rFonts w:cs="宋体"/>
          <w:color w:val="auto"/>
        </w:rPr>
      </w:pPr>
      <w:r>
        <w:rPr>
          <w:rFonts w:hint="eastAsia" w:cs="宋体"/>
          <w:color w:val="auto"/>
        </w:rPr>
        <w:t>投标分项报价表</w:t>
      </w:r>
    </w:p>
    <w:p>
      <w:pPr>
        <w:spacing w:line="400" w:lineRule="exact"/>
        <w:ind w:firstLine="482"/>
        <w:jc w:val="center"/>
        <w:rPr>
          <w:rFonts w:cs="宋体"/>
          <w:b/>
          <w:color w:val="auto"/>
        </w:rPr>
      </w:pPr>
      <w:r>
        <w:rPr>
          <w:rFonts w:hint="eastAsia" w:cs="宋体"/>
          <w:b/>
          <w:color w:val="auto"/>
        </w:rPr>
        <w:t>投标分项报价表</w:t>
      </w:r>
    </w:p>
    <w:p>
      <w:pPr>
        <w:spacing w:line="460" w:lineRule="exact"/>
        <w:ind w:firstLine="480"/>
        <w:rPr>
          <w:rFonts w:cs="宋体"/>
          <w:color w:val="auto"/>
          <w:sz w:val="30"/>
        </w:rPr>
      </w:pPr>
      <w:r>
        <w:rPr>
          <w:rFonts w:hint="eastAsia" w:cs="宋体"/>
          <w:color w:val="auto"/>
        </w:rPr>
        <w:t>招标项目名称：</w:t>
      </w:r>
      <w:r>
        <w:rPr>
          <w:rFonts w:hint="eastAsia" w:cs="宋体"/>
          <w:color w:val="auto"/>
          <w:u w:val="single"/>
        </w:rPr>
        <w:t xml:space="preserve">_______               </w:t>
      </w:r>
      <w:r>
        <w:rPr>
          <w:rFonts w:hint="eastAsia" w:cs="宋体"/>
          <w:color w:val="auto"/>
          <w:spacing w:val="14"/>
        </w:rPr>
        <w:t>招标编号</w:t>
      </w:r>
      <w:r>
        <w:rPr>
          <w:rFonts w:hint="eastAsia" w:cs="宋体"/>
          <w:color w:val="auto"/>
        </w:rPr>
        <w:t>：</w:t>
      </w:r>
      <w:r>
        <w:rPr>
          <w:rFonts w:hint="eastAsia" w:cs="宋体"/>
          <w:color w:val="auto"/>
          <w:u w:val="single"/>
        </w:rPr>
        <w:t xml:space="preserve">_____                </w:t>
      </w:r>
      <w:r>
        <w:rPr>
          <w:rFonts w:hint="eastAsia" w:cs="宋体"/>
          <w:color w:val="auto"/>
        </w:rPr>
        <w:t xml:space="preserve">               （人民币：元）</w:t>
      </w:r>
    </w:p>
    <w:tbl>
      <w:tblPr>
        <w:tblStyle w:val="46"/>
        <w:tblW w:w="15821" w:type="dxa"/>
        <w:tblInd w:w="-104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260"/>
        <w:gridCol w:w="2040"/>
        <w:gridCol w:w="1050"/>
        <w:gridCol w:w="840"/>
        <w:gridCol w:w="840"/>
        <w:gridCol w:w="1155"/>
        <w:gridCol w:w="1155"/>
        <w:gridCol w:w="1155"/>
        <w:gridCol w:w="1155"/>
        <w:gridCol w:w="1076"/>
        <w:gridCol w:w="1050"/>
        <w:gridCol w:w="1234"/>
        <w:gridCol w:w="10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415" w:hRule="atLeast"/>
        </w:trPr>
        <w:tc>
          <w:tcPr>
            <w:tcW w:w="735" w:type="dxa"/>
            <w:vMerge w:val="restart"/>
            <w:vAlign w:val="center"/>
          </w:tcPr>
          <w:p>
            <w:pPr>
              <w:spacing w:line="460" w:lineRule="exact"/>
              <w:ind w:firstLine="0" w:firstLineChars="0"/>
              <w:jc w:val="center"/>
              <w:rPr>
                <w:rFonts w:cs="宋体"/>
                <w:color w:val="auto"/>
                <w:szCs w:val="21"/>
              </w:rPr>
            </w:pPr>
            <w:r>
              <w:rPr>
                <w:rFonts w:hint="eastAsia" w:cs="宋体"/>
                <w:color w:val="auto"/>
                <w:szCs w:val="21"/>
              </w:rPr>
              <w:t>序号</w:t>
            </w:r>
          </w:p>
        </w:tc>
        <w:tc>
          <w:tcPr>
            <w:tcW w:w="1260" w:type="dxa"/>
            <w:vMerge w:val="restart"/>
            <w:vAlign w:val="center"/>
          </w:tcPr>
          <w:p>
            <w:pPr>
              <w:spacing w:line="460" w:lineRule="exact"/>
              <w:ind w:firstLine="0" w:firstLineChars="0"/>
              <w:jc w:val="center"/>
              <w:rPr>
                <w:rFonts w:cs="宋体"/>
                <w:color w:val="auto"/>
                <w:szCs w:val="21"/>
              </w:rPr>
            </w:pPr>
            <w:r>
              <w:rPr>
                <w:rFonts w:hint="eastAsia" w:cs="宋体"/>
                <w:color w:val="auto"/>
                <w:szCs w:val="21"/>
              </w:rPr>
              <w:t>产品名称</w:t>
            </w:r>
          </w:p>
        </w:tc>
        <w:tc>
          <w:tcPr>
            <w:tcW w:w="2040" w:type="dxa"/>
            <w:vMerge w:val="restart"/>
            <w:vAlign w:val="center"/>
          </w:tcPr>
          <w:p>
            <w:pPr>
              <w:spacing w:line="460" w:lineRule="exact"/>
              <w:ind w:firstLine="0" w:firstLineChars="0"/>
              <w:jc w:val="center"/>
              <w:rPr>
                <w:rFonts w:cs="宋体"/>
                <w:color w:val="auto"/>
                <w:szCs w:val="21"/>
              </w:rPr>
            </w:pPr>
            <w:r>
              <w:rPr>
                <w:rFonts w:hint="eastAsia" w:cs="宋体"/>
                <w:color w:val="auto"/>
                <w:szCs w:val="21"/>
              </w:rPr>
              <w:t>品牌、规格及型号</w:t>
            </w:r>
          </w:p>
        </w:tc>
        <w:tc>
          <w:tcPr>
            <w:tcW w:w="1050" w:type="dxa"/>
            <w:vMerge w:val="restart"/>
            <w:vAlign w:val="center"/>
          </w:tcPr>
          <w:p>
            <w:pPr>
              <w:spacing w:line="460" w:lineRule="exact"/>
              <w:ind w:firstLine="0" w:firstLineChars="0"/>
              <w:jc w:val="center"/>
              <w:rPr>
                <w:rFonts w:cs="宋体"/>
                <w:color w:val="auto"/>
                <w:szCs w:val="21"/>
              </w:rPr>
            </w:pPr>
            <w:r>
              <w:rPr>
                <w:rFonts w:hint="eastAsia" w:cs="宋体"/>
                <w:color w:val="auto"/>
                <w:szCs w:val="21"/>
              </w:rPr>
              <w:t>产地</w:t>
            </w:r>
          </w:p>
        </w:tc>
        <w:tc>
          <w:tcPr>
            <w:tcW w:w="840" w:type="dxa"/>
            <w:vMerge w:val="restart"/>
            <w:vAlign w:val="center"/>
          </w:tcPr>
          <w:p>
            <w:pPr>
              <w:spacing w:line="460" w:lineRule="exact"/>
              <w:ind w:firstLine="0" w:firstLineChars="0"/>
              <w:jc w:val="center"/>
              <w:rPr>
                <w:rFonts w:cs="宋体"/>
                <w:color w:val="auto"/>
                <w:szCs w:val="21"/>
              </w:rPr>
            </w:pPr>
            <w:r>
              <w:rPr>
                <w:rFonts w:hint="eastAsia" w:cs="宋体"/>
                <w:color w:val="auto"/>
                <w:szCs w:val="21"/>
              </w:rPr>
              <w:t>数量单位</w:t>
            </w:r>
          </w:p>
        </w:tc>
        <w:tc>
          <w:tcPr>
            <w:tcW w:w="840" w:type="dxa"/>
            <w:vMerge w:val="restart"/>
            <w:vAlign w:val="center"/>
          </w:tcPr>
          <w:p>
            <w:pPr>
              <w:spacing w:line="460" w:lineRule="exact"/>
              <w:ind w:firstLine="0" w:firstLineChars="0"/>
              <w:jc w:val="center"/>
              <w:rPr>
                <w:rFonts w:cs="宋体"/>
                <w:color w:val="auto"/>
                <w:szCs w:val="21"/>
              </w:rPr>
            </w:pPr>
            <w:r>
              <w:rPr>
                <w:rFonts w:hint="eastAsia" w:cs="宋体"/>
                <w:color w:val="auto"/>
                <w:szCs w:val="21"/>
              </w:rPr>
              <w:t>数量</w:t>
            </w:r>
          </w:p>
        </w:tc>
        <w:tc>
          <w:tcPr>
            <w:tcW w:w="1155" w:type="dxa"/>
            <w:vMerge w:val="restart"/>
            <w:vAlign w:val="center"/>
          </w:tcPr>
          <w:p>
            <w:pPr>
              <w:spacing w:line="460" w:lineRule="exact"/>
              <w:ind w:firstLine="0" w:firstLineChars="0"/>
              <w:jc w:val="center"/>
              <w:rPr>
                <w:rFonts w:cs="宋体"/>
                <w:color w:val="auto"/>
                <w:szCs w:val="21"/>
              </w:rPr>
            </w:pPr>
            <w:r>
              <w:rPr>
                <w:rFonts w:hint="eastAsia" w:cs="宋体"/>
                <w:color w:val="auto"/>
                <w:szCs w:val="21"/>
              </w:rPr>
              <w:t>投标单价</w:t>
            </w:r>
          </w:p>
        </w:tc>
        <w:tc>
          <w:tcPr>
            <w:tcW w:w="1155" w:type="dxa"/>
            <w:vMerge w:val="restart"/>
            <w:vAlign w:val="center"/>
          </w:tcPr>
          <w:p>
            <w:pPr>
              <w:spacing w:line="460" w:lineRule="exact"/>
              <w:ind w:firstLine="0" w:firstLineChars="0"/>
              <w:jc w:val="center"/>
              <w:rPr>
                <w:rFonts w:cs="宋体"/>
                <w:color w:val="auto"/>
                <w:szCs w:val="21"/>
              </w:rPr>
            </w:pPr>
            <w:r>
              <w:rPr>
                <w:rFonts w:hint="eastAsia" w:cs="宋体"/>
                <w:color w:val="auto"/>
                <w:szCs w:val="21"/>
              </w:rPr>
              <w:t>投标总价</w:t>
            </w:r>
          </w:p>
        </w:tc>
        <w:tc>
          <w:tcPr>
            <w:tcW w:w="6746" w:type="dxa"/>
            <w:gridSpan w:val="6"/>
            <w:vAlign w:val="center"/>
          </w:tcPr>
          <w:p>
            <w:pPr>
              <w:spacing w:line="460" w:lineRule="exact"/>
              <w:ind w:firstLine="0" w:firstLineChars="0"/>
              <w:jc w:val="center"/>
              <w:rPr>
                <w:rFonts w:cs="宋体"/>
                <w:color w:val="auto"/>
                <w:szCs w:val="21"/>
              </w:rPr>
            </w:pPr>
            <w:r>
              <w:rPr>
                <w:rFonts w:hint="eastAsia" w:cs="宋体"/>
                <w:color w:val="auto"/>
                <w:szCs w:val="21"/>
              </w:rPr>
              <w:t>投标总价组成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719" w:hRule="atLeast"/>
        </w:trPr>
        <w:tc>
          <w:tcPr>
            <w:tcW w:w="735" w:type="dxa"/>
            <w:vMerge w:val="continue"/>
            <w:vAlign w:val="center"/>
          </w:tcPr>
          <w:p>
            <w:pPr>
              <w:spacing w:line="460" w:lineRule="exact"/>
              <w:ind w:firstLine="0" w:firstLineChars="0"/>
              <w:jc w:val="center"/>
              <w:rPr>
                <w:rFonts w:cs="宋体"/>
                <w:color w:val="auto"/>
                <w:szCs w:val="21"/>
              </w:rPr>
            </w:pPr>
          </w:p>
        </w:tc>
        <w:tc>
          <w:tcPr>
            <w:tcW w:w="1260" w:type="dxa"/>
            <w:vMerge w:val="continue"/>
            <w:vAlign w:val="center"/>
          </w:tcPr>
          <w:p>
            <w:pPr>
              <w:spacing w:line="460" w:lineRule="exact"/>
              <w:ind w:firstLine="0" w:firstLineChars="0"/>
              <w:jc w:val="center"/>
              <w:rPr>
                <w:rFonts w:cs="宋体"/>
                <w:color w:val="auto"/>
                <w:szCs w:val="21"/>
              </w:rPr>
            </w:pPr>
          </w:p>
        </w:tc>
        <w:tc>
          <w:tcPr>
            <w:tcW w:w="2040" w:type="dxa"/>
            <w:vMerge w:val="continue"/>
            <w:vAlign w:val="center"/>
          </w:tcPr>
          <w:p>
            <w:pPr>
              <w:spacing w:line="460" w:lineRule="exact"/>
              <w:ind w:firstLine="0" w:firstLineChars="0"/>
              <w:jc w:val="center"/>
              <w:rPr>
                <w:rFonts w:cs="宋体"/>
                <w:color w:val="auto"/>
                <w:szCs w:val="21"/>
              </w:rPr>
            </w:pPr>
          </w:p>
        </w:tc>
        <w:tc>
          <w:tcPr>
            <w:tcW w:w="1050" w:type="dxa"/>
            <w:vMerge w:val="continue"/>
          </w:tcPr>
          <w:p>
            <w:pPr>
              <w:spacing w:line="460" w:lineRule="exact"/>
              <w:ind w:firstLine="0" w:firstLineChars="0"/>
              <w:jc w:val="center"/>
              <w:rPr>
                <w:rFonts w:cs="宋体"/>
                <w:color w:val="auto"/>
                <w:szCs w:val="21"/>
              </w:rPr>
            </w:pPr>
          </w:p>
        </w:tc>
        <w:tc>
          <w:tcPr>
            <w:tcW w:w="840" w:type="dxa"/>
            <w:vMerge w:val="continue"/>
            <w:vAlign w:val="center"/>
          </w:tcPr>
          <w:p>
            <w:pPr>
              <w:spacing w:line="460" w:lineRule="exact"/>
              <w:ind w:firstLine="0" w:firstLineChars="0"/>
              <w:jc w:val="center"/>
              <w:rPr>
                <w:rFonts w:cs="宋体"/>
                <w:color w:val="auto"/>
                <w:szCs w:val="21"/>
              </w:rPr>
            </w:pPr>
          </w:p>
        </w:tc>
        <w:tc>
          <w:tcPr>
            <w:tcW w:w="840" w:type="dxa"/>
            <w:vMerge w:val="continue"/>
            <w:vAlign w:val="center"/>
          </w:tcPr>
          <w:p>
            <w:pPr>
              <w:spacing w:line="460" w:lineRule="exact"/>
              <w:ind w:firstLine="0" w:firstLineChars="0"/>
              <w:jc w:val="center"/>
              <w:rPr>
                <w:rFonts w:cs="宋体"/>
                <w:color w:val="auto"/>
                <w:szCs w:val="21"/>
              </w:rPr>
            </w:pPr>
          </w:p>
        </w:tc>
        <w:tc>
          <w:tcPr>
            <w:tcW w:w="1155" w:type="dxa"/>
            <w:vMerge w:val="continue"/>
          </w:tcPr>
          <w:p>
            <w:pPr>
              <w:spacing w:line="460" w:lineRule="exact"/>
              <w:ind w:firstLine="0" w:firstLineChars="0"/>
              <w:jc w:val="center"/>
              <w:rPr>
                <w:rFonts w:cs="宋体"/>
                <w:color w:val="auto"/>
                <w:szCs w:val="21"/>
              </w:rPr>
            </w:pPr>
          </w:p>
        </w:tc>
        <w:tc>
          <w:tcPr>
            <w:tcW w:w="1155" w:type="dxa"/>
            <w:vMerge w:val="continue"/>
            <w:vAlign w:val="center"/>
          </w:tcPr>
          <w:p>
            <w:pPr>
              <w:spacing w:line="460" w:lineRule="exact"/>
              <w:ind w:firstLine="0" w:firstLineChars="0"/>
              <w:jc w:val="center"/>
              <w:rPr>
                <w:rFonts w:cs="宋体"/>
                <w:color w:val="auto"/>
                <w:szCs w:val="21"/>
              </w:rPr>
            </w:pPr>
          </w:p>
        </w:tc>
        <w:tc>
          <w:tcPr>
            <w:tcW w:w="1155" w:type="dxa"/>
            <w:vAlign w:val="center"/>
          </w:tcPr>
          <w:p>
            <w:pPr>
              <w:spacing w:line="460" w:lineRule="exact"/>
              <w:ind w:firstLine="0" w:firstLineChars="0"/>
              <w:jc w:val="center"/>
              <w:rPr>
                <w:rFonts w:cs="宋体"/>
                <w:color w:val="auto"/>
                <w:szCs w:val="21"/>
              </w:rPr>
            </w:pPr>
            <w:r>
              <w:rPr>
                <w:rFonts w:hint="eastAsia" w:cs="宋体"/>
                <w:color w:val="auto"/>
                <w:szCs w:val="21"/>
              </w:rPr>
              <w:t>产品总价</w:t>
            </w:r>
          </w:p>
        </w:tc>
        <w:tc>
          <w:tcPr>
            <w:tcW w:w="1155" w:type="dxa"/>
          </w:tcPr>
          <w:p>
            <w:pPr>
              <w:spacing w:line="460" w:lineRule="exact"/>
              <w:ind w:firstLine="0" w:firstLineChars="0"/>
              <w:jc w:val="center"/>
              <w:rPr>
                <w:rFonts w:cs="宋体"/>
                <w:color w:val="auto"/>
                <w:szCs w:val="21"/>
              </w:rPr>
            </w:pPr>
            <w:r>
              <w:rPr>
                <w:rFonts w:hint="eastAsia" w:cs="宋体"/>
                <w:color w:val="auto"/>
                <w:szCs w:val="21"/>
              </w:rPr>
              <w:t>备品备件费</w:t>
            </w:r>
          </w:p>
        </w:tc>
        <w:tc>
          <w:tcPr>
            <w:tcW w:w="1076" w:type="dxa"/>
          </w:tcPr>
          <w:p>
            <w:pPr>
              <w:spacing w:line="460" w:lineRule="exact"/>
              <w:ind w:firstLine="0" w:firstLineChars="0"/>
              <w:jc w:val="center"/>
              <w:rPr>
                <w:rFonts w:cs="宋体"/>
                <w:color w:val="auto"/>
                <w:szCs w:val="21"/>
              </w:rPr>
            </w:pPr>
            <w:r>
              <w:rPr>
                <w:rFonts w:hint="eastAsia" w:cs="宋体"/>
                <w:color w:val="auto"/>
                <w:szCs w:val="21"/>
              </w:rPr>
              <w:t>专用工具费</w:t>
            </w:r>
          </w:p>
        </w:tc>
        <w:tc>
          <w:tcPr>
            <w:tcW w:w="1050" w:type="dxa"/>
            <w:vAlign w:val="center"/>
          </w:tcPr>
          <w:p>
            <w:pPr>
              <w:spacing w:line="460" w:lineRule="exact"/>
              <w:ind w:firstLine="0" w:firstLineChars="0"/>
              <w:jc w:val="center"/>
              <w:rPr>
                <w:rFonts w:cs="宋体"/>
                <w:color w:val="auto"/>
                <w:szCs w:val="21"/>
              </w:rPr>
            </w:pPr>
            <w:r>
              <w:rPr>
                <w:rFonts w:hint="eastAsia" w:cs="宋体"/>
                <w:color w:val="auto"/>
                <w:szCs w:val="21"/>
              </w:rPr>
              <w:t>安装调试费</w:t>
            </w:r>
          </w:p>
        </w:tc>
        <w:tc>
          <w:tcPr>
            <w:tcW w:w="1234" w:type="dxa"/>
            <w:vAlign w:val="center"/>
          </w:tcPr>
          <w:p>
            <w:pPr>
              <w:spacing w:line="460" w:lineRule="exact"/>
              <w:ind w:firstLine="0" w:firstLineChars="0"/>
              <w:jc w:val="center"/>
              <w:rPr>
                <w:rFonts w:cs="宋体"/>
                <w:color w:val="auto"/>
                <w:szCs w:val="21"/>
              </w:rPr>
            </w:pPr>
            <w:r>
              <w:rPr>
                <w:rFonts w:hint="eastAsia" w:cs="宋体"/>
                <w:color w:val="auto"/>
                <w:szCs w:val="21"/>
              </w:rPr>
              <w:t>技术服务培训费</w:t>
            </w:r>
          </w:p>
        </w:tc>
        <w:tc>
          <w:tcPr>
            <w:tcW w:w="1076" w:type="dxa"/>
            <w:tcBorders>
              <w:bottom w:val="single" w:color="auto" w:sz="4" w:space="0"/>
            </w:tcBorders>
            <w:vAlign w:val="center"/>
          </w:tcPr>
          <w:p>
            <w:pPr>
              <w:spacing w:line="460" w:lineRule="exact"/>
              <w:ind w:firstLine="0" w:firstLineChars="0"/>
              <w:jc w:val="center"/>
              <w:rPr>
                <w:rFonts w:cs="宋体"/>
                <w:color w:val="auto"/>
                <w:szCs w:val="21"/>
              </w:rPr>
            </w:pPr>
            <w:r>
              <w:rPr>
                <w:rFonts w:hint="eastAsia" w:cs="宋体"/>
                <w:color w:val="auto"/>
                <w:szCs w:val="21"/>
              </w:rPr>
              <w:t>运输保险费等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25" w:hRule="atLeast"/>
        </w:trPr>
        <w:tc>
          <w:tcPr>
            <w:tcW w:w="735" w:type="dxa"/>
            <w:vAlign w:val="center"/>
          </w:tcPr>
          <w:p>
            <w:pPr>
              <w:spacing w:line="460" w:lineRule="exact"/>
              <w:ind w:firstLine="0" w:firstLineChars="0"/>
              <w:jc w:val="center"/>
              <w:rPr>
                <w:rFonts w:cs="宋体"/>
                <w:color w:val="auto"/>
                <w:szCs w:val="21"/>
              </w:rPr>
            </w:pPr>
          </w:p>
        </w:tc>
        <w:tc>
          <w:tcPr>
            <w:tcW w:w="1260" w:type="dxa"/>
            <w:vAlign w:val="center"/>
          </w:tcPr>
          <w:p>
            <w:pPr>
              <w:spacing w:line="460" w:lineRule="exact"/>
              <w:ind w:firstLine="0" w:firstLineChars="0"/>
              <w:jc w:val="center"/>
              <w:rPr>
                <w:rFonts w:cs="宋体"/>
                <w:color w:val="auto"/>
                <w:szCs w:val="21"/>
              </w:rPr>
            </w:pPr>
            <w:r>
              <w:rPr>
                <w:rFonts w:hint="eastAsia" w:cs="宋体"/>
                <w:color w:val="auto"/>
                <w:szCs w:val="21"/>
              </w:rPr>
              <w:t>1</w:t>
            </w:r>
          </w:p>
        </w:tc>
        <w:tc>
          <w:tcPr>
            <w:tcW w:w="2040" w:type="dxa"/>
            <w:vAlign w:val="center"/>
          </w:tcPr>
          <w:p>
            <w:pPr>
              <w:spacing w:line="460" w:lineRule="exact"/>
              <w:ind w:firstLine="0" w:firstLineChars="0"/>
              <w:jc w:val="center"/>
              <w:rPr>
                <w:rFonts w:cs="宋体"/>
                <w:color w:val="auto"/>
                <w:szCs w:val="21"/>
              </w:rPr>
            </w:pPr>
            <w:r>
              <w:rPr>
                <w:rFonts w:hint="eastAsia" w:cs="宋体"/>
                <w:color w:val="auto"/>
                <w:szCs w:val="21"/>
              </w:rPr>
              <w:t>2</w:t>
            </w:r>
          </w:p>
        </w:tc>
        <w:tc>
          <w:tcPr>
            <w:tcW w:w="1050" w:type="dxa"/>
          </w:tcPr>
          <w:p>
            <w:pPr>
              <w:spacing w:line="460" w:lineRule="exact"/>
              <w:ind w:firstLine="0" w:firstLineChars="0"/>
              <w:jc w:val="center"/>
              <w:rPr>
                <w:rFonts w:cs="宋体"/>
                <w:color w:val="auto"/>
                <w:szCs w:val="21"/>
              </w:rPr>
            </w:pPr>
            <w:r>
              <w:rPr>
                <w:rFonts w:hint="eastAsia" w:cs="宋体"/>
                <w:color w:val="auto"/>
                <w:szCs w:val="21"/>
              </w:rPr>
              <w:t>3</w:t>
            </w:r>
          </w:p>
        </w:tc>
        <w:tc>
          <w:tcPr>
            <w:tcW w:w="840" w:type="dxa"/>
            <w:vAlign w:val="center"/>
          </w:tcPr>
          <w:p>
            <w:pPr>
              <w:spacing w:line="460" w:lineRule="exact"/>
              <w:ind w:firstLine="0" w:firstLineChars="0"/>
              <w:jc w:val="center"/>
              <w:rPr>
                <w:rFonts w:cs="宋体"/>
                <w:color w:val="auto"/>
                <w:szCs w:val="21"/>
              </w:rPr>
            </w:pPr>
            <w:r>
              <w:rPr>
                <w:rFonts w:hint="eastAsia" w:cs="宋体"/>
                <w:color w:val="auto"/>
                <w:szCs w:val="21"/>
              </w:rPr>
              <w:t>4</w:t>
            </w:r>
          </w:p>
        </w:tc>
        <w:tc>
          <w:tcPr>
            <w:tcW w:w="840" w:type="dxa"/>
            <w:vAlign w:val="center"/>
          </w:tcPr>
          <w:p>
            <w:pPr>
              <w:spacing w:line="460" w:lineRule="exact"/>
              <w:ind w:firstLine="0" w:firstLineChars="0"/>
              <w:jc w:val="center"/>
              <w:rPr>
                <w:rFonts w:cs="宋体"/>
                <w:color w:val="auto"/>
                <w:szCs w:val="21"/>
              </w:rPr>
            </w:pPr>
            <w:r>
              <w:rPr>
                <w:rFonts w:hint="eastAsia" w:cs="宋体"/>
                <w:color w:val="auto"/>
                <w:szCs w:val="21"/>
              </w:rPr>
              <w:t>5</w:t>
            </w:r>
          </w:p>
        </w:tc>
        <w:tc>
          <w:tcPr>
            <w:tcW w:w="1155" w:type="dxa"/>
          </w:tcPr>
          <w:p>
            <w:pPr>
              <w:spacing w:line="460" w:lineRule="exact"/>
              <w:ind w:firstLine="0" w:firstLineChars="0"/>
              <w:jc w:val="center"/>
              <w:rPr>
                <w:rFonts w:cs="宋体"/>
                <w:color w:val="auto"/>
                <w:szCs w:val="21"/>
              </w:rPr>
            </w:pPr>
            <w:r>
              <w:rPr>
                <w:rFonts w:hint="eastAsia" w:cs="宋体"/>
                <w:color w:val="auto"/>
                <w:szCs w:val="21"/>
              </w:rPr>
              <w:t>6</w:t>
            </w:r>
          </w:p>
        </w:tc>
        <w:tc>
          <w:tcPr>
            <w:tcW w:w="1155" w:type="dxa"/>
            <w:vAlign w:val="center"/>
          </w:tcPr>
          <w:p>
            <w:pPr>
              <w:spacing w:line="460" w:lineRule="exact"/>
              <w:ind w:firstLine="0" w:firstLineChars="0"/>
              <w:jc w:val="center"/>
              <w:rPr>
                <w:rFonts w:cs="宋体"/>
                <w:color w:val="auto"/>
                <w:szCs w:val="21"/>
              </w:rPr>
            </w:pPr>
            <w:r>
              <w:rPr>
                <w:rFonts w:hint="eastAsia" w:cs="宋体"/>
                <w:color w:val="auto"/>
                <w:szCs w:val="21"/>
              </w:rPr>
              <w:t>7</w:t>
            </w:r>
          </w:p>
        </w:tc>
        <w:tc>
          <w:tcPr>
            <w:tcW w:w="1155" w:type="dxa"/>
            <w:vAlign w:val="center"/>
          </w:tcPr>
          <w:p>
            <w:pPr>
              <w:spacing w:line="460" w:lineRule="exact"/>
              <w:ind w:firstLine="0" w:firstLineChars="0"/>
              <w:jc w:val="center"/>
              <w:rPr>
                <w:rFonts w:cs="宋体"/>
                <w:color w:val="auto"/>
                <w:szCs w:val="21"/>
              </w:rPr>
            </w:pPr>
            <w:r>
              <w:rPr>
                <w:rFonts w:hint="eastAsia" w:cs="宋体"/>
                <w:color w:val="auto"/>
                <w:szCs w:val="21"/>
              </w:rPr>
              <w:t>8</w:t>
            </w:r>
          </w:p>
        </w:tc>
        <w:tc>
          <w:tcPr>
            <w:tcW w:w="1155" w:type="dxa"/>
          </w:tcPr>
          <w:p>
            <w:pPr>
              <w:spacing w:line="460" w:lineRule="exact"/>
              <w:ind w:firstLine="0" w:firstLineChars="0"/>
              <w:jc w:val="center"/>
              <w:rPr>
                <w:rFonts w:cs="宋体"/>
                <w:color w:val="auto"/>
                <w:szCs w:val="21"/>
              </w:rPr>
            </w:pPr>
            <w:r>
              <w:rPr>
                <w:rFonts w:hint="eastAsia" w:cs="宋体"/>
                <w:color w:val="auto"/>
                <w:szCs w:val="21"/>
              </w:rPr>
              <w:t>9</w:t>
            </w:r>
          </w:p>
        </w:tc>
        <w:tc>
          <w:tcPr>
            <w:tcW w:w="1076" w:type="dxa"/>
          </w:tcPr>
          <w:p>
            <w:pPr>
              <w:spacing w:line="460" w:lineRule="exact"/>
              <w:ind w:firstLine="0" w:firstLineChars="0"/>
              <w:jc w:val="center"/>
              <w:rPr>
                <w:rFonts w:cs="宋体"/>
                <w:color w:val="auto"/>
                <w:szCs w:val="21"/>
              </w:rPr>
            </w:pPr>
            <w:r>
              <w:rPr>
                <w:rFonts w:hint="eastAsia" w:cs="宋体"/>
                <w:color w:val="auto"/>
                <w:szCs w:val="21"/>
              </w:rPr>
              <w:t>10</w:t>
            </w:r>
          </w:p>
        </w:tc>
        <w:tc>
          <w:tcPr>
            <w:tcW w:w="1050" w:type="dxa"/>
            <w:vAlign w:val="center"/>
          </w:tcPr>
          <w:p>
            <w:pPr>
              <w:spacing w:line="460" w:lineRule="exact"/>
              <w:ind w:firstLine="0" w:firstLineChars="0"/>
              <w:jc w:val="center"/>
              <w:rPr>
                <w:rFonts w:cs="宋体"/>
                <w:color w:val="auto"/>
                <w:szCs w:val="21"/>
              </w:rPr>
            </w:pPr>
            <w:r>
              <w:rPr>
                <w:rFonts w:hint="eastAsia" w:cs="宋体"/>
                <w:color w:val="auto"/>
                <w:szCs w:val="21"/>
              </w:rPr>
              <w:t>11</w:t>
            </w:r>
          </w:p>
        </w:tc>
        <w:tc>
          <w:tcPr>
            <w:tcW w:w="1234" w:type="dxa"/>
            <w:vAlign w:val="center"/>
          </w:tcPr>
          <w:p>
            <w:pPr>
              <w:spacing w:line="460" w:lineRule="exact"/>
              <w:ind w:firstLine="0" w:firstLineChars="0"/>
              <w:jc w:val="center"/>
              <w:rPr>
                <w:rFonts w:cs="宋体"/>
                <w:color w:val="auto"/>
                <w:szCs w:val="21"/>
              </w:rPr>
            </w:pPr>
            <w:r>
              <w:rPr>
                <w:rFonts w:hint="eastAsia" w:cs="宋体"/>
                <w:color w:val="auto"/>
                <w:szCs w:val="21"/>
              </w:rPr>
              <w:t>12</w:t>
            </w:r>
          </w:p>
        </w:tc>
        <w:tc>
          <w:tcPr>
            <w:tcW w:w="1076" w:type="dxa"/>
            <w:vAlign w:val="center"/>
          </w:tcPr>
          <w:p>
            <w:pPr>
              <w:spacing w:line="460" w:lineRule="exact"/>
              <w:ind w:firstLine="0" w:firstLineChars="0"/>
              <w:jc w:val="center"/>
              <w:rPr>
                <w:rFonts w:cs="宋体"/>
                <w:color w:val="auto"/>
                <w:szCs w:val="21"/>
              </w:rPr>
            </w:pPr>
            <w:r>
              <w:rPr>
                <w:rFonts w:hint="eastAsia" w:cs="宋体"/>
                <w:color w:val="auto"/>
                <w:szCs w:val="21"/>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tcPr>
          <w:p>
            <w:pPr>
              <w:spacing w:line="460" w:lineRule="exact"/>
              <w:ind w:firstLine="0" w:firstLineChars="0"/>
              <w:jc w:val="center"/>
              <w:rPr>
                <w:rFonts w:cs="宋体"/>
                <w:color w:val="auto"/>
                <w:szCs w:val="21"/>
              </w:rPr>
            </w:pPr>
          </w:p>
        </w:tc>
        <w:tc>
          <w:tcPr>
            <w:tcW w:w="1260" w:type="dxa"/>
          </w:tcPr>
          <w:p>
            <w:pPr>
              <w:spacing w:line="460" w:lineRule="exact"/>
              <w:ind w:firstLine="0" w:firstLineChars="0"/>
              <w:jc w:val="center"/>
              <w:rPr>
                <w:rFonts w:cs="宋体"/>
                <w:color w:val="auto"/>
                <w:szCs w:val="21"/>
              </w:rPr>
            </w:pPr>
          </w:p>
        </w:tc>
        <w:tc>
          <w:tcPr>
            <w:tcW w:w="2040"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1234"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tcPr>
          <w:p>
            <w:pPr>
              <w:spacing w:line="460" w:lineRule="exact"/>
              <w:ind w:firstLine="0" w:firstLineChars="0"/>
              <w:jc w:val="center"/>
              <w:rPr>
                <w:rFonts w:cs="宋体"/>
                <w:color w:val="auto"/>
                <w:szCs w:val="21"/>
              </w:rPr>
            </w:pPr>
          </w:p>
        </w:tc>
        <w:tc>
          <w:tcPr>
            <w:tcW w:w="1260" w:type="dxa"/>
          </w:tcPr>
          <w:p>
            <w:pPr>
              <w:spacing w:line="460" w:lineRule="exact"/>
              <w:ind w:firstLine="0" w:firstLineChars="0"/>
              <w:jc w:val="center"/>
              <w:rPr>
                <w:rFonts w:cs="宋体"/>
                <w:color w:val="auto"/>
                <w:szCs w:val="21"/>
              </w:rPr>
            </w:pPr>
          </w:p>
        </w:tc>
        <w:tc>
          <w:tcPr>
            <w:tcW w:w="2040"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1234"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tcPr>
          <w:p>
            <w:pPr>
              <w:spacing w:line="460" w:lineRule="exact"/>
              <w:ind w:firstLine="0" w:firstLineChars="0"/>
              <w:jc w:val="center"/>
              <w:rPr>
                <w:rFonts w:cs="宋体"/>
                <w:color w:val="auto"/>
                <w:szCs w:val="21"/>
              </w:rPr>
            </w:pPr>
          </w:p>
        </w:tc>
        <w:tc>
          <w:tcPr>
            <w:tcW w:w="1260" w:type="dxa"/>
          </w:tcPr>
          <w:p>
            <w:pPr>
              <w:spacing w:line="460" w:lineRule="exact"/>
              <w:ind w:firstLine="0" w:firstLineChars="0"/>
              <w:jc w:val="center"/>
              <w:rPr>
                <w:rFonts w:cs="宋体"/>
                <w:color w:val="auto"/>
                <w:szCs w:val="21"/>
              </w:rPr>
            </w:pPr>
          </w:p>
        </w:tc>
        <w:tc>
          <w:tcPr>
            <w:tcW w:w="2040"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1234"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tcPr>
          <w:p>
            <w:pPr>
              <w:spacing w:line="460" w:lineRule="exact"/>
              <w:ind w:firstLine="0" w:firstLineChars="0"/>
              <w:jc w:val="center"/>
              <w:rPr>
                <w:rFonts w:cs="宋体"/>
                <w:color w:val="auto"/>
                <w:szCs w:val="21"/>
              </w:rPr>
            </w:pPr>
          </w:p>
        </w:tc>
        <w:tc>
          <w:tcPr>
            <w:tcW w:w="1260" w:type="dxa"/>
          </w:tcPr>
          <w:p>
            <w:pPr>
              <w:spacing w:line="460" w:lineRule="exact"/>
              <w:ind w:firstLine="0" w:firstLineChars="0"/>
              <w:jc w:val="center"/>
              <w:rPr>
                <w:rFonts w:cs="宋体"/>
                <w:color w:val="auto"/>
                <w:szCs w:val="21"/>
              </w:rPr>
            </w:pPr>
          </w:p>
        </w:tc>
        <w:tc>
          <w:tcPr>
            <w:tcW w:w="2040"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1234"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5" w:type="dxa"/>
          </w:tcPr>
          <w:p>
            <w:pPr>
              <w:spacing w:line="460" w:lineRule="exact"/>
              <w:ind w:firstLine="0" w:firstLineChars="0"/>
              <w:jc w:val="center"/>
              <w:rPr>
                <w:rFonts w:cs="宋体"/>
                <w:color w:val="auto"/>
                <w:szCs w:val="21"/>
              </w:rPr>
            </w:pPr>
          </w:p>
        </w:tc>
        <w:tc>
          <w:tcPr>
            <w:tcW w:w="1260" w:type="dxa"/>
          </w:tcPr>
          <w:p>
            <w:pPr>
              <w:spacing w:line="460" w:lineRule="exact"/>
              <w:ind w:firstLine="0" w:firstLineChars="0"/>
              <w:jc w:val="center"/>
              <w:rPr>
                <w:rFonts w:cs="宋体"/>
                <w:color w:val="auto"/>
                <w:szCs w:val="21"/>
              </w:rPr>
            </w:pPr>
          </w:p>
        </w:tc>
        <w:tc>
          <w:tcPr>
            <w:tcW w:w="2040"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840"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155"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c>
          <w:tcPr>
            <w:tcW w:w="1050" w:type="dxa"/>
          </w:tcPr>
          <w:p>
            <w:pPr>
              <w:spacing w:line="460" w:lineRule="exact"/>
              <w:ind w:firstLine="0" w:firstLineChars="0"/>
              <w:jc w:val="center"/>
              <w:rPr>
                <w:rFonts w:cs="宋体"/>
                <w:color w:val="auto"/>
                <w:szCs w:val="21"/>
              </w:rPr>
            </w:pPr>
          </w:p>
        </w:tc>
        <w:tc>
          <w:tcPr>
            <w:tcW w:w="1234" w:type="dxa"/>
          </w:tcPr>
          <w:p>
            <w:pPr>
              <w:spacing w:line="460" w:lineRule="exact"/>
              <w:ind w:firstLine="0" w:firstLineChars="0"/>
              <w:jc w:val="center"/>
              <w:rPr>
                <w:rFonts w:cs="宋体"/>
                <w:color w:val="auto"/>
                <w:szCs w:val="21"/>
              </w:rPr>
            </w:pPr>
          </w:p>
        </w:tc>
        <w:tc>
          <w:tcPr>
            <w:tcW w:w="1076" w:type="dxa"/>
          </w:tcPr>
          <w:p>
            <w:pPr>
              <w:spacing w:line="460" w:lineRule="exact"/>
              <w:ind w:firstLine="0" w:firstLineChars="0"/>
              <w:jc w:val="center"/>
              <w:rPr>
                <w:rFonts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085" w:type="dxa"/>
            <w:gridSpan w:val="4"/>
          </w:tcPr>
          <w:p>
            <w:pPr>
              <w:spacing w:line="460" w:lineRule="exact"/>
              <w:ind w:firstLine="0" w:firstLineChars="0"/>
              <w:jc w:val="center"/>
              <w:rPr>
                <w:rFonts w:cs="宋体"/>
                <w:color w:val="auto"/>
                <w:szCs w:val="21"/>
              </w:rPr>
            </w:pPr>
            <w:r>
              <w:rPr>
                <w:rFonts w:hint="eastAsia" w:cs="宋体"/>
                <w:color w:val="auto"/>
                <w:szCs w:val="21"/>
              </w:rPr>
              <w:t>投标总价合计：</w:t>
            </w:r>
          </w:p>
        </w:tc>
        <w:tc>
          <w:tcPr>
            <w:tcW w:w="10736" w:type="dxa"/>
            <w:gridSpan w:val="10"/>
          </w:tcPr>
          <w:p>
            <w:pPr>
              <w:spacing w:line="460" w:lineRule="exact"/>
              <w:ind w:firstLine="0" w:firstLineChars="0"/>
              <w:jc w:val="center"/>
              <w:rPr>
                <w:rFonts w:cs="宋体"/>
                <w:color w:val="auto"/>
                <w:szCs w:val="21"/>
              </w:rPr>
            </w:pPr>
          </w:p>
        </w:tc>
      </w:tr>
    </w:tbl>
    <w:p>
      <w:pPr>
        <w:spacing w:line="440" w:lineRule="exact"/>
        <w:ind w:firstLine="480"/>
        <w:rPr>
          <w:rFonts w:cs="宋体"/>
          <w:i/>
          <w:iCs/>
          <w:color w:val="auto"/>
        </w:rPr>
      </w:pPr>
    </w:p>
    <w:p>
      <w:pPr>
        <w:spacing w:line="440" w:lineRule="exact"/>
        <w:ind w:firstLine="480"/>
        <w:rPr>
          <w:rFonts w:cs="宋体"/>
          <w:i/>
          <w:iCs/>
          <w:color w:val="auto"/>
        </w:rPr>
      </w:pPr>
      <w:r>
        <w:rPr>
          <w:rFonts w:hint="eastAsia" w:cs="宋体"/>
          <w:i/>
          <w:iCs/>
          <w:color w:val="auto"/>
        </w:rPr>
        <w:t>说明：  1、项7=项8+项9+项10+项11+项12+项13，项7=项6*项5；</w:t>
      </w:r>
    </w:p>
    <w:p>
      <w:pPr>
        <w:numPr>
          <w:ilvl w:val="0"/>
          <w:numId w:val="41"/>
        </w:numPr>
        <w:tabs>
          <w:tab w:val="left" w:pos="1365"/>
          <w:tab w:val="left" w:pos="1620"/>
        </w:tabs>
        <w:spacing w:line="440" w:lineRule="exact"/>
        <w:ind w:left="1365" w:firstLine="480"/>
        <w:jc w:val="both"/>
        <w:rPr>
          <w:rFonts w:cs="宋体"/>
          <w:i/>
          <w:iCs/>
          <w:color w:val="auto"/>
        </w:rPr>
      </w:pPr>
      <w:r>
        <w:rPr>
          <w:rFonts w:hint="eastAsia" w:cs="宋体"/>
          <w:i/>
          <w:iCs/>
          <w:color w:val="auto"/>
        </w:rPr>
        <w:t xml:space="preserve">“投标总价合计”应与“附件一、投标函”中第二项“投标项目的总投标价”一致。 </w:t>
      </w:r>
    </w:p>
    <w:p>
      <w:pPr>
        <w:spacing w:line="460" w:lineRule="exact"/>
        <w:ind w:firstLine="480"/>
        <w:rPr>
          <w:rFonts w:cs="宋体"/>
          <w:color w:val="auto"/>
        </w:rPr>
      </w:pPr>
    </w:p>
    <w:p>
      <w:pPr>
        <w:pStyle w:val="6"/>
        <w:ind w:left="400"/>
        <w:rPr>
          <w:rFonts w:cs="宋体"/>
          <w:b w:val="0"/>
          <w:bCs w:val="0"/>
          <w:color w:val="auto"/>
        </w:rPr>
        <w:sectPr>
          <w:pgSz w:w="16840" w:h="11907" w:orient="landscape"/>
          <w:pgMar w:top="1083" w:right="1440" w:bottom="1083" w:left="1440" w:header="850" w:footer="992" w:gutter="0"/>
          <w:cols w:space="0" w:num="1"/>
          <w:docGrid w:linePitch="286" w:charSpace="0"/>
        </w:sectPr>
      </w:pPr>
      <w:r>
        <w:rPr>
          <w:rFonts w:hint="eastAsia" w:cs="宋体"/>
          <w:b w:val="0"/>
          <w:bCs w:val="0"/>
          <w:color w:val="auto"/>
          <w:szCs w:val="24"/>
        </w:rPr>
        <w:t>投标方（盖章）：                     授权代表（签字）：                           日  期：</w:t>
      </w:r>
    </w:p>
    <w:p>
      <w:pPr>
        <w:pStyle w:val="6"/>
        <w:numPr>
          <w:ilvl w:val="0"/>
          <w:numId w:val="40"/>
        </w:numPr>
        <w:rPr>
          <w:rFonts w:cs="宋体"/>
          <w:color w:val="auto"/>
        </w:rPr>
      </w:pPr>
      <w:bookmarkStart w:id="170" w:name="_Toc8480"/>
      <w:bookmarkStart w:id="171" w:name="_Toc9524"/>
      <w:r>
        <w:rPr>
          <w:rFonts w:hint="eastAsia" w:cs="宋体"/>
          <w:color w:val="auto"/>
        </w:rPr>
        <w:t>中小企业声明函</w:t>
      </w:r>
    </w:p>
    <w:p>
      <w:pPr>
        <w:snapToGrid w:val="0"/>
        <w:ind w:firstLine="0" w:firstLineChars="0"/>
        <w:jc w:val="center"/>
        <w:rPr>
          <w:rFonts w:cs="宋体"/>
          <w:b/>
          <w:color w:val="auto"/>
          <w:kern w:val="0"/>
          <w:sz w:val="32"/>
        </w:rPr>
      </w:pPr>
      <w:r>
        <w:rPr>
          <w:rFonts w:hint="eastAsia" w:cs="宋体"/>
          <w:b/>
          <w:color w:val="auto"/>
          <w:kern w:val="0"/>
          <w:sz w:val="32"/>
        </w:rPr>
        <w:t>中小企业声明函</w:t>
      </w:r>
    </w:p>
    <w:p>
      <w:pPr>
        <w:ind w:firstLine="480"/>
        <w:jc w:val="both"/>
        <w:rPr>
          <w:rFonts w:cs="宋体"/>
          <w:color w:val="auto"/>
        </w:rPr>
      </w:pPr>
      <w:r>
        <w:rPr>
          <w:rFonts w:hint="eastAsia" w:cs="宋体"/>
          <w:color w:val="auto"/>
        </w:rPr>
        <w:t xml:space="preserve">本公司（联合体）郑重声明，根据《政府采购促进中小企业发展管理办法》（财库﹝2020﹞46 号）的规定，本公司（联合体）参加 </w:t>
      </w:r>
      <w:r>
        <w:rPr>
          <w:rFonts w:hint="eastAsia" w:cs="宋体"/>
          <w:color w:val="auto"/>
          <w:u w:val="single"/>
        </w:rPr>
        <w:t xml:space="preserve"> </w:t>
      </w:r>
      <w:r>
        <w:rPr>
          <w:rFonts w:hint="eastAsia" w:cs="宋体"/>
          <w:i/>
          <w:iCs/>
          <w:color w:val="auto"/>
          <w:u w:val="single"/>
        </w:rPr>
        <w:t xml:space="preserve">（单位名称）  </w:t>
      </w:r>
      <w:r>
        <w:rPr>
          <w:rFonts w:hint="eastAsia" w:cs="宋体"/>
          <w:color w:val="auto"/>
        </w:rPr>
        <w:t>的</w:t>
      </w:r>
      <w:r>
        <w:rPr>
          <w:rFonts w:hint="eastAsia" w:cs="宋体"/>
          <w:color w:val="auto"/>
          <w:u w:val="single"/>
        </w:rPr>
        <w:t xml:space="preserve"> </w:t>
      </w:r>
      <w:r>
        <w:rPr>
          <w:rFonts w:hint="eastAsia" w:cs="宋体"/>
          <w:i/>
          <w:iCs/>
          <w:color w:val="auto"/>
          <w:u w:val="single"/>
        </w:rPr>
        <w:t xml:space="preserve">（项目名称）   </w:t>
      </w:r>
      <w:r>
        <w:rPr>
          <w:rFonts w:hint="eastAsia" w:cs="宋体"/>
          <w:color w:val="auto"/>
        </w:rPr>
        <w:t xml:space="preserve">采购活动，提供的货物全部由符合政策要求的中小企业制造。相关企业（含联合体中的中小企业、签订分包意向协议的中小企业）的具体情况如下： </w:t>
      </w:r>
    </w:p>
    <w:p>
      <w:pPr>
        <w:numPr>
          <w:ilvl w:val="0"/>
          <w:numId w:val="42"/>
        </w:numPr>
        <w:ind w:firstLine="480"/>
        <w:jc w:val="both"/>
        <w:rPr>
          <w:rFonts w:cs="宋体"/>
          <w:color w:val="auto"/>
        </w:rPr>
      </w:pPr>
      <w:r>
        <w:rPr>
          <w:rFonts w:hint="eastAsia" w:cs="宋体"/>
          <w:i/>
          <w:iCs/>
          <w:color w:val="auto"/>
          <w:u w:val="single"/>
        </w:rPr>
        <w:t xml:space="preserve">（标的名称） </w:t>
      </w:r>
      <w:r>
        <w:rPr>
          <w:rFonts w:hint="eastAsia" w:cs="宋体"/>
          <w:color w:val="auto"/>
        </w:rPr>
        <w:t>，属于</w:t>
      </w:r>
      <w:r>
        <w:rPr>
          <w:rFonts w:hint="eastAsia" w:cs="宋体"/>
          <w:i/>
          <w:iCs/>
          <w:color w:val="auto"/>
          <w:u w:val="single"/>
        </w:rPr>
        <w:t>（采购文件中明确的所属行业）行业</w:t>
      </w:r>
      <w:r>
        <w:rPr>
          <w:rFonts w:hint="eastAsia" w:cs="宋体"/>
          <w:color w:val="auto"/>
        </w:rPr>
        <w:t>；制造商为</w:t>
      </w:r>
      <w:r>
        <w:rPr>
          <w:rFonts w:hint="eastAsia" w:cs="宋体"/>
          <w:i/>
          <w:iCs/>
          <w:color w:val="auto"/>
          <w:u w:val="single"/>
        </w:rPr>
        <w:t>（企业名称）</w:t>
      </w:r>
      <w:r>
        <w:rPr>
          <w:rFonts w:hint="eastAsia" w:cs="宋体"/>
          <w:color w:val="auto"/>
        </w:rPr>
        <w:t>，从业人员</w:t>
      </w:r>
      <w:r>
        <w:rPr>
          <w:rFonts w:hint="eastAsia" w:cs="宋体"/>
          <w:color w:val="auto"/>
          <w:u w:val="single"/>
        </w:rPr>
        <w:t xml:space="preserve">   </w:t>
      </w:r>
      <w:r>
        <w:rPr>
          <w:rFonts w:hint="eastAsia" w:cs="宋体"/>
          <w:color w:val="auto"/>
        </w:rPr>
        <w:t>人，营业收入为</w:t>
      </w:r>
      <w:r>
        <w:rPr>
          <w:rFonts w:hint="eastAsia" w:cs="宋体"/>
          <w:i/>
          <w:iCs/>
          <w:color w:val="auto"/>
          <w:u w:val="single"/>
        </w:rPr>
        <w:t xml:space="preserve">   </w:t>
      </w:r>
      <w:r>
        <w:rPr>
          <w:rFonts w:hint="eastAsia" w:cs="宋体"/>
          <w:color w:val="auto"/>
        </w:rPr>
        <w:t>万元，资产总额为</w:t>
      </w:r>
      <w:r>
        <w:rPr>
          <w:rFonts w:hint="eastAsia" w:cs="宋体"/>
          <w:color w:val="auto"/>
          <w:u w:val="single"/>
        </w:rPr>
        <w:t xml:space="preserve">   </w:t>
      </w:r>
      <w:r>
        <w:rPr>
          <w:rFonts w:hint="eastAsia" w:cs="宋体"/>
          <w:color w:val="auto"/>
        </w:rPr>
        <w:t>万元</w:t>
      </w:r>
      <w:r>
        <w:rPr>
          <w:rFonts w:hint="eastAsia" w:cs="宋体"/>
          <w:color w:val="auto"/>
          <w:vertAlign w:val="superscript"/>
        </w:rPr>
        <w:t xml:space="preserve"> 1</w:t>
      </w:r>
      <w:r>
        <w:rPr>
          <w:rFonts w:hint="eastAsia" w:cs="宋体"/>
          <w:color w:val="auto"/>
        </w:rPr>
        <w:t>，属于</w:t>
      </w:r>
      <w:r>
        <w:rPr>
          <w:rFonts w:hint="eastAsia" w:cs="宋体"/>
          <w:i/>
          <w:iCs/>
          <w:color w:val="auto"/>
          <w:u w:val="single"/>
        </w:rPr>
        <w:t>（中型企业、小 型企业、微型企业）</w:t>
      </w:r>
      <w:r>
        <w:rPr>
          <w:rFonts w:hint="eastAsia" w:cs="宋体"/>
          <w:color w:val="auto"/>
        </w:rPr>
        <w:t xml:space="preserve"> ；</w:t>
      </w:r>
    </w:p>
    <w:p>
      <w:pPr>
        <w:numPr>
          <w:ilvl w:val="0"/>
          <w:numId w:val="42"/>
        </w:numPr>
        <w:ind w:firstLine="480"/>
        <w:jc w:val="both"/>
        <w:rPr>
          <w:rFonts w:cs="宋体"/>
          <w:color w:val="auto"/>
        </w:rPr>
      </w:pPr>
      <w:r>
        <w:rPr>
          <w:rFonts w:hint="eastAsia" w:cs="宋体"/>
          <w:i/>
          <w:iCs/>
          <w:color w:val="auto"/>
          <w:u w:val="single"/>
        </w:rPr>
        <w:t xml:space="preserve"> （标的名称） </w:t>
      </w:r>
      <w:r>
        <w:rPr>
          <w:rFonts w:hint="eastAsia" w:cs="宋体"/>
          <w:color w:val="auto"/>
        </w:rPr>
        <w:t>，属于</w:t>
      </w:r>
      <w:r>
        <w:rPr>
          <w:rFonts w:hint="eastAsia" w:cs="宋体"/>
          <w:i/>
          <w:iCs/>
          <w:color w:val="auto"/>
          <w:u w:val="single"/>
        </w:rPr>
        <w:t>（采购文件中明确的所属行业）行业</w:t>
      </w:r>
      <w:r>
        <w:rPr>
          <w:rFonts w:hint="eastAsia" w:cs="宋体"/>
          <w:color w:val="auto"/>
        </w:rPr>
        <w:t>；制造商为</w:t>
      </w:r>
      <w:r>
        <w:rPr>
          <w:rFonts w:hint="eastAsia" w:cs="宋体"/>
          <w:i/>
          <w:iCs/>
          <w:color w:val="auto"/>
          <w:u w:val="single"/>
        </w:rPr>
        <w:t>（企业名称）</w:t>
      </w:r>
      <w:r>
        <w:rPr>
          <w:rFonts w:hint="eastAsia" w:cs="宋体"/>
          <w:color w:val="auto"/>
        </w:rPr>
        <w:t>，从业人员</w:t>
      </w:r>
      <w:r>
        <w:rPr>
          <w:rFonts w:hint="eastAsia" w:cs="宋体"/>
          <w:color w:val="auto"/>
          <w:u w:val="single"/>
        </w:rPr>
        <w:t xml:space="preserve">   </w:t>
      </w:r>
      <w:r>
        <w:rPr>
          <w:rFonts w:hint="eastAsia" w:cs="宋体"/>
          <w:color w:val="auto"/>
        </w:rPr>
        <w:t>人，营业收入为</w:t>
      </w:r>
      <w:r>
        <w:rPr>
          <w:rFonts w:hint="eastAsia" w:cs="宋体"/>
          <w:i/>
          <w:iCs/>
          <w:color w:val="auto"/>
          <w:u w:val="single"/>
        </w:rPr>
        <w:t xml:space="preserve">   </w:t>
      </w:r>
      <w:r>
        <w:rPr>
          <w:rFonts w:hint="eastAsia" w:cs="宋体"/>
          <w:color w:val="auto"/>
        </w:rPr>
        <w:t>万元，资产总额为</w:t>
      </w:r>
      <w:r>
        <w:rPr>
          <w:rFonts w:hint="eastAsia" w:cs="宋体"/>
          <w:color w:val="auto"/>
          <w:u w:val="single"/>
        </w:rPr>
        <w:t xml:space="preserve">   </w:t>
      </w:r>
      <w:r>
        <w:rPr>
          <w:rFonts w:hint="eastAsia" w:cs="宋体"/>
          <w:color w:val="auto"/>
        </w:rPr>
        <w:t>万元</w:t>
      </w:r>
      <w:r>
        <w:rPr>
          <w:rFonts w:hint="eastAsia" w:cs="宋体"/>
          <w:color w:val="auto"/>
          <w:vertAlign w:val="superscript"/>
        </w:rPr>
        <w:t xml:space="preserve"> 1</w:t>
      </w:r>
      <w:r>
        <w:rPr>
          <w:rFonts w:hint="eastAsia" w:cs="宋体"/>
          <w:color w:val="auto"/>
        </w:rPr>
        <w:t>，属于</w:t>
      </w:r>
      <w:r>
        <w:rPr>
          <w:rFonts w:hint="eastAsia" w:cs="宋体"/>
          <w:i/>
          <w:iCs/>
          <w:color w:val="auto"/>
          <w:u w:val="single"/>
        </w:rPr>
        <w:t>（中型企业、小 型企业、微型企业）</w:t>
      </w:r>
      <w:r>
        <w:rPr>
          <w:rFonts w:hint="eastAsia" w:cs="宋体"/>
          <w:color w:val="auto"/>
        </w:rPr>
        <w:t xml:space="preserve"> ；</w:t>
      </w:r>
    </w:p>
    <w:p>
      <w:pPr>
        <w:ind w:left="480" w:firstLine="480"/>
        <w:jc w:val="both"/>
        <w:rPr>
          <w:rFonts w:cs="宋体"/>
          <w:color w:val="auto"/>
        </w:rPr>
      </w:pPr>
      <w:r>
        <w:rPr>
          <w:rFonts w:hint="eastAsia" w:cs="宋体"/>
          <w:color w:val="auto"/>
        </w:rPr>
        <w:t xml:space="preserve">…… </w:t>
      </w:r>
    </w:p>
    <w:p>
      <w:pPr>
        <w:ind w:firstLine="480"/>
        <w:jc w:val="both"/>
        <w:rPr>
          <w:rFonts w:cs="宋体"/>
          <w:color w:val="auto"/>
        </w:rPr>
      </w:pPr>
      <w:r>
        <w:rPr>
          <w:rFonts w:hint="eastAsia" w:cs="宋体"/>
          <w:color w:val="auto"/>
        </w:rPr>
        <w:t xml:space="preserve">以上企业，不属于大企业的分支机构，不存在控股股东为大企业的情形，也不存在与大企业的负责人为同一人的情形。 </w:t>
      </w:r>
    </w:p>
    <w:p>
      <w:pPr>
        <w:ind w:firstLine="480"/>
        <w:jc w:val="both"/>
        <w:rPr>
          <w:rFonts w:cs="宋体"/>
          <w:color w:val="auto"/>
        </w:rPr>
      </w:pPr>
      <w:r>
        <w:rPr>
          <w:rFonts w:hint="eastAsia" w:cs="宋体"/>
          <w:color w:val="auto"/>
        </w:rPr>
        <w:t xml:space="preserve">本企业对上述声明内容的真实性负责。如有虚假，将依法承担相应责任。 </w:t>
      </w:r>
    </w:p>
    <w:p>
      <w:pPr>
        <w:ind w:firstLine="480"/>
        <w:jc w:val="both"/>
        <w:rPr>
          <w:rFonts w:cs="宋体"/>
          <w:color w:val="auto"/>
        </w:rPr>
      </w:pPr>
    </w:p>
    <w:p>
      <w:pPr>
        <w:ind w:firstLine="480"/>
        <w:jc w:val="both"/>
        <w:rPr>
          <w:rFonts w:cs="宋体"/>
          <w:color w:val="auto"/>
        </w:rPr>
      </w:pPr>
    </w:p>
    <w:p>
      <w:pPr>
        <w:ind w:firstLine="480"/>
        <w:jc w:val="both"/>
        <w:rPr>
          <w:rFonts w:cs="宋体"/>
          <w:color w:val="auto"/>
        </w:rPr>
      </w:pPr>
      <w:r>
        <w:rPr>
          <w:rFonts w:hint="eastAsia" w:cs="宋体"/>
          <w:color w:val="auto"/>
        </w:rPr>
        <w:t xml:space="preserve">企业名称（盖章）： </w:t>
      </w:r>
    </w:p>
    <w:p>
      <w:pPr>
        <w:ind w:firstLine="480"/>
        <w:jc w:val="both"/>
        <w:rPr>
          <w:rFonts w:cs="宋体"/>
          <w:color w:val="auto"/>
        </w:rPr>
      </w:pPr>
      <w:r>
        <w:rPr>
          <w:rFonts w:hint="eastAsia" w:cs="宋体"/>
          <w:color w:val="auto"/>
        </w:rPr>
        <w:t xml:space="preserve">日 期： </w:t>
      </w:r>
    </w:p>
    <w:p>
      <w:pPr>
        <w:ind w:firstLine="360"/>
        <w:jc w:val="both"/>
        <w:rPr>
          <w:rFonts w:cs="宋体"/>
          <w:color w:val="auto"/>
          <w:sz w:val="18"/>
          <w:szCs w:val="18"/>
        </w:rPr>
      </w:pPr>
    </w:p>
    <w:p>
      <w:pPr>
        <w:ind w:firstLine="360"/>
        <w:jc w:val="both"/>
        <w:rPr>
          <w:rFonts w:cs="宋体"/>
          <w:color w:val="auto"/>
          <w:sz w:val="18"/>
          <w:szCs w:val="18"/>
        </w:rPr>
      </w:pPr>
    </w:p>
    <w:p>
      <w:pPr>
        <w:snapToGrid w:val="0"/>
        <w:spacing w:before="120" w:beforeLines="50" w:after="50"/>
        <w:ind w:firstLine="360"/>
        <w:rPr>
          <w:rFonts w:cs="宋体"/>
          <w:b/>
          <w:color w:val="auto"/>
        </w:rPr>
      </w:pPr>
      <w:r>
        <w:rPr>
          <w:rFonts w:hint="eastAsia" w:cs="宋体"/>
          <w:color w:val="auto"/>
          <w:sz w:val="18"/>
          <w:szCs w:val="18"/>
        </w:rPr>
        <w:t>1 从业人员、营业收入、资产总额填报上一年度数据，无上一年度数据的新成立企业可不填报。</w:t>
      </w:r>
    </w:p>
    <w:p>
      <w:pPr>
        <w:spacing w:line="588" w:lineRule="exact"/>
        <w:ind w:firstLine="0" w:firstLineChars="0"/>
        <w:jc w:val="both"/>
        <w:rPr>
          <w:rFonts w:cs="宋体"/>
          <w:color w:val="auto"/>
          <w:sz w:val="30"/>
          <w:szCs w:val="30"/>
        </w:rPr>
      </w:pPr>
      <w:r>
        <w:rPr>
          <w:rFonts w:hint="eastAsia" w:cs="宋体"/>
          <w:color w:val="auto"/>
          <w:sz w:val="30"/>
          <w:szCs w:val="30"/>
        </w:rPr>
        <w:br w:type="page"/>
      </w:r>
    </w:p>
    <w:p>
      <w:pPr>
        <w:pStyle w:val="6"/>
        <w:numPr>
          <w:ilvl w:val="0"/>
          <w:numId w:val="40"/>
        </w:numPr>
        <w:rPr>
          <w:rFonts w:cs="宋体"/>
          <w:color w:val="auto"/>
        </w:rPr>
      </w:pPr>
      <w:r>
        <w:rPr>
          <w:rFonts w:hint="eastAsia" w:cs="宋体"/>
          <w:color w:val="auto"/>
        </w:rPr>
        <w:t>残疾人福利性单位声明函</w:t>
      </w:r>
    </w:p>
    <w:p>
      <w:pPr>
        <w:pStyle w:val="22"/>
        <w:rPr>
          <w:rFonts w:hAnsi="宋体" w:cs="宋体"/>
          <w:color w:val="auto"/>
        </w:rPr>
      </w:pPr>
    </w:p>
    <w:p>
      <w:pPr>
        <w:snapToGrid w:val="0"/>
        <w:ind w:firstLine="0" w:firstLineChars="0"/>
        <w:jc w:val="center"/>
        <w:rPr>
          <w:rFonts w:cs="宋体"/>
          <w:b/>
          <w:color w:val="auto"/>
          <w:kern w:val="0"/>
          <w:sz w:val="32"/>
        </w:rPr>
      </w:pPr>
      <w:r>
        <w:rPr>
          <w:rFonts w:hint="eastAsia" w:cs="宋体"/>
          <w:b/>
          <w:color w:val="auto"/>
          <w:kern w:val="0"/>
          <w:sz w:val="32"/>
        </w:rPr>
        <w:t>残疾人福利性单位声明函</w:t>
      </w:r>
    </w:p>
    <w:p>
      <w:pPr>
        <w:snapToGrid w:val="0"/>
        <w:ind w:firstLine="480"/>
        <w:rPr>
          <w:rFonts w:cs="宋体"/>
          <w:color w:val="auto"/>
        </w:rPr>
      </w:pPr>
      <w:r>
        <w:rPr>
          <w:rFonts w:hint="eastAsia" w:cs="宋体"/>
          <w:color w:val="auto"/>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ind w:firstLine="480"/>
        <w:rPr>
          <w:rFonts w:cs="宋体"/>
          <w:color w:val="auto"/>
        </w:rPr>
      </w:pPr>
      <w:r>
        <w:rPr>
          <w:rFonts w:hint="eastAsia" w:cs="宋体"/>
          <w:color w:val="auto"/>
        </w:rPr>
        <w:t>本单位对上述声明的真实性负责。如有虚假，将依法承担相应责任。</w:t>
      </w:r>
    </w:p>
    <w:p>
      <w:pPr>
        <w:snapToGrid w:val="0"/>
        <w:ind w:firstLine="480"/>
        <w:rPr>
          <w:rFonts w:cs="宋体"/>
          <w:color w:val="auto"/>
        </w:rPr>
      </w:pPr>
    </w:p>
    <w:p>
      <w:pPr>
        <w:spacing w:line="588" w:lineRule="exact"/>
        <w:ind w:firstLine="504"/>
        <w:rPr>
          <w:rFonts w:cs="宋体"/>
          <w:color w:val="auto"/>
          <w:spacing w:val="6"/>
        </w:rPr>
      </w:pPr>
    </w:p>
    <w:p>
      <w:pPr>
        <w:snapToGrid w:val="0"/>
        <w:ind w:firstLine="480"/>
        <w:jc w:val="right"/>
        <w:rPr>
          <w:rFonts w:cs="宋体"/>
          <w:color w:val="auto"/>
        </w:rPr>
      </w:pPr>
      <w:r>
        <w:rPr>
          <w:rFonts w:hint="eastAsia" w:cs="宋体"/>
          <w:color w:val="auto"/>
        </w:rPr>
        <w:t xml:space="preserve">      单位名称（盖章）：</w:t>
      </w:r>
    </w:p>
    <w:p>
      <w:pPr>
        <w:snapToGrid w:val="0"/>
        <w:ind w:firstLine="480"/>
        <w:jc w:val="right"/>
        <w:rPr>
          <w:rFonts w:cs="宋体"/>
          <w:color w:val="auto"/>
        </w:rPr>
      </w:pPr>
      <w:r>
        <w:rPr>
          <w:rFonts w:hint="eastAsia" w:cs="宋体"/>
          <w:color w:val="auto"/>
        </w:rPr>
        <w:t xml:space="preserve">       日  期：</w:t>
      </w:r>
    </w:p>
    <w:p>
      <w:pPr>
        <w:tabs>
          <w:tab w:val="left" w:pos="4860"/>
        </w:tabs>
        <w:spacing w:line="588" w:lineRule="exact"/>
        <w:ind w:right="1560" w:firstLine="504"/>
        <w:rPr>
          <w:rFonts w:cs="宋体"/>
          <w:color w:val="auto"/>
          <w:spacing w:val="6"/>
        </w:rPr>
      </w:pPr>
      <w:r>
        <w:rPr>
          <w:rFonts w:hint="eastAsia" w:cs="宋体"/>
          <w:color w:val="auto"/>
          <w:spacing w:val="6"/>
        </w:rPr>
        <w:t>填写说明：</w:t>
      </w:r>
    </w:p>
    <w:p>
      <w:pPr>
        <w:numPr>
          <w:ilvl w:val="0"/>
          <w:numId w:val="43"/>
        </w:numPr>
        <w:tabs>
          <w:tab w:val="left" w:pos="4860"/>
        </w:tabs>
        <w:ind w:right="106" w:firstLine="506"/>
        <w:rPr>
          <w:rFonts w:cs="宋体"/>
          <w:b/>
          <w:bCs/>
          <w:color w:val="auto"/>
        </w:rPr>
      </w:pPr>
      <w:r>
        <w:rPr>
          <w:rFonts w:hint="eastAsia" w:cs="宋体"/>
          <w:b/>
          <w:bCs/>
          <w:color w:val="auto"/>
          <w:spacing w:val="6"/>
        </w:rPr>
        <w:t>本声明是残疾人福利性单位的提供，其他不符合规定的单位禁止提供，中标、成交单位提供《残疾人福利性单位声明函》的，代理机构将在发布中标、成交公告时同时公告其《残疾人福利性单位声明函》，接受社会监督。</w:t>
      </w:r>
    </w:p>
    <w:p>
      <w:pPr>
        <w:numPr>
          <w:ilvl w:val="0"/>
          <w:numId w:val="43"/>
        </w:numPr>
        <w:tabs>
          <w:tab w:val="left" w:pos="4860"/>
        </w:tabs>
        <w:ind w:right="251" w:firstLine="480"/>
        <w:rPr>
          <w:rFonts w:cs="宋体"/>
          <w:color w:val="auto"/>
        </w:rPr>
      </w:pPr>
      <w:r>
        <w:rPr>
          <w:rFonts w:hint="eastAsia" w:cs="宋体"/>
          <w:color w:val="auto"/>
        </w:rPr>
        <w:t>享受政府采购支持政策的残疾人福利性单位应当同时满足以下条件：</w:t>
      </w:r>
    </w:p>
    <w:p>
      <w:pPr>
        <w:pStyle w:val="38"/>
        <w:rPr>
          <w:rFonts w:cs="宋体"/>
          <w:color w:val="auto"/>
          <w:sz w:val="20"/>
          <w:szCs w:val="20"/>
        </w:rPr>
      </w:pPr>
      <w:r>
        <w:rPr>
          <w:rFonts w:hint="eastAsia" w:cs="宋体"/>
          <w:color w:val="auto"/>
          <w:sz w:val="20"/>
          <w:szCs w:val="20"/>
        </w:rPr>
        <w:t>　　（1）安置的残疾人占本单位在职职工人数的比例不低于210%（含210%），并且安置的残疾人人数不少于10人（含10人）；</w:t>
      </w:r>
    </w:p>
    <w:p>
      <w:pPr>
        <w:pStyle w:val="38"/>
        <w:rPr>
          <w:rFonts w:cs="宋体"/>
          <w:color w:val="auto"/>
          <w:sz w:val="20"/>
          <w:szCs w:val="20"/>
        </w:rPr>
      </w:pPr>
      <w:r>
        <w:rPr>
          <w:rFonts w:hint="eastAsia" w:cs="宋体"/>
          <w:color w:val="auto"/>
          <w:sz w:val="20"/>
          <w:szCs w:val="20"/>
        </w:rPr>
        <w:t>　　（2）依法与安置的每位残疾人签订了一年以上（含一年）的劳动合同或服务协议；</w:t>
      </w:r>
    </w:p>
    <w:p>
      <w:pPr>
        <w:pStyle w:val="38"/>
        <w:rPr>
          <w:rFonts w:cs="宋体"/>
          <w:color w:val="auto"/>
          <w:sz w:val="20"/>
          <w:szCs w:val="20"/>
        </w:rPr>
      </w:pPr>
      <w:r>
        <w:rPr>
          <w:rFonts w:hint="eastAsia" w:cs="宋体"/>
          <w:color w:val="auto"/>
          <w:sz w:val="20"/>
          <w:szCs w:val="20"/>
        </w:rPr>
        <w:t>　　（3）为安置的每位残疾人按月足额缴纳了基本养老保险、基本医疗保险、失业保险、工伤保险和生育保险等社会保险费；</w:t>
      </w:r>
    </w:p>
    <w:p>
      <w:pPr>
        <w:pStyle w:val="38"/>
        <w:rPr>
          <w:rFonts w:cs="宋体"/>
          <w:color w:val="auto"/>
          <w:sz w:val="20"/>
          <w:szCs w:val="20"/>
        </w:rPr>
      </w:pPr>
      <w:r>
        <w:rPr>
          <w:rFonts w:hint="eastAsia" w:cs="宋体"/>
          <w:color w:val="auto"/>
          <w:sz w:val="20"/>
          <w:szCs w:val="20"/>
        </w:rPr>
        <w:t>　　（4）通过银行等金融机构向安置的每位残疾人，按月支付了不低于单位所在区县适用的经省级人民政府批准的月最低工资标准的工资；</w:t>
      </w:r>
    </w:p>
    <w:p>
      <w:pPr>
        <w:pStyle w:val="38"/>
        <w:rPr>
          <w:rFonts w:cs="宋体"/>
          <w:color w:val="auto"/>
          <w:sz w:val="20"/>
          <w:szCs w:val="20"/>
        </w:rPr>
      </w:pPr>
      <w:r>
        <w:rPr>
          <w:rFonts w:hint="eastAsia" w:cs="宋体"/>
          <w:color w:val="auto"/>
          <w:sz w:val="20"/>
          <w:szCs w:val="20"/>
        </w:rPr>
        <w:t>　　（5）提供本单位制造的货物、承担的工程或者服务（以下简称产品），或者提供其他残疾人福利性单位制造的货物（不包括使用非残疾人福利性单位注册商标的货物）。</w:t>
      </w:r>
    </w:p>
    <w:p>
      <w:pPr>
        <w:pStyle w:val="38"/>
        <w:rPr>
          <w:rFonts w:cs="宋体"/>
          <w:color w:val="auto"/>
          <w:szCs w:val="21"/>
        </w:rPr>
      </w:pPr>
      <w:r>
        <w:rPr>
          <w:rFonts w:hint="eastAsia" w:cs="宋体"/>
          <w:color w:val="auto"/>
          <w:sz w:val="20"/>
          <w:szCs w:val="20"/>
        </w:rPr>
        <w:t>　　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pPr>
        <w:tabs>
          <w:tab w:val="left" w:pos="4860"/>
        </w:tabs>
        <w:spacing w:line="588" w:lineRule="exact"/>
        <w:ind w:right="1560" w:firstLine="480"/>
        <w:rPr>
          <w:rFonts w:cs="宋体"/>
          <w:color w:val="auto"/>
          <w:szCs w:val="21"/>
        </w:rPr>
        <w:sectPr>
          <w:pgSz w:w="11906" w:h="16838"/>
          <w:pgMar w:top="1440" w:right="1106" w:bottom="1440" w:left="1622" w:header="851" w:footer="851" w:gutter="0"/>
          <w:cols w:space="720" w:num="1"/>
          <w:docGrid w:linePitch="312" w:charSpace="0"/>
        </w:sectPr>
      </w:pPr>
    </w:p>
    <w:tbl>
      <w:tblPr>
        <w:tblStyle w:val="46"/>
        <w:tblW w:w="15079" w:type="dxa"/>
        <w:tblInd w:w="-176" w:type="dxa"/>
        <w:tblLayout w:type="fixed"/>
        <w:tblCellMar>
          <w:top w:w="0" w:type="dxa"/>
          <w:left w:w="108" w:type="dxa"/>
          <w:bottom w:w="0" w:type="dxa"/>
          <w:right w:w="108" w:type="dxa"/>
        </w:tblCellMar>
      </w:tblPr>
      <w:tblGrid>
        <w:gridCol w:w="1985"/>
        <w:gridCol w:w="1498"/>
        <w:gridCol w:w="1763"/>
        <w:gridCol w:w="1660"/>
        <w:gridCol w:w="1240"/>
        <w:gridCol w:w="1562"/>
        <w:gridCol w:w="1590"/>
        <w:gridCol w:w="1285"/>
        <w:gridCol w:w="1275"/>
        <w:gridCol w:w="1069"/>
        <w:gridCol w:w="152"/>
      </w:tblGrid>
      <w:tr>
        <w:tblPrEx>
          <w:tblLayout w:type="fixed"/>
          <w:tblCellMar>
            <w:top w:w="0" w:type="dxa"/>
            <w:left w:w="108" w:type="dxa"/>
            <w:bottom w:w="0" w:type="dxa"/>
            <w:right w:w="108" w:type="dxa"/>
          </w:tblCellMar>
        </w:tblPrEx>
        <w:trPr>
          <w:gridAfter w:val="1"/>
          <w:wAfter w:w="152" w:type="dxa"/>
          <w:trHeight w:val="420" w:hRule="atLeast"/>
        </w:trPr>
        <w:tc>
          <w:tcPr>
            <w:tcW w:w="14927" w:type="dxa"/>
            <w:gridSpan w:val="10"/>
            <w:tcBorders>
              <w:top w:val="nil"/>
              <w:left w:val="nil"/>
              <w:bottom w:val="nil"/>
              <w:right w:val="nil"/>
            </w:tcBorders>
            <w:vAlign w:val="bottom"/>
          </w:tcPr>
          <w:p>
            <w:pPr>
              <w:ind w:firstLine="281"/>
              <w:jc w:val="center"/>
              <w:rPr>
                <w:rFonts w:cs="宋体"/>
                <w:b/>
                <w:bCs/>
                <w:color w:val="auto"/>
                <w:sz w:val="14"/>
                <w:szCs w:val="14"/>
              </w:rPr>
            </w:pPr>
            <w:r>
              <w:rPr>
                <w:rFonts w:hint="eastAsia" w:cs="宋体"/>
                <w:b/>
                <w:bCs/>
                <w:color w:val="auto"/>
                <w:sz w:val="14"/>
                <w:szCs w:val="14"/>
              </w:rPr>
              <w:t>中小微行业划型标准规定（根据工信部联企业〔2011〕300号制定）</w:t>
            </w:r>
          </w:p>
        </w:tc>
      </w:tr>
      <w:tr>
        <w:tblPrEx>
          <w:tblLayout w:type="fixed"/>
          <w:tblCellMar>
            <w:top w:w="0" w:type="dxa"/>
            <w:left w:w="108" w:type="dxa"/>
            <w:bottom w:w="0" w:type="dxa"/>
            <w:right w:w="108" w:type="dxa"/>
          </w:tblCellMar>
        </w:tblPrEx>
        <w:trPr>
          <w:trHeight w:val="465" w:hRule="atLeast"/>
        </w:trPr>
        <w:tc>
          <w:tcPr>
            <w:tcW w:w="1985" w:type="dxa"/>
            <w:vMerge w:val="restart"/>
            <w:tcBorders>
              <w:top w:val="single" w:color="auto" w:sz="8" w:space="0"/>
              <w:left w:val="single" w:color="auto" w:sz="8" w:space="0"/>
              <w:bottom w:val="single" w:color="000000" w:sz="4" w:space="0"/>
              <w:right w:val="single" w:color="auto" w:sz="8" w:space="0"/>
            </w:tcBorders>
            <w:vAlign w:val="center"/>
          </w:tcPr>
          <w:p>
            <w:pPr>
              <w:ind w:firstLine="281"/>
              <w:jc w:val="center"/>
              <w:rPr>
                <w:rFonts w:cs="宋体"/>
                <w:b/>
                <w:bCs/>
                <w:color w:val="auto"/>
                <w:sz w:val="14"/>
                <w:szCs w:val="14"/>
              </w:rPr>
            </w:pPr>
            <w:r>
              <w:rPr>
                <w:rFonts w:hint="eastAsia" w:cs="宋体"/>
                <w:b/>
                <w:bCs/>
                <w:color w:val="auto"/>
                <w:sz w:val="14"/>
                <w:szCs w:val="14"/>
              </w:rPr>
              <w:t>行业</w:t>
            </w:r>
          </w:p>
        </w:tc>
        <w:tc>
          <w:tcPr>
            <w:tcW w:w="4921" w:type="dxa"/>
            <w:gridSpan w:val="3"/>
            <w:tcBorders>
              <w:top w:val="single" w:color="auto" w:sz="8" w:space="0"/>
              <w:left w:val="nil"/>
              <w:bottom w:val="single" w:color="auto" w:sz="4" w:space="0"/>
              <w:right w:val="single" w:color="000000" w:sz="8" w:space="0"/>
            </w:tcBorders>
            <w:vAlign w:val="bottom"/>
          </w:tcPr>
          <w:p>
            <w:pPr>
              <w:ind w:firstLine="281"/>
              <w:jc w:val="center"/>
              <w:rPr>
                <w:rFonts w:cs="宋体"/>
                <w:b/>
                <w:bCs/>
                <w:color w:val="auto"/>
                <w:sz w:val="14"/>
                <w:szCs w:val="14"/>
              </w:rPr>
            </w:pPr>
            <w:r>
              <w:rPr>
                <w:rFonts w:hint="eastAsia" w:cs="宋体"/>
                <w:b/>
                <w:bCs/>
                <w:color w:val="auto"/>
                <w:sz w:val="14"/>
                <w:szCs w:val="14"/>
              </w:rPr>
              <w:t>中型企业</w:t>
            </w:r>
          </w:p>
        </w:tc>
        <w:tc>
          <w:tcPr>
            <w:tcW w:w="4392" w:type="dxa"/>
            <w:gridSpan w:val="3"/>
            <w:tcBorders>
              <w:top w:val="single" w:color="auto" w:sz="8" w:space="0"/>
              <w:left w:val="nil"/>
              <w:bottom w:val="single" w:color="auto" w:sz="4" w:space="0"/>
              <w:right w:val="single" w:color="000000" w:sz="8" w:space="0"/>
            </w:tcBorders>
            <w:vAlign w:val="bottom"/>
          </w:tcPr>
          <w:p>
            <w:pPr>
              <w:ind w:firstLine="281"/>
              <w:jc w:val="center"/>
              <w:rPr>
                <w:rFonts w:cs="宋体"/>
                <w:b/>
                <w:bCs/>
                <w:color w:val="auto"/>
                <w:sz w:val="14"/>
                <w:szCs w:val="14"/>
              </w:rPr>
            </w:pPr>
            <w:r>
              <w:rPr>
                <w:rFonts w:hint="eastAsia" w:cs="宋体"/>
                <w:b/>
                <w:bCs/>
                <w:color w:val="auto"/>
                <w:sz w:val="14"/>
                <w:szCs w:val="14"/>
              </w:rPr>
              <w:t>小型企业</w:t>
            </w:r>
          </w:p>
        </w:tc>
        <w:tc>
          <w:tcPr>
            <w:tcW w:w="3781" w:type="dxa"/>
            <w:gridSpan w:val="4"/>
            <w:tcBorders>
              <w:top w:val="single" w:color="auto" w:sz="8" w:space="0"/>
              <w:left w:val="nil"/>
              <w:bottom w:val="single" w:color="auto" w:sz="4" w:space="0"/>
              <w:right w:val="single" w:color="000000" w:sz="8" w:space="0"/>
            </w:tcBorders>
            <w:vAlign w:val="bottom"/>
          </w:tcPr>
          <w:p>
            <w:pPr>
              <w:ind w:firstLine="281"/>
              <w:jc w:val="center"/>
              <w:rPr>
                <w:rFonts w:cs="宋体"/>
                <w:b/>
                <w:bCs/>
                <w:color w:val="auto"/>
                <w:sz w:val="14"/>
                <w:szCs w:val="14"/>
              </w:rPr>
            </w:pPr>
            <w:r>
              <w:rPr>
                <w:rFonts w:hint="eastAsia" w:cs="宋体"/>
                <w:b/>
                <w:bCs/>
                <w:color w:val="auto"/>
                <w:sz w:val="14"/>
                <w:szCs w:val="14"/>
              </w:rPr>
              <w:t>微型企业</w:t>
            </w:r>
          </w:p>
        </w:tc>
      </w:tr>
      <w:tr>
        <w:tblPrEx>
          <w:tblLayout w:type="fixed"/>
          <w:tblCellMar>
            <w:top w:w="0" w:type="dxa"/>
            <w:left w:w="108" w:type="dxa"/>
            <w:bottom w:w="0" w:type="dxa"/>
            <w:right w:w="108" w:type="dxa"/>
          </w:tblCellMar>
        </w:tblPrEx>
        <w:trPr>
          <w:trHeight w:val="525" w:hRule="atLeast"/>
        </w:trPr>
        <w:tc>
          <w:tcPr>
            <w:tcW w:w="1985" w:type="dxa"/>
            <w:vMerge w:val="continue"/>
            <w:tcBorders>
              <w:top w:val="single" w:color="auto" w:sz="8" w:space="0"/>
              <w:left w:val="single" w:color="auto" w:sz="8" w:space="0"/>
              <w:bottom w:val="single" w:color="000000" w:sz="4" w:space="0"/>
              <w:right w:val="single" w:color="auto" w:sz="8" w:space="0"/>
            </w:tcBorders>
            <w:vAlign w:val="center"/>
          </w:tcPr>
          <w:p>
            <w:pPr>
              <w:ind w:firstLine="281"/>
              <w:rPr>
                <w:rFonts w:cs="宋体"/>
                <w:b/>
                <w:bCs/>
                <w:color w:val="auto"/>
                <w:sz w:val="14"/>
                <w:szCs w:val="14"/>
              </w:rPr>
            </w:pPr>
          </w:p>
        </w:tc>
        <w:tc>
          <w:tcPr>
            <w:tcW w:w="1498" w:type="dxa"/>
            <w:tcBorders>
              <w:top w:val="nil"/>
              <w:left w:val="nil"/>
              <w:bottom w:val="single" w:color="auto" w:sz="4" w:space="0"/>
              <w:right w:val="single" w:color="auto" w:sz="4" w:space="0"/>
            </w:tcBorders>
            <w:vAlign w:val="bottom"/>
          </w:tcPr>
          <w:p>
            <w:pPr>
              <w:ind w:firstLine="280"/>
              <w:jc w:val="center"/>
              <w:rPr>
                <w:rFonts w:cs="宋体"/>
                <w:color w:val="auto"/>
                <w:sz w:val="14"/>
                <w:szCs w:val="14"/>
              </w:rPr>
            </w:pPr>
            <w:r>
              <w:rPr>
                <w:rFonts w:hint="eastAsia" w:cs="宋体"/>
                <w:color w:val="auto"/>
                <w:sz w:val="14"/>
                <w:szCs w:val="14"/>
              </w:rPr>
              <w:t>从业人员X（人）</w:t>
            </w:r>
          </w:p>
        </w:tc>
        <w:tc>
          <w:tcPr>
            <w:tcW w:w="1763" w:type="dxa"/>
            <w:tcBorders>
              <w:top w:val="nil"/>
              <w:left w:val="nil"/>
              <w:bottom w:val="single" w:color="auto" w:sz="4" w:space="0"/>
              <w:right w:val="single" w:color="auto" w:sz="4" w:space="0"/>
            </w:tcBorders>
            <w:vAlign w:val="bottom"/>
          </w:tcPr>
          <w:p>
            <w:pPr>
              <w:ind w:firstLine="280"/>
              <w:jc w:val="center"/>
              <w:rPr>
                <w:rFonts w:cs="宋体"/>
                <w:color w:val="auto"/>
                <w:sz w:val="14"/>
                <w:szCs w:val="14"/>
              </w:rPr>
            </w:pPr>
            <w:r>
              <w:rPr>
                <w:rFonts w:hint="eastAsia" w:cs="宋体"/>
                <w:color w:val="auto"/>
                <w:sz w:val="14"/>
                <w:szCs w:val="14"/>
              </w:rPr>
              <w:t>营业收入Y</w:t>
            </w:r>
          </w:p>
          <w:p>
            <w:pPr>
              <w:ind w:firstLine="280"/>
              <w:jc w:val="center"/>
              <w:rPr>
                <w:rFonts w:cs="宋体"/>
                <w:color w:val="auto"/>
                <w:sz w:val="14"/>
                <w:szCs w:val="14"/>
              </w:rPr>
            </w:pPr>
            <w:r>
              <w:rPr>
                <w:rFonts w:hint="eastAsia" w:cs="宋体"/>
                <w:color w:val="auto"/>
                <w:sz w:val="14"/>
                <w:szCs w:val="14"/>
              </w:rPr>
              <w:t>（万元）</w:t>
            </w:r>
          </w:p>
        </w:tc>
        <w:tc>
          <w:tcPr>
            <w:tcW w:w="1660" w:type="dxa"/>
            <w:tcBorders>
              <w:top w:val="nil"/>
              <w:left w:val="nil"/>
              <w:bottom w:val="single" w:color="auto" w:sz="4" w:space="0"/>
              <w:right w:val="single" w:color="auto" w:sz="8" w:space="0"/>
            </w:tcBorders>
            <w:vAlign w:val="bottom"/>
          </w:tcPr>
          <w:p>
            <w:pPr>
              <w:ind w:firstLine="280"/>
              <w:jc w:val="center"/>
              <w:rPr>
                <w:rFonts w:cs="宋体"/>
                <w:color w:val="auto"/>
                <w:sz w:val="14"/>
                <w:szCs w:val="14"/>
              </w:rPr>
            </w:pPr>
            <w:r>
              <w:rPr>
                <w:rFonts w:hint="eastAsia" w:cs="宋体"/>
                <w:color w:val="auto"/>
                <w:sz w:val="14"/>
                <w:szCs w:val="14"/>
              </w:rPr>
              <w:t>资产总额Z</w:t>
            </w:r>
          </w:p>
          <w:p>
            <w:pPr>
              <w:ind w:firstLine="280"/>
              <w:jc w:val="center"/>
              <w:rPr>
                <w:rFonts w:cs="宋体"/>
                <w:color w:val="auto"/>
                <w:sz w:val="14"/>
                <w:szCs w:val="14"/>
              </w:rPr>
            </w:pPr>
            <w:r>
              <w:rPr>
                <w:rFonts w:hint="eastAsia" w:cs="宋体"/>
                <w:color w:val="auto"/>
                <w:sz w:val="14"/>
                <w:szCs w:val="14"/>
              </w:rPr>
              <w:t>（万元）</w:t>
            </w:r>
          </w:p>
        </w:tc>
        <w:tc>
          <w:tcPr>
            <w:tcW w:w="1240" w:type="dxa"/>
            <w:tcBorders>
              <w:top w:val="nil"/>
              <w:left w:val="nil"/>
              <w:bottom w:val="single" w:color="auto" w:sz="4" w:space="0"/>
              <w:right w:val="single" w:color="auto" w:sz="4" w:space="0"/>
            </w:tcBorders>
            <w:vAlign w:val="bottom"/>
          </w:tcPr>
          <w:p>
            <w:pPr>
              <w:ind w:firstLine="280"/>
              <w:jc w:val="center"/>
              <w:rPr>
                <w:rFonts w:cs="宋体"/>
                <w:color w:val="auto"/>
                <w:sz w:val="14"/>
                <w:szCs w:val="14"/>
              </w:rPr>
            </w:pPr>
            <w:r>
              <w:rPr>
                <w:rFonts w:hint="eastAsia" w:cs="宋体"/>
                <w:color w:val="auto"/>
                <w:sz w:val="14"/>
                <w:szCs w:val="14"/>
              </w:rPr>
              <w:t>从业人员X（人）</w:t>
            </w:r>
          </w:p>
        </w:tc>
        <w:tc>
          <w:tcPr>
            <w:tcW w:w="1562" w:type="dxa"/>
            <w:tcBorders>
              <w:top w:val="nil"/>
              <w:left w:val="nil"/>
              <w:bottom w:val="single" w:color="auto" w:sz="4" w:space="0"/>
              <w:right w:val="single" w:color="auto" w:sz="4" w:space="0"/>
            </w:tcBorders>
            <w:vAlign w:val="bottom"/>
          </w:tcPr>
          <w:p>
            <w:pPr>
              <w:ind w:firstLine="280"/>
              <w:jc w:val="center"/>
              <w:rPr>
                <w:rFonts w:cs="宋体"/>
                <w:color w:val="auto"/>
                <w:sz w:val="14"/>
                <w:szCs w:val="14"/>
              </w:rPr>
            </w:pPr>
            <w:r>
              <w:rPr>
                <w:rFonts w:hint="eastAsia" w:cs="宋体"/>
                <w:color w:val="auto"/>
                <w:sz w:val="14"/>
                <w:szCs w:val="14"/>
              </w:rPr>
              <w:t>营业收入Y</w:t>
            </w:r>
          </w:p>
          <w:p>
            <w:pPr>
              <w:ind w:firstLine="280"/>
              <w:jc w:val="center"/>
              <w:rPr>
                <w:rFonts w:cs="宋体"/>
                <w:color w:val="auto"/>
                <w:sz w:val="14"/>
                <w:szCs w:val="14"/>
              </w:rPr>
            </w:pPr>
            <w:r>
              <w:rPr>
                <w:rFonts w:hint="eastAsia" w:cs="宋体"/>
                <w:color w:val="auto"/>
                <w:sz w:val="14"/>
                <w:szCs w:val="14"/>
              </w:rPr>
              <w:t>（万元）</w:t>
            </w:r>
          </w:p>
        </w:tc>
        <w:tc>
          <w:tcPr>
            <w:tcW w:w="1590" w:type="dxa"/>
            <w:tcBorders>
              <w:top w:val="nil"/>
              <w:left w:val="nil"/>
              <w:bottom w:val="single" w:color="auto" w:sz="4" w:space="0"/>
              <w:right w:val="single" w:color="auto" w:sz="8" w:space="0"/>
            </w:tcBorders>
            <w:vAlign w:val="bottom"/>
          </w:tcPr>
          <w:p>
            <w:pPr>
              <w:ind w:firstLine="280"/>
              <w:jc w:val="center"/>
              <w:rPr>
                <w:rFonts w:cs="宋体"/>
                <w:color w:val="auto"/>
                <w:sz w:val="14"/>
                <w:szCs w:val="14"/>
              </w:rPr>
            </w:pPr>
            <w:r>
              <w:rPr>
                <w:rFonts w:hint="eastAsia" w:cs="宋体"/>
                <w:color w:val="auto"/>
                <w:sz w:val="14"/>
                <w:szCs w:val="14"/>
              </w:rPr>
              <w:t>资产总额Z</w:t>
            </w:r>
          </w:p>
          <w:p>
            <w:pPr>
              <w:ind w:firstLine="280"/>
              <w:jc w:val="center"/>
              <w:rPr>
                <w:rFonts w:cs="宋体"/>
                <w:color w:val="auto"/>
                <w:sz w:val="14"/>
                <w:szCs w:val="14"/>
              </w:rPr>
            </w:pPr>
            <w:r>
              <w:rPr>
                <w:rFonts w:hint="eastAsia" w:cs="宋体"/>
                <w:color w:val="auto"/>
                <w:sz w:val="14"/>
                <w:szCs w:val="14"/>
              </w:rPr>
              <w:t>（万元）</w:t>
            </w:r>
          </w:p>
        </w:tc>
        <w:tc>
          <w:tcPr>
            <w:tcW w:w="1285" w:type="dxa"/>
            <w:tcBorders>
              <w:top w:val="nil"/>
              <w:left w:val="nil"/>
              <w:bottom w:val="single" w:color="auto" w:sz="4" w:space="0"/>
              <w:right w:val="single" w:color="auto" w:sz="4" w:space="0"/>
            </w:tcBorders>
            <w:vAlign w:val="bottom"/>
          </w:tcPr>
          <w:p>
            <w:pPr>
              <w:ind w:firstLine="280"/>
              <w:jc w:val="center"/>
              <w:rPr>
                <w:rFonts w:cs="宋体"/>
                <w:color w:val="auto"/>
                <w:sz w:val="14"/>
                <w:szCs w:val="14"/>
              </w:rPr>
            </w:pPr>
            <w:r>
              <w:rPr>
                <w:rFonts w:hint="eastAsia" w:cs="宋体"/>
                <w:color w:val="auto"/>
                <w:sz w:val="14"/>
                <w:szCs w:val="14"/>
              </w:rPr>
              <w:t>从业人员X（人）</w:t>
            </w:r>
          </w:p>
        </w:tc>
        <w:tc>
          <w:tcPr>
            <w:tcW w:w="1275" w:type="dxa"/>
            <w:tcBorders>
              <w:top w:val="nil"/>
              <w:left w:val="nil"/>
              <w:bottom w:val="single" w:color="auto" w:sz="4" w:space="0"/>
              <w:right w:val="single" w:color="auto" w:sz="4" w:space="0"/>
            </w:tcBorders>
            <w:vAlign w:val="bottom"/>
          </w:tcPr>
          <w:p>
            <w:pPr>
              <w:ind w:firstLine="280"/>
              <w:jc w:val="center"/>
              <w:rPr>
                <w:rFonts w:cs="宋体"/>
                <w:color w:val="auto"/>
                <w:sz w:val="14"/>
                <w:szCs w:val="14"/>
              </w:rPr>
            </w:pPr>
            <w:r>
              <w:rPr>
                <w:rFonts w:hint="eastAsia" w:cs="宋体"/>
                <w:color w:val="auto"/>
                <w:sz w:val="14"/>
                <w:szCs w:val="14"/>
              </w:rPr>
              <w:t>营业收入Y（万元）</w:t>
            </w:r>
          </w:p>
        </w:tc>
        <w:tc>
          <w:tcPr>
            <w:tcW w:w="1221" w:type="dxa"/>
            <w:gridSpan w:val="2"/>
            <w:tcBorders>
              <w:top w:val="nil"/>
              <w:left w:val="nil"/>
              <w:bottom w:val="single" w:color="auto" w:sz="4" w:space="0"/>
              <w:right w:val="single" w:color="auto" w:sz="8" w:space="0"/>
            </w:tcBorders>
            <w:vAlign w:val="bottom"/>
          </w:tcPr>
          <w:p>
            <w:pPr>
              <w:ind w:firstLine="280"/>
              <w:jc w:val="center"/>
              <w:rPr>
                <w:rFonts w:cs="宋体"/>
                <w:color w:val="auto"/>
                <w:sz w:val="14"/>
                <w:szCs w:val="14"/>
              </w:rPr>
            </w:pPr>
            <w:r>
              <w:rPr>
                <w:rFonts w:hint="eastAsia" w:cs="宋体"/>
                <w:color w:val="auto"/>
                <w:sz w:val="14"/>
                <w:szCs w:val="14"/>
              </w:rPr>
              <w:t>资产总额Z（万元）</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1、农林牧渔业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xml:space="preserve"> 500≤Y＜20000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xml:space="preserve"> 50≤Y＜500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Y＜50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2、工业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300≤X＜1000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2000≤Y＜40000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20≤X＜300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300≤Y＜2000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X＜20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Y＜300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3、</w:t>
            </w:r>
            <w:bookmarkStart w:id="190" w:name="_GoBack"/>
            <w:bookmarkEnd w:id="190"/>
            <w:r>
              <w:rPr>
                <w:rFonts w:hint="eastAsia" w:cs="宋体"/>
                <w:color w:val="auto"/>
                <w:sz w:val="14"/>
                <w:szCs w:val="14"/>
              </w:rPr>
              <w:t>建筑业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6000≤Y＜80000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5000≤Z＜80000</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300≤Y＜6000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300≤Z＜5000</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Y＜300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Z＜300</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4、批发业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xml:space="preserve"> 20≤X＜200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5000≤Y＜40000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xml:space="preserve"> 5≤X＜20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1000≤Y＜5000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X＜5</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Y＜1000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5、零售业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xml:space="preserve"> 50≤X＜300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xml:space="preserve"> 500≤Y＜20000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10≤X＜50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100≤Y＜500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X＜10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Y＜100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6、交通运输业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300≤X＜1000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3000≤Y＜30000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20≤X＜300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200≤Y＜3000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X＜20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V＜200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7、仓储业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100≤X＜200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1000≤Y＜30000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20≤X＜100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100≤Y＜1000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X＜20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Y＜100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8、邮政业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300≤X＜1000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2000≤Y＜30000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20≤X＜300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100≤Y＜2000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X＜20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Y＜100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9、住宿业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100≤X＜300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2000≤Y＜10000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10≤X＜100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100≤Y＜2000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X＜10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Y＜100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10、餐饮业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100≤X＜300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2000≤Y＜10000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10≤X＜100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100≤Y＜2000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X＜10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V＜100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11、信息传输业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100≤X＜2000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1000≤Y＜100000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10≤X＜100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100≤Y＜1000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X＜10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Y＜100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12、软件和信息技术服务业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100≤X＜300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1000≤Y＜10000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10≤X＜100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xml:space="preserve"> 50≤Y＜1000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X＜10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Y＜50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13、房地产开发经营</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1000≤Y＜200000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5000≤Z＜10000</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100≤Y＜1000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2000≤Z＜5000</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Y＜100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Z＜2000</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14、物业管理</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300≤X＜1000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1000≤Y＜5000</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100≤X＜300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500≤Y＜1000</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X＜100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Y＜500</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15、租赁和商务服务业</w:t>
            </w:r>
          </w:p>
        </w:tc>
        <w:tc>
          <w:tcPr>
            <w:tcW w:w="1498"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100≤X＜300</w:t>
            </w:r>
          </w:p>
        </w:tc>
        <w:tc>
          <w:tcPr>
            <w:tcW w:w="1763"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66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8000≤Z＜120000</w:t>
            </w:r>
          </w:p>
        </w:tc>
        <w:tc>
          <w:tcPr>
            <w:tcW w:w="1240"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10≤X＜100</w:t>
            </w:r>
          </w:p>
        </w:tc>
        <w:tc>
          <w:tcPr>
            <w:tcW w:w="1562"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590" w:type="dxa"/>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 xml:space="preserve"> 100≤Z＜8000</w:t>
            </w:r>
          </w:p>
        </w:tc>
        <w:tc>
          <w:tcPr>
            <w:tcW w:w="128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X＜10</w:t>
            </w:r>
          </w:p>
        </w:tc>
        <w:tc>
          <w:tcPr>
            <w:tcW w:w="1275" w:type="dxa"/>
            <w:tcBorders>
              <w:top w:val="nil"/>
              <w:left w:val="nil"/>
              <w:bottom w:val="single" w:color="auto" w:sz="4"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221" w:type="dxa"/>
            <w:gridSpan w:val="2"/>
            <w:tcBorders>
              <w:top w:val="nil"/>
              <w:left w:val="nil"/>
              <w:bottom w:val="single" w:color="auto" w:sz="4" w:space="0"/>
              <w:right w:val="single" w:color="auto" w:sz="8" w:space="0"/>
            </w:tcBorders>
            <w:vAlign w:val="bottom"/>
          </w:tcPr>
          <w:p>
            <w:pPr>
              <w:ind w:firstLine="280"/>
              <w:rPr>
                <w:rFonts w:cs="宋体"/>
                <w:color w:val="auto"/>
                <w:sz w:val="14"/>
                <w:szCs w:val="14"/>
              </w:rPr>
            </w:pPr>
            <w:r>
              <w:rPr>
                <w:rFonts w:hint="eastAsia" w:cs="宋体"/>
                <w:color w:val="auto"/>
                <w:sz w:val="14"/>
                <w:szCs w:val="14"/>
              </w:rPr>
              <w:t>Z＜100</w:t>
            </w:r>
          </w:p>
        </w:tc>
      </w:tr>
      <w:tr>
        <w:tblPrEx>
          <w:tblLayout w:type="fixed"/>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8" w:space="0"/>
              <w:right w:val="single" w:color="auto" w:sz="8" w:space="0"/>
            </w:tcBorders>
            <w:vAlign w:val="bottom"/>
          </w:tcPr>
          <w:p>
            <w:pPr>
              <w:ind w:firstLine="280"/>
              <w:rPr>
                <w:rFonts w:cs="宋体"/>
                <w:color w:val="auto"/>
                <w:sz w:val="14"/>
                <w:szCs w:val="14"/>
              </w:rPr>
            </w:pPr>
            <w:r>
              <w:rPr>
                <w:rFonts w:hint="eastAsia" w:cs="宋体"/>
                <w:color w:val="auto"/>
                <w:sz w:val="14"/>
                <w:szCs w:val="14"/>
              </w:rPr>
              <w:t>16、其他未列明行业</w:t>
            </w:r>
          </w:p>
        </w:tc>
        <w:tc>
          <w:tcPr>
            <w:tcW w:w="1498" w:type="dxa"/>
            <w:tcBorders>
              <w:top w:val="nil"/>
              <w:left w:val="nil"/>
              <w:bottom w:val="single" w:color="auto" w:sz="8" w:space="0"/>
              <w:right w:val="single" w:color="auto" w:sz="4" w:space="0"/>
            </w:tcBorders>
            <w:vAlign w:val="bottom"/>
          </w:tcPr>
          <w:p>
            <w:pPr>
              <w:ind w:firstLine="280"/>
              <w:rPr>
                <w:rFonts w:cs="宋体"/>
                <w:color w:val="auto"/>
                <w:sz w:val="14"/>
                <w:szCs w:val="14"/>
              </w:rPr>
            </w:pPr>
            <w:r>
              <w:rPr>
                <w:rFonts w:hint="eastAsia" w:cs="宋体"/>
                <w:color w:val="auto"/>
                <w:sz w:val="14"/>
                <w:szCs w:val="14"/>
              </w:rPr>
              <w:t>100≤X＜300</w:t>
            </w:r>
          </w:p>
        </w:tc>
        <w:tc>
          <w:tcPr>
            <w:tcW w:w="1763" w:type="dxa"/>
            <w:tcBorders>
              <w:top w:val="nil"/>
              <w:left w:val="nil"/>
              <w:bottom w:val="single" w:color="auto" w:sz="8"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660" w:type="dxa"/>
            <w:tcBorders>
              <w:top w:val="nil"/>
              <w:left w:val="nil"/>
              <w:bottom w:val="single" w:color="auto" w:sz="8"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40" w:type="dxa"/>
            <w:tcBorders>
              <w:top w:val="nil"/>
              <w:left w:val="nil"/>
              <w:bottom w:val="single" w:color="auto" w:sz="8" w:space="0"/>
              <w:right w:val="single" w:color="auto" w:sz="4" w:space="0"/>
            </w:tcBorders>
            <w:vAlign w:val="bottom"/>
          </w:tcPr>
          <w:p>
            <w:pPr>
              <w:ind w:firstLine="280"/>
              <w:rPr>
                <w:rFonts w:cs="宋体"/>
                <w:color w:val="auto"/>
                <w:sz w:val="14"/>
                <w:szCs w:val="14"/>
              </w:rPr>
            </w:pPr>
            <w:r>
              <w:rPr>
                <w:rFonts w:hint="eastAsia" w:cs="宋体"/>
                <w:color w:val="auto"/>
                <w:sz w:val="14"/>
                <w:szCs w:val="14"/>
              </w:rPr>
              <w:t>10≤X＜100</w:t>
            </w:r>
          </w:p>
        </w:tc>
        <w:tc>
          <w:tcPr>
            <w:tcW w:w="1562" w:type="dxa"/>
            <w:tcBorders>
              <w:top w:val="nil"/>
              <w:left w:val="nil"/>
              <w:bottom w:val="single" w:color="auto" w:sz="8"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590" w:type="dxa"/>
            <w:tcBorders>
              <w:top w:val="nil"/>
              <w:left w:val="nil"/>
              <w:bottom w:val="single" w:color="auto" w:sz="8"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c>
          <w:tcPr>
            <w:tcW w:w="1285" w:type="dxa"/>
            <w:tcBorders>
              <w:top w:val="nil"/>
              <w:left w:val="nil"/>
              <w:bottom w:val="single" w:color="auto" w:sz="8" w:space="0"/>
              <w:right w:val="single" w:color="auto" w:sz="4" w:space="0"/>
            </w:tcBorders>
            <w:vAlign w:val="bottom"/>
          </w:tcPr>
          <w:p>
            <w:pPr>
              <w:ind w:firstLine="280"/>
              <w:rPr>
                <w:rFonts w:cs="宋体"/>
                <w:color w:val="auto"/>
                <w:sz w:val="14"/>
                <w:szCs w:val="14"/>
              </w:rPr>
            </w:pPr>
            <w:r>
              <w:rPr>
                <w:rFonts w:hint="eastAsia" w:cs="宋体"/>
                <w:color w:val="auto"/>
                <w:sz w:val="14"/>
                <w:szCs w:val="14"/>
              </w:rPr>
              <w:t>X＜10</w:t>
            </w:r>
          </w:p>
        </w:tc>
        <w:tc>
          <w:tcPr>
            <w:tcW w:w="1275" w:type="dxa"/>
            <w:tcBorders>
              <w:top w:val="nil"/>
              <w:left w:val="nil"/>
              <w:bottom w:val="single" w:color="auto" w:sz="8" w:space="0"/>
              <w:right w:val="single" w:color="auto" w:sz="4" w:space="0"/>
            </w:tcBorders>
            <w:vAlign w:val="bottom"/>
          </w:tcPr>
          <w:p>
            <w:pPr>
              <w:ind w:firstLine="280"/>
              <w:rPr>
                <w:rFonts w:cs="宋体"/>
                <w:color w:val="auto"/>
                <w:sz w:val="14"/>
                <w:szCs w:val="14"/>
              </w:rPr>
            </w:pPr>
            <w:r>
              <w:rPr>
                <w:rFonts w:hint="eastAsia" w:cs="宋体"/>
                <w:color w:val="auto"/>
                <w:sz w:val="14"/>
                <w:szCs w:val="14"/>
              </w:rPr>
              <w:t>　</w:t>
            </w:r>
          </w:p>
        </w:tc>
        <w:tc>
          <w:tcPr>
            <w:tcW w:w="1221" w:type="dxa"/>
            <w:gridSpan w:val="2"/>
            <w:tcBorders>
              <w:top w:val="nil"/>
              <w:left w:val="nil"/>
              <w:bottom w:val="single" w:color="auto" w:sz="8" w:space="0"/>
              <w:right w:val="single" w:color="auto" w:sz="8" w:space="0"/>
            </w:tcBorders>
            <w:vAlign w:val="bottom"/>
          </w:tcPr>
          <w:p>
            <w:pPr>
              <w:ind w:firstLine="280"/>
              <w:rPr>
                <w:rFonts w:cs="宋体"/>
                <w:color w:val="auto"/>
                <w:sz w:val="14"/>
                <w:szCs w:val="14"/>
              </w:rPr>
            </w:pPr>
            <w:r>
              <w:rPr>
                <w:rFonts w:hint="eastAsia" w:cs="宋体"/>
                <w:color w:val="auto"/>
                <w:sz w:val="14"/>
                <w:szCs w:val="14"/>
              </w:rPr>
              <w:t>　</w:t>
            </w:r>
          </w:p>
        </w:tc>
      </w:tr>
      <w:tr>
        <w:tblPrEx>
          <w:tblLayout w:type="fixed"/>
          <w:tblCellMar>
            <w:top w:w="0" w:type="dxa"/>
            <w:left w:w="108" w:type="dxa"/>
            <w:bottom w:w="0" w:type="dxa"/>
            <w:right w:w="108" w:type="dxa"/>
          </w:tblCellMar>
        </w:tblPrEx>
        <w:trPr>
          <w:gridAfter w:val="1"/>
          <w:wAfter w:w="152" w:type="dxa"/>
          <w:trHeight w:val="285" w:hRule="atLeast"/>
        </w:trPr>
        <w:tc>
          <w:tcPr>
            <w:tcW w:w="14927" w:type="dxa"/>
            <w:gridSpan w:val="10"/>
            <w:tcBorders>
              <w:top w:val="nil"/>
              <w:left w:val="nil"/>
              <w:bottom w:val="nil"/>
              <w:right w:val="nil"/>
            </w:tcBorders>
            <w:vAlign w:val="bottom"/>
          </w:tcPr>
          <w:p>
            <w:pPr>
              <w:ind w:firstLine="280"/>
              <w:rPr>
                <w:rFonts w:cs="宋体"/>
                <w:color w:val="auto"/>
                <w:sz w:val="14"/>
                <w:szCs w:val="14"/>
              </w:rPr>
            </w:pPr>
            <w:r>
              <w:rPr>
                <w:rFonts w:hint="eastAsia" w:cs="宋体"/>
                <w:color w:val="auto"/>
                <w:sz w:val="14"/>
                <w:szCs w:val="14"/>
              </w:rPr>
              <w:t>说明　1、企业类型的划分以统计部门的统计数据为依据。</w:t>
            </w:r>
          </w:p>
          <w:p>
            <w:pPr>
              <w:numPr>
                <w:ilvl w:val="0"/>
                <w:numId w:val="44"/>
              </w:numPr>
              <w:ind w:firstLine="420" w:firstLineChars="300"/>
              <w:rPr>
                <w:rFonts w:cs="宋体"/>
                <w:color w:val="auto"/>
                <w:sz w:val="14"/>
                <w:szCs w:val="14"/>
              </w:rPr>
            </w:pPr>
            <w:r>
              <w:rPr>
                <w:rFonts w:hint="eastAsia" w:cs="宋体"/>
                <w:color w:val="auto"/>
                <w:sz w:val="14"/>
                <w:szCs w:val="14"/>
              </w:rPr>
              <w:t>个体工商户和本规定以外的行业，参照本规定进行划型。</w:t>
            </w:r>
          </w:p>
          <w:p>
            <w:pPr>
              <w:numPr>
                <w:ilvl w:val="0"/>
                <w:numId w:val="44"/>
              </w:numPr>
              <w:ind w:firstLine="420" w:firstLineChars="300"/>
              <w:rPr>
                <w:rFonts w:cs="宋体"/>
                <w:color w:val="auto"/>
                <w:sz w:val="14"/>
                <w:szCs w:val="14"/>
              </w:rPr>
            </w:pPr>
            <w:r>
              <w:rPr>
                <w:rFonts w:hint="eastAsia" w:cs="宋体"/>
                <w:color w:val="auto"/>
                <w:sz w:val="14"/>
                <w:szCs w:val="14"/>
              </w:rPr>
              <w:t>本规定的中型企业标准上限即为大型企业标准的下限。</w:t>
            </w:r>
          </w:p>
        </w:tc>
      </w:tr>
    </w:tbl>
    <w:p>
      <w:pPr>
        <w:ind w:firstLine="600"/>
        <w:rPr>
          <w:rFonts w:cs="宋体"/>
          <w:i/>
          <w:iCs/>
          <w:color w:val="auto"/>
          <w:sz w:val="30"/>
        </w:rPr>
        <w:sectPr>
          <w:type w:val="continuous"/>
          <w:pgSz w:w="16838" w:h="11906" w:orient="landscape"/>
          <w:pgMar w:top="1417" w:right="1701" w:bottom="1417" w:left="1134" w:header="851" w:footer="992" w:gutter="0"/>
          <w:cols w:space="720" w:num="1"/>
          <w:docGrid w:linePitch="312" w:charSpace="0"/>
        </w:sectPr>
      </w:pPr>
    </w:p>
    <w:p>
      <w:pPr>
        <w:pStyle w:val="5"/>
        <w:rPr>
          <w:rFonts w:cs="宋体"/>
          <w:color w:val="auto"/>
        </w:rPr>
      </w:pPr>
      <w:r>
        <w:rPr>
          <w:rFonts w:cs="宋体"/>
          <w:color w:val="auto"/>
        </w:rPr>
        <mc:AlternateContent>
          <mc:Choice Requires="wps">
            <w:drawing>
              <wp:anchor distT="0" distB="0" distL="114300" distR="114300" simplePos="0" relativeHeight="251660288" behindDoc="0" locked="0" layoutInCell="1" allowOverlap="1">
                <wp:simplePos x="0" y="0"/>
                <wp:positionH relativeFrom="column">
                  <wp:posOffset>4608830</wp:posOffset>
                </wp:positionH>
                <wp:positionV relativeFrom="paragraph">
                  <wp:posOffset>-50800</wp:posOffset>
                </wp:positionV>
                <wp:extent cx="1346200" cy="401955"/>
                <wp:effectExtent l="0" t="0" r="6350" b="0"/>
                <wp:wrapNone/>
                <wp:docPr id="3" name="文本框 8"/>
                <wp:cNvGraphicFramePr/>
                <a:graphic xmlns:a="http://schemas.openxmlformats.org/drawingml/2006/main">
                  <a:graphicData uri="http://schemas.microsoft.com/office/word/2010/wordprocessingShape">
                    <wps:wsp>
                      <wps:cNvSpPr txBox="1"/>
                      <wps:spPr>
                        <a:xfrm>
                          <a:off x="0" y="0"/>
                          <a:ext cx="1346200" cy="40195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ind w:firstLine="0" w:firstLineChars="0"/>
                              <w:rPr>
                                <w:sz w:val="32"/>
                                <w:szCs w:val="32"/>
                              </w:rPr>
                            </w:pPr>
                            <w:r>
                              <w:rPr>
                                <w:rFonts w:hint="eastAsia"/>
                                <w:sz w:val="32"/>
                                <w:szCs w:val="32"/>
                              </w:rPr>
                              <w:t>正本（</w:t>
                            </w:r>
                            <w:r>
                              <w:rPr>
                                <w:sz w:val="32"/>
                                <w:szCs w:val="32"/>
                              </w:rPr>
                              <w:t>副本）</w:t>
                            </w:r>
                          </w:p>
                        </w:txbxContent>
                      </wps:txbx>
                      <wps:bodyPr upright="1"/>
                    </wps:wsp>
                  </a:graphicData>
                </a:graphic>
              </wp:anchor>
            </w:drawing>
          </mc:Choice>
          <mc:Fallback>
            <w:pict>
              <v:shape id="文本框 8" o:spid="_x0000_s1026" o:spt="202" type="#_x0000_t202" style="position:absolute;left:0pt;margin-left:362.9pt;margin-top:-4pt;height:31.65pt;width:106pt;z-index:251660288;mso-width-relative:page;mso-height-relative:page;" fillcolor="#FFFFFF" filled="t" stroked="t" coordsize="21600,21600" o:gfxdata="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Ade+yw2QAAAAkBAAAPAAAAAAAAAAEAIAAAACIAAABkcnMvZG93bnJldi54bWxQSwECFAAU&#10;AAAACACHTuJAIpMh+vABAADoAwAADgAAAAAAAAABACAAAAAoAQAAZHJzL2Uyb0RvYy54bWxQSwUG&#10;AAAAAAYABgBZAQAAigUAAAAA&#10;">
                <v:fill on="t" focussize="0,0"/>
                <v:stroke color="#000000" joinstyle="miter"/>
                <v:imagedata o:title=""/>
                <o:lock v:ext="edit" aspectratio="f"/>
                <v:textbox>
                  <w:txbxContent>
                    <w:p>
                      <w:pPr>
                        <w:ind w:firstLine="0" w:firstLineChars="0"/>
                        <w:rPr>
                          <w:sz w:val="32"/>
                          <w:szCs w:val="32"/>
                        </w:rPr>
                      </w:pPr>
                      <w:r>
                        <w:rPr>
                          <w:rFonts w:hint="eastAsia"/>
                          <w:sz w:val="32"/>
                          <w:szCs w:val="32"/>
                        </w:rPr>
                        <w:t>正本（</w:t>
                      </w:r>
                      <w:r>
                        <w:rPr>
                          <w:sz w:val="32"/>
                          <w:szCs w:val="32"/>
                        </w:rPr>
                        <w:t>副本）</w:t>
                      </w:r>
                    </w:p>
                  </w:txbxContent>
                </v:textbox>
              </v:shape>
            </w:pict>
          </mc:Fallback>
        </mc:AlternateContent>
      </w:r>
      <w:r>
        <w:rPr>
          <w:rFonts w:hint="eastAsia" w:cs="宋体"/>
          <w:color w:val="auto"/>
        </w:rPr>
        <w:t>商务技术</w:t>
      </w:r>
      <w:r>
        <w:rPr>
          <w:rFonts w:hint="eastAsia" w:cs="宋体"/>
          <w:color w:val="auto"/>
          <w:szCs w:val="40"/>
        </w:rPr>
        <w:t>文件</w:t>
      </w:r>
      <w:r>
        <w:rPr>
          <w:rFonts w:hint="eastAsia" w:cs="宋体"/>
          <w:color w:val="auto"/>
        </w:rPr>
        <w:t>封面</w:t>
      </w:r>
      <w:bookmarkEnd w:id="170"/>
      <w:bookmarkEnd w:id="171"/>
    </w:p>
    <w:p>
      <w:pPr>
        <w:spacing w:line="600" w:lineRule="auto"/>
        <w:ind w:firstLine="0" w:firstLineChars="0"/>
        <w:jc w:val="center"/>
        <w:rPr>
          <w:rFonts w:cs="宋体"/>
          <w:b/>
          <w:bCs/>
          <w:color w:val="auto"/>
          <w:sz w:val="48"/>
          <w:szCs w:val="48"/>
        </w:rPr>
      </w:pPr>
    </w:p>
    <w:p>
      <w:pPr>
        <w:spacing w:line="600" w:lineRule="auto"/>
        <w:ind w:firstLine="0" w:firstLineChars="0"/>
        <w:jc w:val="center"/>
        <w:rPr>
          <w:rFonts w:cs="宋体"/>
          <w:b/>
          <w:bCs/>
          <w:color w:val="auto"/>
          <w:sz w:val="48"/>
          <w:szCs w:val="48"/>
        </w:rPr>
      </w:pPr>
      <w:r>
        <w:rPr>
          <w:rFonts w:hint="eastAsia" w:cs="宋体"/>
          <w:b/>
          <w:bCs/>
          <w:color w:val="auto"/>
          <w:sz w:val="48"/>
          <w:szCs w:val="48"/>
        </w:rPr>
        <w:t>浙江海洋大学</w:t>
      </w:r>
    </w:p>
    <w:p>
      <w:pPr>
        <w:spacing w:line="600" w:lineRule="auto"/>
        <w:ind w:firstLine="0" w:firstLineChars="0"/>
        <w:jc w:val="center"/>
        <w:rPr>
          <w:rFonts w:cs="宋体"/>
          <w:b/>
          <w:bCs/>
          <w:color w:val="auto"/>
          <w:sz w:val="48"/>
          <w:szCs w:val="48"/>
        </w:rPr>
      </w:pPr>
      <w:r>
        <w:rPr>
          <w:rFonts w:hint="eastAsia" w:cs="宋体"/>
          <w:b/>
          <w:bCs/>
          <w:color w:val="auto"/>
          <w:sz w:val="48"/>
          <w:szCs w:val="48"/>
        </w:rPr>
        <w:t>油气储运工程教学实验平台建设采购项目</w:t>
      </w:r>
    </w:p>
    <w:p>
      <w:pPr>
        <w:ind w:firstLine="602"/>
        <w:jc w:val="center"/>
        <w:rPr>
          <w:rFonts w:cs="宋体"/>
          <w:b/>
          <w:bCs/>
          <w:color w:val="auto"/>
          <w:sz w:val="30"/>
          <w:szCs w:val="30"/>
        </w:rPr>
      </w:pPr>
    </w:p>
    <w:p>
      <w:pPr>
        <w:ind w:firstLine="602"/>
        <w:jc w:val="center"/>
        <w:rPr>
          <w:rFonts w:cs="宋体"/>
          <w:color w:val="auto"/>
          <w:sz w:val="30"/>
          <w:szCs w:val="30"/>
        </w:rPr>
      </w:pPr>
      <w:r>
        <w:rPr>
          <w:rFonts w:hint="eastAsia" w:cs="宋体"/>
          <w:b/>
          <w:bCs/>
          <w:color w:val="auto"/>
          <w:sz w:val="30"/>
          <w:szCs w:val="30"/>
        </w:rPr>
        <w:t>商务技术文件</w:t>
      </w:r>
    </w:p>
    <w:p>
      <w:pPr>
        <w:pStyle w:val="48"/>
        <w:rPr>
          <w:rFonts w:ascii="宋体" w:hAnsi="宋体" w:eastAsia="宋体" w:cs="宋体"/>
          <w:color w:val="auto"/>
          <w:sz w:val="30"/>
          <w:szCs w:val="30"/>
        </w:rPr>
      </w:pPr>
    </w:p>
    <w:p>
      <w:pPr>
        <w:pStyle w:val="48"/>
        <w:rPr>
          <w:rFonts w:ascii="宋体" w:hAnsi="宋体" w:eastAsia="宋体" w:cs="宋体"/>
          <w:color w:val="auto"/>
          <w:sz w:val="30"/>
          <w:szCs w:val="30"/>
        </w:rPr>
      </w:pPr>
    </w:p>
    <w:p>
      <w:pPr>
        <w:ind w:firstLine="600"/>
        <w:rPr>
          <w:rFonts w:cs="宋体"/>
          <w:color w:val="auto"/>
          <w:sz w:val="30"/>
          <w:szCs w:val="30"/>
        </w:rPr>
      </w:pPr>
      <w:r>
        <w:rPr>
          <w:rFonts w:hint="eastAsia" w:cs="宋体"/>
          <w:color w:val="auto"/>
          <w:sz w:val="30"/>
          <w:szCs w:val="30"/>
        </w:rPr>
        <w:t>采 购 人：</w:t>
      </w:r>
    </w:p>
    <w:p>
      <w:pPr>
        <w:ind w:firstLine="600"/>
        <w:rPr>
          <w:rFonts w:cs="宋体"/>
          <w:color w:val="auto"/>
          <w:sz w:val="30"/>
          <w:szCs w:val="30"/>
        </w:rPr>
      </w:pPr>
      <w:r>
        <w:rPr>
          <w:rFonts w:hint="eastAsia" w:cs="宋体"/>
          <w:color w:val="auto"/>
          <w:sz w:val="30"/>
          <w:szCs w:val="30"/>
        </w:rPr>
        <w:t>项目名称：</w:t>
      </w:r>
    </w:p>
    <w:p>
      <w:pPr>
        <w:ind w:firstLine="600"/>
        <w:rPr>
          <w:rFonts w:cs="宋体"/>
          <w:color w:val="auto"/>
          <w:sz w:val="30"/>
          <w:szCs w:val="30"/>
        </w:rPr>
      </w:pPr>
      <w:r>
        <w:rPr>
          <w:rFonts w:hint="eastAsia" w:cs="宋体"/>
          <w:color w:val="auto"/>
          <w:sz w:val="30"/>
          <w:szCs w:val="30"/>
        </w:rPr>
        <w:t>项目编号：</w:t>
      </w:r>
    </w:p>
    <w:p>
      <w:pPr>
        <w:ind w:firstLine="576"/>
        <w:rPr>
          <w:rFonts w:cs="宋体"/>
          <w:bCs/>
          <w:color w:val="auto"/>
          <w:spacing w:val="-6"/>
          <w:sz w:val="30"/>
          <w:szCs w:val="30"/>
        </w:rPr>
      </w:pPr>
      <w:r>
        <w:rPr>
          <w:rFonts w:hint="eastAsia" w:cs="宋体"/>
          <w:bCs/>
          <w:color w:val="auto"/>
          <w:spacing w:val="-6"/>
          <w:sz w:val="30"/>
          <w:szCs w:val="30"/>
        </w:rPr>
        <w:t>标项：</w:t>
      </w:r>
    </w:p>
    <w:p>
      <w:pPr>
        <w:ind w:firstLine="600"/>
        <w:rPr>
          <w:rFonts w:cs="宋体"/>
          <w:color w:val="auto"/>
          <w:sz w:val="30"/>
          <w:szCs w:val="30"/>
        </w:rPr>
      </w:pPr>
      <w:r>
        <w:rPr>
          <w:rFonts w:hint="eastAsia" w:cs="宋体"/>
          <w:color w:val="auto"/>
          <w:sz w:val="30"/>
          <w:szCs w:val="30"/>
        </w:rPr>
        <w:t>投标人名称（盖章）：</w:t>
      </w:r>
    </w:p>
    <w:p>
      <w:pPr>
        <w:ind w:firstLine="600"/>
        <w:rPr>
          <w:rFonts w:cs="宋体"/>
          <w:color w:val="auto"/>
          <w:sz w:val="30"/>
          <w:szCs w:val="30"/>
        </w:rPr>
      </w:pPr>
      <w:r>
        <w:rPr>
          <w:rFonts w:hint="eastAsia" w:cs="宋体"/>
          <w:color w:val="auto"/>
          <w:sz w:val="30"/>
          <w:szCs w:val="30"/>
        </w:rPr>
        <w:t>投标人地址：</w:t>
      </w:r>
    </w:p>
    <w:p>
      <w:pPr>
        <w:ind w:firstLine="600"/>
        <w:rPr>
          <w:rFonts w:cs="宋体"/>
          <w:color w:val="auto"/>
          <w:sz w:val="30"/>
          <w:szCs w:val="30"/>
        </w:rPr>
      </w:pPr>
    </w:p>
    <w:p>
      <w:pPr>
        <w:ind w:firstLine="600"/>
        <w:rPr>
          <w:rFonts w:cs="宋体"/>
          <w:color w:val="auto"/>
          <w:sz w:val="30"/>
          <w:szCs w:val="30"/>
        </w:rPr>
      </w:pPr>
    </w:p>
    <w:p>
      <w:pPr>
        <w:ind w:firstLine="600"/>
        <w:rPr>
          <w:rFonts w:cs="宋体"/>
          <w:color w:val="auto"/>
          <w:sz w:val="30"/>
          <w:szCs w:val="30"/>
        </w:rPr>
      </w:pPr>
      <w:r>
        <w:rPr>
          <w:rFonts w:hint="eastAsia" w:cs="宋体"/>
          <w:color w:val="auto"/>
          <w:sz w:val="30"/>
          <w:szCs w:val="30"/>
        </w:rPr>
        <w:t>授权代表签字或盖章：</w:t>
      </w:r>
    </w:p>
    <w:p>
      <w:pPr>
        <w:ind w:firstLine="600"/>
        <w:rPr>
          <w:rFonts w:cs="宋体"/>
          <w:color w:val="auto"/>
          <w:sz w:val="30"/>
          <w:szCs w:val="30"/>
        </w:rPr>
        <w:sectPr>
          <w:pgSz w:w="11907" w:h="16840"/>
          <w:pgMar w:top="1440" w:right="1080" w:bottom="1440" w:left="1080" w:header="850" w:footer="992" w:gutter="0"/>
          <w:cols w:space="720" w:num="1"/>
          <w:docGrid w:linePitch="286" w:charSpace="0"/>
        </w:sectPr>
      </w:pPr>
      <w:r>
        <w:rPr>
          <w:rFonts w:hint="eastAsia" w:cs="宋体"/>
          <w:color w:val="auto"/>
          <w:sz w:val="30"/>
          <w:szCs w:val="30"/>
        </w:rPr>
        <w:t>日期：    年  月  日</w:t>
      </w:r>
    </w:p>
    <w:p>
      <w:pPr>
        <w:pStyle w:val="5"/>
        <w:rPr>
          <w:rFonts w:cs="宋体"/>
          <w:color w:val="auto"/>
        </w:rPr>
      </w:pPr>
      <w:bookmarkStart w:id="172" w:name="_Toc18939"/>
      <w:bookmarkStart w:id="173" w:name="_Toc520"/>
      <w:bookmarkStart w:id="174" w:name="_Toc7692"/>
      <w:r>
        <w:rPr>
          <w:rFonts w:hint="eastAsia" w:cs="宋体"/>
          <w:color w:val="auto"/>
        </w:rPr>
        <w:t>评分索引表（请放在目录前页）</w:t>
      </w:r>
      <w:bookmarkEnd w:id="172"/>
      <w:bookmarkEnd w:id="173"/>
    </w:p>
    <w:tbl>
      <w:tblPr>
        <w:tblStyle w:val="46"/>
        <w:tblW w:w="9389" w:type="dxa"/>
        <w:tblInd w:w="0" w:type="dxa"/>
        <w:tblLayout w:type="fixed"/>
        <w:tblCellMar>
          <w:top w:w="0" w:type="dxa"/>
          <w:left w:w="108" w:type="dxa"/>
          <w:bottom w:w="0" w:type="dxa"/>
          <w:right w:w="108" w:type="dxa"/>
        </w:tblCellMar>
      </w:tblPr>
      <w:tblGrid>
        <w:gridCol w:w="708"/>
        <w:gridCol w:w="851"/>
        <w:gridCol w:w="6175"/>
        <w:gridCol w:w="850"/>
        <w:gridCol w:w="805"/>
      </w:tblGrid>
      <w:tr>
        <w:tblPrEx>
          <w:tblLayout w:type="fixed"/>
          <w:tblCellMar>
            <w:top w:w="0" w:type="dxa"/>
            <w:left w:w="108" w:type="dxa"/>
            <w:bottom w:w="0" w:type="dxa"/>
            <w:right w:w="108" w:type="dxa"/>
          </w:tblCellMar>
        </w:tblPrEx>
        <w:trPr>
          <w:trHeight w:val="1084" w:hRule="atLeast"/>
        </w:trPr>
        <w:tc>
          <w:tcPr>
            <w:tcW w:w="708" w:type="dxa"/>
            <w:tcBorders>
              <w:top w:val="single" w:color="auto" w:sz="8" w:space="0"/>
              <w:left w:val="single" w:color="auto" w:sz="8" w:space="0"/>
              <w:bottom w:val="nil"/>
              <w:right w:val="single" w:color="auto" w:sz="8" w:space="0"/>
            </w:tcBorders>
            <w:shd w:val="clear" w:color="000000" w:fill="FFFFFF"/>
            <w:vAlign w:val="center"/>
          </w:tcPr>
          <w:p>
            <w:pPr>
              <w:widowControl/>
              <w:ind w:firstLine="0" w:firstLineChars="0"/>
              <w:jc w:val="center"/>
              <w:rPr>
                <w:rFonts w:cs="宋体"/>
                <w:color w:val="auto"/>
                <w:kern w:val="0"/>
                <w:szCs w:val="21"/>
              </w:rPr>
            </w:pPr>
            <w:r>
              <w:rPr>
                <w:rFonts w:hint="eastAsia" w:cs="宋体"/>
                <w:color w:val="auto"/>
                <w:kern w:val="0"/>
                <w:szCs w:val="21"/>
              </w:rPr>
              <w:t>序号</w:t>
            </w:r>
          </w:p>
        </w:tc>
        <w:tc>
          <w:tcPr>
            <w:tcW w:w="851" w:type="dxa"/>
            <w:tcBorders>
              <w:top w:val="single" w:color="auto" w:sz="8" w:space="0"/>
              <w:left w:val="nil"/>
              <w:bottom w:val="nil"/>
              <w:right w:val="single" w:color="auto" w:sz="8" w:space="0"/>
            </w:tcBorders>
            <w:shd w:val="clear" w:color="000000" w:fill="FFFFFF"/>
            <w:vAlign w:val="center"/>
          </w:tcPr>
          <w:p>
            <w:pPr>
              <w:widowControl/>
              <w:ind w:firstLine="0" w:firstLineChars="0"/>
              <w:jc w:val="center"/>
              <w:rPr>
                <w:rFonts w:cs="宋体"/>
                <w:color w:val="auto"/>
                <w:kern w:val="0"/>
                <w:szCs w:val="21"/>
              </w:rPr>
            </w:pPr>
            <w:r>
              <w:rPr>
                <w:rFonts w:hint="eastAsia" w:cs="宋体"/>
                <w:color w:val="auto"/>
                <w:kern w:val="0"/>
                <w:szCs w:val="21"/>
              </w:rPr>
              <w:t>评分</w:t>
            </w:r>
          </w:p>
          <w:p>
            <w:pPr>
              <w:widowControl/>
              <w:ind w:firstLine="0" w:firstLineChars="0"/>
              <w:jc w:val="center"/>
              <w:rPr>
                <w:rFonts w:cs="宋体"/>
                <w:color w:val="auto"/>
                <w:kern w:val="0"/>
                <w:szCs w:val="21"/>
              </w:rPr>
            </w:pPr>
            <w:r>
              <w:rPr>
                <w:rFonts w:hint="eastAsia" w:cs="宋体"/>
                <w:color w:val="auto"/>
                <w:kern w:val="0"/>
                <w:szCs w:val="21"/>
              </w:rPr>
              <w:t>内容</w:t>
            </w:r>
          </w:p>
        </w:tc>
        <w:tc>
          <w:tcPr>
            <w:tcW w:w="6175" w:type="dxa"/>
            <w:tcBorders>
              <w:top w:val="single" w:color="auto" w:sz="8" w:space="0"/>
              <w:left w:val="nil"/>
              <w:bottom w:val="nil"/>
              <w:right w:val="single" w:color="auto" w:sz="4" w:space="0"/>
            </w:tcBorders>
            <w:shd w:val="clear" w:color="000000" w:fill="FFFFFF"/>
            <w:vAlign w:val="center"/>
          </w:tcPr>
          <w:p>
            <w:pPr>
              <w:widowControl/>
              <w:ind w:firstLine="0" w:firstLineChars="0"/>
              <w:jc w:val="center"/>
              <w:rPr>
                <w:rFonts w:cs="宋体"/>
                <w:color w:val="auto"/>
                <w:kern w:val="0"/>
                <w:szCs w:val="21"/>
              </w:rPr>
            </w:pPr>
            <w:r>
              <w:rPr>
                <w:rFonts w:hint="eastAsia" w:cs="宋体"/>
                <w:color w:val="auto"/>
                <w:kern w:val="0"/>
                <w:szCs w:val="21"/>
              </w:rPr>
              <w:t>评分原则</w:t>
            </w:r>
          </w:p>
        </w:tc>
        <w:tc>
          <w:tcPr>
            <w:tcW w:w="850"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r>
              <w:rPr>
                <w:rFonts w:hint="eastAsia" w:cs="宋体"/>
                <w:color w:val="auto"/>
                <w:kern w:val="0"/>
                <w:szCs w:val="21"/>
              </w:rPr>
              <w:t>自评分</w:t>
            </w: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r>
              <w:rPr>
                <w:rFonts w:hint="eastAsia" w:cs="宋体"/>
                <w:color w:val="auto"/>
                <w:kern w:val="0"/>
                <w:szCs w:val="21"/>
              </w:rPr>
              <w:t>投标文件页码</w:t>
            </w:r>
          </w:p>
        </w:tc>
      </w:tr>
      <w:tr>
        <w:tblPrEx>
          <w:tblLayout w:type="fixed"/>
          <w:tblCellMar>
            <w:top w:w="0" w:type="dxa"/>
            <w:left w:w="108" w:type="dxa"/>
            <w:bottom w:w="0" w:type="dxa"/>
            <w:right w:w="108" w:type="dxa"/>
          </w:tblCellMar>
        </w:tblPrEx>
        <w:trPr>
          <w:trHeight w:val="476" w:hRule="atLeast"/>
        </w:trPr>
        <w:tc>
          <w:tcPr>
            <w:tcW w:w="708" w:type="dxa"/>
            <w:vMerge w:val="restart"/>
            <w:tcBorders>
              <w:top w:val="single" w:color="auto" w:sz="4" w:space="0"/>
              <w:left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r>
              <w:rPr>
                <w:rFonts w:hint="eastAsia" w:cs="宋体"/>
                <w:color w:val="auto"/>
                <w:kern w:val="0"/>
                <w:szCs w:val="21"/>
              </w:rPr>
              <w:t>1</w:t>
            </w:r>
          </w:p>
        </w:tc>
        <w:tc>
          <w:tcPr>
            <w:tcW w:w="851" w:type="dxa"/>
            <w:vMerge w:val="restart"/>
            <w:tcBorders>
              <w:top w:val="single" w:color="auto" w:sz="4" w:space="0"/>
              <w:left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6175"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rPr>
                <w:rFonts w:cs="宋体"/>
                <w:color w:val="auto"/>
                <w:kern w:val="0"/>
                <w:szCs w:val="21"/>
              </w:rPr>
            </w:pPr>
          </w:p>
        </w:tc>
        <w:tc>
          <w:tcPr>
            <w:tcW w:w="850"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r>
        <w:tblPrEx>
          <w:tblLayout w:type="fixed"/>
          <w:tblCellMar>
            <w:top w:w="0" w:type="dxa"/>
            <w:left w:w="108" w:type="dxa"/>
            <w:bottom w:w="0" w:type="dxa"/>
            <w:right w:w="108" w:type="dxa"/>
          </w:tblCellMar>
        </w:tblPrEx>
        <w:trPr>
          <w:trHeight w:val="476" w:hRule="atLeast"/>
        </w:trPr>
        <w:tc>
          <w:tcPr>
            <w:tcW w:w="708" w:type="dxa"/>
            <w:vMerge w:val="continue"/>
            <w:tcBorders>
              <w:left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851" w:type="dxa"/>
            <w:vMerge w:val="continue"/>
            <w:tcBorders>
              <w:left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6175"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rPr>
                <w:rFonts w:cs="宋体"/>
                <w:color w:val="auto"/>
                <w:kern w:val="0"/>
                <w:szCs w:val="21"/>
              </w:rPr>
            </w:pPr>
          </w:p>
        </w:tc>
        <w:tc>
          <w:tcPr>
            <w:tcW w:w="850"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r>
        <w:tblPrEx>
          <w:tblLayout w:type="fixed"/>
          <w:tblCellMar>
            <w:top w:w="0" w:type="dxa"/>
            <w:left w:w="108" w:type="dxa"/>
            <w:bottom w:w="0" w:type="dxa"/>
            <w:right w:w="108" w:type="dxa"/>
          </w:tblCellMar>
        </w:tblPrEx>
        <w:trPr>
          <w:trHeight w:val="476" w:hRule="atLeast"/>
        </w:trPr>
        <w:tc>
          <w:tcPr>
            <w:tcW w:w="708" w:type="dxa"/>
            <w:vMerge w:val="continue"/>
            <w:tcBorders>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851" w:type="dxa"/>
            <w:vMerge w:val="continue"/>
            <w:tcBorders>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6175"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rPr>
                <w:rFonts w:cs="宋体"/>
                <w:color w:val="auto"/>
                <w:kern w:val="0"/>
                <w:szCs w:val="21"/>
              </w:rPr>
            </w:pPr>
          </w:p>
        </w:tc>
        <w:tc>
          <w:tcPr>
            <w:tcW w:w="850" w:type="dxa"/>
            <w:tcBorders>
              <w:top w:val="single" w:color="auto" w:sz="4" w:space="0"/>
              <w:left w:val="nil"/>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r>
        <w:tblPrEx>
          <w:tblLayout w:type="fixed"/>
          <w:tblCellMar>
            <w:top w:w="0" w:type="dxa"/>
            <w:left w:w="108" w:type="dxa"/>
            <w:bottom w:w="0" w:type="dxa"/>
            <w:right w:w="108" w:type="dxa"/>
          </w:tblCellMar>
        </w:tblPrEx>
        <w:trPr>
          <w:trHeight w:val="438" w:hRule="atLeast"/>
        </w:trPr>
        <w:tc>
          <w:tcPr>
            <w:tcW w:w="708"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ind w:firstLine="0" w:firstLineChars="0"/>
              <w:jc w:val="center"/>
              <w:rPr>
                <w:rFonts w:cs="宋体"/>
                <w:color w:val="auto"/>
                <w:kern w:val="0"/>
                <w:szCs w:val="21"/>
              </w:rPr>
            </w:pPr>
            <w:r>
              <w:rPr>
                <w:rFonts w:hint="eastAsia" w:cs="宋体"/>
                <w:color w:val="auto"/>
                <w:kern w:val="0"/>
                <w:szCs w:val="21"/>
              </w:rPr>
              <w:t>2</w:t>
            </w:r>
          </w:p>
        </w:tc>
        <w:tc>
          <w:tcPr>
            <w:tcW w:w="851" w:type="dxa"/>
            <w:vMerge w:val="restart"/>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utoSpaceDE w:val="0"/>
              <w:autoSpaceDN w:val="0"/>
              <w:adjustRightInd w:val="0"/>
              <w:snapToGrid w:val="0"/>
              <w:spacing w:line="400" w:lineRule="atLeast"/>
              <w:ind w:firstLine="0" w:firstLineChars="0"/>
              <w:rPr>
                <w:rFonts w:cs="宋体"/>
                <w:color w:val="auto"/>
                <w:szCs w:val="32"/>
              </w:rPr>
            </w:pPr>
          </w:p>
        </w:tc>
        <w:tc>
          <w:tcPr>
            <w:tcW w:w="850" w:type="dxa"/>
            <w:vMerge w:val="restart"/>
            <w:tcBorders>
              <w:top w:val="single" w:color="auto" w:sz="4" w:space="0"/>
              <w:left w:val="single" w:color="auto" w:sz="4" w:space="0"/>
              <w:right w:val="single" w:color="auto" w:sz="4" w:space="0"/>
            </w:tcBorders>
            <w:shd w:val="clear" w:color="000000" w:fill="FFFFFF"/>
            <w:vAlign w:val="center"/>
          </w:tcPr>
          <w:p>
            <w:pPr>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r>
        <w:tblPrEx>
          <w:tblLayout w:type="fixed"/>
          <w:tblCellMar>
            <w:top w:w="0" w:type="dxa"/>
            <w:left w:w="108" w:type="dxa"/>
            <w:bottom w:w="0" w:type="dxa"/>
            <w:right w:w="108" w:type="dxa"/>
          </w:tblCellMar>
        </w:tblPrEx>
        <w:trPr>
          <w:trHeight w:val="544"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cs="宋体"/>
                <w:color w:val="auto"/>
                <w:kern w:val="0"/>
                <w:szCs w:val="21"/>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cs="宋体"/>
                <w:color w:val="auto"/>
                <w:kern w:val="0"/>
                <w:szCs w:val="21"/>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utoSpaceDE w:val="0"/>
              <w:autoSpaceDN w:val="0"/>
              <w:adjustRightInd w:val="0"/>
              <w:snapToGrid w:val="0"/>
              <w:spacing w:line="400" w:lineRule="atLeast"/>
              <w:ind w:firstLine="0" w:firstLineChars="0"/>
              <w:rPr>
                <w:rFonts w:cs="宋体"/>
                <w:color w:val="auto"/>
                <w:szCs w:val="32"/>
              </w:rPr>
            </w:pPr>
          </w:p>
        </w:tc>
        <w:tc>
          <w:tcPr>
            <w:tcW w:w="850" w:type="dxa"/>
            <w:vMerge w:val="continue"/>
            <w:tcBorders>
              <w:left w:val="single" w:color="auto" w:sz="4" w:space="0"/>
              <w:right w:val="single" w:color="auto" w:sz="4" w:space="0"/>
            </w:tcBorders>
            <w:shd w:val="clear" w:color="000000" w:fill="FFFFFF"/>
            <w:vAlign w:val="center"/>
          </w:tcPr>
          <w:p>
            <w:pPr>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r>
        <w:tblPrEx>
          <w:tblLayout w:type="fixed"/>
          <w:tblCellMar>
            <w:top w:w="0" w:type="dxa"/>
            <w:left w:w="108" w:type="dxa"/>
            <w:bottom w:w="0" w:type="dxa"/>
            <w:right w:w="108" w:type="dxa"/>
          </w:tblCellMar>
        </w:tblPrEx>
        <w:trPr>
          <w:trHeight w:val="544"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cs="宋体"/>
                <w:color w:val="auto"/>
                <w:kern w:val="0"/>
                <w:szCs w:val="21"/>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cs="宋体"/>
                <w:color w:val="auto"/>
                <w:kern w:val="0"/>
                <w:szCs w:val="21"/>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djustRightInd w:val="0"/>
              <w:snapToGrid w:val="0"/>
              <w:ind w:firstLine="0" w:firstLineChars="0"/>
              <w:rPr>
                <w:rFonts w:cs="宋体"/>
                <w:color w:val="auto"/>
              </w:rPr>
            </w:pPr>
          </w:p>
        </w:tc>
        <w:tc>
          <w:tcPr>
            <w:tcW w:w="850" w:type="dxa"/>
            <w:vMerge w:val="continue"/>
            <w:tcBorders>
              <w:left w:val="single" w:color="auto" w:sz="4" w:space="0"/>
              <w:right w:val="single" w:color="auto" w:sz="4" w:space="0"/>
            </w:tcBorders>
            <w:shd w:val="clear" w:color="000000" w:fill="FFFFFF"/>
            <w:vAlign w:val="center"/>
          </w:tcPr>
          <w:p>
            <w:pPr>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r>
        <w:tblPrEx>
          <w:tblLayout w:type="fixed"/>
          <w:tblCellMar>
            <w:top w:w="0" w:type="dxa"/>
            <w:left w:w="108" w:type="dxa"/>
            <w:bottom w:w="0" w:type="dxa"/>
            <w:right w:w="108" w:type="dxa"/>
          </w:tblCellMar>
        </w:tblPrEx>
        <w:trPr>
          <w:trHeight w:val="544"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cs="宋体"/>
                <w:color w:val="auto"/>
                <w:kern w:val="0"/>
                <w:szCs w:val="21"/>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cs="宋体"/>
                <w:color w:val="auto"/>
                <w:kern w:val="0"/>
                <w:szCs w:val="21"/>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djustRightInd w:val="0"/>
              <w:snapToGrid w:val="0"/>
              <w:ind w:firstLine="0" w:firstLineChars="0"/>
              <w:rPr>
                <w:rFonts w:cs="宋体"/>
                <w:color w:val="auto"/>
              </w:rPr>
            </w:pPr>
          </w:p>
        </w:tc>
        <w:tc>
          <w:tcPr>
            <w:tcW w:w="850" w:type="dxa"/>
            <w:vMerge w:val="continue"/>
            <w:tcBorders>
              <w:left w:val="single" w:color="auto" w:sz="4" w:space="0"/>
              <w:right w:val="single" w:color="auto" w:sz="4" w:space="0"/>
            </w:tcBorders>
            <w:shd w:val="clear" w:color="000000" w:fill="FFFFFF"/>
            <w:vAlign w:val="center"/>
          </w:tcPr>
          <w:p>
            <w:pPr>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r>
        <w:tblPrEx>
          <w:tblLayout w:type="fixed"/>
          <w:tblCellMar>
            <w:top w:w="0" w:type="dxa"/>
            <w:left w:w="108" w:type="dxa"/>
            <w:bottom w:w="0" w:type="dxa"/>
            <w:right w:w="108" w:type="dxa"/>
          </w:tblCellMar>
        </w:tblPrEx>
        <w:trPr>
          <w:trHeight w:val="424"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cs="宋体"/>
                <w:color w:val="auto"/>
                <w:kern w:val="0"/>
                <w:szCs w:val="21"/>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cs="宋体"/>
                <w:color w:val="auto"/>
                <w:kern w:val="0"/>
                <w:szCs w:val="21"/>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djustRightInd w:val="0"/>
              <w:snapToGrid w:val="0"/>
              <w:ind w:firstLine="0" w:firstLineChars="0"/>
              <w:rPr>
                <w:rFonts w:cs="宋体"/>
                <w:color w:val="auto"/>
              </w:rPr>
            </w:pPr>
          </w:p>
        </w:tc>
        <w:tc>
          <w:tcPr>
            <w:tcW w:w="850" w:type="dxa"/>
            <w:vMerge w:val="continue"/>
            <w:tcBorders>
              <w:left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r>
        <w:tblPrEx>
          <w:tblLayout w:type="fixed"/>
          <w:tblCellMar>
            <w:top w:w="0" w:type="dxa"/>
            <w:left w:w="108" w:type="dxa"/>
            <w:bottom w:w="0" w:type="dxa"/>
            <w:right w:w="108" w:type="dxa"/>
          </w:tblCellMar>
        </w:tblPrEx>
        <w:trPr>
          <w:trHeight w:val="543" w:hRule="atLeast"/>
        </w:trPr>
        <w:tc>
          <w:tcPr>
            <w:tcW w:w="708"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ind w:firstLine="0" w:firstLineChars="0"/>
              <w:jc w:val="center"/>
              <w:rPr>
                <w:rFonts w:cs="宋体"/>
                <w:color w:val="auto"/>
                <w:kern w:val="0"/>
                <w:szCs w:val="21"/>
              </w:rPr>
            </w:pPr>
          </w:p>
        </w:tc>
        <w:tc>
          <w:tcPr>
            <w:tcW w:w="851"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ind w:firstLine="0" w:firstLineChars="0"/>
              <w:jc w:val="center"/>
              <w:rPr>
                <w:rFonts w:cs="宋体"/>
                <w:color w:val="auto"/>
                <w:kern w:val="0"/>
                <w:szCs w:val="21"/>
              </w:rPr>
            </w:pPr>
          </w:p>
        </w:tc>
        <w:tc>
          <w:tcPr>
            <w:tcW w:w="6175" w:type="dxa"/>
            <w:tcBorders>
              <w:top w:val="single" w:color="auto" w:sz="4" w:space="0"/>
              <w:left w:val="single" w:color="auto" w:sz="4" w:space="0"/>
              <w:bottom w:val="single" w:color="auto" w:sz="4" w:space="0"/>
              <w:right w:val="single" w:color="auto" w:sz="4" w:space="0"/>
            </w:tcBorders>
            <w:shd w:val="clear" w:color="000000" w:fill="FFFFFF"/>
            <w:vAlign w:val="center"/>
          </w:tcPr>
          <w:p>
            <w:pPr>
              <w:adjustRightInd w:val="0"/>
              <w:snapToGrid w:val="0"/>
              <w:spacing w:line="400" w:lineRule="atLeast"/>
              <w:ind w:firstLine="0" w:firstLineChars="0"/>
              <w:rPr>
                <w:rFonts w:cs="宋体"/>
                <w:color w:val="auto"/>
              </w:rPr>
            </w:pPr>
          </w:p>
        </w:tc>
        <w:tc>
          <w:tcPr>
            <w:tcW w:w="850" w:type="dxa"/>
            <w:vMerge w:val="continue"/>
            <w:tcBorders>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c>
          <w:tcPr>
            <w:tcW w:w="805"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ind w:firstLine="0" w:firstLineChars="0"/>
              <w:jc w:val="center"/>
              <w:rPr>
                <w:rFonts w:cs="宋体"/>
                <w:color w:val="auto"/>
                <w:kern w:val="0"/>
                <w:szCs w:val="21"/>
              </w:rPr>
            </w:pPr>
          </w:p>
        </w:tc>
      </w:tr>
    </w:tbl>
    <w:p>
      <w:pPr>
        <w:ind w:firstLine="482"/>
        <w:rPr>
          <w:rFonts w:cs="宋体"/>
          <w:b/>
          <w:color w:val="auto"/>
          <w:kern w:val="0"/>
          <w:szCs w:val="20"/>
        </w:rPr>
      </w:pPr>
    </w:p>
    <w:p>
      <w:pPr>
        <w:ind w:firstLine="482"/>
        <w:rPr>
          <w:rFonts w:cs="宋体"/>
          <w:b/>
          <w:color w:val="auto"/>
          <w:kern w:val="0"/>
          <w:szCs w:val="20"/>
        </w:rPr>
      </w:pPr>
      <w:r>
        <w:rPr>
          <w:rFonts w:hint="eastAsia" w:cs="宋体"/>
          <w:b/>
          <w:color w:val="auto"/>
          <w:kern w:val="0"/>
          <w:szCs w:val="20"/>
        </w:rPr>
        <w:t>根据评分标准自行调整。</w:t>
      </w:r>
    </w:p>
    <w:bookmarkEnd w:id="174"/>
    <w:p>
      <w:pPr>
        <w:pStyle w:val="3"/>
        <w:jc w:val="center"/>
        <w:rPr>
          <w:rFonts w:cs="宋体"/>
          <w:b/>
          <w:bCs/>
          <w:color w:val="auto"/>
          <w:sz w:val="36"/>
          <w:szCs w:val="24"/>
        </w:rPr>
        <w:sectPr>
          <w:pgSz w:w="11907" w:h="16840"/>
          <w:pgMar w:top="1440" w:right="1080" w:bottom="1440" w:left="1080" w:header="850" w:footer="992" w:gutter="0"/>
          <w:cols w:space="720" w:num="1"/>
          <w:docGrid w:linePitch="286" w:charSpace="0"/>
        </w:sectPr>
      </w:pPr>
    </w:p>
    <w:p>
      <w:pPr>
        <w:pStyle w:val="5"/>
        <w:jc w:val="center"/>
        <w:rPr>
          <w:rFonts w:cs="宋体"/>
          <w:color w:val="auto"/>
        </w:rPr>
      </w:pPr>
      <w:bookmarkStart w:id="175" w:name="_Toc25412"/>
      <w:r>
        <w:rPr>
          <w:rFonts w:hint="eastAsia" w:cs="宋体"/>
          <w:color w:val="auto"/>
        </w:rPr>
        <w:t>商务技术文件目录</w:t>
      </w:r>
      <w:bookmarkEnd w:id="175"/>
    </w:p>
    <w:p>
      <w:pPr>
        <w:ind w:firstLine="480"/>
        <w:rPr>
          <w:rFonts w:cs="宋体"/>
          <w:color w:val="auto"/>
        </w:rPr>
      </w:pPr>
    </w:p>
    <w:p>
      <w:pPr>
        <w:numPr>
          <w:ilvl w:val="0"/>
          <w:numId w:val="45"/>
        </w:numPr>
        <w:ind w:firstLine="480"/>
        <w:rPr>
          <w:rFonts w:cs="宋体"/>
          <w:color w:val="auto"/>
        </w:rPr>
      </w:pPr>
      <w:r>
        <w:rPr>
          <w:rFonts w:hint="eastAsia" w:cs="宋体"/>
          <w:color w:val="auto"/>
        </w:rPr>
        <w:t xml:space="preserve"> 投标声明书 ………………………………………………………………………（页码）</w:t>
      </w:r>
    </w:p>
    <w:p>
      <w:pPr>
        <w:numPr>
          <w:ilvl w:val="0"/>
          <w:numId w:val="45"/>
        </w:numPr>
        <w:ind w:firstLine="480"/>
        <w:rPr>
          <w:rFonts w:cs="宋体"/>
          <w:color w:val="auto"/>
        </w:rPr>
      </w:pPr>
      <w:r>
        <w:rPr>
          <w:rFonts w:hint="eastAsia" w:cs="宋体"/>
          <w:color w:val="auto"/>
        </w:rPr>
        <w:t>经营执照复印件……………………………………………………………………（页码）</w:t>
      </w:r>
    </w:p>
    <w:p>
      <w:pPr>
        <w:numPr>
          <w:ilvl w:val="0"/>
          <w:numId w:val="45"/>
        </w:numPr>
        <w:ind w:firstLine="480"/>
        <w:rPr>
          <w:rFonts w:cs="宋体"/>
          <w:color w:val="auto"/>
        </w:rPr>
      </w:pPr>
      <w:r>
        <w:rPr>
          <w:rFonts w:hint="eastAsia" w:cs="宋体"/>
          <w:color w:val="auto"/>
        </w:rPr>
        <w:t xml:space="preserve"> 法定代表人证明书，法定代表人授权书…………………………………………（页码）</w:t>
      </w:r>
    </w:p>
    <w:p>
      <w:pPr>
        <w:numPr>
          <w:ilvl w:val="0"/>
          <w:numId w:val="45"/>
        </w:numPr>
        <w:ind w:firstLine="480"/>
        <w:rPr>
          <w:rFonts w:cs="宋体"/>
          <w:color w:val="auto"/>
        </w:rPr>
      </w:pPr>
      <w:r>
        <w:rPr>
          <w:rFonts w:hint="eastAsia" w:cs="宋体"/>
          <w:color w:val="auto"/>
        </w:rPr>
        <w:t xml:space="preserve"> 廉政承诺书 </w:t>
      </w:r>
      <w:r>
        <w:rPr>
          <w:rFonts w:hint="eastAsia" w:cs="宋体"/>
          <w:color w:val="auto"/>
          <w:kern w:val="0"/>
        </w:rPr>
        <w:t>………………………………………………………………………（页码）</w:t>
      </w:r>
    </w:p>
    <w:p>
      <w:pPr>
        <w:numPr>
          <w:ilvl w:val="0"/>
          <w:numId w:val="45"/>
        </w:numPr>
        <w:ind w:firstLine="480"/>
        <w:rPr>
          <w:rFonts w:cs="宋体"/>
          <w:color w:val="auto"/>
        </w:rPr>
      </w:pPr>
      <w:r>
        <w:rPr>
          <w:rFonts w:hint="eastAsia" w:cs="宋体"/>
          <w:color w:val="auto"/>
        </w:rPr>
        <w:t xml:space="preserve"> 投标人情况表（认证证书复印件） ……………………………………………（页码）</w:t>
      </w:r>
    </w:p>
    <w:p>
      <w:pPr>
        <w:numPr>
          <w:ilvl w:val="0"/>
          <w:numId w:val="45"/>
        </w:numPr>
        <w:ind w:firstLine="480"/>
        <w:rPr>
          <w:rFonts w:cs="宋体"/>
          <w:color w:val="auto"/>
        </w:rPr>
      </w:pPr>
      <w:r>
        <w:rPr>
          <w:rFonts w:hint="eastAsia" w:cs="宋体"/>
          <w:color w:val="auto"/>
        </w:rPr>
        <w:t xml:space="preserve"> 同类项目实施情况一览表 ………………………………………………………（页码）</w:t>
      </w:r>
    </w:p>
    <w:p>
      <w:pPr>
        <w:numPr>
          <w:ilvl w:val="0"/>
          <w:numId w:val="45"/>
        </w:numPr>
        <w:ind w:firstLine="480"/>
        <w:rPr>
          <w:rFonts w:cs="宋体"/>
          <w:color w:val="auto"/>
        </w:rPr>
      </w:pPr>
      <w:r>
        <w:rPr>
          <w:rFonts w:hint="eastAsia" w:cs="宋体"/>
          <w:color w:val="auto"/>
        </w:rPr>
        <w:t xml:space="preserve"> 技术规范偏离表…………………………………………………………………（页码）</w:t>
      </w:r>
    </w:p>
    <w:p>
      <w:pPr>
        <w:numPr>
          <w:ilvl w:val="0"/>
          <w:numId w:val="45"/>
        </w:numPr>
        <w:ind w:firstLine="480"/>
        <w:rPr>
          <w:rFonts w:cs="宋体"/>
          <w:color w:val="auto"/>
        </w:rPr>
      </w:pPr>
      <w:r>
        <w:rPr>
          <w:rFonts w:hint="eastAsia" w:cs="宋体"/>
          <w:color w:val="auto"/>
        </w:rPr>
        <w:t>商务条款偏离表……………………………………………………………………（页码）</w:t>
      </w:r>
    </w:p>
    <w:p>
      <w:pPr>
        <w:numPr>
          <w:ilvl w:val="0"/>
          <w:numId w:val="45"/>
        </w:numPr>
        <w:ind w:firstLine="480"/>
        <w:rPr>
          <w:rFonts w:cs="宋体"/>
          <w:color w:val="auto"/>
        </w:rPr>
      </w:pPr>
      <w:r>
        <w:rPr>
          <w:rFonts w:hint="eastAsia" w:cs="宋体"/>
          <w:color w:val="auto"/>
        </w:rPr>
        <w:t>主要维修用零配件清单及价格……………………………………………………（页码）</w:t>
      </w:r>
    </w:p>
    <w:p>
      <w:pPr>
        <w:numPr>
          <w:ilvl w:val="0"/>
          <w:numId w:val="45"/>
        </w:numPr>
        <w:ind w:firstLine="480"/>
        <w:rPr>
          <w:rFonts w:cs="宋体"/>
          <w:color w:val="auto"/>
        </w:rPr>
      </w:pPr>
      <w:r>
        <w:rPr>
          <w:rFonts w:hint="eastAsia" w:cs="宋体"/>
          <w:color w:val="auto"/>
        </w:rPr>
        <w:t>产品总体性能及质量水平…………………………………………………………（页码）</w:t>
      </w:r>
    </w:p>
    <w:p>
      <w:pPr>
        <w:numPr>
          <w:ilvl w:val="0"/>
          <w:numId w:val="45"/>
        </w:numPr>
        <w:ind w:firstLine="480"/>
        <w:rPr>
          <w:rFonts w:cs="宋体"/>
          <w:color w:val="auto"/>
        </w:rPr>
      </w:pPr>
      <w:r>
        <w:rPr>
          <w:rFonts w:hint="eastAsia" w:cs="宋体"/>
          <w:color w:val="auto"/>
        </w:rPr>
        <w:t>产品配置的先进性、完整性和适用性……………………………………………（页码）</w:t>
      </w:r>
    </w:p>
    <w:p>
      <w:pPr>
        <w:numPr>
          <w:ilvl w:val="0"/>
          <w:numId w:val="45"/>
        </w:numPr>
        <w:ind w:firstLine="480"/>
        <w:rPr>
          <w:rFonts w:cs="宋体"/>
          <w:color w:val="auto"/>
        </w:rPr>
      </w:pPr>
      <w:r>
        <w:rPr>
          <w:rFonts w:hint="eastAsia" w:cs="宋体"/>
          <w:color w:val="auto"/>
        </w:rPr>
        <w:t>产品的稳定性、可操作性和可维护性……………………………………………（页码）</w:t>
      </w:r>
    </w:p>
    <w:p>
      <w:pPr>
        <w:numPr>
          <w:ilvl w:val="0"/>
          <w:numId w:val="45"/>
        </w:numPr>
        <w:ind w:firstLine="480"/>
        <w:rPr>
          <w:rFonts w:cs="宋体"/>
          <w:color w:val="auto"/>
        </w:rPr>
      </w:pPr>
      <w:r>
        <w:rPr>
          <w:rFonts w:hint="eastAsia" w:cs="宋体"/>
          <w:color w:val="auto"/>
        </w:rPr>
        <w:t>安装、调试、验收计划及人员安排情况………………………………………（页码）</w:t>
      </w:r>
    </w:p>
    <w:p>
      <w:pPr>
        <w:numPr>
          <w:ilvl w:val="0"/>
          <w:numId w:val="45"/>
        </w:numPr>
        <w:ind w:firstLine="480"/>
        <w:rPr>
          <w:rFonts w:cs="宋体"/>
          <w:color w:val="auto"/>
        </w:rPr>
      </w:pPr>
      <w:r>
        <w:rPr>
          <w:rFonts w:hint="eastAsia" w:cs="宋体"/>
          <w:color w:val="auto"/>
        </w:rPr>
        <w:t>售后服务…………………………………………………………………………（页码）</w:t>
      </w:r>
    </w:p>
    <w:p>
      <w:pPr>
        <w:numPr>
          <w:ilvl w:val="0"/>
          <w:numId w:val="45"/>
        </w:numPr>
        <w:ind w:firstLine="480"/>
        <w:rPr>
          <w:rFonts w:cs="宋体"/>
          <w:color w:val="auto"/>
        </w:rPr>
      </w:pPr>
      <w:r>
        <w:rPr>
          <w:rFonts w:hint="eastAsia" w:cs="宋体"/>
          <w:color w:val="auto"/>
        </w:rPr>
        <w:t>优惠条件…………………………………………………………………………（页码）</w:t>
      </w:r>
    </w:p>
    <w:p>
      <w:pPr>
        <w:numPr>
          <w:ilvl w:val="0"/>
          <w:numId w:val="45"/>
        </w:numPr>
        <w:ind w:firstLine="480"/>
        <w:rPr>
          <w:rFonts w:cs="宋体"/>
          <w:color w:val="auto"/>
        </w:rPr>
      </w:pPr>
      <w:r>
        <w:rPr>
          <w:rFonts w:hint="eastAsia" w:cs="宋体"/>
          <w:color w:val="auto"/>
        </w:rPr>
        <w:t>政府采购政策分</w:t>
      </w:r>
      <w:r>
        <w:rPr>
          <w:rFonts w:hint="eastAsia" w:cs="宋体"/>
          <w:color w:val="auto"/>
          <w:kern w:val="0"/>
        </w:rPr>
        <w:t>…………………………………………………………………（页码）</w:t>
      </w:r>
    </w:p>
    <w:p>
      <w:pPr>
        <w:numPr>
          <w:ilvl w:val="0"/>
          <w:numId w:val="45"/>
        </w:numPr>
        <w:ind w:firstLine="480"/>
        <w:rPr>
          <w:rFonts w:cs="宋体"/>
          <w:color w:val="auto"/>
          <w:kern w:val="0"/>
        </w:rPr>
      </w:pPr>
      <w:r>
        <w:rPr>
          <w:rFonts w:hint="eastAsia" w:cs="宋体"/>
          <w:color w:val="auto"/>
          <w:kern w:val="0"/>
        </w:rPr>
        <w:t>其他…………………………………………………………………………………（页码）</w:t>
      </w:r>
    </w:p>
    <w:p>
      <w:pPr>
        <w:pStyle w:val="48"/>
        <w:rPr>
          <w:rFonts w:ascii="宋体" w:hAnsi="宋体" w:eastAsia="宋体" w:cs="宋体"/>
          <w:color w:val="auto"/>
        </w:rPr>
      </w:pPr>
      <w:r>
        <w:rPr>
          <w:rFonts w:hint="eastAsia" w:ascii="宋体" w:hAnsi="宋体" w:eastAsia="宋体" w:cs="宋体"/>
          <w:color w:val="auto"/>
        </w:rPr>
        <w:t>（根据评分标准及招标文件要求自行调整）</w:t>
      </w:r>
    </w:p>
    <w:p>
      <w:pPr>
        <w:pStyle w:val="49"/>
        <w:rPr>
          <w:rFonts w:ascii="宋体" w:hAnsi="宋体" w:cs="宋体"/>
          <w:color w:val="auto"/>
        </w:rPr>
      </w:pPr>
    </w:p>
    <w:p>
      <w:pPr>
        <w:ind w:firstLine="480"/>
        <w:rPr>
          <w:rFonts w:cs="宋体"/>
          <w:color w:val="auto"/>
        </w:rPr>
      </w:pPr>
    </w:p>
    <w:sdt>
      <w:sdtPr>
        <w:rPr>
          <w:rFonts w:hint="eastAsia" w:cs="宋体"/>
          <w:color w:val="auto"/>
          <w:kern w:val="2"/>
          <w:sz w:val="21"/>
          <w:szCs w:val="24"/>
        </w:rPr>
        <w:id w:val="147477178"/>
        <w:showingPlcHdr/>
      </w:sdtPr>
      <w:sdtEndPr>
        <w:rPr>
          <w:rFonts w:hint="eastAsia" w:cs="宋体"/>
          <w:color w:val="auto"/>
          <w:kern w:val="2"/>
          <w:sz w:val="21"/>
          <w:szCs w:val="22"/>
        </w:rPr>
      </w:sdtEndPr>
      <w:sdtContent>
        <w:p>
          <w:pPr>
            <w:pStyle w:val="3"/>
            <w:ind w:firstLine="0"/>
            <w:rPr>
              <w:rFonts w:cs="宋体"/>
              <w:color w:val="auto"/>
            </w:rPr>
          </w:pPr>
        </w:p>
      </w:sdtContent>
    </w:sdt>
    <w:p>
      <w:pPr>
        <w:ind w:firstLine="480"/>
        <w:rPr>
          <w:rFonts w:cs="宋体"/>
          <w:iCs/>
          <w:color w:val="auto"/>
        </w:rPr>
      </w:pPr>
      <w:r>
        <w:rPr>
          <w:rFonts w:hint="eastAsia" w:cs="宋体"/>
          <w:iCs/>
          <w:color w:val="auto"/>
        </w:rPr>
        <w:br w:type="page"/>
      </w:r>
    </w:p>
    <w:p>
      <w:pPr>
        <w:pStyle w:val="6"/>
        <w:numPr>
          <w:ilvl w:val="0"/>
          <w:numId w:val="46"/>
        </w:numPr>
        <w:ind w:firstLine="482" w:firstLineChars="200"/>
        <w:rPr>
          <w:rFonts w:cs="宋体"/>
          <w:color w:val="auto"/>
        </w:rPr>
      </w:pPr>
      <w:bookmarkStart w:id="176" w:name="_Toc23264"/>
      <w:r>
        <w:rPr>
          <w:rFonts w:hint="eastAsia" w:cs="宋体"/>
          <w:color w:val="auto"/>
        </w:rPr>
        <w:t>投标声明书</w:t>
      </w:r>
      <w:bookmarkEnd w:id="176"/>
    </w:p>
    <w:p>
      <w:pPr>
        <w:snapToGrid w:val="0"/>
        <w:ind w:firstLine="0" w:firstLineChars="0"/>
        <w:jc w:val="center"/>
        <w:rPr>
          <w:rFonts w:cs="宋体"/>
          <w:b/>
          <w:color w:val="auto"/>
          <w:kern w:val="0"/>
          <w:sz w:val="32"/>
        </w:rPr>
      </w:pPr>
      <w:bookmarkStart w:id="177" w:name="_Toc29771"/>
      <w:r>
        <w:rPr>
          <w:rFonts w:hint="eastAsia" w:cs="宋体"/>
          <w:b/>
          <w:color w:val="auto"/>
          <w:kern w:val="0"/>
          <w:sz w:val="32"/>
        </w:rPr>
        <w:t>投标声明书</w:t>
      </w:r>
      <w:bookmarkEnd w:id="177"/>
    </w:p>
    <w:p>
      <w:pPr>
        <w:snapToGrid w:val="0"/>
        <w:ind w:firstLine="0" w:firstLineChars="0"/>
        <w:rPr>
          <w:rFonts w:cs="宋体"/>
          <w:color w:val="auto"/>
        </w:rPr>
      </w:pPr>
    </w:p>
    <w:p>
      <w:pPr>
        <w:snapToGrid w:val="0"/>
        <w:ind w:firstLine="0" w:firstLineChars="0"/>
        <w:rPr>
          <w:rFonts w:cs="宋体"/>
          <w:color w:val="auto"/>
        </w:rPr>
      </w:pPr>
      <w:r>
        <w:rPr>
          <w:rFonts w:hint="eastAsia" w:cs="宋体"/>
          <w:color w:val="auto"/>
        </w:rPr>
        <w:t>浙江海洋大学、浙江五石工程咨询有限公司：</w:t>
      </w:r>
    </w:p>
    <w:p>
      <w:pPr>
        <w:ind w:firstLine="480"/>
        <w:rPr>
          <w:rFonts w:cs="宋体"/>
          <w:color w:val="auto"/>
        </w:rPr>
      </w:pPr>
      <w:r>
        <w:rPr>
          <w:rFonts w:hint="eastAsia" w:cs="宋体"/>
          <w:color w:val="auto"/>
          <w:kern w:val="0"/>
          <w:lang w:val="zh-CN"/>
        </w:rPr>
        <w:t>我公司</w:t>
      </w:r>
      <w:r>
        <w:rPr>
          <w:rFonts w:hint="eastAsia" w:cs="宋体"/>
          <w:color w:val="auto"/>
        </w:rPr>
        <w:t>声明截止投标时间近三年以来，在</w:t>
      </w:r>
      <w:r>
        <w:rPr>
          <w:rFonts w:hint="eastAsia" w:cs="宋体"/>
          <w:color w:val="auto"/>
          <w:kern w:val="0"/>
        </w:rPr>
        <w:t>政府采购领域中</w:t>
      </w:r>
      <w:r>
        <w:rPr>
          <w:rFonts w:hint="eastAsia" w:cs="宋体"/>
          <w:color w:val="auto"/>
        </w:rPr>
        <w:t>，在项目招标、投标和合同履约期间无任何不良行为记录和违法、违规行为</w:t>
      </w:r>
      <w:r>
        <w:rPr>
          <w:rFonts w:hint="eastAsia" w:cs="宋体"/>
          <w:color w:val="auto"/>
          <w:kern w:val="0"/>
          <w:lang w:val="zh-CN"/>
        </w:rPr>
        <w:t>。</w:t>
      </w:r>
    </w:p>
    <w:p>
      <w:pPr>
        <w:ind w:firstLine="480"/>
        <w:rPr>
          <w:rFonts w:cs="宋体"/>
          <w:color w:val="auto"/>
        </w:rPr>
      </w:pPr>
      <w:r>
        <w:rPr>
          <w:rFonts w:hint="eastAsia" w:cs="宋体"/>
          <w:color w:val="auto"/>
        </w:rPr>
        <w:t xml:space="preserve">我公司自愿参加 </w:t>
      </w:r>
      <w:r>
        <w:rPr>
          <w:rFonts w:hint="eastAsia" w:cs="宋体"/>
          <w:color w:val="auto"/>
          <w:u w:val="single"/>
        </w:rPr>
        <w:t xml:space="preserve">       </w:t>
      </w:r>
      <w:r>
        <w:rPr>
          <w:rFonts w:hint="eastAsia" w:cs="宋体"/>
          <w:color w:val="auto"/>
        </w:rPr>
        <w:t>项目[招标编号：</w:t>
      </w:r>
      <w:r>
        <w:rPr>
          <w:rFonts w:hint="eastAsia" w:cs="宋体"/>
          <w:color w:val="auto"/>
          <w:u w:val="single"/>
        </w:rPr>
        <w:t xml:space="preserve">              </w:t>
      </w:r>
      <w:r>
        <w:rPr>
          <w:rFonts w:hint="eastAsia" w:cs="宋体"/>
          <w:color w:val="auto"/>
        </w:rPr>
        <w:t>]的投标，并保证投标文件中所列举的投标报价文件及相关资料和公司基本情况资料是真实的、合法的。</w:t>
      </w:r>
    </w:p>
    <w:p>
      <w:pPr>
        <w:ind w:firstLine="480"/>
        <w:rPr>
          <w:rFonts w:cs="宋体"/>
          <w:color w:val="auto"/>
          <w:kern w:val="0"/>
          <w:lang w:val="zh-CN"/>
        </w:rPr>
      </w:pPr>
      <w:r>
        <w:rPr>
          <w:rFonts w:hint="eastAsia" w:cs="宋体"/>
          <w:color w:val="auto"/>
          <w:kern w:val="0"/>
          <w:lang w:val="zh-CN"/>
        </w:rPr>
        <w:t>我公司已详细阅读全部“招标文件”，包括修改文件（如果有）以及全部招标资料和相关附件，并已了解我公司在招投标过程中的权利和义务。</w:t>
      </w:r>
    </w:p>
    <w:p>
      <w:pPr>
        <w:ind w:firstLine="480"/>
        <w:rPr>
          <w:rFonts w:cs="宋体"/>
          <w:color w:val="auto"/>
        </w:rPr>
      </w:pPr>
      <w:r>
        <w:rPr>
          <w:rFonts w:hint="eastAsia" w:cs="宋体"/>
          <w:color w:val="auto"/>
          <w:kern w:val="0"/>
          <w:lang w:val="zh-CN"/>
        </w:rPr>
        <w:t>我公司理解并接受招标文件的各项规定和要求，同意此次招标文件中的各项内容，</w:t>
      </w:r>
      <w:r>
        <w:rPr>
          <w:rFonts w:hint="eastAsia" w:cs="宋体"/>
          <w:color w:val="auto"/>
          <w:kern w:val="0"/>
        </w:rPr>
        <w:t>并</w:t>
      </w:r>
      <w:r>
        <w:rPr>
          <w:rFonts w:hint="eastAsia" w:cs="宋体"/>
          <w:color w:val="auto"/>
          <w:kern w:val="0"/>
          <w:lang w:val="zh-CN"/>
        </w:rPr>
        <w:t>同意提供按照贵方可能要求的与投标有关的一切数据或资料等。</w:t>
      </w:r>
    </w:p>
    <w:p>
      <w:pPr>
        <w:ind w:firstLine="480"/>
        <w:rPr>
          <w:rFonts w:cs="宋体"/>
          <w:color w:val="auto"/>
          <w:kern w:val="0"/>
          <w:lang w:val="zh-CN"/>
        </w:rPr>
      </w:pPr>
      <w:r>
        <w:rPr>
          <w:rFonts w:hint="eastAsia" w:cs="宋体"/>
          <w:color w:val="auto"/>
          <w:kern w:val="0"/>
          <w:lang w:val="zh-CN"/>
        </w:rPr>
        <w:t>本公司如中标，保证按照投标文件的承诺与贵方签订合同，保证履行合同条款并缴纳履约保证金。</w:t>
      </w:r>
    </w:p>
    <w:p>
      <w:pPr>
        <w:pStyle w:val="48"/>
        <w:rPr>
          <w:rFonts w:ascii="宋体" w:hAnsi="宋体" w:eastAsia="宋体" w:cs="宋体"/>
          <w:color w:val="auto"/>
          <w:lang w:val="zh-CN"/>
        </w:rPr>
      </w:pPr>
    </w:p>
    <w:p>
      <w:pPr>
        <w:pStyle w:val="48"/>
        <w:rPr>
          <w:rFonts w:ascii="宋体" w:hAnsi="宋体" w:eastAsia="宋体" w:cs="宋体"/>
          <w:color w:val="auto"/>
          <w:lang w:val="zh-CN"/>
        </w:rPr>
      </w:pPr>
    </w:p>
    <w:p>
      <w:pPr>
        <w:pStyle w:val="48"/>
        <w:rPr>
          <w:rFonts w:ascii="宋体" w:hAnsi="宋体" w:eastAsia="宋体" w:cs="宋体"/>
          <w:color w:val="auto"/>
          <w:lang w:val="zh-CN"/>
        </w:rPr>
      </w:pPr>
    </w:p>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日期：  年   月   日</w:t>
      </w:r>
    </w:p>
    <w:p>
      <w:pPr>
        <w:ind w:firstLine="480"/>
        <w:rPr>
          <w:rFonts w:cs="宋体"/>
          <w:color w:val="auto"/>
        </w:rPr>
      </w:pPr>
      <w:r>
        <w:rPr>
          <w:rFonts w:hint="eastAsia" w:cs="宋体"/>
          <w:color w:val="auto"/>
        </w:rPr>
        <w:br w:type="page"/>
      </w:r>
    </w:p>
    <w:p>
      <w:pPr>
        <w:pStyle w:val="6"/>
        <w:numPr>
          <w:ilvl w:val="0"/>
          <w:numId w:val="46"/>
        </w:numPr>
        <w:ind w:firstLine="482" w:firstLineChars="200"/>
        <w:rPr>
          <w:rFonts w:cs="宋体"/>
          <w:color w:val="auto"/>
        </w:rPr>
      </w:pPr>
      <w:r>
        <w:rPr>
          <w:rFonts w:hint="eastAsia" w:cs="宋体"/>
          <w:color w:val="auto"/>
        </w:rPr>
        <w:t>营业执照复印件</w:t>
      </w:r>
    </w:p>
    <w:p>
      <w:pPr>
        <w:pStyle w:val="6"/>
        <w:numPr>
          <w:ilvl w:val="0"/>
          <w:numId w:val="46"/>
        </w:numPr>
        <w:ind w:firstLine="482" w:firstLineChars="200"/>
        <w:rPr>
          <w:rFonts w:cs="宋体"/>
          <w:color w:val="auto"/>
        </w:rPr>
      </w:pPr>
      <w:r>
        <w:rPr>
          <w:rFonts w:hint="eastAsia" w:cs="宋体"/>
          <w:color w:val="auto"/>
        </w:rPr>
        <w:t>法定代表人证明书，法定代表人授权书</w:t>
      </w:r>
    </w:p>
    <w:p>
      <w:pPr>
        <w:snapToGrid w:val="0"/>
        <w:ind w:firstLine="0" w:firstLineChars="0"/>
        <w:jc w:val="center"/>
        <w:rPr>
          <w:rFonts w:cs="宋体"/>
          <w:b/>
          <w:color w:val="auto"/>
          <w:kern w:val="0"/>
          <w:sz w:val="32"/>
        </w:rPr>
      </w:pPr>
      <w:r>
        <w:rPr>
          <w:rFonts w:hint="eastAsia" w:cs="宋体"/>
          <w:b/>
          <w:color w:val="auto"/>
          <w:kern w:val="0"/>
          <w:sz w:val="32"/>
        </w:rPr>
        <w:t>法定代表人资格证明书</w:t>
      </w:r>
    </w:p>
    <w:p>
      <w:pPr>
        <w:ind w:firstLine="456"/>
        <w:rPr>
          <w:rFonts w:cs="宋体"/>
          <w:bCs/>
          <w:color w:val="auto"/>
          <w:spacing w:val="-6"/>
        </w:rPr>
      </w:pPr>
    </w:p>
    <w:p>
      <w:pPr>
        <w:ind w:firstLine="456"/>
        <w:rPr>
          <w:rFonts w:cs="宋体"/>
          <w:bCs/>
          <w:color w:val="auto"/>
          <w:spacing w:val="-6"/>
        </w:rPr>
      </w:pPr>
      <w:r>
        <w:rPr>
          <w:rFonts w:hint="eastAsia" w:cs="宋体"/>
          <w:bCs/>
          <w:color w:val="auto"/>
          <w:spacing w:val="-6"/>
        </w:rPr>
        <w:t>致：</w:t>
      </w:r>
      <w:r>
        <w:rPr>
          <w:rFonts w:hint="eastAsia" w:cs="宋体"/>
          <w:color w:val="auto"/>
          <w:spacing w:val="-6"/>
          <w:u w:val="single"/>
        </w:rPr>
        <w:t>浙江海洋大学、浙江五石工程咨询有限公司</w:t>
      </w:r>
    </w:p>
    <w:p>
      <w:pPr>
        <w:ind w:firstLine="456"/>
        <w:rPr>
          <w:rFonts w:cs="宋体"/>
          <w:bCs/>
          <w:color w:val="auto"/>
          <w:spacing w:val="-6"/>
        </w:rPr>
      </w:pPr>
      <w:r>
        <w:rPr>
          <w:rFonts w:hint="eastAsia" w:cs="宋体"/>
          <w:bCs/>
          <w:color w:val="auto"/>
          <w:spacing w:val="-6"/>
        </w:rPr>
        <w:t>我</w:t>
      </w:r>
      <w:r>
        <w:rPr>
          <w:rFonts w:hint="eastAsia" w:cs="宋体"/>
          <w:color w:val="auto"/>
          <w:spacing w:val="-6"/>
        </w:rPr>
        <w:t>________________</w:t>
      </w:r>
      <w:r>
        <w:rPr>
          <w:rFonts w:hint="eastAsia" w:cs="宋体"/>
          <w:bCs/>
          <w:color w:val="auto"/>
          <w:spacing w:val="-6"/>
        </w:rPr>
        <w:t>（姓名）系_________________________投标人名称）的法定代表人，身份证号码：_________________________________。</w:t>
      </w:r>
    </w:p>
    <w:p>
      <w:pPr>
        <w:ind w:firstLine="456"/>
        <w:rPr>
          <w:rFonts w:cs="宋体"/>
          <w:bCs/>
          <w:color w:val="auto"/>
          <w:spacing w:val="-6"/>
        </w:rPr>
      </w:pPr>
      <w:r>
        <w:rPr>
          <w:rFonts w:hint="eastAsia" w:cs="宋体"/>
          <w:bCs/>
          <w:color w:val="auto"/>
          <w:spacing w:val="-6"/>
        </w:rPr>
        <w:t>特此证明。</w:t>
      </w:r>
    </w:p>
    <w:p>
      <w:pPr>
        <w:ind w:firstLine="456"/>
        <w:rPr>
          <w:rFonts w:cs="宋体"/>
          <w:bCs/>
          <w:color w:val="auto"/>
          <w:spacing w:val="-6"/>
        </w:rPr>
      </w:pPr>
    </w:p>
    <w:tbl>
      <w:tblPr>
        <w:tblStyle w:val="46"/>
        <w:tblW w:w="9498"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660" w:hRule="atLeast"/>
        </w:trPr>
        <w:tc>
          <w:tcPr>
            <w:tcW w:w="9498" w:type="dxa"/>
          </w:tcPr>
          <w:p>
            <w:pPr>
              <w:ind w:firstLine="480"/>
              <w:rPr>
                <w:rFonts w:cs="宋体"/>
                <w:color w:val="auto"/>
              </w:rPr>
            </w:pPr>
            <w:r>
              <w:rPr>
                <w:rFonts w:hint="eastAsia" w:cs="宋体"/>
                <w:color w:val="auto"/>
              </w:rPr>
              <w:t>法定代表人身份证：</w:t>
            </w:r>
          </w:p>
          <w:p>
            <w:pPr>
              <w:ind w:firstLine="480"/>
              <w:rPr>
                <w:rFonts w:cs="宋体"/>
                <w:color w:val="auto"/>
              </w:rPr>
            </w:pPr>
          </w:p>
          <w:p>
            <w:pPr>
              <w:ind w:firstLine="480"/>
              <w:rPr>
                <w:rFonts w:cs="宋体"/>
                <w:color w:val="auto"/>
              </w:rPr>
            </w:pPr>
          </w:p>
          <w:p>
            <w:pPr>
              <w:ind w:firstLine="480"/>
              <w:rPr>
                <w:rFonts w:cs="宋体"/>
                <w:color w:val="auto"/>
              </w:rPr>
            </w:pPr>
          </w:p>
          <w:p>
            <w:pPr>
              <w:ind w:firstLine="480"/>
              <w:rPr>
                <w:rFonts w:cs="宋体"/>
                <w:color w:val="auto"/>
              </w:rPr>
            </w:pPr>
          </w:p>
          <w:p>
            <w:pPr>
              <w:ind w:firstLine="480"/>
              <w:rPr>
                <w:rFonts w:cs="宋体"/>
                <w:color w:val="auto"/>
              </w:rPr>
            </w:pPr>
            <w:r>
              <w:rPr>
                <w:rFonts w:hint="eastAsia" w:cs="宋体"/>
                <w:color w:val="auto"/>
              </w:rPr>
              <w:t>复印件粘贴处</w:t>
            </w:r>
          </w:p>
          <w:p>
            <w:pPr>
              <w:ind w:firstLine="456"/>
              <w:rPr>
                <w:rFonts w:cs="宋体"/>
                <w:bCs/>
                <w:color w:val="auto"/>
                <w:spacing w:val="-6"/>
              </w:rPr>
            </w:pPr>
          </w:p>
        </w:tc>
      </w:tr>
    </w:tbl>
    <w:p>
      <w:pPr>
        <w:ind w:firstLine="456"/>
        <w:rPr>
          <w:rFonts w:cs="宋体"/>
          <w:bCs/>
          <w:color w:val="auto"/>
          <w:spacing w:val="-6"/>
        </w:rPr>
      </w:pPr>
    </w:p>
    <w:p>
      <w:pPr>
        <w:ind w:right="456" w:firstLine="458"/>
        <w:rPr>
          <w:rFonts w:cs="宋体"/>
          <w:b/>
          <w:bCs/>
          <w:color w:val="auto"/>
          <w:spacing w:val="-6"/>
        </w:rPr>
      </w:pPr>
    </w:p>
    <w:p>
      <w:pPr>
        <w:ind w:right="456" w:firstLine="458"/>
        <w:rPr>
          <w:rFonts w:cs="宋体"/>
          <w:b/>
          <w:bCs/>
          <w:color w:val="auto"/>
          <w:spacing w:val="-6"/>
        </w:rPr>
      </w:pPr>
    </w:p>
    <w:p>
      <w:pPr>
        <w:ind w:right="456" w:firstLine="458"/>
        <w:rPr>
          <w:rFonts w:cs="宋体"/>
          <w:b/>
          <w:bCs/>
          <w:color w:val="auto"/>
          <w:spacing w:val="-6"/>
        </w:rPr>
      </w:pPr>
    </w:p>
    <w:p>
      <w:pPr>
        <w:ind w:right="456" w:firstLine="458"/>
        <w:rPr>
          <w:rFonts w:cs="宋体"/>
          <w:b/>
          <w:bCs/>
          <w:color w:val="auto"/>
          <w:spacing w:val="-6"/>
        </w:rPr>
      </w:pPr>
    </w:p>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法定代表人（签字或盖章）：</w:t>
      </w:r>
    </w:p>
    <w:p>
      <w:pPr>
        <w:ind w:firstLine="480"/>
        <w:rPr>
          <w:rFonts w:cs="宋体"/>
          <w:color w:val="auto"/>
        </w:rPr>
      </w:pPr>
      <w:r>
        <w:rPr>
          <w:rFonts w:hint="eastAsia" w:cs="宋体"/>
          <w:color w:val="auto"/>
        </w:rPr>
        <w:t>日期：  年   月   日</w:t>
      </w:r>
    </w:p>
    <w:p>
      <w:pPr>
        <w:ind w:right="456" w:firstLine="456"/>
        <w:rPr>
          <w:rFonts w:cs="宋体"/>
          <w:bCs/>
          <w:color w:val="auto"/>
          <w:spacing w:val="-6"/>
        </w:rPr>
        <w:sectPr>
          <w:pgSz w:w="11907" w:h="16840"/>
          <w:pgMar w:top="1440" w:right="1080" w:bottom="1440" w:left="1080" w:header="850" w:footer="992" w:gutter="0"/>
          <w:cols w:space="720" w:num="1"/>
          <w:docGrid w:linePitch="286" w:charSpace="0"/>
        </w:sectPr>
      </w:pPr>
    </w:p>
    <w:p>
      <w:pPr>
        <w:snapToGrid w:val="0"/>
        <w:ind w:firstLine="0" w:firstLineChars="0"/>
        <w:jc w:val="center"/>
        <w:rPr>
          <w:rFonts w:cs="宋体"/>
          <w:b/>
          <w:color w:val="auto"/>
          <w:kern w:val="0"/>
          <w:sz w:val="32"/>
        </w:rPr>
      </w:pPr>
      <w:r>
        <w:rPr>
          <w:rFonts w:hint="eastAsia" w:cs="宋体"/>
          <w:b/>
          <w:color w:val="auto"/>
          <w:kern w:val="0"/>
          <w:sz w:val="32"/>
        </w:rPr>
        <w:t>法定代表人授权书</w:t>
      </w:r>
    </w:p>
    <w:p>
      <w:pPr>
        <w:ind w:firstLine="480"/>
        <w:rPr>
          <w:rFonts w:cs="宋体"/>
          <w:color w:val="auto"/>
        </w:rPr>
      </w:pPr>
    </w:p>
    <w:p>
      <w:pPr>
        <w:ind w:firstLine="0" w:firstLineChars="0"/>
        <w:rPr>
          <w:rFonts w:cs="宋体"/>
          <w:color w:val="auto"/>
          <w:u w:val="single"/>
        </w:rPr>
      </w:pPr>
      <w:r>
        <w:rPr>
          <w:rFonts w:hint="eastAsia" w:cs="宋体"/>
          <w:color w:val="auto"/>
        </w:rPr>
        <w:t>致：</w:t>
      </w:r>
      <w:r>
        <w:rPr>
          <w:rFonts w:hint="eastAsia" w:cs="宋体"/>
          <w:color w:val="auto"/>
          <w:spacing w:val="-6"/>
          <w:u w:val="single"/>
        </w:rPr>
        <w:t>浙江海洋大学、浙江五石工程咨询有限公司</w:t>
      </w:r>
    </w:p>
    <w:p>
      <w:pPr>
        <w:ind w:firstLine="0" w:firstLineChars="0"/>
        <w:rPr>
          <w:rFonts w:cs="宋体"/>
          <w:color w:val="auto"/>
        </w:rPr>
      </w:pPr>
      <w:r>
        <w:rPr>
          <w:rFonts w:hint="eastAsia" w:cs="宋体"/>
          <w:color w:val="auto"/>
        </w:rPr>
        <w:t xml:space="preserve">    </w:t>
      </w:r>
      <w:r>
        <w:rPr>
          <w:rFonts w:hint="eastAsia" w:cs="宋体"/>
          <w:color w:val="auto"/>
          <w:u w:val="single"/>
        </w:rPr>
        <w:t xml:space="preserve">                            </w:t>
      </w:r>
      <w:r>
        <w:rPr>
          <w:rFonts w:hint="eastAsia" w:cs="宋体"/>
          <w:color w:val="auto"/>
        </w:rPr>
        <w:t>（投标人全称）法定代表人</w:t>
      </w:r>
      <w:r>
        <w:rPr>
          <w:rFonts w:hint="eastAsia" w:cs="宋体"/>
          <w:color w:val="auto"/>
          <w:u w:val="single"/>
        </w:rPr>
        <w:t xml:space="preserve">                 </w:t>
      </w:r>
    </w:p>
    <w:p>
      <w:pPr>
        <w:ind w:firstLine="0" w:firstLineChars="0"/>
        <w:rPr>
          <w:rFonts w:cs="宋体"/>
          <w:color w:val="auto"/>
        </w:rPr>
      </w:pPr>
      <w:r>
        <w:rPr>
          <w:rFonts w:hint="eastAsia" w:cs="宋体"/>
          <w:color w:val="auto"/>
        </w:rPr>
        <w:t>授权</w:t>
      </w:r>
      <w:r>
        <w:rPr>
          <w:rFonts w:hint="eastAsia" w:cs="宋体"/>
          <w:color w:val="auto"/>
          <w:u w:val="single"/>
        </w:rPr>
        <w:t xml:space="preserve">                       </w:t>
      </w:r>
      <w:r>
        <w:rPr>
          <w:rFonts w:hint="eastAsia" w:cs="宋体"/>
          <w:color w:val="auto"/>
        </w:rPr>
        <w:t>（全权代表姓名、职务）为全权代表，参加贵方组织的</w:t>
      </w:r>
    </w:p>
    <w:p>
      <w:pPr>
        <w:ind w:firstLine="0" w:firstLineChars="0"/>
        <w:rPr>
          <w:rFonts w:cs="宋体"/>
          <w:color w:val="auto"/>
        </w:rPr>
      </w:pPr>
      <w:r>
        <w:rPr>
          <w:rFonts w:hint="eastAsia" w:cs="宋体"/>
          <w:color w:val="auto"/>
        </w:rPr>
        <w:t xml:space="preserve"> </w:t>
      </w:r>
      <w:r>
        <w:rPr>
          <w:rFonts w:hint="eastAsia" w:cs="宋体"/>
          <w:color w:val="auto"/>
          <w:u w:val="single"/>
        </w:rPr>
        <w:t xml:space="preserve">                      </w:t>
      </w:r>
      <w:r>
        <w:rPr>
          <w:rFonts w:hint="eastAsia" w:cs="宋体"/>
          <w:color w:val="auto"/>
        </w:rPr>
        <w:t>项目（招标编号）采购活动，全权处理采购活动中的一切事宜。</w:t>
      </w:r>
    </w:p>
    <w:p>
      <w:pPr>
        <w:ind w:firstLine="0" w:firstLineChars="0"/>
        <w:rPr>
          <w:rFonts w:cs="宋体"/>
          <w:color w:val="auto"/>
        </w:rPr>
      </w:pPr>
      <w:r>
        <w:rPr>
          <w:rFonts w:hint="eastAsia" w:cs="宋体"/>
          <w:color w:val="auto"/>
        </w:rPr>
        <w:t xml:space="preserve">    本授权书于</w:t>
      </w:r>
      <w:r>
        <w:rPr>
          <w:rFonts w:hint="eastAsia" w:cs="宋体"/>
          <w:color w:val="auto"/>
          <w:u w:val="single"/>
        </w:rPr>
        <w:t xml:space="preserve">    </w:t>
      </w:r>
      <w:r>
        <w:rPr>
          <w:rFonts w:hint="eastAsia" w:cs="宋体"/>
          <w:color w:val="auto"/>
        </w:rPr>
        <w:t>年</w:t>
      </w:r>
      <w:r>
        <w:rPr>
          <w:rFonts w:hint="eastAsia" w:cs="宋体"/>
          <w:color w:val="auto"/>
          <w:u w:val="single"/>
        </w:rPr>
        <w:t xml:space="preserve">  </w:t>
      </w:r>
      <w:r>
        <w:rPr>
          <w:rFonts w:hint="eastAsia" w:cs="宋体"/>
          <w:color w:val="auto"/>
        </w:rPr>
        <w:t>月</w:t>
      </w:r>
      <w:r>
        <w:rPr>
          <w:rFonts w:hint="eastAsia" w:cs="宋体"/>
          <w:color w:val="auto"/>
          <w:u w:val="single"/>
        </w:rPr>
        <w:t xml:space="preserve">  </w:t>
      </w:r>
      <w:r>
        <w:rPr>
          <w:rFonts w:hint="eastAsia" w:cs="宋体"/>
          <w:color w:val="auto"/>
        </w:rPr>
        <w:t>日签署生效，特此声明。</w:t>
      </w:r>
    </w:p>
    <w:p>
      <w:pPr>
        <w:ind w:firstLine="480"/>
        <w:rPr>
          <w:rFonts w:cs="宋体"/>
          <w:color w:val="auto"/>
        </w:rPr>
      </w:pPr>
      <w:r>
        <w:rPr>
          <w:rFonts w:hint="eastAsia" w:cs="宋体"/>
          <w:color w:val="auto"/>
        </w:rPr>
        <w:t xml:space="preserve"> </w:t>
      </w:r>
      <w:r>
        <w:rPr>
          <w:rFonts w:hint="eastAsia" w:cs="宋体"/>
          <w:b/>
          <w:bCs/>
          <w:color w:val="auto"/>
        </w:rPr>
        <w:t>附授权委托人身份证复印件正反面及社保证明。</w:t>
      </w:r>
    </w:p>
    <w:p>
      <w:pPr>
        <w:ind w:firstLine="0" w:firstLineChars="0"/>
        <w:rPr>
          <w:rFonts w:cs="宋体"/>
          <w:color w:val="auto"/>
        </w:rPr>
      </w:pPr>
    </w:p>
    <w:p>
      <w:pPr>
        <w:ind w:firstLine="0" w:firstLineChars="0"/>
        <w:rPr>
          <w:rFonts w:cs="宋体"/>
          <w:color w:val="auto"/>
        </w:rPr>
      </w:pPr>
      <w:r>
        <w:rPr>
          <w:rFonts w:hint="eastAsia" w:cs="宋体"/>
          <w:color w:val="auto"/>
        </w:rPr>
        <w:t>法定代表人（签字或签章）：</w:t>
      </w:r>
    </w:p>
    <w:p>
      <w:pPr>
        <w:ind w:firstLine="0" w:firstLineChars="0"/>
        <w:rPr>
          <w:rFonts w:cs="宋体"/>
          <w:color w:val="auto"/>
        </w:rPr>
      </w:pPr>
    </w:p>
    <w:p>
      <w:pPr>
        <w:ind w:firstLine="0" w:firstLineChars="0"/>
        <w:rPr>
          <w:rFonts w:cs="宋体"/>
          <w:color w:val="auto"/>
        </w:rPr>
      </w:pPr>
      <w:r>
        <w:rPr>
          <w:rFonts w:hint="eastAsia" w:cs="宋体"/>
          <w:color w:val="auto"/>
        </w:rPr>
        <w:t>投标人名称（公章）：</w:t>
      </w:r>
    </w:p>
    <w:p>
      <w:pPr>
        <w:ind w:firstLine="0" w:firstLineChars="0"/>
        <w:rPr>
          <w:rFonts w:cs="宋体"/>
          <w:color w:val="auto"/>
        </w:rPr>
      </w:pPr>
      <w:r>
        <w:rPr>
          <w:rFonts w:hint="eastAsia" w:cs="宋体"/>
          <w:color w:val="auto"/>
        </w:rPr>
        <w:t>日期：</w:t>
      </w:r>
    </w:p>
    <w:p>
      <w:pPr>
        <w:ind w:firstLine="0" w:firstLineChars="0"/>
        <w:rPr>
          <w:rFonts w:cs="宋体"/>
          <w:color w:val="auto"/>
        </w:rPr>
      </w:pPr>
      <w:r>
        <w:rPr>
          <w:rFonts w:hint="eastAsia" w:cs="宋体"/>
          <w:color w:val="auto"/>
        </w:rPr>
        <w:t xml:space="preserve"> </w:t>
      </w:r>
    </w:p>
    <w:p>
      <w:pPr>
        <w:ind w:firstLine="0" w:firstLineChars="0"/>
        <w:rPr>
          <w:rFonts w:cs="宋体"/>
          <w:color w:val="auto"/>
        </w:rPr>
      </w:pPr>
      <w:r>
        <w:rPr>
          <w:rFonts w:hint="eastAsia" w:cs="宋体"/>
          <w:color w:val="auto"/>
        </w:rPr>
        <w:t xml:space="preserve"> 附：</w:t>
      </w:r>
    </w:p>
    <w:p>
      <w:pPr>
        <w:ind w:firstLine="0" w:firstLineChars="0"/>
        <w:rPr>
          <w:rFonts w:cs="宋体"/>
          <w:color w:val="auto"/>
        </w:rPr>
      </w:pPr>
      <w:r>
        <w:rPr>
          <w:rFonts w:hint="eastAsia" w:cs="宋体"/>
          <w:color w:val="auto"/>
        </w:rPr>
        <w:t>全权代表姓名（签字或盖章）：</w:t>
      </w:r>
    </w:p>
    <w:p>
      <w:pPr>
        <w:ind w:firstLine="0" w:firstLineChars="0"/>
        <w:rPr>
          <w:rFonts w:cs="宋体"/>
          <w:color w:val="auto"/>
        </w:rPr>
      </w:pPr>
      <w:r>
        <w:rPr>
          <w:rFonts w:hint="eastAsia" w:cs="宋体"/>
          <w:color w:val="auto"/>
        </w:rPr>
        <w:t xml:space="preserve">    职        务：</w:t>
      </w:r>
    </w:p>
    <w:p>
      <w:pPr>
        <w:ind w:firstLine="0" w:firstLineChars="0"/>
        <w:rPr>
          <w:rFonts w:cs="宋体"/>
          <w:color w:val="auto"/>
        </w:rPr>
      </w:pPr>
      <w:r>
        <w:rPr>
          <w:rFonts w:hint="eastAsia" w:cs="宋体"/>
          <w:color w:val="auto"/>
        </w:rPr>
        <w:t xml:space="preserve">    详细通讯地址：</w:t>
      </w:r>
    </w:p>
    <w:p>
      <w:pPr>
        <w:ind w:firstLine="0" w:firstLineChars="0"/>
        <w:rPr>
          <w:rFonts w:cs="宋体"/>
          <w:color w:val="auto"/>
        </w:rPr>
      </w:pPr>
      <w:r>
        <w:rPr>
          <w:rFonts w:hint="eastAsia" w:cs="宋体"/>
          <w:color w:val="auto"/>
        </w:rPr>
        <w:t xml:space="preserve">    邮 政  编 码：</w:t>
      </w:r>
    </w:p>
    <w:p>
      <w:pPr>
        <w:ind w:firstLine="0" w:firstLineChars="0"/>
        <w:rPr>
          <w:rFonts w:cs="宋体"/>
          <w:color w:val="auto"/>
        </w:rPr>
      </w:pPr>
      <w:r>
        <w:rPr>
          <w:rFonts w:hint="eastAsia" w:cs="宋体"/>
          <w:color w:val="auto"/>
        </w:rPr>
        <w:t xml:space="preserve">    传        真：</w:t>
      </w:r>
    </w:p>
    <w:p>
      <w:pPr>
        <w:ind w:firstLine="0" w:firstLineChars="0"/>
        <w:rPr>
          <w:rFonts w:cs="宋体"/>
          <w:color w:val="auto"/>
        </w:rPr>
      </w:pPr>
      <w:r>
        <w:rPr>
          <w:rFonts w:hint="eastAsia" w:cs="宋体"/>
          <w:color w:val="auto"/>
        </w:rPr>
        <w:t xml:space="preserve">    移 动  电 话：</w:t>
      </w:r>
    </w:p>
    <w:p>
      <w:pPr>
        <w:ind w:firstLine="0" w:firstLineChars="0"/>
        <w:rPr>
          <w:rFonts w:cs="宋体"/>
          <w:color w:val="auto"/>
          <w:spacing w:val="6"/>
        </w:rPr>
      </w:pPr>
    </w:p>
    <w:p>
      <w:pPr>
        <w:ind w:firstLine="0" w:firstLineChars="0"/>
        <w:rPr>
          <w:rFonts w:cs="宋体"/>
          <w:b/>
          <w:color w:val="auto"/>
        </w:rPr>
      </w:pPr>
    </w:p>
    <w:p>
      <w:pPr>
        <w:ind w:left="525" w:firstLine="0" w:firstLineChars="0"/>
        <w:jc w:val="center"/>
        <w:rPr>
          <w:rFonts w:cs="宋体"/>
          <w:b/>
          <w:color w:val="auto"/>
        </w:rPr>
      </w:pPr>
    </w:p>
    <w:p>
      <w:pPr>
        <w:pStyle w:val="22"/>
        <w:spacing w:before="120" w:after="120"/>
        <w:rPr>
          <w:rFonts w:hAnsi="宋体" w:cs="宋体"/>
          <w:b/>
          <w:color w:val="auto"/>
          <w:spacing w:val="-6"/>
          <w:sz w:val="24"/>
          <w:szCs w:val="24"/>
        </w:rPr>
      </w:pPr>
      <w:r>
        <w:rPr>
          <w:rFonts w:hint="eastAsia" w:hAnsi="宋体" w:cs="宋体"/>
          <w:b/>
          <w:color w:val="auto"/>
          <w:spacing w:val="-6"/>
          <w:sz w:val="24"/>
          <w:szCs w:val="24"/>
        </w:rPr>
        <w:t>一、法定代表人参加投标的，须在投标文件中提供：法定代表人资格证明书；</w:t>
      </w:r>
    </w:p>
    <w:p>
      <w:pPr>
        <w:pStyle w:val="22"/>
        <w:spacing w:before="120" w:after="120"/>
        <w:rPr>
          <w:rFonts w:hAnsi="宋体" w:cs="宋体"/>
          <w:b/>
          <w:color w:val="auto"/>
          <w:spacing w:val="-6"/>
          <w:sz w:val="24"/>
          <w:szCs w:val="24"/>
        </w:rPr>
      </w:pPr>
      <w:r>
        <w:rPr>
          <w:rFonts w:hint="eastAsia" w:hAnsi="宋体" w:cs="宋体"/>
          <w:b/>
          <w:color w:val="auto"/>
          <w:spacing w:val="-6"/>
          <w:sz w:val="24"/>
          <w:szCs w:val="24"/>
        </w:rPr>
        <w:t>二、</w:t>
      </w:r>
      <w:r>
        <w:rPr>
          <w:rFonts w:hint="eastAsia" w:hAnsi="宋体" w:cs="宋体"/>
          <w:color w:val="auto"/>
          <w:sz w:val="24"/>
          <w:szCs w:val="24"/>
        </w:rPr>
        <w:t>▲</w:t>
      </w:r>
      <w:r>
        <w:rPr>
          <w:rFonts w:hint="eastAsia" w:hAnsi="宋体" w:cs="宋体"/>
          <w:b/>
          <w:color w:val="auto"/>
          <w:spacing w:val="-6"/>
          <w:sz w:val="24"/>
          <w:szCs w:val="24"/>
        </w:rPr>
        <w:t>法定代表人委托授权代表参加投标，须在投标文件中提供：法定代表人资格证明书和法定代表人授权委托书及社保缴纳证明。</w:t>
      </w:r>
    </w:p>
    <w:p>
      <w:pPr>
        <w:snapToGrid w:val="0"/>
        <w:ind w:firstLine="0" w:firstLineChars="0"/>
        <w:rPr>
          <w:rFonts w:cs="宋体"/>
          <w:color w:val="auto"/>
        </w:rPr>
      </w:pPr>
      <w:r>
        <w:rPr>
          <w:rFonts w:hint="eastAsia" w:cs="宋体"/>
          <w:b/>
          <w:color w:val="auto"/>
          <w:spacing w:val="-6"/>
        </w:rPr>
        <w:t>三、</w:t>
      </w:r>
      <w:r>
        <w:rPr>
          <w:rFonts w:hint="eastAsia" w:cs="宋体"/>
          <w:color w:val="auto"/>
        </w:rPr>
        <w:t>▲</w:t>
      </w:r>
      <w:r>
        <w:rPr>
          <w:rFonts w:hint="eastAsia" w:cs="宋体"/>
          <w:b/>
          <w:color w:val="auto"/>
          <w:spacing w:val="-6"/>
        </w:rPr>
        <w:t>投标人授权代表必须为投标人本单位在职职工，并提供近一年任意一月社保缴纳证明。</w:t>
      </w:r>
    </w:p>
    <w:p>
      <w:pPr>
        <w:pStyle w:val="48"/>
        <w:rPr>
          <w:rFonts w:ascii="宋体" w:hAnsi="宋体" w:eastAsia="宋体" w:cs="宋体"/>
          <w:color w:val="auto"/>
        </w:rPr>
      </w:pPr>
      <w:r>
        <w:rPr>
          <w:rFonts w:hint="eastAsia" w:ascii="宋体" w:hAnsi="宋体" w:eastAsia="宋体" w:cs="宋体"/>
          <w:color w:val="auto"/>
        </w:rPr>
        <w:t xml:space="preserve">                 </w:t>
      </w:r>
    </w:p>
    <w:p>
      <w:pPr>
        <w:pStyle w:val="48"/>
        <w:rPr>
          <w:rFonts w:ascii="宋体" w:hAnsi="宋体" w:eastAsia="宋体" w:cs="宋体"/>
          <w:color w:val="auto"/>
        </w:rPr>
        <w:sectPr>
          <w:pgSz w:w="11907" w:h="16840"/>
          <w:pgMar w:top="1440" w:right="1080" w:bottom="1440" w:left="1080" w:header="850" w:footer="992" w:gutter="0"/>
          <w:cols w:space="720" w:num="1"/>
          <w:docGrid w:linePitch="286" w:charSpace="0"/>
        </w:sectPr>
      </w:pPr>
    </w:p>
    <w:p>
      <w:pPr>
        <w:pStyle w:val="6"/>
        <w:numPr>
          <w:ilvl w:val="0"/>
          <w:numId w:val="46"/>
        </w:numPr>
        <w:ind w:firstLine="482" w:firstLineChars="200"/>
        <w:rPr>
          <w:rFonts w:cs="宋体"/>
          <w:color w:val="auto"/>
        </w:rPr>
      </w:pPr>
      <w:bookmarkStart w:id="178" w:name="_Toc9927"/>
      <w:r>
        <w:rPr>
          <w:rFonts w:hint="eastAsia" w:cs="宋体"/>
          <w:color w:val="auto"/>
        </w:rPr>
        <w:t>廉政承诺书</w:t>
      </w:r>
      <w:bookmarkEnd w:id="178"/>
    </w:p>
    <w:p>
      <w:pPr>
        <w:snapToGrid w:val="0"/>
        <w:ind w:firstLine="0" w:firstLineChars="0"/>
        <w:jc w:val="center"/>
        <w:rPr>
          <w:rFonts w:cs="宋体"/>
          <w:b/>
          <w:color w:val="auto"/>
          <w:kern w:val="0"/>
          <w:sz w:val="32"/>
        </w:rPr>
      </w:pPr>
      <w:r>
        <w:rPr>
          <w:rFonts w:hint="eastAsia" w:cs="宋体"/>
          <w:b/>
          <w:color w:val="auto"/>
          <w:kern w:val="0"/>
          <w:sz w:val="32"/>
        </w:rPr>
        <w:t>廉政承诺书</w:t>
      </w:r>
    </w:p>
    <w:p>
      <w:pPr>
        <w:ind w:firstLine="480"/>
        <w:rPr>
          <w:rFonts w:cs="宋体"/>
          <w:color w:val="auto"/>
        </w:rPr>
      </w:pPr>
    </w:p>
    <w:p>
      <w:pPr>
        <w:ind w:firstLine="0" w:firstLineChars="0"/>
        <w:rPr>
          <w:rFonts w:cs="宋体"/>
          <w:color w:val="auto"/>
        </w:rPr>
      </w:pPr>
      <w:r>
        <w:rPr>
          <w:rFonts w:hint="eastAsia" w:cs="宋体"/>
          <w:color w:val="auto"/>
        </w:rPr>
        <w:t>浙江海洋大学：</w:t>
      </w:r>
    </w:p>
    <w:p>
      <w:pPr>
        <w:ind w:firstLine="480"/>
        <w:rPr>
          <w:rFonts w:cs="宋体"/>
          <w:color w:val="auto"/>
        </w:rPr>
      </w:pPr>
      <w:r>
        <w:rPr>
          <w:rFonts w:hint="eastAsia" w:cs="宋体"/>
          <w:color w:val="auto"/>
        </w:rPr>
        <w:t xml:space="preserve">我单位响应你单位项目招标要求参加投标。在这次投标过程中和中标后，我们将严格遵守国家法律法规要求，并郑重承诺： </w:t>
      </w:r>
    </w:p>
    <w:p>
      <w:pPr>
        <w:ind w:firstLine="480"/>
        <w:rPr>
          <w:rFonts w:cs="宋体"/>
          <w:color w:val="auto"/>
        </w:rPr>
      </w:pPr>
      <w:r>
        <w:rPr>
          <w:rFonts w:hint="eastAsia" w:cs="宋体"/>
          <w:color w:val="auto"/>
        </w:rPr>
        <w:t>一、不向项目有关人员及部门赠送礼金礼物、有价证券、回扣以及中介费、介绍费、咨询费等好处费；</w:t>
      </w:r>
    </w:p>
    <w:p>
      <w:pPr>
        <w:ind w:firstLine="480"/>
        <w:rPr>
          <w:rFonts w:cs="宋体"/>
          <w:color w:val="auto"/>
        </w:rPr>
      </w:pPr>
      <w:r>
        <w:rPr>
          <w:rFonts w:hint="eastAsia" w:cs="宋体"/>
          <w:color w:val="auto"/>
        </w:rPr>
        <w:t>二、不为项目有关人员及部门报销应由你方单位或个人支付的费用；</w:t>
      </w:r>
    </w:p>
    <w:p>
      <w:pPr>
        <w:ind w:firstLine="480"/>
        <w:rPr>
          <w:rFonts w:cs="宋体"/>
          <w:color w:val="auto"/>
        </w:rPr>
      </w:pPr>
      <w:r>
        <w:rPr>
          <w:rFonts w:hint="eastAsia" w:cs="宋体"/>
          <w:color w:val="auto"/>
        </w:rPr>
        <w:t>三、不向项目有关人员及部门提供有可能影响公正的宴请和健身娱乐等活动；</w:t>
      </w:r>
    </w:p>
    <w:p>
      <w:pPr>
        <w:ind w:firstLine="480"/>
        <w:rPr>
          <w:rFonts w:cs="宋体"/>
          <w:color w:val="auto"/>
        </w:rPr>
      </w:pPr>
      <w:r>
        <w:rPr>
          <w:rFonts w:hint="eastAsia" w:cs="宋体"/>
          <w:color w:val="auto"/>
        </w:rPr>
        <w:t>四、不为项目有关人员及部门出国（境）、旅游等提供方便；</w:t>
      </w:r>
    </w:p>
    <w:p>
      <w:pPr>
        <w:ind w:firstLine="480"/>
        <w:rPr>
          <w:rFonts w:cs="宋体"/>
          <w:color w:val="auto"/>
        </w:rPr>
      </w:pPr>
      <w:r>
        <w:rPr>
          <w:rFonts w:hint="eastAsia" w:cs="宋体"/>
          <w:color w:val="auto"/>
        </w:rPr>
        <w:t>五、不为项目有关人员个人装修住房、婚丧嫁娶、配偶子女工作安排等提供好处；</w:t>
      </w:r>
    </w:p>
    <w:p>
      <w:pPr>
        <w:ind w:firstLine="480"/>
        <w:rPr>
          <w:rFonts w:cs="宋体"/>
          <w:color w:val="auto"/>
        </w:rPr>
      </w:pPr>
      <w:r>
        <w:rPr>
          <w:rFonts w:hint="eastAsia" w:cs="宋体"/>
          <w:color w:val="auto"/>
        </w:rPr>
        <w:t>六、严格遵守《政府采购法》、《招标投标法》、《中华人民共和国民法典》等法律，诚实守信，合法经营，坚决抵制各种违法违纪行为。</w:t>
      </w:r>
    </w:p>
    <w:p>
      <w:pPr>
        <w:ind w:firstLine="480"/>
        <w:rPr>
          <w:rFonts w:cs="宋体"/>
          <w:color w:val="auto"/>
        </w:rPr>
      </w:pPr>
      <w:r>
        <w:rPr>
          <w:rFonts w:hint="eastAsia" w:cs="宋体"/>
          <w:color w:val="auto"/>
        </w:rPr>
        <w:t>如违反上述承诺，你单位有权立即取消我单位投标、中标或在建项目的建设资格，有权拒绝我单位在一定时期内进入你单位进行工程建设或其他经营活动，并通报省采购监管处。由此引起的相应损失均由我单位承担。</w:t>
      </w:r>
    </w:p>
    <w:p>
      <w:pPr>
        <w:ind w:firstLine="480"/>
        <w:rPr>
          <w:rFonts w:cs="宋体"/>
          <w:color w:val="auto"/>
        </w:rPr>
      </w:pPr>
    </w:p>
    <w:p>
      <w:pPr>
        <w:ind w:firstLine="0" w:firstLineChars="0"/>
        <w:rPr>
          <w:rFonts w:cs="宋体"/>
          <w:color w:val="auto"/>
        </w:rPr>
      </w:pPr>
    </w:p>
    <w:p>
      <w:pPr>
        <w:ind w:firstLine="0" w:firstLineChars="0"/>
        <w:rPr>
          <w:rFonts w:cs="宋体"/>
          <w:color w:val="auto"/>
        </w:rPr>
      </w:pPr>
    </w:p>
    <w:p>
      <w:pPr>
        <w:ind w:firstLine="0" w:firstLineChars="0"/>
        <w:rPr>
          <w:rFonts w:cs="宋体"/>
          <w:color w:val="auto"/>
        </w:rPr>
      </w:pPr>
    </w:p>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日期：  年   月   日</w:t>
      </w:r>
    </w:p>
    <w:p>
      <w:pPr>
        <w:ind w:firstLine="228" w:firstLineChars="95"/>
        <w:rPr>
          <w:rFonts w:cs="宋体"/>
          <w:color w:val="auto"/>
        </w:rPr>
        <w:sectPr>
          <w:pgSz w:w="11907" w:h="16840"/>
          <w:pgMar w:top="1440" w:right="1080" w:bottom="1440" w:left="1080" w:header="850" w:footer="992" w:gutter="0"/>
          <w:cols w:space="720" w:num="1"/>
          <w:docGrid w:linePitch="286" w:charSpace="0"/>
        </w:sectPr>
      </w:pPr>
    </w:p>
    <w:p>
      <w:pPr>
        <w:pStyle w:val="6"/>
        <w:numPr>
          <w:ilvl w:val="0"/>
          <w:numId w:val="46"/>
        </w:numPr>
        <w:ind w:firstLine="482" w:firstLineChars="200"/>
        <w:rPr>
          <w:rFonts w:cs="宋体"/>
          <w:color w:val="auto"/>
        </w:rPr>
      </w:pPr>
      <w:bookmarkStart w:id="179" w:name="_Toc12230"/>
      <w:r>
        <w:rPr>
          <w:rFonts w:hint="eastAsia" w:cs="宋体"/>
          <w:color w:val="auto"/>
        </w:rPr>
        <w:t>投标人情况表</w:t>
      </w:r>
      <w:bookmarkEnd w:id="179"/>
    </w:p>
    <w:p>
      <w:pPr>
        <w:spacing w:line="240" w:lineRule="auto"/>
        <w:ind w:firstLine="0" w:firstLineChars="0"/>
        <w:jc w:val="center"/>
        <w:rPr>
          <w:rFonts w:cs="宋体"/>
          <w:color w:val="auto"/>
          <w:sz w:val="28"/>
        </w:rPr>
      </w:pPr>
      <w:r>
        <w:rPr>
          <w:rFonts w:hint="eastAsia" w:cs="宋体"/>
          <w:b/>
          <w:color w:val="auto"/>
          <w:kern w:val="0"/>
          <w:sz w:val="32"/>
        </w:rPr>
        <w:t>投标人情况表</w:t>
      </w:r>
    </w:p>
    <w:p>
      <w:pPr>
        <w:ind w:firstLine="480"/>
        <w:rPr>
          <w:rFonts w:cs="宋体"/>
          <w:color w:val="auto"/>
        </w:rPr>
      </w:pPr>
    </w:p>
    <w:tbl>
      <w:tblPr>
        <w:tblStyle w:val="46"/>
        <w:tblW w:w="9603" w:type="dxa"/>
        <w:tblInd w:w="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2520"/>
        <w:gridCol w:w="1785"/>
        <w:gridCol w:w="45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1</w:t>
            </w:r>
          </w:p>
        </w:tc>
        <w:tc>
          <w:tcPr>
            <w:tcW w:w="8868" w:type="dxa"/>
            <w:gridSpan w:val="3"/>
            <w:vAlign w:val="center"/>
          </w:tcPr>
          <w:p>
            <w:pPr>
              <w:ind w:firstLine="0" w:firstLineChars="0"/>
              <w:rPr>
                <w:rFonts w:cs="宋体"/>
                <w:color w:val="auto"/>
                <w:spacing w:val="-6"/>
              </w:rPr>
            </w:pPr>
            <w:r>
              <w:rPr>
                <w:rFonts w:hint="eastAsia" w:cs="宋体"/>
                <w:color w:val="auto"/>
                <w:spacing w:val="-6"/>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2</w:t>
            </w:r>
          </w:p>
        </w:tc>
        <w:tc>
          <w:tcPr>
            <w:tcW w:w="8868" w:type="dxa"/>
            <w:gridSpan w:val="3"/>
            <w:vAlign w:val="center"/>
          </w:tcPr>
          <w:p>
            <w:pPr>
              <w:ind w:firstLine="0" w:firstLineChars="0"/>
              <w:rPr>
                <w:rFonts w:cs="宋体"/>
                <w:color w:val="auto"/>
                <w:spacing w:val="-6"/>
              </w:rPr>
            </w:pPr>
            <w:r>
              <w:rPr>
                <w:rFonts w:hint="eastAsia" w:cs="宋体"/>
                <w:color w:val="auto"/>
                <w:spacing w:val="-6"/>
              </w:rPr>
              <w:t>总部地址：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3</w:t>
            </w:r>
          </w:p>
        </w:tc>
        <w:tc>
          <w:tcPr>
            <w:tcW w:w="8868" w:type="dxa"/>
            <w:gridSpan w:val="3"/>
            <w:vAlign w:val="center"/>
          </w:tcPr>
          <w:p>
            <w:pPr>
              <w:ind w:firstLine="0" w:firstLineChars="0"/>
              <w:rPr>
                <w:rFonts w:cs="宋体"/>
                <w:color w:val="auto"/>
                <w:spacing w:val="-6"/>
              </w:rPr>
            </w:pPr>
            <w:r>
              <w:rPr>
                <w:rFonts w:hint="eastAsia" w:cs="宋体"/>
                <w:color w:val="auto"/>
                <w:spacing w:val="-6"/>
              </w:rPr>
              <w:t>当地代表处地址：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4</w:t>
            </w:r>
          </w:p>
        </w:tc>
        <w:tc>
          <w:tcPr>
            <w:tcW w:w="4305" w:type="dxa"/>
            <w:gridSpan w:val="2"/>
            <w:vAlign w:val="center"/>
          </w:tcPr>
          <w:p>
            <w:pPr>
              <w:ind w:firstLine="0" w:firstLineChars="0"/>
              <w:rPr>
                <w:rFonts w:cs="宋体"/>
                <w:color w:val="auto"/>
                <w:spacing w:val="-6"/>
              </w:rPr>
            </w:pPr>
            <w:r>
              <w:rPr>
                <w:rFonts w:hint="eastAsia" w:cs="宋体"/>
                <w:color w:val="auto"/>
                <w:spacing w:val="-6"/>
              </w:rPr>
              <w:t>电话：</w:t>
            </w:r>
          </w:p>
        </w:tc>
        <w:tc>
          <w:tcPr>
            <w:tcW w:w="4563" w:type="dxa"/>
            <w:vAlign w:val="center"/>
          </w:tcPr>
          <w:p>
            <w:pPr>
              <w:ind w:firstLine="0" w:firstLineChars="0"/>
              <w:rPr>
                <w:rFonts w:cs="宋体"/>
                <w:color w:val="auto"/>
                <w:spacing w:val="-6"/>
              </w:rPr>
            </w:pPr>
            <w:r>
              <w:rPr>
                <w:rFonts w:hint="eastAsia" w:cs="宋体"/>
                <w:color w:val="auto"/>
                <w:spacing w:val="-6"/>
              </w:rPr>
              <w:t>联系人：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5</w:t>
            </w:r>
          </w:p>
        </w:tc>
        <w:tc>
          <w:tcPr>
            <w:tcW w:w="4305" w:type="dxa"/>
            <w:gridSpan w:val="2"/>
            <w:vAlign w:val="center"/>
          </w:tcPr>
          <w:p>
            <w:pPr>
              <w:ind w:firstLine="0" w:firstLineChars="0"/>
              <w:rPr>
                <w:rFonts w:cs="宋体"/>
                <w:color w:val="auto"/>
                <w:spacing w:val="-6"/>
              </w:rPr>
            </w:pPr>
            <w:r>
              <w:rPr>
                <w:rFonts w:hint="eastAsia" w:cs="宋体"/>
                <w:color w:val="auto"/>
                <w:spacing w:val="-6"/>
              </w:rPr>
              <w:t>传真：</w:t>
            </w:r>
          </w:p>
        </w:tc>
        <w:tc>
          <w:tcPr>
            <w:tcW w:w="4563" w:type="dxa"/>
            <w:vAlign w:val="center"/>
          </w:tcPr>
          <w:p>
            <w:pPr>
              <w:ind w:firstLine="0" w:firstLineChars="0"/>
              <w:rPr>
                <w:rFonts w:cs="宋体"/>
                <w:color w:val="auto"/>
                <w:spacing w:val="-6"/>
              </w:rPr>
            </w:pPr>
            <w:r>
              <w:rPr>
                <w:rFonts w:hint="eastAsia" w:cs="宋体"/>
                <w:color w:val="auto"/>
                <w:spacing w:val="-6"/>
              </w:rPr>
              <w:t>电子信箱：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6</w:t>
            </w:r>
          </w:p>
        </w:tc>
        <w:tc>
          <w:tcPr>
            <w:tcW w:w="4305" w:type="dxa"/>
            <w:gridSpan w:val="2"/>
            <w:vAlign w:val="center"/>
          </w:tcPr>
          <w:p>
            <w:pPr>
              <w:ind w:firstLine="0" w:firstLineChars="0"/>
              <w:rPr>
                <w:rFonts w:cs="宋体"/>
                <w:color w:val="auto"/>
                <w:spacing w:val="-6"/>
              </w:rPr>
            </w:pPr>
            <w:r>
              <w:rPr>
                <w:rFonts w:hint="eastAsia" w:cs="宋体"/>
                <w:color w:val="auto"/>
                <w:spacing w:val="-6"/>
              </w:rPr>
              <w:t>注册地：</w:t>
            </w:r>
          </w:p>
        </w:tc>
        <w:tc>
          <w:tcPr>
            <w:tcW w:w="4563" w:type="dxa"/>
            <w:vAlign w:val="center"/>
          </w:tcPr>
          <w:p>
            <w:pPr>
              <w:ind w:firstLine="0" w:firstLineChars="0"/>
              <w:rPr>
                <w:rFonts w:cs="宋体"/>
                <w:color w:val="auto"/>
                <w:spacing w:val="-6"/>
              </w:rPr>
            </w:pPr>
            <w:r>
              <w:rPr>
                <w:rFonts w:hint="eastAsia" w:cs="宋体"/>
                <w:color w:val="auto"/>
                <w:spacing w:val="-6"/>
              </w:rPr>
              <w:t>注册年份：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7</w:t>
            </w:r>
          </w:p>
        </w:tc>
        <w:tc>
          <w:tcPr>
            <w:tcW w:w="8868" w:type="dxa"/>
            <w:gridSpan w:val="3"/>
            <w:vAlign w:val="center"/>
          </w:tcPr>
          <w:p>
            <w:pPr>
              <w:ind w:firstLine="0" w:firstLineChars="0"/>
              <w:rPr>
                <w:rFonts w:cs="宋体"/>
                <w:color w:val="auto"/>
                <w:spacing w:val="-6"/>
              </w:rPr>
            </w:pPr>
            <w:r>
              <w:rPr>
                <w:rFonts w:hint="eastAsia" w:cs="宋体"/>
                <w:color w:val="auto"/>
                <w:spacing w:val="-6"/>
              </w:rPr>
              <w:t>公司的资质等级（请附上有关证书的复印件）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8</w:t>
            </w:r>
          </w:p>
        </w:tc>
        <w:tc>
          <w:tcPr>
            <w:tcW w:w="8868" w:type="dxa"/>
            <w:gridSpan w:val="3"/>
            <w:vAlign w:val="center"/>
          </w:tcPr>
          <w:p>
            <w:pPr>
              <w:ind w:firstLine="0" w:firstLineChars="0"/>
              <w:rPr>
                <w:rFonts w:cs="宋体"/>
                <w:color w:val="auto"/>
                <w:spacing w:val="-6"/>
              </w:rPr>
            </w:pPr>
            <w:r>
              <w:rPr>
                <w:rFonts w:hint="eastAsia" w:cs="宋体"/>
                <w:color w:val="auto"/>
                <w:spacing w:val="-6"/>
              </w:rPr>
              <w:t>公司（是否通过，何种）质量保证体系认证（如通过请附相关证书复印件，提供认证机构年审监督报告）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atLeast"/>
        </w:trPr>
        <w:tc>
          <w:tcPr>
            <w:tcW w:w="735" w:type="dxa"/>
            <w:vAlign w:val="center"/>
          </w:tcPr>
          <w:p>
            <w:pPr>
              <w:ind w:firstLine="0" w:firstLineChars="0"/>
              <w:jc w:val="center"/>
              <w:rPr>
                <w:rFonts w:cs="宋体"/>
                <w:color w:val="auto"/>
                <w:spacing w:val="-6"/>
              </w:rPr>
            </w:pPr>
            <w:r>
              <w:rPr>
                <w:rFonts w:hint="eastAsia" w:cs="宋体"/>
                <w:color w:val="auto"/>
                <w:spacing w:val="-6"/>
              </w:rPr>
              <w:t>9</w:t>
            </w:r>
          </w:p>
        </w:tc>
        <w:tc>
          <w:tcPr>
            <w:tcW w:w="2520" w:type="dxa"/>
            <w:vAlign w:val="center"/>
          </w:tcPr>
          <w:p>
            <w:pPr>
              <w:ind w:firstLine="0" w:firstLineChars="0"/>
              <w:rPr>
                <w:rFonts w:cs="宋体"/>
                <w:color w:val="auto"/>
                <w:spacing w:val="-6"/>
              </w:rPr>
            </w:pPr>
            <w:r>
              <w:rPr>
                <w:rFonts w:hint="eastAsia" w:cs="宋体"/>
                <w:color w:val="auto"/>
                <w:spacing w:val="-6"/>
              </w:rPr>
              <w:t>其他需要说明的情况</w:t>
            </w:r>
          </w:p>
        </w:tc>
        <w:tc>
          <w:tcPr>
            <w:tcW w:w="6348" w:type="dxa"/>
            <w:gridSpan w:val="2"/>
            <w:vAlign w:val="center"/>
          </w:tcPr>
          <w:p>
            <w:pPr>
              <w:ind w:firstLine="0" w:firstLineChars="0"/>
              <w:rPr>
                <w:rFonts w:cs="宋体"/>
                <w:color w:val="auto"/>
                <w:spacing w:val="-6"/>
              </w:rPr>
            </w:pPr>
          </w:p>
        </w:tc>
      </w:tr>
    </w:tbl>
    <w:p>
      <w:pPr>
        <w:spacing w:line="240" w:lineRule="auto"/>
        <w:ind w:firstLine="0" w:firstLineChars="0"/>
        <w:rPr>
          <w:rFonts w:cs="宋体"/>
          <w:i/>
          <w:color w:val="auto"/>
          <w:sz w:val="22"/>
          <w:szCs w:val="22"/>
        </w:rPr>
      </w:pPr>
    </w:p>
    <w:p>
      <w:pPr>
        <w:spacing w:line="240" w:lineRule="auto"/>
        <w:ind w:firstLine="480"/>
        <w:rPr>
          <w:rFonts w:cs="宋体"/>
          <w:snapToGrid w:val="0"/>
          <w:color w:val="auto"/>
        </w:rPr>
      </w:pPr>
      <w:r>
        <w:rPr>
          <w:rFonts w:hint="eastAsia" w:cs="宋体"/>
          <w:snapToGrid w:val="0"/>
          <w:color w:val="auto"/>
        </w:rPr>
        <w:t>应附上加盖公章的营业执照副本、相关资质、各资信类证书、认证体系证书等的清晰复印件。</w:t>
      </w:r>
    </w:p>
    <w:p>
      <w:pPr>
        <w:pStyle w:val="3"/>
        <w:rPr>
          <w:rFonts w:cs="宋体"/>
          <w:color w:val="auto"/>
        </w:rPr>
      </w:pPr>
    </w:p>
    <w:p>
      <w:pPr>
        <w:spacing w:line="240" w:lineRule="auto"/>
        <w:ind w:firstLine="480"/>
        <w:rPr>
          <w:rFonts w:cs="宋体"/>
          <w:snapToGrid w:val="0"/>
          <w:color w:val="auto"/>
        </w:rPr>
      </w:pPr>
    </w:p>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日期：  年   月   日</w:t>
      </w:r>
    </w:p>
    <w:p>
      <w:pPr>
        <w:pStyle w:val="6"/>
        <w:rPr>
          <w:rFonts w:cs="宋体"/>
          <w:color w:val="auto"/>
        </w:rPr>
        <w:sectPr>
          <w:pgSz w:w="11907" w:h="16840"/>
          <w:pgMar w:top="1440" w:right="1080" w:bottom="1440" w:left="1080" w:header="850" w:footer="992" w:gutter="0"/>
          <w:cols w:space="720" w:num="1"/>
          <w:docGrid w:linePitch="286" w:charSpace="0"/>
        </w:sectPr>
      </w:pPr>
      <w:bookmarkStart w:id="180" w:name="_Toc7524"/>
    </w:p>
    <w:p>
      <w:pPr>
        <w:pStyle w:val="6"/>
        <w:numPr>
          <w:ilvl w:val="0"/>
          <w:numId w:val="46"/>
        </w:numPr>
        <w:ind w:firstLine="482" w:firstLineChars="200"/>
        <w:rPr>
          <w:rFonts w:cs="宋体"/>
          <w:color w:val="auto"/>
        </w:rPr>
      </w:pPr>
      <w:r>
        <w:rPr>
          <w:rFonts w:hint="eastAsia" w:cs="宋体"/>
          <w:color w:val="auto"/>
        </w:rPr>
        <w:t>同类项目实施情况一览表</w:t>
      </w:r>
      <w:bookmarkEnd w:id="180"/>
    </w:p>
    <w:p>
      <w:pPr>
        <w:spacing w:line="240" w:lineRule="auto"/>
        <w:ind w:firstLine="0" w:firstLineChars="0"/>
        <w:jc w:val="center"/>
        <w:rPr>
          <w:rFonts w:cs="宋体"/>
          <w:b/>
          <w:color w:val="auto"/>
          <w:kern w:val="0"/>
          <w:sz w:val="32"/>
        </w:rPr>
      </w:pPr>
      <w:r>
        <w:rPr>
          <w:rFonts w:hint="eastAsia" w:cs="宋体"/>
          <w:b/>
          <w:color w:val="auto"/>
          <w:kern w:val="0"/>
          <w:sz w:val="32"/>
        </w:rPr>
        <w:t>同类项目实施情况一览表</w:t>
      </w:r>
    </w:p>
    <w:p>
      <w:pPr>
        <w:ind w:firstLine="480"/>
        <w:rPr>
          <w:rFonts w:cs="宋体"/>
          <w:color w:val="auto"/>
        </w:rPr>
      </w:pPr>
    </w:p>
    <w:p>
      <w:pPr>
        <w:ind w:firstLine="0" w:firstLineChars="0"/>
        <w:rPr>
          <w:rFonts w:cs="宋体"/>
          <w:b/>
          <w:bCs/>
          <w:color w:val="auto"/>
          <w:lang w:val="zh-CN"/>
        </w:rPr>
      </w:pPr>
      <w:r>
        <w:rPr>
          <w:rFonts w:hint="eastAsia" w:cs="宋体"/>
          <w:color w:val="auto"/>
        </w:rPr>
        <w:t xml:space="preserve">项目名称：                   项目编号：              </w:t>
      </w:r>
    </w:p>
    <w:tbl>
      <w:tblPr>
        <w:tblStyle w:val="46"/>
        <w:tblW w:w="9360" w:type="dxa"/>
        <w:jc w:val="center"/>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2160"/>
        <w:gridCol w:w="1440"/>
        <w:gridCol w:w="2340"/>
        <w:gridCol w:w="1676"/>
        <w:gridCol w:w="102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color w:val="auto"/>
              </w:rPr>
            </w:pPr>
            <w:r>
              <w:rPr>
                <w:rFonts w:hint="eastAsia" w:cs="宋体"/>
                <w:color w:val="auto"/>
                <w:lang w:val="zh-CN"/>
              </w:rPr>
              <w:t>序号</w:t>
            </w:r>
          </w:p>
        </w:tc>
        <w:tc>
          <w:tcPr>
            <w:tcW w:w="216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color w:val="auto"/>
              </w:rPr>
            </w:pPr>
            <w:r>
              <w:rPr>
                <w:rFonts w:hint="eastAsia" w:cs="宋体"/>
                <w:color w:val="auto"/>
                <w:lang w:val="zh-CN"/>
              </w:rPr>
              <w:t>项目名称</w:t>
            </w:r>
          </w:p>
        </w:tc>
        <w:tc>
          <w:tcPr>
            <w:tcW w:w="144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color w:val="auto"/>
              </w:rPr>
            </w:pPr>
            <w:r>
              <w:rPr>
                <w:rFonts w:hint="eastAsia" w:cs="宋体"/>
                <w:color w:val="auto"/>
                <w:lang w:val="zh-CN"/>
              </w:rPr>
              <w:t>项目时间</w:t>
            </w:r>
          </w:p>
          <w:p>
            <w:pPr>
              <w:ind w:firstLine="0" w:firstLineChars="0"/>
              <w:jc w:val="center"/>
              <w:rPr>
                <w:rFonts w:cs="宋体"/>
                <w:color w:val="auto"/>
              </w:rPr>
            </w:pPr>
            <w:r>
              <w:rPr>
                <w:rFonts w:hint="eastAsia" w:cs="宋体"/>
                <w:color w:val="auto"/>
                <w:lang w:val="zh-CN"/>
              </w:rPr>
              <w:t>年/月</w:t>
            </w:r>
          </w:p>
        </w:tc>
        <w:tc>
          <w:tcPr>
            <w:tcW w:w="2340"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color w:val="auto"/>
              </w:rPr>
            </w:pPr>
            <w:r>
              <w:rPr>
                <w:rFonts w:hint="eastAsia" w:cs="宋体"/>
                <w:color w:val="auto"/>
                <w:lang w:val="zh-CN"/>
              </w:rPr>
              <w:t>使用单位名称、地址及联系方式</w:t>
            </w:r>
          </w:p>
        </w:tc>
        <w:tc>
          <w:tcPr>
            <w:tcW w:w="1676"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color w:val="auto"/>
              </w:rPr>
            </w:pPr>
            <w:r>
              <w:rPr>
                <w:rFonts w:hint="eastAsia" w:cs="宋体"/>
                <w:color w:val="auto"/>
                <w:lang w:val="zh-CN"/>
              </w:rPr>
              <w:t>项目合同金额（单位：万元）</w:t>
            </w:r>
          </w:p>
        </w:tc>
        <w:tc>
          <w:tcPr>
            <w:tcW w:w="1024" w:type="dxa"/>
            <w:tcBorders>
              <w:top w:val="single" w:color="auto" w:sz="4" w:space="0"/>
              <w:left w:val="single" w:color="auto" w:sz="4" w:space="0"/>
              <w:bottom w:val="single" w:color="auto" w:sz="4" w:space="0"/>
              <w:right w:val="single" w:color="auto" w:sz="4" w:space="0"/>
            </w:tcBorders>
            <w:vAlign w:val="center"/>
          </w:tcPr>
          <w:p>
            <w:pPr>
              <w:ind w:firstLine="0" w:firstLineChars="0"/>
              <w:jc w:val="center"/>
              <w:rPr>
                <w:rFonts w:cs="宋体"/>
                <w:color w:val="auto"/>
              </w:rPr>
            </w:pPr>
            <w:r>
              <w:rPr>
                <w:rFonts w:hint="eastAsia" w:cs="宋体"/>
                <w:color w:val="auto"/>
                <w:lang w:val="zh-CN"/>
              </w:rPr>
              <w:t>备 注</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1</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2</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3</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4</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5</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6</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7</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8</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Ex>
        <w:trPr>
          <w:jc w:val="center"/>
        </w:trPr>
        <w:tc>
          <w:tcPr>
            <w:tcW w:w="720" w:type="dxa"/>
            <w:tcBorders>
              <w:top w:val="single" w:color="auto" w:sz="4" w:space="0"/>
              <w:left w:val="single" w:color="auto" w:sz="4" w:space="0"/>
              <w:bottom w:val="single" w:color="auto" w:sz="4" w:space="0"/>
              <w:right w:val="single" w:color="auto" w:sz="4" w:space="0"/>
            </w:tcBorders>
          </w:tcPr>
          <w:p>
            <w:pPr>
              <w:ind w:firstLine="0" w:firstLineChars="0"/>
              <w:jc w:val="center"/>
              <w:rPr>
                <w:rFonts w:cs="宋体"/>
                <w:color w:val="auto"/>
              </w:rPr>
            </w:pPr>
            <w:r>
              <w:rPr>
                <w:rFonts w:hint="eastAsia" w:cs="宋体"/>
                <w:color w:val="auto"/>
              </w:rPr>
              <w:t>9</w:t>
            </w:r>
          </w:p>
        </w:tc>
        <w:tc>
          <w:tcPr>
            <w:tcW w:w="216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4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2340"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676"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c>
          <w:tcPr>
            <w:tcW w:w="1024" w:type="dxa"/>
            <w:tcBorders>
              <w:top w:val="single" w:color="auto" w:sz="4" w:space="0"/>
              <w:left w:val="single" w:color="auto" w:sz="4" w:space="0"/>
              <w:bottom w:val="single" w:color="auto" w:sz="4" w:space="0"/>
              <w:right w:val="single" w:color="auto" w:sz="4" w:space="0"/>
            </w:tcBorders>
          </w:tcPr>
          <w:p>
            <w:pPr>
              <w:ind w:firstLine="0" w:firstLineChars="0"/>
              <w:rPr>
                <w:rFonts w:cs="宋体"/>
                <w:color w:val="auto"/>
              </w:rPr>
            </w:pPr>
          </w:p>
        </w:tc>
      </w:tr>
    </w:tbl>
    <w:p>
      <w:pPr>
        <w:ind w:firstLine="482"/>
        <w:rPr>
          <w:rFonts w:cs="宋体"/>
          <w:b/>
          <w:bCs/>
          <w:color w:val="auto"/>
        </w:rPr>
      </w:pPr>
      <w:bookmarkStart w:id="181" w:name="_Toc15594"/>
      <w:r>
        <w:rPr>
          <w:rFonts w:hint="eastAsia" w:cs="宋体"/>
          <w:b/>
          <w:bCs/>
          <w:color w:val="auto"/>
        </w:rPr>
        <w:t>说明：</w:t>
      </w:r>
      <w:bookmarkEnd w:id="181"/>
    </w:p>
    <w:p>
      <w:pPr>
        <w:ind w:firstLine="482"/>
        <w:rPr>
          <w:rFonts w:cs="宋体"/>
          <w:b/>
          <w:bCs/>
          <w:color w:val="auto"/>
        </w:rPr>
      </w:pPr>
      <w:r>
        <w:rPr>
          <w:rFonts w:hint="eastAsia" w:cs="宋体"/>
          <w:b/>
          <w:bCs/>
          <w:color w:val="auto"/>
        </w:rPr>
        <w:t>1、投标人须按照评分标准要求提交相应证明材料；</w:t>
      </w:r>
    </w:p>
    <w:p>
      <w:pPr>
        <w:ind w:firstLine="482"/>
        <w:rPr>
          <w:rFonts w:cs="宋体"/>
          <w:b/>
          <w:bCs/>
          <w:color w:val="auto"/>
        </w:rPr>
      </w:pPr>
      <w:r>
        <w:rPr>
          <w:rFonts w:hint="eastAsia" w:cs="宋体"/>
          <w:b/>
          <w:bCs/>
          <w:color w:val="auto"/>
        </w:rPr>
        <w:t>2、所有证明材料复印件应清晰，应能体现签订时间、双方签字盖章等内容；</w:t>
      </w:r>
    </w:p>
    <w:p>
      <w:pPr>
        <w:ind w:firstLine="482"/>
        <w:rPr>
          <w:rFonts w:cs="宋体"/>
          <w:b/>
          <w:bCs/>
          <w:color w:val="auto"/>
        </w:rPr>
      </w:pPr>
      <w:r>
        <w:rPr>
          <w:rFonts w:hint="eastAsia" w:cs="宋体"/>
          <w:b/>
          <w:bCs/>
          <w:color w:val="auto"/>
        </w:rPr>
        <w:t>3、投标人应在不涉及商业秘密的前提下尽可能提供详细的复印件内容。</w:t>
      </w:r>
    </w:p>
    <w:p>
      <w:pPr>
        <w:ind w:firstLine="0" w:firstLineChars="0"/>
        <w:rPr>
          <w:rFonts w:cs="宋体"/>
          <w:color w:val="auto"/>
        </w:rPr>
      </w:pPr>
    </w:p>
    <w:p>
      <w:pPr>
        <w:ind w:left="-720" w:right="-960" w:firstLine="0" w:firstLineChars="0"/>
        <w:rPr>
          <w:rFonts w:cs="宋体"/>
          <w:color w:val="auto"/>
          <w:spacing w:val="4"/>
        </w:rPr>
      </w:pPr>
    </w:p>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日期：  年   月   日</w:t>
      </w:r>
    </w:p>
    <w:p>
      <w:pPr>
        <w:pStyle w:val="3"/>
        <w:rPr>
          <w:rFonts w:cs="宋体"/>
          <w:color w:val="auto"/>
        </w:rPr>
      </w:pPr>
    </w:p>
    <w:p>
      <w:pPr>
        <w:ind w:firstLine="480"/>
        <w:rPr>
          <w:rFonts w:cs="宋体"/>
          <w:color w:val="auto"/>
        </w:rPr>
        <w:sectPr>
          <w:pgSz w:w="11907" w:h="16840"/>
          <w:pgMar w:top="1440" w:right="1080" w:bottom="1440" w:left="1080" w:header="850" w:footer="992" w:gutter="0"/>
          <w:cols w:space="720" w:num="1"/>
          <w:docGrid w:linePitch="286" w:charSpace="0"/>
        </w:sectPr>
      </w:pPr>
    </w:p>
    <w:p>
      <w:pPr>
        <w:pStyle w:val="6"/>
        <w:numPr>
          <w:ilvl w:val="0"/>
          <w:numId w:val="46"/>
        </w:numPr>
        <w:ind w:firstLine="482" w:firstLineChars="200"/>
        <w:rPr>
          <w:rFonts w:cs="宋体"/>
          <w:color w:val="auto"/>
        </w:rPr>
      </w:pPr>
      <w:r>
        <w:rPr>
          <w:rFonts w:hint="eastAsia" w:cs="宋体"/>
          <w:color w:val="auto"/>
        </w:rPr>
        <w:t>技术规范偏离表</w:t>
      </w:r>
    </w:p>
    <w:p>
      <w:pPr>
        <w:spacing w:line="400" w:lineRule="exact"/>
        <w:ind w:firstLine="480"/>
        <w:rPr>
          <w:rFonts w:cs="宋体"/>
          <w:color w:val="auto"/>
        </w:rPr>
      </w:pPr>
      <w:r>
        <w:rPr>
          <w:rFonts w:hint="eastAsia" w:cs="宋体"/>
          <w:color w:val="auto"/>
        </w:rPr>
        <w:t xml:space="preserve">招标项目名称：                   招标编号：            </w:t>
      </w:r>
    </w:p>
    <w:tbl>
      <w:tblPr>
        <w:tblStyle w:val="46"/>
        <w:tblW w:w="85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236"/>
        <w:gridCol w:w="2100"/>
        <w:gridCol w:w="2625"/>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vAlign w:val="center"/>
          </w:tcPr>
          <w:p>
            <w:pPr>
              <w:spacing w:line="500" w:lineRule="exact"/>
              <w:ind w:firstLine="0" w:firstLineChars="0"/>
              <w:jc w:val="center"/>
              <w:rPr>
                <w:rFonts w:cs="宋体"/>
                <w:color w:val="auto"/>
              </w:rPr>
            </w:pPr>
            <w:r>
              <w:rPr>
                <w:rFonts w:hint="eastAsia" w:cs="宋体"/>
                <w:color w:val="auto"/>
              </w:rPr>
              <w:t>序号</w:t>
            </w:r>
          </w:p>
        </w:tc>
        <w:tc>
          <w:tcPr>
            <w:tcW w:w="1236" w:type="dxa"/>
            <w:vAlign w:val="center"/>
          </w:tcPr>
          <w:p>
            <w:pPr>
              <w:spacing w:line="500" w:lineRule="exact"/>
              <w:ind w:firstLine="0" w:firstLineChars="0"/>
              <w:jc w:val="center"/>
              <w:rPr>
                <w:rFonts w:cs="宋体"/>
                <w:color w:val="auto"/>
              </w:rPr>
            </w:pPr>
            <w:r>
              <w:rPr>
                <w:rFonts w:hint="eastAsia" w:cs="宋体"/>
                <w:color w:val="auto"/>
              </w:rPr>
              <w:t>产品名称</w:t>
            </w:r>
          </w:p>
        </w:tc>
        <w:tc>
          <w:tcPr>
            <w:tcW w:w="2100" w:type="dxa"/>
            <w:vAlign w:val="center"/>
          </w:tcPr>
          <w:p>
            <w:pPr>
              <w:spacing w:line="500" w:lineRule="exact"/>
              <w:ind w:firstLine="0" w:firstLineChars="0"/>
              <w:jc w:val="center"/>
              <w:rPr>
                <w:rFonts w:cs="宋体"/>
                <w:color w:val="auto"/>
              </w:rPr>
            </w:pPr>
            <w:r>
              <w:rPr>
                <w:rFonts w:hint="eastAsia" w:cs="宋体"/>
                <w:color w:val="auto"/>
              </w:rPr>
              <w:t>招标要求</w:t>
            </w:r>
          </w:p>
        </w:tc>
        <w:tc>
          <w:tcPr>
            <w:tcW w:w="2625" w:type="dxa"/>
            <w:vAlign w:val="center"/>
          </w:tcPr>
          <w:p>
            <w:pPr>
              <w:spacing w:line="500" w:lineRule="exact"/>
              <w:ind w:firstLine="0" w:firstLineChars="0"/>
              <w:jc w:val="center"/>
              <w:rPr>
                <w:rFonts w:cs="宋体"/>
                <w:color w:val="auto"/>
              </w:rPr>
            </w:pPr>
            <w:r>
              <w:rPr>
                <w:rFonts w:hint="eastAsia" w:cs="宋体"/>
                <w:color w:val="auto"/>
              </w:rPr>
              <w:t xml:space="preserve">  投标响应</w:t>
            </w:r>
          </w:p>
        </w:tc>
        <w:tc>
          <w:tcPr>
            <w:tcW w:w="1890" w:type="dxa"/>
            <w:vAlign w:val="center"/>
          </w:tcPr>
          <w:p>
            <w:pPr>
              <w:spacing w:line="500" w:lineRule="exact"/>
              <w:ind w:firstLine="0" w:firstLineChars="0"/>
              <w:jc w:val="center"/>
              <w:rPr>
                <w:rFonts w:cs="宋体"/>
                <w:color w:val="auto"/>
              </w:rPr>
            </w:pPr>
            <w:r>
              <w:rPr>
                <w:rFonts w:hint="eastAsia" w:cs="宋体"/>
                <w:color w:val="auto"/>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738" w:type="dxa"/>
          </w:tcPr>
          <w:p>
            <w:pPr>
              <w:spacing w:line="500" w:lineRule="exact"/>
              <w:ind w:firstLine="480"/>
              <w:rPr>
                <w:rFonts w:cs="宋体"/>
                <w:color w:val="auto"/>
              </w:rPr>
            </w:pPr>
          </w:p>
        </w:tc>
        <w:tc>
          <w:tcPr>
            <w:tcW w:w="1236" w:type="dxa"/>
          </w:tcPr>
          <w:p>
            <w:pPr>
              <w:spacing w:line="500" w:lineRule="exact"/>
              <w:ind w:firstLine="480"/>
              <w:rPr>
                <w:rFonts w:cs="宋体"/>
                <w:color w:val="auto"/>
              </w:rPr>
            </w:pPr>
          </w:p>
        </w:tc>
        <w:tc>
          <w:tcPr>
            <w:tcW w:w="2100" w:type="dxa"/>
          </w:tcPr>
          <w:p>
            <w:pPr>
              <w:spacing w:line="500" w:lineRule="exact"/>
              <w:ind w:firstLine="480"/>
              <w:rPr>
                <w:rFonts w:cs="宋体"/>
                <w:color w:val="auto"/>
              </w:rPr>
            </w:pPr>
          </w:p>
        </w:tc>
        <w:tc>
          <w:tcPr>
            <w:tcW w:w="2625"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bl>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日期：  年   月   日</w:t>
      </w:r>
    </w:p>
    <w:p>
      <w:pPr>
        <w:ind w:firstLine="480"/>
        <w:rPr>
          <w:rFonts w:cs="宋体"/>
          <w:color w:val="auto"/>
        </w:rPr>
      </w:pPr>
      <w:r>
        <w:rPr>
          <w:rFonts w:hint="eastAsia" w:cs="宋体"/>
          <w:color w:val="auto"/>
        </w:rPr>
        <w:br w:type="page"/>
      </w:r>
    </w:p>
    <w:p>
      <w:pPr>
        <w:pStyle w:val="6"/>
        <w:numPr>
          <w:ilvl w:val="0"/>
          <w:numId w:val="46"/>
        </w:numPr>
        <w:ind w:firstLine="482" w:firstLineChars="200"/>
        <w:rPr>
          <w:rFonts w:cs="宋体"/>
          <w:color w:val="auto"/>
        </w:rPr>
      </w:pPr>
      <w:r>
        <w:rPr>
          <w:rFonts w:hint="eastAsia" w:cs="宋体"/>
          <w:color w:val="auto"/>
        </w:rPr>
        <w:t>商务条</w:t>
      </w:r>
      <w:r>
        <w:rPr>
          <w:rFonts w:hint="eastAsia" w:cs="宋体"/>
          <w:color w:val="auto"/>
          <w:lang w:eastAsia="zh-CN"/>
        </w:rPr>
        <w:t>款</w:t>
      </w:r>
      <w:r>
        <w:rPr>
          <w:rFonts w:hint="eastAsia" w:cs="宋体"/>
          <w:color w:val="auto"/>
        </w:rPr>
        <w:t>偏离表</w:t>
      </w:r>
    </w:p>
    <w:p>
      <w:pPr>
        <w:spacing w:line="240" w:lineRule="auto"/>
        <w:ind w:firstLine="0" w:firstLineChars="0"/>
        <w:jc w:val="center"/>
        <w:rPr>
          <w:rFonts w:hint="eastAsia" w:cs="宋体"/>
          <w:b/>
          <w:color w:val="auto"/>
          <w:kern w:val="0"/>
          <w:sz w:val="32"/>
        </w:rPr>
      </w:pPr>
      <w:r>
        <w:rPr>
          <w:rFonts w:hint="eastAsia" w:cs="宋体"/>
          <w:b/>
          <w:color w:val="auto"/>
          <w:kern w:val="0"/>
          <w:sz w:val="32"/>
        </w:rPr>
        <w:t>商务条</w:t>
      </w:r>
      <w:r>
        <w:rPr>
          <w:rFonts w:hint="eastAsia" w:cs="宋体"/>
          <w:b/>
          <w:color w:val="auto"/>
          <w:kern w:val="0"/>
          <w:sz w:val="32"/>
          <w:lang w:eastAsia="zh-CN"/>
        </w:rPr>
        <w:t>款</w:t>
      </w:r>
      <w:r>
        <w:rPr>
          <w:rFonts w:hint="eastAsia" w:cs="宋体"/>
          <w:b/>
          <w:color w:val="auto"/>
          <w:kern w:val="0"/>
          <w:sz w:val="32"/>
        </w:rPr>
        <w:t>偏离表</w:t>
      </w:r>
    </w:p>
    <w:p>
      <w:pPr>
        <w:spacing w:line="400" w:lineRule="exact"/>
        <w:ind w:firstLine="480"/>
        <w:rPr>
          <w:rFonts w:cs="宋体"/>
          <w:color w:val="auto"/>
        </w:rPr>
      </w:pPr>
    </w:p>
    <w:p>
      <w:pPr>
        <w:spacing w:line="400" w:lineRule="exact"/>
        <w:ind w:firstLine="480"/>
        <w:rPr>
          <w:rFonts w:cs="宋体"/>
          <w:color w:val="auto"/>
        </w:rPr>
      </w:pPr>
      <w:r>
        <w:rPr>
          <w:rFonts w:hint="eastAsia" w:cs="宋体"/>
          <w:color w:val="auto"/>
        </w:rPr>
        <w:t xml:space="preserve">招标项目名称：                   招标编号：            </w:t>
      </w:r>
    </w:p>
    <w:tbl>
      <w:tblPr>
        <w:tblStyle w:val="46"/>
        <w:tblW w:w="77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5"/>
        <w:gridCol w:w="2100"/>
        <w:gridCol w:w="2625"/>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vAlign w:val="center"/>
          </w:tcPr>
          <w:p>
            <w:pPr>
              <w:spacing w:line="500" w:lineRule="exact"/>
              <w:ind w:firstLine="0" w:firstLineChars="0"/>
              <w:jc w:val="center"/>
              <w:rPr>
                <w:rFonts w:cs="宋体"/>
                <w:color w:val="auto"/>
              </w:rPr>
            </w:pPr>
            <w:r>
              <w:rPr>
                <w:rFonts w:hint="eastAsia" w:cs="宋体"/>
                <w:color w:val="auto"/>
              </w:rPr>
              <w:t>序号</w:t>
            </w:r>
          </w:p>
        </w:tc>
        <w:tc>
          <w:tcPr>
            <w:tcW w:w="2100" w:type="dxa"/>
            <w:vAlign w:val="center"/>
          </w:tcPr>
          <w:p>
            <w:pPr>
              <w:spacing w:line="500" w:lineRule="exact"/>
              <w:ind w:firstLine="0" w:firstLineChars="0"/>
              <w:jc w:val="center"/>
              <w:rPr>
                <w:rFonts w:cs="宋体"/>
                <w:color w:val="auto"/>
              </w:rPr>
            </w:pPr>
            <w:r>
              <w:rPr>
                <w:rFonts w:hint="eastAsia" w:cs="宋体"/>
                <w:color w:val="auto"/>
              </w:rPr>
              <w:t>招标要求</w:t>
            </w:r>
          </w:p>
        </w:tc>
        <w:tc>
          <w:tcPr>
            <w:tcW w:w="2625" w:type="dxa"/>
            <w:vAlign w:val="center"/>
          </w:tcPr>
          <w:p>
            <w:pPr>
              <w:spacing w:line="500" w:lineRule="exact"/>
              <w:ind w:firstLine="0" w:firstLineChars="0"/>
              <w:jc w:val="center"/>
              <w:rPr>
                <w:rFonts w:cs="宋体"/>
                <w:color w:val="auto"/>
              </w:rPr>
            </w:pPr>
            <w:r>
              <w:rPr>
                <w:rFonts w:hint="eastAsia" w:cs="宋体"/>
                <w:color w:val="auto"/>
              </w:rPr>
              <w:t xml:space="preserve">  投标响应</w:t>
            </w:r>
          </w:p>
        </w:tc>
        <w:tc>
          <w:tcPr>
            <w:tcW w:w="1890" w:type="dxa"/>
            <w:vAlign w:val="center"/>
          </w:tcPr>
          <w:p>
            <w:pPr>
              <w:spacing w:line="500" w:lineRule="exact"/>
              <w:ind w:firstLine="0" w:firstLineChars="0"/>
              <w:jc w:val="center"/>
              <w:rPr>
                <w:rFonts w:cs="宋体"/>
                <w:color w:val="auto"/>
              </w:rPr>
            </w:pPr>
            <w:r>
              <w:rPr>
                <w:rFonts w:hint="eastAsia" w:cs="宋体"/>
                <w:color w:val="auto"/>
              </w:rPr>
              <w:t>偏离情况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175" w:type="dxa"/>
          </w:tcPr>
          <w:p>
            <w:pPr>
              <w:spacing w:line="500" w:lineRule="exact"/>
              <w:ind w:firstLine="0" w:firstLineChars="0"/>
              <w:jc w:val="center"/>
              <w:rPr>
                <w:rFonts w:cs="宋体"/>
                <w:color w:val="auto"/>
              </w:rPr>
            </w:pPr>
          </w:p>
        </w:tc>
        <w:tc>
          <w:tcPr>
            <w:tcW w:w="2100" w:type="dxa"/>
          </w:tcPr>
          <w:p>
            <w:pPr>
              <w:spacing w:line="500" w:lineRule="exact"/>
              <w:ind w:firstLine="0" w:firstLineChars="0"/>
              <w:jc w:val="center"/>
              <w:rPr>
                <w:rFonts w:cs="宋体"/>
                <w:color w:val="auto"/>
              </w:rPr>
            </w:pPr>
          </w:p>
        </w:tc>
        <w:tc>
          <w:tcPr>
            <w:tcW w:w="2625" w:type="dxa"/>
          </w:tcPr>
          <w:p>
            <w:pPr>
              <w:spacing w:line="500" w:lineRule="exact"/>
              <w:ind w:firstLine="0" w:firstLineChars="0"/>
              <w:jc w:val="center"/>
              <w:rPr>
                <w:rFonts w:cs="宋体"/>
                <w:color w:val="auto"/>
              </w:rPr>
            </w:pPr>
          </w:p>
        </w:tc>
        <w:tc>
          <w:tcPr>
            <w:tcW w:w="1890" w:type="dxa"/>
          </w:tcPr>
          <w:p>
            <w:pPr>
              <w:spacing w:line="500" w:lineRule="exact"/>
              <w:ind w:firstLine="0" w:firstLineChars="0"/>
              <w:jc w:val="center"/>
              <w:rPr>
                <w:rFonts w:cs="宋体"/>
                <w:color w:val="auto"/>
              </w:rPr>
            </w:pPr>
          </w:p>
        </w:tc>
      </w:tr>
    </w:tbl>
    <w:p>
      <w:pPr>
        <w:spacing w:line="500" w:lineRule="exact"/>
        <w:ind w:firstLine="480"/>
        <w:rPr>
          <w:rFonts w:cs="宋体"/>
          <w:color w:val="auto"/>
        </w:rPr>
      </w:pPr>
    </w:p>
    <w:p>
      <w:pPr>
        <w:spacing w:line="500" w:lineRule="exact"/>
        <w:ind w:firstLine="480"/>
        <w:rPr>
          <w:rFonts w:cs="宋体"/>
          <w:color w:val="auto"/>
        </w:rPr>
      </w:pPr>
    </w:p>
    <w:p>
      <w:pPr>
        <w:spacing w:line="500" w:lineRule="exact"/>
        <w:ind w:firstLine="480"/>
        <w:rPr>
          <w:rFonts w:cs="宋体"/>
          <w:color w:val="auto"/>
        </w:rPr>
      </w:pPr>
      <w:r>
        <w:rPr>
          <w:rFonts w:hint="eastAsia" w:cs="宋体"/>
          <w:color w:val="auto"/>
        </w:rPr>
        <w:t>投标方（盖章）：</w:t>
      </w:r>
    </w:p>
    <w:p>
      <w:pPr>
        <w:spacing w:line="500" w:lineRule="exact"/>
        <w:ind w:firstLine="480"/>
        <w:rPr>
          <w:rFonts w:cs="宋体"/>
          <w:color w:val="auto"/>
        </w:rPr>
      </w:pPr>
    </w:p>
    <w:p>
      <w:pPr>
        <w:spacing w:line="500" w:lineRule="exact"/>
        <w:ind w:firstLine="480"/>
        <w:rPr>
          <w:rFonts w:cs="宋体"/>
          <w:color w:val="auto"/>
        </w:rPr>
      </w:pPr>
      <w:r>
        <w:rPr>
          <w:rFonts w:hint="eastAsia" w:cs="宋体"/>
          <w:color w:val="auto"/>
        </w:rPr>
        <w:t>授权代表（签字）：</w:t>
      </w:r>
    </w:p>
    <w:p>
      <w:pPr>
        <w:spacing w:line="500" w:lineRule="exact"/>
        <w:ind w:firstLine="480"/>
        <w:rPr>
          <w:rFonts w:cs="宋体"/>
          <w:color w:val="auto"/>
        </w:rPr>
      </w:pPr>
    </w:p>
    <w:p>
      <w:pPr>
        <w:spacing w:line="500" w:lineRule="exact"/>
        <w:ind w:firstLine="480"/>
        <w:rPr>
          <w:rFonts w:cs="宋体"/>
          <w:color w:val="auto"/>
        </w:rPr>
      </w:pPr>
      <w:r>
        <w:rPr>
          <w:rFonts w:hint="eastAsia" w:cs="宋体"/>
          <w:color w:val="auto"/>
        </w:rPr>
        <w:t>日  期：</w:t>
      </w:r>
    </w:p>
    <w:p>
      <w:pPr>
        <w:pStyle w:val="2"/>
        <w:ind w:firstLine="480"/>
        <w:rPr>
          <w:color w:val="auto"/>
        </w:rPr>
      </w:pPr>
      <w:r>
        <w:rPr>
          <w:rFonts w:hint="eastAsia"/>
          <w:color w:val="auto"/>
        </w:rPr>
        <w:br w:type="page"/>
      </w:r>
    </w:p>
    <w:p>
      <w:pPr>
        <w:pStyle w:val="2"/>
        <w:ind w:firstLine="480"/>
        <w:rPr>
          <w:color w:val="auto"/>
        </w:rPr>
      </w:pPr>
    </w:p>
    <w:p>
      <w:pPr>
        <w:pStyle w:val="6"/>
        <w:numPr>
          <w:ilvl w:val="0"/>
          <w:numId w:val="46"/>
        </w:numPr>
        <w:ind w:firstLine="482" w:firstLineChars="200"/>
        <w:rPr>
          <w:rFonts w:cs="宋体"/>
          <w:color w:val="auto"/>
        </w:rPr>
      </w:pPr>
      <w:r>
        <w:rPr>
          <w:rFonts w:hint="eastAsia" w:cs="宋体"/>
          <w:color w:val="auto"/>
        </w:rPr>
        <w:t>主要维修用零配件清单及价格</w:t>
      </w:r>
    </w:p>
    <w:p>
      <w:pPr>
        <w:spacing w:line="400" w:lineRule="exact"/>
        <w:ind w:firstLine="480"/>
        <w:rPr>
          <w:rFonts w:cs="宋体"/>
          <w:color w:val="auto"/>
        </w:rPr>
      </w:pPr>
      <w:r>
        <w:rPr>
          <w:rFonts w:hint="eastAsia" w:cs="宋体"/>
          <w:color w:val="auto"/>
        </w:rPr>
        <w:t xml:space="preserve">招标项目名称：                   招标编号：            </w:t>
      </w:r>
    </w:p>
    <w:tbl>
      <w:tblPr>
        <w:tblStyle w:val="46"/>
        <w:tblW w:w="73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66"/>
        <w:gridCol w:w="3878"/>
        <w:gridCol w:w="18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vAlign w:val="center"/>
          </w:tcPr>
          <w:p>
            <w:pPr>
              <w:spacing w:line="500" w:lineRule="exact"/>
              <w:ind w:firstLine="0" w:firstLineChars="0"/>
              <w:jc w:val="center"/>
              <w:rPr>
                <w:rFonts w:cs="宋体"/>
                <w:color w:val="auto"/>
              </w:rPr>
            </w:pPr>
            <w:r>
              <w:rPr>
                <w:rFonts w:hint="eastAsia" w:cs="宋体"/>
                <w:color w:val="auto"/>
              </w:rPr>
              <w:t>序号</w:t>
            </w:r>
          </w:p>
        </w:tc>
        <w:tc>
          <w:tcPr>
            <w:tcW w:w="3878" w:type="dxa"/>
            <w:vAlign w:val="center"/>
          </w:tcPr>
          <w:p>
            <w:pPr>
              <w:spacing w:line="500" w:lineRule="exact"/>
              <w:ind w:firstLine="0" w:firstLineChars="0"/>
              <w:jc w:val="center"/>
              <w:rPr>
                <w:rFonts w:cs="宋体"/>
                <w:color w:val="auto"/>
              </w:rPr>
            </w:pPr>
            <w:r>
              <w:rPr>
                <w:rFonts w:hint="eastAsia" w:cs="宋体"/>
                <w:color w:val="auto"/>
              </w:rPr>
              <w:t>零配件名称</w:t>
            </w:r>
          </w:p>
        </w:tc>
        <w:tc>
          <w:tcPr>
            <w:tcW w:w="1890" w:type="dxa"/>
            <w:vAlign w:val="center"/>
          </w:tcPr>
          <w:p>
            <w:pPr>
              <w:spacing w:line="500" w:lineRule="exact"/>
              <w:ind w:firstLine="0" w:firstLineChars="0"/>
              <w:jc w:val="center"/>
              <w:rPr>
                <w:rFonts w:cs="宋体"/>
                <w:color w:val="auto"/>
              </w:rPr>
            </w:pPr>
            <w:r>
              <w:rPr>
                <w:rFonts w:hint="eastAsia" w:cs="宋体"/>
                <w:color w:val="auto"/>
              </w:rPr>
              <w:t>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66" w:type="dxa"/>
          </w:tcPr>
          <w:p>
            <w:pPr>
              <w:spacing w:line="500" w:lineRule="exact"/>
              <w:ind w:firstLine="480"/>
              <w:rPr>
                <w:rFonts w:cs="宋体"/>
                <w:color w:val="auto"/>
              </w:rPr>
            </w:pPr>
          </w:p>
        </w:tc>
        <w:tc>
          <w:tcPr>
            <w:tcW w:w="3878" w:type="dxa"/>
          </w:tcPr>
          <w:p>
            <w:pPr>
              <w:spacing w:line="500" w:lineRule="exact"/>
              <w:ind w:firstLine="480"/>
              <w:rPr>
                <w:rFonts w:cs="宋体"/>
                <w:color w:val="auto"/>
              </w:rPr>
            </w:pPr>
          </w:p>
        </w:tc>
        <w:tc>
          <w:tcPr>
            <w:tcW w:w="1890" w:type="dxa"/>
          </w:tcPr>
          <w:p>
            <w:pPr>
              <w:spacing w:line="500" w:lineRule="exact"/>
              <w:ind w:firstLine="480"/>
              <w:rPr>
                <w:rFonts w:cs="宋体"/>
                <w:color w:val="auto"/>
              </w:rPr>
            </w:pPr>
          </w:p>
        </w:tc>
      </w:tr>
    </w:tbl>
    <w:p>
      <w:pPr>
        <w:ind w:firstLine="482"/>
        <w:rPr>
          <w:rFonts w:cs="宋体"/>
          <w:color w:val="auto"/>
        </w:rPr>
      </w:pPr>
      <w:r>
        <w:rPr>
          <w:rFonts w:hint="eastAsia" w:cs="宋体"/>
          <w:b/>
          <w:bCs/>
          <w:color w:val="auto"/>
        </w:rPr>
        <w:t>注：</w:t>
      </w:r>
      <w:r>
        <w:rPr>
          <w:rFonts w:hint="eastAsia" w:cs="宋体"/>
          <w:color w:val="auto"/>
        </w:rPr>
        <w:t>投标人投标时必须根据所投标的，列出设备（进口设备及国产单价大于</w:t>
      </w:r>
      <w:r>
        <w:rPr>
          <w:rFonts w:hint="eastAsia"/>
          <w:color w:val="auto"/>
        </w:rPr>
        <w:t>5</w:t>
      </w:r>
      <w:r>
        <w:rPr>
          <w:rFonts w:hint="eastAsia" w:cs="宋体"/>
          <w:color w:val="auto"/>
        </w:rPr>
        <w:t>万元的）主要维修用零配件清单及价格，此价格作为乙方质保期后维修更换零配件收费的依据；如遇后期市场价格变动，则按变动后的价格由甲乙双方提供价格变动证明后协商执行。</w:t>
      </w:r>
    </w:p>
    <w:p>
      <w:pPr>
        <w:ind w:firstLine="480"/>
        <w:rPr>
          <w:rFonts w:cs="宋体"/>
          <w:color w:val="auto"/>
        </w:rPr>
      </w:pPr>
    </w:p>
    <w:p>
      <w:pPr>
        <w:ind w:firstLine="480"/>
        <w:rPr>
          <w:rFonts w:cs="宋体"/>
          <w:color w:val="auto"/>
        </w:rPr>
      </w:pPr>
      <w:r>
        <w:rPr>
          <w:rFonts w:hint="eastAsia" w:cs="宋体"/>
          <w:color w:val="auto"/>
        </w:rPr>
        <w:t>投标人名称（公章）：</w:t>
      </w:r>
    </w:p>
    <w:p>
      <w:pPr>
        <w:ind w:firstLine="480"/>
        <w:rPr>
          <w:rFonts w:cs="宋体"/>
          <w:color w:val="auto"/>
        </w:rPr>
      </w:pPr>
      <w:r>
        <w:rPr>
          <w:rFonts w:hint="eastAsia" w:cs="宋体"/>
          <w:color w:val="auto"/>
        </w:rPr>
        <w:t>日期：  年   月   日</w:t>
      </w:r>
    </w:p>
    <w:p>
      <w:pPr>
        <w:ind w:firstLine="0" w:firstLineChars="0"/>
        <w:rPr>
          <w:color w:val="auto"/>
        </w:rPr>
        <w:sectPr>
          <w:pgSz w:w="11907" w:h="16840"/>
          <w:pgMar w:top="1440" w:right="1080" w:bottom="1440" w:left="1080" w:header="850" w:footer="992" w:gutter="0"/>
          <w:cols w:space="720" w:num="1"/>
          <w:docGrid w:linePitch="286" w:charSpace="0"/>
        </w:sectPr>
      </w:pPr>
    </w:p>
    <w:p>
      <w:pPr>
        <w:pStyle w:val="6"/>
        <w:numPr>
          <w:ilvl w:val="0"/>
          <w:numId w:val="46"/>
        </w:numPr>
        <w:ind w:firstLine="482" w:firstLineChars="200"/>
        <w:rPr>
          <w:rFonts w:cs="宋体"/>
          <w:color w:val="auto"/>
        </w:rPr>
      </w:pPr>
      <w:r>
        <w:rPr>
          <w:rFonts w:hint="eastAsia" w:cs="宋体"/>
          <w:color w:val="auto"/>
        </w:rPr>
        <w:t>产品总体性能及质量水平</w:t>
      </w:r>
    </w:p>
    <w:p>
      <w:pPr>
        <w:ind w:firstLine="480"/>
        <w:rPr>
          <w:rFonts w:cs="宋体"/>
          <w:color w:val="auto"/>
        </w:rPr>
      </w:pPr>
      <w:r>
        <w:rPr>
          <w:rFonts w:hint="eastAsia" w:cs="宋体"/>
          <w:color w:val="auto"/>
        </w:rPr>
        <w:t>说明：投标人须按照评分标准要求编写并提交相应证明材料</w:t>
      </w:r>
    </w:p>
    <w:p>
      <w:pPr>
        <w:pStyle w:val="12"/>
        <w:ind w:firstLine="280"/>
        <w:rPr>
          <w:rFonts w:ascii="宋体" w:eastAsia="宋体" w:cs="宋体"/>
          <w:color w:val="auto"/>
        </w:rPr>
      </w:pPr>
    </w:p>
    <w:p>
      <w:pPr>
        <w:pStyle w:val="6"/>
        <w:numPr>
          <w:ilvl w:val="0"/>
          <w:numId w:val="46"/>
        </w:numPr>
        <w:ind w:firstLine="482" w:firstLineChars="200"/>
        <w:rPr>
          <w:rFonts w:cs="宋体"/>
          <w:color w:val="auto"/>
        </w:rPr>
      </w:pPr>
      <w:r>
        <w:rPr>
          <w:rFonts w:hint="eastAsia" w:cs="宋体"/>
          <w:color w:val="auto"/>
        </w:rPr>
        <w:t>产品配置的先进性、完整性和适用性</w:t>
      </w:r>
    </w:p>
    <w:p>
      <w:pPr>
        <w:ind w:left="480" w:leftChars="200" w:firstLine="0" w:firstLineChars="0"/>
        <w:rPr>
          <w:rFonts w:cs="宋体"/>
          <w:color w:val="auto"/>
        </w:rPr>
      </w:pPr>
      <w:r>
        <w:rPr>
          <w:rFonts w:hint="eastAsia" w:cs="宋体"/>
          <w:color w:val="auto"/>
        </w:rPr>
        <w:t>说明：投标人须按照评分标准要求编写并提交相应证明材料</w:t>
      </w:r>
    </w:p>
    <w:p>
      <w:pPr>
        <w:ind w:firstLine="480"/>
        <w:rPr>
          <w:rFonts w:cs="宋体"/>
          <w:color w:val="auto"/>
        </w:rPr>
      </w:pPr>
    </w:p>
    <w:p>
      <w:pPr>
        <w:pStyle w:val="6"/>
        <w:numPr>
          <w:ilvl w:val="0"/>
          <w:numId w:val="46"/>
        </w:numPr>
        <w:ind w:firstLine="482" w:firstLineChars="200"/>
        <w:rPr>
          <w:rFonts w:cs="宋体"/>
          <w:color w:val="auto"/>
        </w:rPr>
      </w:pPr>
      <w:r>
        <w:rPr>
          <w:rFonts w:hint="eastAsia" w:cs="宋体"/>
          <w:color w:val="auto"/>
        </w:rPr>
        <w:t>产品的稳定性、可操作性和可维护性</w:t>
      </w:r>
    </w:p>
    <w:p>
      <w:pPr>
        <w:ind w:firstLine="480"/>
        <w:rPr>
          <w:rFonts w:cs="宋体"/>
          <w:color w:val="auto"/>
        </w:rPr>
      </w:pPr>
      <w:r>
        <w:rPr>
          <w:rFonts w:hint="eastAsia" w:cs="宋体"/>
          <w:color w:val="auto"/>
        </w:rPr>
        <w:t>说明：投标人须按照评分标准要求编写并提交相应证明材料</w:t>
      </w:r>
    </w:p>
    <w:p>
      <w:pPr>
        <w:ind w:firstLine="480"/>
        <w:rPr>
          <w:rFonts w:cs="宋体"/>
          <w:color w:val="auto"/>
        </w:rPr>
      </w:pPr>
    </w:p>
    <w:p>
      <w:pPr>
        <w:pStyle w:val="6"/>
        <w:numPr>
          <w:ilvl w:val="0"/>
          <w:numId w:val="46"/>
        </w:numPr>
        <w:ind w:firstLine="482" w:firstLineChars="200"/>
        <w:rPr>
          <w:rFonts w:cs="宋体"/>
          <w:color w:val="auto"/>
        </w:rPr>
      </w:pPr>
      <w:r>
        <w:rPr>
          <w:rFonts w:hint="eastAsia" w:cs="宋体"/>
          <w:color w:val="auto"/>
        </w:rPr>
        <w:t>安装、调试、验收计划及人员安排情况</w:t>
      </w:r>
    </w:p>
    <w:p>
      <w:pPr>
        <w:ind w:firstLine="480"/>
        <w:rPr>
          <w:rFonts w:cs="宋体"/>
          <w:color w:val="auto"/>
        </w:rPr>
      </w:pPr>
      <w:r>
        <w:rPr>
          <w:rFonts w:hint="eastAsia" w:cs="宋体"/>
          <w:color w:val="auto"/>
        </w:rPr>
        <w:t>说明：投标人须按照评分标准要求编写并提交相应证明材料</w:t>
      </w:r>
    </w:p>
    <w:p>
      <w:pPr>
        <w:pStyle w:val="48"/>
        <w:rPr>
          <w:rFonts w:ascii="宋体" w:hAnsi="宋体" w:eastAsia="宋体" w:cs="宋体"/>
          <w:color w:val="auto"/>
        </w:rPr>
      </w:pPr>
    </w:p>
    <w:p>
      <w:pPr>
        <w:pStyle w:val="6"/>
        <w:numPr>
          <w:ilvl w:val="0"/>
          <w:numId w:val="46"/>
        </w:numPr>
        <w:ind w:firstLine="482" w:firstLineChars="200"/>
        <w:rPr>
          <w:rFonts w:cs="宋体"/>
          <w:color w:val="auto"/>
        </w:rPr>
      </w:pPr>
      <w:r>
        <w:rPr>
          <w:rFonts w:hint="eastAsia" w:cs="宋体"/>
          <w:color w:val="auto"/>
        </w:rPr>
        <w:t>售后服务</w:t>
      </w:r>
    </w:p>
    <w:p>
      <w:pPr>
        <w:ind w:firstLine="480"/>
        <w:rPr>
          <w:rFonts w:cs="宋体"/>
          <w:color w:val="auto"/>
        </w:rPr>
      </w:pPr>
      <w:r>
        <w:rPr>
          <w:rFonts w:hint="eastAsia" w:cs="宋体"/>
          <w:color w:val="auto"/>
        </w:rPr>
        <w:t>说明：投标人须按照评分标准要求编写并提交相应证明材料</w:t>
      </w:r>
    </w:p>
    <w:p>
      <w:pPr>
        <w:ind w:firstLine="0" w:firstLineChars="0"/>
        <w:rPr>
          <w:rFonts w:cs="宋体"/>
          <w:color w:val="auto"/>
        </w:rPr>
      </w:pPr>
    </w:p>
    <w:p>
      <w:pPr>
        <w:pStyle w:val="6"/>
        <w:numPr>
          <w:ilvl w:val="0"/>
          <w:numId w:val="46"/>
        </w:numPr>
        <w:ind w:firstLine="482" w:firstLineChars="200"/>
        <w:rPr>
          <w:rFonts w:cs="宋体"/>
          <w:color w:val="auto"/>
        </w:rPr>
      </w:pPr>
      <w:r>
        <w:rPr>
          <w:rFonts w:hint="eastAsia" w:cs="宋体"/>
          <w:color w:val="auto"/>
        </w:rPr>
        <w:t>优惠条件</w:t>
      </w:r>
    </w:p>
    <w:p>
      <w:pPr>
        <w:ind w:firstLine="480"/>
        <w:rPr>
          <w:rFonts w:cs="宋体"/>
          <w:color w:val="auto"/>
        </w:rPr>
      </w:pPr>
      <w:r>
        <w:rPr>
          <w:rFonts w:hint="eastAsia" w:cs="宋体"/>
          <w:color w:val="auto"/>
        </w:rPr>
        <w:t>说明：投标人须按照评分标准要求编写并提交相应证明材料</w:t>
      </w:r>
    </w:p>
    <w:p>
      <w:pPr>
        <w:ind w:firstLine="480"/>
        <w:rPr>
          <w:rFonts w:cs="宋体"/>
          <w:color w:val="auto"/>
        </w:rPr>
      </w:pPr>
    </w:p>
    <w:p>
      <w:pPr>
        <w:pStyle w:val="6"/>
        <w:numPr>
          <w:ilvl w:val="0"/>
          <w:numId w:val="46"/>
        </w:numPr>
        <w:ind w:firstLine="482" w:firstLineChars="200"/>
        <w:rPr>
          <w:rFonts w:cs="宋体"/>
          <w:color w:val="auto"/>
        </w:rPr>
      </w:pPr>
      <w:r>
        <w:rPr>
          <w:rFonts w:hint="eastAsia" w:cs="宋体"/>
          <w:color w:val="auto"/>
        </w:rPr>
        <w:t>政府采购政策分</w:t>
      </w:r>
    </w:p>
    <w:p>
      <w:pPr>
        <w:ind w:firstLine="480"/>
        <w:rPr>
          <w:rFonts w:cs="宋体"/>
          <w:color w:val="auto"/>
        </w:rPr>
      </w:pPr>
    </w:p>
    <w:p>
      <w:pPr>
        <w:pStyle w:val="6"/>
        <w:numPr>
          <w:ilvl w:val="0"/>
          <w:numId w:val="46"/>
        </w:numPr>
        <w:ind w:firstLine="482" w:firstLineChars="200"/>
        <w:rPr>
          <w:rFonts w:cs="宋体"/>
          <w:color w:val="auto"/>
        </w:rPr>
      </w:pPr>
      <w:bookmarkStart w:id="182" w:name="_Toc25327"/>
      <w:r>
        <w:rPr>
          <w:rFonts w:hint="eastAsia" w:cs="宋体"/>
          <w:color w:val="auto"/>
        </w:rPr>
        <w:t>其他</w:t>
      </w:r>
      <w:bookmarkEnd w:id="182"/>
    </w:p>
    <w:p>
      <w:pPr>
        <w:ind w:firstLine="480"/>
        <w:rPr>
          <w:rFonts w:cs="宋体"/>
          <w:color w:val="auto"/>
        </w:rPr>
      </w:pPr>
      <w:r>
        <w:rPr>
          <w:rFonts w:hint="eastAsia" w:cs="宋体"/>
          <w:color w:val="auto"/>
        </w:rPr>
        <w:t>说明：其它本招标文件评分表要求提供的材料或投标人认为需要的其他技术文件资料或说明</w:t>
      </w:r>
    </w:p>
    <w:p>
      <w:pPr>
        <w:ind w:left="-720" w:right="-958" w:firstLine="0" w:firstLineChars="0"/>
        <w:rPr>
          <w:rFonts w:cs="宋体"/>
          <w:color w:val="auto"/>
          <w:szCs w:val="32"/>
        </w:rPr>
      </w:pPr>
      <w:r>
        <w:rPr>
          <w:rFonts w:hint="eastAsia" w:cs="宋体"/>
          <w:color w:val="auto"/>
          <w:szCs w:val="32"/>
        </w:rPr>
        <w:t xml:space="preserve"> </w:t>
      </w:r>
    </w:p>
    <w:p>
      <w:pPr>
        <w:pStyle w:val="6"/>
        <w:rPr>
          <w:rFonts w:cs="宋体"/>
          <w:color w:val="auto"/>
        </w:rPr>
        <w:sectPr>
          <w:pgSz w:w="11907" w:h="16840"/>
          <w:pgMar w:top="1440" w:right="1080" w:bottom="1440" w:left="1080" w:header="850" w:footer="992" w:gutter="0"/>
          <w:cols w:space="720" w:num="1"/>
          <w:docGrid w:linePitch="286" w:charSpace="0"/>
        </w:sectPr>
      </w:pPr>
    </w:p>
    <w:bookmarkEnd w:id="49"/>
    <w:bookmarkEnd w:id="50"/>
    <w:bookmarkEnd w:id="51"/>
    <w:bookmarkEnd w:id="52"/>
    <w:bookmarkEnd w:id="53"/>
    <w:bookmarkEnd w:id="54"/>
    <w:bookmarkEnd w:id="55"/>
    <w:bookmarkEnd w:id="56"/>
    <w:p>
      <w:pPr>
        <w:pStyle w:val="6"/>
        <w:numPr>
          <w:ilvl w:val="0"/>
          <w:numId w:val="46"/>
        </w:numPr>
        <w:ind w:firstLine="482" w:firstLineChars="200"/>
        <w:rPr>
          <w:rFonts w:cs="宋体"/>
          <w:color w:val="auto"/>
        </w:rPr>
      </w:pPr>
      <w:bookmarkStart w:id="183" w:name="_Toc8358"/>
      <w:r>
        <w:rPr>
          <w:rFonts w:hint="eastAsia" w:cs="宋体"/>
          <w:color w:val="auto"/>
        </w:rPr>
        <w:t>质疑函</w:t>
      </w:r>
      <w:bookmarkEnd w:id="183"/>
    </w:p>
    <w:p>
      <w:pPr>
        <w:spacing w:line="240" w:lineRule="auto"/>
        <w:ind w:firstLine="0" w:firstLineChars="0"/>
        <w:jc w:val="center"/>
        <w:rPr>
          <w:rFonts w:cs="宋体"/>
          <w:b/>
          <w:color w:val="auto"/>
          <w:kern w:val="0"/>
          <w:sz w:val="32"/>
        </w:rPr>
      </w:pPr>
      <w:bookmarkStart w:id="184" w:name="_Toc4682"/>
      <w:r>
        <w:rPr>
          <w:rFonts w:hint="eastAsia" w:cs="宋体"/>
          <w:b/>
          <w:color w:val="auto"/>
          <w:kern w:val="0"/>
          <w:sz w:val="32"/>
        </w:rPr>
        <w:t>质疑函</w:t>
      </w:r>
      <w:bookmarkEnd w:id="184"/>
    </w:p>
    <w:p>
      <w:pPr>
        <w:ind w:firstLine="480"/>
        <w:rPr>
          <w:rFonts w:cs="宋体"/>
          <w:color w:val="auto"/>
        </w:rPr>
      </w:pPr>
    </w:p>
    <w:p>
      <w:pPr>
        <w:ind w:firstLine="482"/>
        <w:rPr>
          <w:rFonts w:cs="宋体"/>
          <w:b/>
          <w:bCs/>
          <w:color w:val="auto"/>
        </w:rPr>
      </w:pPr>
      <w:bookmarkStart w:id="185" w:name="_Toc11431"/>
      <w:r>
        <w:rPr>
          <w:rFonts w:hint="eastAsia" w:cs="宋体"/>
          <w:b/>
          <w:bCs/>
          <w:color w:val="auto"/>
        </w:rPr>
        <w:t>一、质疑供应商基本信息</w:t>
      </w:r>
      <w:bookmarkEnd w:id="185"/>
    </w:p>
    <w:p>
      <w:pPr>
        <w:ind w:firstLine="480"/>
        <w:rPr>
          <w:rFonts w:cs="宋体"/>
          <w:color w:val="auto"/>
          <w:u w:val="dotted"/>
        </w:rPr>
      </w:pPr>
      <w:r>
        <w:rPr>
          <w:rFonts w:hint="eastAsia" w:cs="宋体"/>
          <w:color w:val="auto"/>
        </w:rPr>
        <w:t>质疑供应商：</w:t>
      </w:r>
      <w:r>
        <w:rPr>
          <w:rFonts w:hint="eastAsia" w:cs="宋体"/>
          <w:color w:val="auto"/>
          <w:u w:val="dotted"/>
        </w:rPr>
        <w:t xml:space="preserve">                                        </w:t>
      </w:r>
    </w:p>
    <w:p>
      <w:pPr>
        <w:ind w:firstLine="480"/>
        <w:rPr>
          <w:rFonts w:cs="宋体"/>
          <w:color w:val="auto"/>
        </w:rPr>
      </w:pPr>
      <w:r>
        <w:rPr>
          <w:rFonts w:hint="eastAsia" w:cs="宋体"/>
          <w:color w:val="auto"/>
        </w:rPr>
        <w:t>地址：                          邮编：</w:t>
      </w:r>
      <w:r>
        <w:rPr>
          <w:rFonts w:hint="eastAsia" w:cs="宋体"/>
          <w:color w:val="auto"/>
          <w:u w:val="dotted"/>
        </w:rPr>
        <w:t xml:space="preserve">                                                   </w:t>
      </w:r>
    </w:p>
    <w:p>
      <w:pPr>
        <w:ind w:firstLine="480"/>
        <w:rPr>
          <w:rFonts w:cs="宋体"/>
          <w:color w:val="auto"/>
        </w:rPr>
      </w:pPr>
      <w:r>
        <w:rPr>
          <w:rFonts w:hint="eastAsia" w:cs="宋体"/>
          <w:color w:val="auto"/>
        </w:rPr>
        <w:t>联系人：                        联系电话：</w:t>
      </w:r>
      <w:r>
        <w:rPr>
          <w:rFonts w:hint="eastAsia" w:cs="宋体"/>
          <w:color w:val="auto"/>
          <w:u w:val="dotted"/>
        </w:rPr>
        <w:t xml:space="preserve">                              </w:t>
      </w:r>
    </w:p>
    <w:p>
      <w:pPr>
        <w:ind w:firstLine="480"/>
        <w:rPr>
          <w:rFonts w:cs="宋体"/>
          <w:color w:val="auto"/>
          <w:u w:val="dotted"/>
        </w:rPr>
      </w:pPr>
      <w:r>
        <w:rPr>
          <w:rFonts w:hint="eastAsia" w:cs="宋体"/>
          <w:color w:val="auto"/>
        </w:rPr>
        <w:t>授权代表：</w:t>
      </w:r>
      <w:r>
        <w:rPr>
          <w:rFonts w:hint="eastAsia" w:cs="宋体"/>
          <w:color w:val="auto"/>
          <w:u w:val="dotted"/>
        </w:rPr>
        <w:t xml:space="preserve">                                          </w:t>
      </w:r>
    </w:p>
    <w:p>
      <w:pPr>
        <w:ind w:firstLine="480"/>
        <w:rPr>
          <w:rFonts w:cs="宋体"/>
          <w:color w:val="auto"/>
        </w:rPr>
      </w:pPr>
      <w:r>
        <w:rPr>
          <w:rFonts w:hint="eastAsia" w:cs="宋体"/>
          <w:color w:val="auto"/>
        </w:rPr>
        <w:t>联系电话：</w:t>
      </w:r>
      <w:r>
        <w:rPr>
          <w:rFonts w:hint="eastAsia" w:cs="宋体"/>
          <w:color w:val="auto"/>
          <w:u w:val="dotted"/>
        </w:rPr>
        <w:t xml:space="preserve">                                           </w:t>
      </w:r>
      <w:r>
        <w:rPr>
          <w:rFonts w:hint="eastAsia" w:cs="宋体"/>
          <w:color w:val="auto"/>
        </w:rPr>
        <w:t xml:space="preserve"> </w:t>
      </w:r>
    </w:p>
    <w:p>
      <w:pPr>
        <w:ind w:firstLine="480"/>
        <w:rPr>
          <w:rFonts w:cs="宋体"/>
          <w:color w:val="auto"/>
        </w:rPr>
      </w:pPr>
      <w:r>
        <w:rPr>
          <w:rFonts w:hint="eastAsia" w:cs="宋体"/>
          <w:color w:val="auto"/>
        </w:rPr>
        <w:t>地址：                          邮编：</w:t>
      </w:r>
      <w:r>
        <w:rPr>
          <w:rFonts w:hint="eastAsia" w:cs="宋体"/>
          <w:color w:val="auto"/>
          <w:u w:val="dotted"/>
        </w:rPr>
        <w:t xml:space="preserve">                                                </w:t>
      </w:r>
    </w:p>
    <w:p>
      <w:pPr>
        <w:ind w:firstLine="482"/>
        <w:rPr>
          <w:rFonts w:cs="宋体"/>
          <w:b/>
          <w:bCs/>
          <w:color w:val="auto"/>
        </w:rPr>
      </w:pPr>
      <w:bookmarkStart w:id="186" w:name="_Toc13602"/>
      <w:r>
        <w:rPr>
          <w:rFonts w:hint="eastAsia" w:cs="宋体"/>
          <w:b/>
          <w:bCs/>
          <w:color w:val="auto"/>
        </w:rPr>
        <w:t>二、质疑项目基本情况</w:t>
      </w:r>
      <w:bookmarkEnd w:id="186"/>
    </w:p>
    <w:p>
      <w:pPr>
        <w:ind w:firstLine="480"/>
        <w:rPr>
          <w:rFonts w:cs="宋体"/>
          <w:color w:val="auto"/>
        </w:rPr>
      </w:pPr>
      <w:r>
        <w:rPr>
          <w:rFonts w:hint="eastAsia" w:cs="宋体"/>
          <w:color w:val="auto"/>
        </w:rPr>
        <w:t>质疑项目的名称：</w:t>
      </w:r>
      <w:r>
        <w:rPr>
          <w:rFonts w:hint="eastAsia" w:cs="宋体"/>
          <w:color w:val="auto"/>
          <w:u w:val="dotted"/>
        </w:rPr>
        <w:t xml:space="preserve">                                      </w:t>
      </w:r>
    </w:p>
    <w:p>
      <w:pPr>
        <w:ind w:firstLine="480"/>
        <w:rPr>
          <w:rFonts w:cs="宋体"/>
          <w:color w:val="auto"/>
        </w:rPr>
      </w:pPr>
      <w:r>
        <w:rPr>
          <w:rFonts w:hint="eastAsia" w:cs="宋体"/>
          <w:color w:val="auto"/>
        </w:rPr>
        <w:t>质疑项目的编号：                包号：</w:t>
      </w:r>
      <w:r>
        <w:rPr>
          <w:rFonts w:hint="eastAsia" w:cs="宋体"/>
          <w:color w:val="auto"/>
          <w:u w:val="dotted"/>
        </w:rPr>
        <w:t xml:space="preserve">                 </w:t>
      </w:r>
    </w:p>
    <w:p>
      <w:pPr>
        <w:ind w:firstLine="480"/>
        <w:rPr>
          <w:rFonts w:cs="宋体"/>
          <w:color w:val="auto"/>
          <w:u w:val="dotted"/>
        </w:rPr>
      </w:pPr>
      <w:r>
        <w:rPr>
          <w:rFonts w:hint="eastAsia" w:cs="宋体"/>
          <w:color w:val="auto"/>
        </w:rPr>
        <w:t>采购人名称：</w:t>
      </w:r>
      <w:r>
        <w:rPr>
          <w:rFonts w:hint="eastAsia" w:cs="宋体"/>
          <w:color w:val="auto"/>
          <w:u w:val="dotted"/>
        </w:rPr>
        <w:t xml:space="preserve">                                         </w:t>
      </w:r>
    </w:p>
    <w:p>
      <w:pPr>
        <w:ind w:firstLine="480"/>
        <w:rPr>
          <w:rFonts w:cs="宋体"/>
          <w:color w:val="auto"/>
        </w:rPr>
      </w:pPr>
      <w:r>
        <w:rPr>
          <w:rFonts w:hint="eastAsia" w:cs="宋体"/>
          <w:color w:val="auto"/>
        </w:rPr>
        <w:t>采购文件获取日期：</w:t>
      </w:r>
      <w:r>
        <w:rPr>
          <w:rFonts w:hint="eastAsia" w:cs="宋体"/>
          <w:color w:val="auto"/>
          <w:u w:val="dotted"/>
        </w:rPr>
        <w:t xml:space="preserve">                                           </w:t>
      </w:r>
    </w:p>
    <w:p>
      <w:pPr>
        <w:ind w:firstLine="482"/>
        <w:rPr>
          <w:rFonts w:cs="宋体"/>
          <w:b/>
          <w:bCs/>
          <w:color w:val="auto"/>
        </w:rPr>
      </w:pPr>
      <w:bookmarkStart w:id="187" w:name="_Toc25776"/>
      <w:r>
        <w:rPr>
          <w:rFonts w:hint="eastAsia" w:cs="宋体"/>
          <w:b/>
          <w:bCs/>
          <w:color w:val="auto"/>
        </w:rPr>
        <w:t>三、质疑事项具体内容</w:t>
      </w:r>
      <w:bookmarkEnd w:id="187"/>
    </w:p>
    <w:p>
      <w:pPr>
        <w:ind w:firstLine="480"/>
        <w:rPr>
          <w:rFonts w:cs="宋体"/>
          <w:color w:val="auto"/>
          <w:u w:val="single"/>
        </w:rPr>
      </w:pPr>
      <w:r>
        <w:rPr>
          <w:rFonts w:hint="eastAsia" w:cs="宋体"/>
          <w:color w:val="auto"/>
        </w:rPr>
        <w:t>质疑事项1：</w:t>
      </w:r>
      <w:r>
        <w:rPr>
          <w:rFonts w:hint="eastAsia" w:cs="宋体"/>
          <w:color w:val="auto"/>
          <w:u w:val="single"/>
        </w:rPr>
        <w:t xml:space="preserve">                     </w:t>
      </w:r>
    </w:p>
    <w:p>
      <w:pPr>
        <w:ind w:firstLine="480"/>
        <w:rPr>
          <w:rFonts w:cs="宋体"/>
          <w:color w:val="auto"/>
          <w:u w:val="dotted"/>
        </w:rPr>
      </w:pPr>
      <w:r>
        <w:rPr>
          <w:rFonts w:hint="eastAsia" w:cs="宋体"/>
          <w:color w:val="auto"/>
        </w:rPr>
        <w:t>事实依据：</w:t>
      </w:r>
      <w:r>
        <w:rPr>
          <w:rFonts w:hint="eastAsia" w:cs="宋体"/>
          <w:color w:val="auto"/>
          <w:u w:val="dotted"/>
        </w:rPr>
        <w:t xml:space="preserve">                                          </w:t>
      </w:r>
    </w:p>
    <w:p>
      <w:pPr>
        <w:ind w:firstLine="480"/>
        <w:rPr>
          <w:rFonts w:cs="宋体"/>
          <w:color w:val="auto"/>
          <w:u w:val="dotted"/>
        </w:rPr>
      </w:pPr>
      <w:r>
        <w:rPr>
          <w:rFonts w:hint="eastAsia" w:cs="宋体"/>
          <w:color w:val="auto"/>
        </w:rPr>
        <w:t>法律依据：</w:t>
      </w:r>
      <w:r>
        <w:rPr>
          <w:rFonts w:hint="eastAsia" w:cs="宋体"/>
          <w:color w:val="auto"/>
          <w:u w:val="dotted"/>
        </w:rPr>
        <w:t xml:space="preserve">                                                                                               </w:t>
      </w:r>
    </w:p>
    <w:p>
      <w:pPr>
        <w:ind w:firstLine="480"/>
        <w:rPr>
          <w:rFonts w:cs="宋体"/>
          <w:color w:val="auto"/>
        </w:rPr>
      </w:pPr>
      <w:r>
        <w:rPr>
          <w:rFonts w:hint="eastAsia" w:cs="宋体"/>
          <w:color w:val="auto"/>
        </w:rPr>
        <w:t>质疑事项2</w:t>
      </w:r>
    </w:p>
    <w:p>
      <w:pPr>
        <w:ind w:firstLine="480"/>
        <w:rPr>
          <w:rFonts w:cs="宋体"/>
          <w:color w:val="auto"/>
        </w:rPr>
      </w:pPr>
      <w:r>
        <w:rPr>
          <w:rFonts w:hint="eastAsia" w:cs="宋体"/>
          <w:color w:val="auto"/>
        </w:rPr>
        <w:t>……</w:t>
      </w:r>
    </w:p>
    <w:p>
      <w:pPr>
        <w:ind w:firstLine="482"/>
        <w:rPr>
          <w:rFonts w:cs="宋体"/>
          <w:b/>
          <w:bCs/>
          <w:color w:val="auto"/>
        </w:rPr>
      </w:pPr>
      <w:bookmarkStart w:id="188" w:name="_Toc19446"/>
      <w:r>
        <w:rPr>
          <w:rFonts w:hint="eastAsia" w:cs="宋体"/>
          <w:b/>
          <w:bCs/>
          <w:color w:val="auto"/>
        </w:rPr>
        <w:t>四、与质疑事项相关的质疑请求</w:t>
      </w:r>
      <w:bookmarkEnd w:id="188"/>
    </w:p>
    <w:p>
      <w:pPr>
        <w:ind w:firstLine="480"/>
        <w:rPr>
          <w:rFonts w:cs="宋体"/>
          <w:color w:val="auto"/>
          <w:u w:val="dotted"/>
        </w:rPr>
      </w:pPr>
      <w:r>
        <w:rPr>
          <w:rFonts w:hint="eastAsia" w:cs="宋体"/>
          <w:color w:val="auto"/>
        </w:rPr>
        <w:t>请求：</w:t>
      </w:r>
      <w:r>
        <w:rPr>
          <w:rFonts w:hint="eastAsia" w:cs="宋体"/>
          <w:color w:val="auto"/>
          <w:u w:val="dotted"/>
        </w:rPr>
        <w:t xml:space="preserve">                                               </w:t>
      </w:r>
    </w:p>
    <w:p>
      <w:pPr>
        <w:ind w:firstLine="480"/>
        <w:rPr>
          <w:rFonts w:cs="宋体"/>
          <w:color w:val="auto"/>
        </w:rPr>
      </w:pPr>
      <w:r>
        <w:rPr>
          <w:rFonts w:hint="eastAsia" w:cs="宋体"/>
          <w:color w:val="auto"/>
        </w:rPr>
        <w:t xml:space="preserve">签字(签章)：                    公章：                      </w:t>
      </w:r>
    </w:p>
    <w:p>
      <w:pPr>
        <w:ind w:firstLine="480"/>
        <w:rPr>
          <w:rFonts w:cs="宋体"/>
          <w:color w:val="auto"/>
        </w:rPr>
      </w:pPr>
      <w:r>
        <w:rPr>
          <w:rFonts w:hint="eastAsia" w:cs="宋体"/>
          <w:color w:val="auto"/>
        </w:rPr>
        <w:t xml:space="preserve">日期：     </w:t>
      </w:r>
    </w:p>
    <w:p>
      <w:pPr>
        <w:ind w:firstLine="643"/>
        <w:rPr>
          <w:rFonts w:cs="宋体"/>
          <w:b/>
          <w:color w:val="auto"/>
          <w:sz w:val="32"/>
        </w:rPr>
      </w:pPr>
    </w:p>
    <w:p>
      <w:pPr>
        <w:ind w:firstLine="440"/>
        <w:rPr>
          <w:rFonts w:cs="宋体"/>
          <w:i/>
          <w:iCs/>
          <w:color w:val="auto"/>
          <w:sz w:val="22"/>
          <w:szCs w:val="22"/>
        </w:rPr>
      </w:pPr>
      <w:bookmarkStart w:id="189" w:name="_Toc386"/>
      <w:r>
        <w:rPr>
          <w:rFonts w:hint="eastAsia" w:cs="宋体"/>
          <w:i/>
          <w:iCs/>
          <w:color w:val="auto"/>
          <w:sz w:val="22"/>
          <w:szCs w:val="22"/>
        </w:rPr>
        <w:t>质疑函制作说明：</w:t>
      </w:r>
      <w:bookmarkEnd w:id="189"/>
    </w:p>
    <w:p>
      <w:pPr>
        <w:ind w:firstLine="440"/>
        <w:rPr>
          <w:rFonts w:cs="宋体"/>
          <w:i/>
          <w:iCs/>
          <w:color w:val="auto"/>
          <w:sz w:val="22"/>
          <w:szCs w:val="22"/>
        </w:rPr>
      </w:pPr>
      <w:r>
        <w:rPr>
          <w:rFonts w:hint="eastAsia" w:cs="宋体"/>
          <w:i/>
          <w:iCs/>
          <w:color w:val="auto"/>
          <w:sz w:val="22"/>
          <w:szCs w:val="22"/>
        </w:rPr>
        <w:t>1.供应商提出质疑时，应提交质疑函和必要的证明材料。</w:t>
      </w:r>
    </w:p>
    <w:p>
      <w:pPr>
        <w:ind w:firstLine="440"/>
        <w:rPr>
          <w:rFonts w:cs="宋体"/>
          <w:i/>
          <w:iCs/>
          <w:color w:val="auto"/>
          <w:sz w:val="22"/>
          <w:szCs w:val="22"/>
        </w:rPr>
      </w:pPr>
      <w:r>
        <w:rPr>
          <w:rFonts w:hint="eastAsia" w:cs="宋体"/>
          <w:i/>
          <w:iCs/>
          <w:color w:val="auto"/>
          <w:sz w:val="22"/>
          <w:szCs w:val="22"/>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ind w:firstLine="440"/>
        <w:rPr>
          <w:rFonts w:cs="宋体"/>
          <w:i/>
          <w:iCs/>
          <w:color w:val="auto"/>
          <w:sz w:val="22"/>
          <w:szCs w:val="22"/>
        </w:rPr>
      </w:pPr>
      <w:r>
        <w:rPr>
          <w:rFonts w:hint="eastAsia" w:cs="宋体"/>
          <w:i/>
          <w:iCs/>
          <w:color w:val="auto"/>
          <w:sz w:val="22"/>
          <w:szCs w:val="22"/>
        </w:rPr>
        <w:t>3.质疑供应商若对项目的某一分包进行质疑，质疑函中应列明具体分包号。</w:t>
      </w:r>
    </w:p>
    <w:p>
      <w:pPr>
        <w:ind w:firstLine="440"/>
        <w:rPr>
          <w:rFonts w:cs="宋体"/>
          <w:i/>
          <w:iCs/>
          <w:color w:val="auto"/>
          <w:sz w:val="22"/>
          <w:szCs w:val="22"/>
        </w:rPr>
      </w:pPr>
      <w:r>
        <w:rPr>
          <w:rFonts w:hint="eastAsia" w:cs="宋体"/>
          <w:i/>
          <w:iCs/>
          <w:color w:val="auto"/>
          <w:sz w:val="22"/>
          <w:szCs w:val="22"/>
        </w:rPr>
        <w:t>4.质疑函的质疑事项应具体、明确，并有必要的事实依据和法律依据。</w:t>
      </w:r>
    </w:p>
    <w:p>
      <w:pPr>
        <w:ind w:firstLine="440"/>
        <w:rPr>
          <w:rFonts w:cs="宋体"/>
          <w:i/>
          <w:iCs/>
          <w:color w:val="auto"/>
          <w:sz w:val="22"/>
          <w:szCs w:val="22"/>
        </w:rPr>
      </w:pPr>
      <w:r>
        <w:rPr>
          <w:rFonts w:hint="eastAsia" w:cs="宋体"/>
          <w:i/>
          <w:iCs/>
          <w:color w:val="auto"/>
          <w:sz w:val="22"/>
          <w:szCs w:val="22"/>
        </w:rPr>
        <w:t>5.质疑函的质疑请求应与质疑事项相关。</w:t>
      </w:r>
    </w:p>
    <w:p>
      <w:pPr>
        <w:ind w:firstLine="440"/>
        <w:rPr>
          <w:rFonts w:cs="宋体"/>
          <w:i/>
          <w:iCs/>
          <w:color w:val="auto"/>
          <w:sz w:val="22"/>
          <w:szCs w:val="22"/>
        </w:rPr>
      </w:pPr>
      <w:r>
        <w:rPr>
          <w:rFonts w:hint="eastAsia" w:cs="宋体"/>
          <w:i/>
          <w:iCs/>
          <w:color w:val="auto"/>
          <w:sz w:val="22"/>
          <w:szCs w:val="22"/>
        </w:rPr>
        <w:t>6.质疑供应商为自然人的，质疑函应由本人签字；质疑供应商为法人或者其他组织的，质疑函应由法定代表人、主要负责人，或者其授权代表签字或者盖章，并加盖公章。</w:t>
      </w:r>
    </w:p>
    <w:p>
      <w:pPr>
        <w:ind w:firstLine="480"/>
        <w:rPr>
          <w:rFonts w:cs="宋体"/>
          <w:color w:val="auto"/>
        </w:rPr>
      </w:pPr>
    </w:p>
    <w:p>
      <w:pPr>
        <w:ind w:firstLine="480"/>
        <w:rPr>
          <w:color w:val="auto"/>
        </w:rPr>
      </w:pPr>
    </w:p>
    <w:p>
      <w:pPr>
        <w:ind w:firstLine="480"/>
        <w:rPr>
          <w:color w:val="auto"/>
        </w:rPr>
      </w:pPr>
    </w:p>
    <w:p>
      <w:pPr>
        <w:ind w:firstLine="480"/>
        <w:rPr>
          <w:color w:val="auto"/>
        </w:rPr>
      </w:pPr>
    </w:p>
    <w:p>
      <w:pPr>
        <w:ind w:firstLine="480"/>
        <w:rPr>
          <w:color w:val="auto"/>
        </w:rPr>
      </w:pPr>
    </w:p>
    <w:sectPr>
      <w:footerReference r:id="rId19" w:type="default"/>
      <w:pgSz w:w="11906" w:h="16838"/>
      <w:pgMar w:top="1440" w:right="1080" w:bottom="1440" w:left="108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86"/>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roman"/>
    <w:pitch w:val="default"/>
    <w:sig w:usb0="00000000" w:usb1="00000000" w:usb2="0000003F" w:usb3="00000000" w:csb0="603F01FF" w:csb1="FFFF0000"/>
  </w:font>
  <w:font w:name="Verdana">
    <w:panose1 w:val="020B0604030504040204"/>
    <w:charset w:val="00"/>
    <w:family w:val="swiss"/>
    <w:pitch w:val="default"/>
    <w:sig w:usb0="A10006FF" w:usb1="4000205B" w:usb2="00000010" w:usb3="00000000" w:csb0="2000019F" w:csb1="00000000"/>
  </w:font>
  <w:font w:name="ˎ̥">
    <w:altName w:val="Times New Roman"/>
    <w:panose1 w:val="00000000000000000000"/>
    <w:charset w:val="00"/>
    <w:family w:val="decorative"/>
    <w:pitch w:val="default"/>
    <w:sig w:usb0="00000000" w:usb1="00000000" w:usb2="00000000" w:usb3="00000000" w:csb0="00040001" w:csb1="00000000"/>
  </w:font>
  <w:font w:name="MT Extra">
    <w:altName w:val="Symbol"/>
    <w:panose1 w:val="05050102010205020202"/>
    <w:charset w:val="02"/>
    <w:family w:val="roman"/>
    <w:pitch w:val="default"/>
    <w:sig w:usb0="00000000" w:usb1="00000000" w:usb2="00000000" w:usb3="00000000" w:csb0="00000000" w:csb1="00000000"/>
  </w:font>
  <w:font w:name="Tahoma">
    <w:panose1 w:val="020B0604030504040204"/>
    <w:charset w:val="00"/>
    <w:family w:val="swiss"/>
    <w:pitch w:val="default"/>
    <w:sig w:usb0="E1002EFF" w:usb1="C000605B" w:usb2="00000029" w:usb3="00000000" w:csb0="200101FF" w:csb1="20280000"/>
  </w:font>
  <w:font w:name="ScalaSansLF-Regular">
    <w:altName w:val="Trebuchet MS"/>
    <w:panose1 w:val="00000000000000000000"/>
    <w:charset w:val="00"/>
    <w:family w:val="auto"/>
    <w:pitch w:val="default"/>
    <w:sig w:usb0="00000000" w:usb1="00000000" w:usb2="00000000" w:usb3="00000000" w:csb0="00000001" w:csb1="00000000"/>
  </w:font>
  <w:font w:name="Trebuchet MS">
    <w:panose1 w:val="020B0603020202020204"/>
    <w:charset w:val="00"/>
    <w:family w:val="auto"/>
    <w:pitch w:val="default"/>
    <w:sig w:usb0="00000287" w:usb1="00000000" w:usb2="00000000" w:usb3="00000000" w:csb0="2000009F"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auto"/>
    <w:pitch w:val="default"/>
    <w:sig w:usb0="E0002AFF" w:usb1="C0007843" w:usb2="00000009" w:usb3="00000000" w:csb0="400001FF" w:csb1="FFFF0000"/>
  </w:font>
  <w:font w:name="Symbol">
    <w:panose1 w:val="05050102010706020507"/>
    <w:charset w:val="00"/>
    <w:family w:val="auto"/>
    <w:pitch w:val="default"/>
    <w:sig w:usb0="00000000" w:usb1="00000000" w:usb2="00000000" w:usb3="00000000" w:csb0="80000000" w:csb1="00000000"/>
  </w:font>
  <w:font w:name="ˎ̥">
    <w:altName w:val="Times New Roman"/>
    <w:panose1 w:val="00000000000000000000"/>
    <w:charset w:val="00"/>
    <w:family w:val="roman"/>
    <w:pitch w:val="default"/>
    <w:sig w:usb0="00000000" w:usb1="00000000" w:usb2="00000000" w:usb3="00000000" w:csb0="00040001" w:csb1="00000000"/>
  </w:font>
  <w:font w:name="Courier New">
    <w:panose1 w:val="02070309020205020404"/>
    <w:charset w:val="00"/>
    <w:family w:val="modern"/>
    <w:pitch w:val="default"/>
    <w:sig w:usb0="E0002AFF" w:usb1="C0007843" w:usb2="00000009" w:usb3="00000000" w:csb0="400001FF" w:csb1="FFFF0000"/>
  </w:font>
  <w:font w:name="Arial">
    <w:panose1 w:val="020B0604020202020204"/>
    <w:charset w:val="00"/>
    <w:family w:val="swiss"/>
    <w:pitch w:val="default"/>
    <w:sig w:usb0="E0002AFF" w:usb1="C0007843" w:usb2="00000009" w:usb3="00000000" w:csb0="400001FF" w:csb1="FFFF0000"/>
  </w:font>
  <w:font w:name="font-weight : 400">
    <w:altName w:val="Segoe Print"/>
    <w:panose1 w:val="00000000000000000000"/>
    <w:charset w:val="00"/>
    <w:family w:val="auto"/>
    <w:pitch w:val="default"/>
    <w:sig w:usb0="00000000" w:usb1="00000000" w:usb2="00000000" w:usb3="00000000" w:csb0="00040001" w:csb1="00000000"/>
  </w:font>
  <w:font w:name="等线">
    <w:altName w:val="宋体"/>
    <w:panose1 w:val="02010600030101010101"/>
    <w:charset w:val="86"/>
    <w:family w:val="auto"/>
    <w:pitch w:val="default"/>
    <w:sig w:usb0="00000000" w:usb1="00000000" w:usb2="00000016" w:usb3="00000000" w:csb0="0004000F" w:csb1="00000000"/>
  </w:font>
  <w:font w:name="Segoe Print">
    <w:panose1 w:val="02000600000000000000"/>
    <w:charset w:val="00"/>
    <w:family w:val="auto"/>
    <w:pitch w:val="default"/>
    <w:sig w:usb0="0000028F" w:usb1="00000000" w:usb2="00000000" w:usb3="00000000" w:csb0="2000009F" w:csb1="47010000"/>
  </w:font>
  <w:font w:name="Arial Unicode MS">
    <w:altName w:val="宋体"/>
    <w:panose1 w:val="020B0604020202020204"/>
    <w:charset w:val="86"/>
    <w:family w:val="swiss"/>
    <w:pitch w:val="default"/>
    <w:sig w:usb0="00000000" w:usb1="00000000" w:usb2="0000003F" w:usb3="00000000" w:csb0="003F01FF" w:csb1="00000000"/>
  </w:font>
  <w:font w:name="黑体">
    <w:panose1 w:val="02010609060101010101"/>
    <w:charset w:val="86"/>
    <w:family w:val="modern"/>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iragino Sans GB">
    <w:altName w:val="Segoe Print"/>
    <w:panose1 w:val="00000000000000000000"/>
    <w:charset w:val="00"/>
    <w:family w:val="auto"/>
    <w:pitch w:val="default"/>
    <w:sig w:usb0="00000000" w:usb1="00000000" w:usb2="00000000" w:usb3="00000000" w:csb0="00040001" w:csb1="00000000"/>
  </w:font>
  <w:font w:name="楷体">
    <w:panose1 w:val="02010609060101010101"/>
    <w:charset w:val="86"/>
    <w:family w:val="modern"/>
    <w:pitch w:val="default"/>
    <w:sig w:usb0="800002BF" w:usb1="38CF7CFA" w:usb2="00000016" w:usb3="00000000" w:csb0="00040001" w:csb1="00000000"/>
  </w:font>
  <w:font w:name="Script MT Bold">
    <w:altName w:val="微软雅黑"/>
    <w:panose1 w:val="00000000000000000000"/>
    <w:charset w:val="00"/>
    <w:family w:val="script"/>
    <w:pitch w:val="default"/>
    <w:sig w:usb0="00000000" w:usb1="00000000" w:usb2="00000000" w:usb3="00000000" w:csb0="00040001" w:csb1="00000000"/>
  </w:font>
  <w:font w:name="微软雅黑">
    <w:panose1 w:val="020B0503020204020204"/>
    <w:charset w:val="86"/>
    <w:family w:val="auto"/>
    <w:pitch w:val="default"/>
    <w:sig w:usb0="80000287" w:usb1="280F3C52" w:usb2="00000016" w:usb3="00000000" w:csb0="0004001F" w:csb1="00000000"/>
  </w:font>
  <w:font w:name="微软雅黑">
    <w:panose1 w:val="020B0503020204020204"/>
    <w:charset w:val="86"/>
    <w:family w:val="script"/>
    <w:pitch w:val="default"/>
    <w:sig w:usb0="80000287" w:usb1="280F3C52" w:usb2="00000016" w:usb3="00000000" w:csb0="0004001F" w:csb1="00000000"/>
  </w:font>
  <w:font w:name="Segoe UI Symbol">
    <w:panose1 w:val="020B0502040204020203"/>
    <w:charset w:val="00"/>
    <w:family w:val="swiss"/>
    <w:pitch w:val="default"/>
    <w:sig w:usb0="8000006F" w:usb1="1200FBEF" w:usb2="0064C000" w:usb3="00000002" w:csb0="00000001" w:csb1="40000000"/>
  </w:font>
  <w:font w:name="Agilent TT Cond">
    <w:altName w:val="Segoe Print"/>
    <w:panose1 w:val="00000000000000000000"/>
    <w:charset w:val="00"/>
    <w:family w:val="swiss"/>
    <w:pitch w:val="default"/>
    <w:sig w:usb0="00000000" w:usb1="00000000" w:usb2="00000000" w:usb3="00000000" w:csb0="0000009F" w:csb1="00000000"/>
  </w:font>
  <w:font w:name="BatangChe">
    <w:panose1 w:val="02030609000101010101"/>
    <w:charset w:val="81"/>
    <w:family w:val="modern"/>
    <w:pitch w:val="default"/>
    <w:sig w:usb0="B00002AF" w:usb1="69D77CFB" w:usb2="00000030" w:usb3="00000000" w:csb0="4008009F" w:csb1="DFD70000"/>
  </w:font>
  <w:font w:name="MS Gothic">
    <w:panose1 w:val="020B0609070205080204"/>
    <w:charset w:val="80"/>
    <w:family w:val="modern"/>
    <w:pitch w:val="default"/>
    <w:sig w:usb0="E00002FF" w:usb1="6AC7FDFB" w:usb2="00000012" w:usb3="00000000" w:csb0="4002009F" w:csb1="DFD70000"/>
  </w:font>
  <w:font w:name="Agilent TT Cond">
    <w:altName w:val="Segoe Print"/>
    <w:panose1 w:val="020B0606020002020203"/>
    <w:charset w:val="00"/>
    <w:family w:val="swiss"/>
    <w:pitch w:val="default"/>
    <w:sig w:usb0="00000000" w:usb1="00000000" w:usb2="00000000" w:usb3="00000000" w:csb0="0000009F" w:csb1="00000000"/>
  </w:font>
  <w:font w:name="MS Mincho">
    <w:panose1 w:val="02020609040205080304"/>
    <w:charset w:val="80"/>
    <w:family w:val="modern"/>
    <w:pitch w:val="default"/>
    <w:sig w:usb0="E00002FF" w:usb1="6AC7FDFB" w:usb2="00000012" w:usb3="00000000" w:csb0="4002009F" w:csb1="DFD70000"/>
  </w:font>
  <w:font w:name="楷体_GB2312">
    <w:altName w:val="楷体"/>
    <w:panose1 w:val="02010609030001010101"/>
    <w:charset w:val="86"/>
    <w:family w:val="modern"/>
    <w:pitch w:val="default"/>
    <w:sig w:usb0="00000000" w:usb1="00000000" w:usb2="00000010" w:usb3="00000000" w:csb0="00040000" w:csb1="00000000"/>
  </w:font>
  <w:font w:name="仿宋_GB2312">
    <w:altName w:val="仿宋"/>
    <w:panose1 w:val="02010609030001010101"/>
    <w:charset w:val="86"/>
    <w:family w:val="modern"/>
    <w:pitch w:val="default"/>
    <w:sig w:usb0="00000000" w:usb1="00000000" w:usb2="00000010" w:usb3="00000000" w:csb0="00040000" w:csb1="00000000"/>
  </w:font>
  <w:font w:name="PMingLiU">
    <w:panose1 w:val="02020500000000000000"/>
    <w:charset w:val="88"/>
    <w:family w:val="auto"/>
    <w:pitch w:val="default"/>
    <w:sig w:usb0="A00002FF" w:usb1="28CFFCFA" w:usb2="00000016" w:usb3="00000000" w:csb0="0010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r>
      <w:fldChar w:fldCharType="begin"/>
    </w:r>
    <w:r>
      <w:instrText xml:space="preserve"> PAGE   \* MERGEFORMAT </w:instrText>
    </w:r>
    <w:r>
      <w:fldChar w:fldCharType="separate"/>
    </w:r>
    <w:r>
      <w:rPr>
        <w:lang w:val="zh-CN"/>
      </w:rPr>
      <w:t>2</w:t>
    </w:r>
    <w:r>
      <w:rPr>
        <w:lang w:val="zh-CN"/>
      </w:rPr>
      <w:fldChar w:fldCharType="end"/>
    </w:r>
    <w:r>
      <w:tab/>
    </w:r>
    <w:r>
      <w:rPr>
        <w:rFonts w:hint="eastAsia"/>
      </w:rPr>
      <w:t>浙江五石工程咨询有限公司</w:t>
    </w:r>
    <w:r>
      <w:tab/>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-20734020</wp:posOffset>
              </wp:positionV>
              <wp:extent cx="629285" cy="222250"/>
              <wp:effectExtent l="0" t="0" r="0" b="0"/>
              <wp:wrapNone/>
              <wp:docPr id="4" name="文本框 22"/>
              <wp:cNvGraphicFramePr/>
              <a:graphic xmlns:a="http://schemas.openxmlformats.org/drawingml/2006/main">
                <a:graphicData uri="http://schemas.microsoft.com/office/word/2010/wordprocessingShape">
                  <wps:wsp>
                    <wps:cNvSpPr txBox="1"/>
                    <wps:spPr>
                      <a:xfrm>
                        <a:off x="0" y="0"/>
                        <a:ext cx="629285" cy="222250"/>
                      </a:xfrm>
                      <a:prstGeom prst="rect">
                        <a:avLst/>
                      </a:prstGeom>
                      <a:noFill/>
                      <a:ln>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2</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22" o:spid="_x0000_s1026" o:spt="202" type="#_x0000_t202" style="position:absolute;left:0pt;margin-top:-1632.6pt;height:17.5pt;width:49.55pt;mso-position-horizontal:outside;mso-position-horizontal-relative:margin;mso-wrap-style:none;z-index:251661312;mso-width-relative:page;mso-height-relative:page;" filled="f" stroked="f" coordsize="21600,21600" o:gfxdata="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">
              <v:fill on="f" focussize="0,0"/>
              <v:stroke on="f"/>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2</w:t>
                    </w:r>
                    <w:r>
                      <w:fldChar w:fldCharType="end"/>
                    </w:r>
                    <w:r>
                      <w:rPr>
                        <w:rFonts w:hint="eastAsia"/>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r>
      <w:fldChar w:fldCharType="begin"/>
    </w:r>
    <w:r>
      <w:instrText xml:space="preserve"> PAGE   \* MERGEFORMAT </w:instrText>
    </w:r>
    <w:r>
      <w:fldChar w:fldCharType="separate"/>
    </w:r>
    <w:r>
      <w:rPr>
        <w:lang w:val="zh-CN"/>
      </w:rPr>
      <w:t>10</w:t>
    </w:r>
    <w:r>
      <w:rPr>
        <w:lang w:val="zh-CN"/>
      </w:rPr>
      <w:fldChar w:fldCharType="end"/>
    </w:r>
    <w:r>
      <w:tab/>
    </w:r>
    <w:r>
      <w:t xml:space="preserve">                   </w:t>
    </w:r>
    <w:r>
      <w:rPr>
        <w:rFonts w:hint="eastAsia"/>
        <w:i/>
        <w:color w:val="0000FF"/>
        <w:sz w:val="28"/>
      </w:rPr>
      <w:t>精细 专业 高效</w:t>
    </w:r>
    <w:r>
      <w:tab/>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629285" cy="222250"/>
              <wp:effectExtent l="0" t="0" r="0" b="0"/>
              <wp:wrapNone/>
              <wp:docPr id="5" name="文本框 15"/>
              <wp:cNvGraphicFramePr/>
              <a:graphic xmlns:a="http://schemas.openxmlformats.org/drawingml/2006/main">
                <a:graphicData uri="http://schemas.microsoft.com/office/word/2010/wordprocessingShape">
                  <wps:wsp>
                    <wps:cNvSpPr txBox="1"/>
                    <wps:spPr>
                      <a:xfrm>
                        <a:off x="0" y="0"/>
                        <a:ext cx="629285" cy="222250"/>
                      </a:xfrm>
                      <a:prstGeom prst="rect">
                        <a:avLst/>
                      </a:prstGeom>
                      <a:noFill/>
                      <a:ln>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3</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5" o:spid="_x0000_s1026" o:spt="202" type="#_x0000_t202" style="position:absolute;left:0pt;margin-top:0pt;height:17.5pt;width:49.55pt;mso-position-horizontal:outside;mso-position-horizontal-relative:margin;mso-wrap-style:none;z-index:251662336;mso-width-relative:page;mso-height-relative:page;" filled="f" stroked="f" coordsize="21600,21600" o:gfxdata="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NgV5GNEA&#10;AAADAQAADwAAAAAAAAABACAAAAAiAAAAZHJzL2Rvd25yZXYueG1sUEsBAhQAFAAAAAgAh07iQMDI&#10;Iz20AQAASgMAAA4AAAAAAAAAAQAgAAAAIAEAAGRycy9lMm9Eb2MueG1sUEsFBgAAAAAGAAYAWQEA&#10;AEYFAAAAAA==&#10;">
              <v:fill on="f" focussize="0,0"/>
              <v:stroke on="f"/>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3</w:t>
                    </w:r>
                    <w:r>
                      <w:fldChar w:fldCharType="end"/>
                    </w:r>
                    <w:r>
                      <w:rPr>
                        <w:rFonts w:hint="eastAsia"/>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clear" w:pos="4153"/>
      </w:tabs>
      <w:ind w:right="360" w:firstLine="0" w:firstLineChars="0"/>
    </w:pPr>
    <w: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629285" cy="222250"/>
              <wp:effectExtent l="0" t="0" r="0" b="0"/>
              <wp:wrapNone/>
              <wp:docPr id="6" name="文本框 17"/>
              <wp:cNvGraphicFramePr/>
              <a:graphic xmlns:a="http://schemas.openxmlformats.org/drawingml/2006/main">
                <a:graphicData uri="http://schemas.microsoft.com/office/word/2010/wordprocessingShape">
                  <wps:wsp>
                    <wps:cNvSpPr txBox="1"/>
                    <wps:spPr>
                      <a:xfrm>
                        <a:off x="0" y="0"/>
                        <a:ext cx="629285" cy="222250"/>
                      </a:xfrm>
                      <a:prstGeom prst="rect">
                        <a:avLst/>
                      </a:prstGeom>
                      <a:noFill/>
                      <a:ln>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26</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7" o:spid="_x0000_s1026" o:spt="202" type="#_x0000_t202" style="position:absolute;left:0pt;margin-top:0pt;height:17.5pt;width:49.55pt;mso-position-horizontal:outside;mso-position-horizontal-relative:margin;mso-wrap-style:none;z-index:251663360;mso-width-relative:page;mso-height-relative:page;" filled="f" stroked="f" coordsize="21600,21600" o:gfxdata="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NgV5GNEA&#10;AAADAQAADwAAAAAAAAABACAAAAAiAAAAZHJzL2Rvd25yZXYueG1sUEsBAhQAFAAAAAgAh07iQCWG&#10;pbG0AQAASgMAAA4AAAAAAAAAAQAgAAAAIAEAAGRycy9lMm9Eb2MueG1sUEsFBgAAAAAGAAYAWQEA&#10;AEYFAAAAAA==&#10;">
              <v:fill on="f" focussize="0,0"/>
              <v:stroke on="f"/>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26</w:t>
                    </w:r>
                    <w:r>
                      <w:fldChar w:fldCharType="end"/>
                    </w:r>
                    <w:r>
                      <w:rPr>
                        <w:rFonts w:hint="eastAsia"/>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r>
      <mc:AlternateContent>
        <mc:Choice Requires="wps">
          <w:drawing>
            <wp:anchor distT="0" distB="0" distL="114300" distR="114300" simplePos="0" relativeHeight="25166950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56</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950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B1V0KhrgEAAE0D&#10;AAAOAAAAAAAAAAEAIAAAAB4BAABkcnMvZTJvRG9jLnhtbFBLBQYAAAAABgAGAFkBAAA+BQAAAAA=&#10;">
              <v:fill on="f" focussize="0,0"/>
              <v:stroke on="f"/>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56</w:t>
                    </w:r>
                    <w:r>
                      <w:fldChar w:fldCharType="end"/>
                    </w:r>
                    <w:r>
                      <w:rPr>
                        <w:rFonts w:hint="eastAsia"/>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tabs>
        <w:tab w:val="clear" w:pos="4153"/>
      </w:tabs>
      <w:ind w:right="360" w:firstLine="0" w:firstLineChars="0"/>
    </w:pPr>
    <w:r>
      <mc:AlternateContent>
        <mc:Choice Requires="wps">
          <w:drawing>
            <wp:anchor distT="0" distB="0" distL="114300" distR="114300" simplePos="0" relativeHeight="25166848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4"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67</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7" o:spid="_x0000_s1026" o:spt="202" type="#_x0000_t202" style="position:absolute;left:0pt;margin-top:0pt;height:144pt;width:144pt;mso-position-horizontal:outside;mso-position-horizontal-relative:margin;mso-wrap-style:none;z-index:25166848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">
              <v:fill on="f" focussize="0,0"/>
              <v:stroke on="f"/>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67</w:t>
                    </w:r>
                    <w:r>
                      <w:fldChar w:fldCharType="end"/>
                    </w:r>
                    <w:r>
                      <w:rPr>
                        <w:rFonts w:hint="eastAsia"/>
                      </w:rPr>
                      <w:t xml:space="preserve"> 页</w:t>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r>
      <mc:AlternateContent>
        <mc:Choice Requires="wps">
          <w:drawing>
            <wp:anchor distT="0" distB="0" distL="114300" distR="114300" simplePos="0" relativeHeight="251667456" behindDoc="0" locked="0" layoutInCell="1" allowOverlap="1">
              <wp:simplePos x="0" y="0"/>
              <wp:positionH relativeFrom="margin">
                <wp:align>outside</wp:align>
              </wp:positionH>
              <wp:positionV relativeFrom="paragraph">
                <wp:posOffset>0</wp:posOffset>
              </wp:positionV>
              <wp:extent cx="1828800" cy="1828800"/>
              <wp:effectExtent l="0" t="0" r="0" b="0"/>
              <wp:wrapNone/>
              <wp:docPr id="12"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68</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4" o:spid="_x0000_s1026" o:spt="202" type="#_x0000_t202" style="position:absolute;left:0pt;margin-top:0pt;height:144pt;width:144pt;mso-position-horizontal:outside;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s0lY&#10;7tAAAAAFAQAADwAAAAAAAAABACAAAAAiAAAAZHJzL2Rvd25yZXYueG1sUEsBAhQAFAAAAAgAh07i&#10;QP7+USG4AQAAVgMAAA4AAAAAAAAAAQAgAAAAHwEAAGRycy9lMm9Eb2MueG1sUEsFBgAAAAAGAAYA&#10;WQEAAEkFAAAAAA==&#10;">
              <v:fill on="f" focussize="0,0"/>
              <v:stroke on="f" weight="0.5pt"/>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68</w:t>
                    </w:r>
                    <w:r>
                      <w:fldChar w:fldCharType="end"/>
                    </w:r>
                    <w:r>
                      <w:rPr>
                        <w:rFonts w:hint="eastAsia"/>
                      </w:rP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r>
      <mc:AlternateContent>
        <mc:Choice Requires="wps">
          <w:drawing>
            <wp:anchor distT="0" distB="0" distL="114300" distR="114300" simplePos="0" relativeHeight="251665408"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70</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2" o:spid="_x0000_s1026" o:spt="202" type="#_x0000_t202" style="position:absolute;left:0pt;margin-top:0pt;height:144pt;width:144pt;mso-position-horizontal:outside;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s0lY&#10;7tAAAAAFAQAADwAAAAAAAAABACAAAAAiAAAAZHJzL2Rvd25yZXYueG1sUEsBAhQAFAAAAAgAh07i&#10;QApoRZm4AQAAVgMAAA4AAAAAAAAAAQAgAAAAHwEAAGRycy9lMm9Eb2MueG1sUEsFBgAAAAAGAAYA&#10;WQEAAEkFAAAAAA==&#10;">
              <v:fill on="f" focussize="0,0"/>
              <v:stroke on="f" weight="0.5pt"/>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70</w:t>
                    </w:r>
                    <w:r>
                      <w:fldChar w:fldCharType="end"/>
                    </w:r>
                    <w:r>
                      <w:rPr>
                        <w:rFonts w:hint="eastAsia"/>
                      </w:rP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pPr>
    <w:r>
      <mc:AlternateContent>
        <mc:Choice Requires="wps">
          <w:drawing>
            <wp:anchor distT="0" distB="0" distL="114300" distR="114300" simplePos="0" relativeHeight="25166643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1"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88</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13" o:spid="_x0000_s1026" o:spt="202" type="#_x0000_t202" style="position:absolute;left:0pt;margin-top:0pt;height:144pt;width:144pt;mso-position-horizontal:outside;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CzSVju&#10;0AAAAAUBAAAPAAAAAAAAAAEAIAAAACIAAABkcnMvZG93bnJldi54bWxQSwECFAAUAAAACACHTuJA&#10;AJAa37cBAABWAwAADgAAAAAAAAABACAAAAAfAQAAZHJzL2Uyb0RvYy54bWxQSwUGAAAAAAYABgBZ&#10;AQAASAUAAAAA&#10;">
              <v:fill on="f" focussize="0,0"/>
              <v:stroke on="f" weight="0.5pt"/>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88</w:t>
                    </w:r>
                    <w:r>
                      <w:fldChar w:fldCharType="end"/>
                    </w:r>
                    <w:r>
                      <w:rPr>
                        <w:rFonts w:hint="eastAsia"/>
                      </w:rP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360"/>
      <w:jc w:val="center"/>
    </w:pPr>
    <w: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1828800" cy="1828800"/>
              <wp:effectExtent l="0" t="0" r="0" b="0"/>
              <wp:wrapNone/>
              <wp:docPr id="9"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7"/>
                            <w:ind w:firstLine="360"/>
                          </w:pPr>
                          <w:r>
                            <w:rPr>
                              <w:rFonts w:hint="eastAsia"/>
                            </w:rPr>
                            <w:t xml:space="preserve">第 </w:t>
                          </w:r>
                          <w:r>
                            <w:fldChar w:fldCharType="begin"/>
                          </w:r>
                          <w:r>
                            <w:instrText xml:space="preserve"> PAGE  \* MERGEFORMAT </w:instrText>
                          </w:r>
                          <w:r>
                            <w:fldChar w:fldCharType="separate"/>
                          </w:r>
                          <w:r>
                            <w:t>90</w:t>
                          </w:r>
                          <w:r>
                            <w:fldChar w:fldCharType="end"/>
                          </w:r>
                          <w:r>
                            <w:rPr>
                              <w:rFonts w:hint="eastAsia"/>
                            </w:rPr>
                            <w:t xml:space="preserve"> 页</w:t>
                          </w:r>
                        </w:p>
                      </w:txbxContent>
                    </wps:txbx>
                    <wps:bodyPr wrap="none" lIns="0" tIns="0" rIns="0" bIns="0" upright="1">
                      <a:spAutoFit/>
                    </wps:bodyPr>
                  </wps:wsp>
                </a:graphicData>
              </a:graphic>
            </wp:anchor>
          </w:drawing>
        </mc:Choice>
        <mc:Fallback>
          <w:pict>
            <v:shape id="文本框 20" o:spid="_x0000_s1026" o:spt="202" type="#_x0000_t202" style="position:absolute;left:0pt;margin-top:0pt;height:144pt;width:144pt;mso-position-horizontal:outside;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">
              <v:fill on="f" focussize="0,0"/>
              <v:stroke on="f"/>
              <v:imagedata o:title=""/>
              <o:lock v:ext="edit" aspectratio="f"/>
              <v:textbox inset="0mm,0mm,0mm,0mm" style="mso-fit-shape-to-text:t;">
                <w:txbxContent>
                  <w:p>
                    <w:pPr>
                      <w:pStyle w:val="27"/>
                      <w:ind w:firstLine="360"/>
                    </w:pPr>
                    <w:r>
                      <w:rPr>
                        <w:rFonts w:hint="eastAsia"/>
                      </w:rPr>
                      <w:t xml:space="preserve">第 </w:t>
                    </w:r>
                    <w:r>
                      <w:fldChar w:fldCharType="begin"/>
                    </w:r>
                    <w:r>
                      <w:instrText xml:space="preserve"> PAGE  \* MERGEFORMAT </w:instrText>
                    </w:r>
                    <w:r>
                      <w:fldChar w:fldCharType="separate"/>
                    </w:r>
                    <w:r>
                      <w:t>90</w:t>
                    </w:r>
                    <w:r>
                      <w:fldChar w:fldCharType="end"/>
                    </w:r>
                    <w:r>
                      <w:rPr>
                        <w:rFonts w:hint="eastAsia"/>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ind w:firstLine="0" w:firstLineChars="0"/>
      <w:rPr>
        <w:sz w:val="24"/>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0" w:firstLineChars="0"/>
      <w:jc w:val="both"/>
    </w:pPr>
    <w:r>
      <w:rPr>
        <w:rFonts w:hint="eastAsia"/>
      </w:rPr>
      <w:t>浙江海洋大学</w:t>
    </w:r>
    <w:r>
      <w:rPr>
        <w:rFonts w:hint="eastAsia"/>
      </w:rPr>
      <w:tab/>
    </w:r>
    <w:r>
      <w:rPr>
        <w:rFonts w:hint="eastAsia"/>
      </w:rPr>
      <w:t>文创中心脑电采集分析系统项目</w:t>
    </w:r>
    <w:r>
      <w:rPr>
        <w:rFonts w:hint="eastAsia"/>
      </w:rPr>
      <w:tab/>
    </w:r>
    <w:r>
      <w:rPr>
        <w:rFonts w:hint="eastAsia"/>
      </w:rPr>
      <w:t>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ind w:firstLine="0" w:firstLineChars="0"/>
      <w:jc w:val="right"/>
    </w:pPr>
    <w:r>
      <w:rPr>
        <w:rFonts w:hint="eastAsia"/>
      </w:rPr>
      <w:t>浙江五石工程咨询有限公司招标文件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723137771">
    <w:nsid w:val="2B1A34EB"/>
    <w:multiLevelType w:val="multilevel"/>
    <w:tmpl w:val="2B1A34EB"/>
    <w:lvl w:ilvl="0" w:tentative="1">
      <w:start w:val="1"/>
      <w:numFmt w:val="decimal"/>
      <w:lvlText w:val="%1."/>
      <w:lvlJc w:val="left"/>
      <w:pPr>
        <w:ind w:left="420" w:hanging="420"/>
      </w:pPr>
    </w:lvl>
    <w:lvl w:ilvl="1" w:tentative="1">
      <w:start w:val="1"/>
      <w:numFmt w:val="lowerLetter"/>
      <w:pStyle w:val="170"/>
      <w:lvlText w:val="%2)"/>
      <w:lvlJc w:val="left"/>
      <w:pPr>
        <w:ind w:left="840" w:hanging="420"/>
      </w:pPr>
    </w:lvl>
    <w:lvl w:ilvl="2" w:tentative="1">
      <w:start w:val="1"/>
      <w:numFmt w:val="lowerRoman"/>
      <w:pStyle w:val="172"/>
      <w:lvlText w:val="%3."/>
      <w:lvlJc w:val="right"/>
      <w:pPr>
        <w:ind w:left="1260" w:hanging="420"/>
      </w:pPr>
    </w:lvl>
    <w:lvl w:ilvl="3" w:tentative="1">
      <w:start w:val="1"/>
      <w:numFmt w:val="decimal"/>
      <w:lvlText w:val="%4."/>
      <w:lvlJc w:val="left"/>
      <w:pPr>
        <w:ind w:left="1680" w:hanging="420"/>
      </w:pPr>
    </w:lvl>
    <w:lvl w:ilvl="4" w:tentative="1">
      <w:start w:val="1"/>
      <w:numFmt w:val="lowerLetter"/>
      <w:lvlText w:val="%5)"/>
      <w:lvlJc w:val="left"/>
      <w:pPr>
        <w:ind w:left="2100" w:hanging="420"/>
      </w:pPr>
    </w:lvl>
    <w:lvl w:ilvl="5" w:tentative="1">
      <w:start w:val="1"/>
      <w:numFmt w:val="lowerRoman"/>
      <w:lvlText w:val="%6."/>
      <w:lvlJc w:val="right"/>
      <w:pPr>
        <w:ind w:left="2520" w:hanging="420"/>
      </w:pPr>
    </w:lvl>
    <w:lvl w:ilvl="6" w:tentative="1">
      <w:start w:val="1"/>
      <w:numFmt w:val="decimal"/>
      <w:lvlText w:val="%7."/>
      <w:lvlJc w:val="left"/>
      <w:pPr>
        <w:ind w:left="2940" w:hanging="420"/>
      </w:pPr>
    </w:lvl>
    <w:lvl w:ilvl="7" w:tentative="1">
      <w:start w:val="1"/>
      <w:numFmt w:val="lowerLetter"/>
      <w:lvlText w:val="%8)"/>
      <w:lvlJc w:val="left"/>
      <w:pPr>
        <w:ind w:left="3360" w:hanging="420"/>
      </w:pPr>
    </w:lvl>
    <w:lvl w:ilvl="8" w:tentative="1">
      <w:start w:val="1"/>
      <w:numFmt w:val="lowerRoman"/>
      <w:lvlText w:val="%9."/>
      <w:lvlJc w:val="right"/>
      <w:pPr>
        <w:ind w:left="3780" w:hanging="420"/>
      </w:pPr>
    </w:lvl>
  </w:abstractNum>
  <w:abstractNum w:abstractNumId="1843468400">
    <w:nsid w:val="6DE11870"/>
    <w:multiLevelType w:val="multilevel"/>
    <w:tmpl w:val="6DE11870"/>
    <w:lvl w:ilvl="0" w:tentative="1">
      <w:start w:val="1"/>
      <w:numFmt w:val="decimal"/>
      <w:pStyle w:val="19"/>
      <w:lvlText w:val="%1."/>
      <w:lvlJc w:val="left"/>
      <w:pPr>
        <w:tabs>
          <w:tab w:val="left" w:pos="360"/>
        </w:tabs>
        <w:ind w:left="360" w:hanging="360"/>
      </w:pPr>
      <w:rPr>
        <w:rFonts w:hint="default"/>
      </w:rPr>
    </w:lvl>
    <w:lvl w:ilvl="1" w:tentative="1">
      <w:start w:val="1"/>
      <w:numFmt w:val="lowerLetter"/>
      <w:lvlText w:val="%2)"/>
      <w:lvlJc w:val="left"/>
      <w:pPr>
        <w:tabs>
          <w:tab w:val="left" w:pos="840"/>
        </w:tabs>
        <w:ind w:left="840" w:hanging="420"/>
      </w:pPr>
    </w:lvl>
    <w:lvl w:ilvl="2" w:tentative="1">
      <w:start w:val="1"/>
      <w:numFmt w:val="lowerRoman"/>
      <w:lvlText w:val="%3."/>
      <w:lvlJc w:val="right"/>
      <w:pPr>
        <w:tabs>
          <w:tab w:val="left" w:pos="1260"/>
        </w:tabs>
        <w:ind w:left="1260" w:hanging="420"/>
      </w:pPr>
    </w:lvl>
    <w:lvl w:ilvl="3" w:tentative="1">
      <w:start w:val="1"/>
      <w:numFmt w:val="decimal"/>
      <w:lvlText w:val="%4."/>
      <w:lvlJc w:val="left"/>
      <w:pPr>
        <w:tabs>
          <w:tab w:val="left" w:pos="1680"/>
        </w:tabs>
        <w:ind w:left="1680" w:hanging="420"/>
      </w:pPr>
    </w:lvl>
    <w:lvl w:ilvl="4" w:tentative="1">
      <w:start w:val="1"/>
      <w:numFmt w:val="lowerLetter"/>
      <w:lvlText w:val="%5)"/>
      <w:lvlJc w:val="left"/>
      <w:pPr>
        <w:tabs>
          <w:tab w:val="left" w:pos="2100"/>
        </w:tabs>
        <w:ind w:left="2100" w:hanging="420"/>
      </w:pPr>
    </w:lvl>
    <w:lvl w:ilvl="5" w:tentative="1">
      <w:start w:val="1"/>
      <w:numFmt w:val="lowerRoman"/>
      <w:lvlText w:val="%6."/>
      <w:lvlJc w:val="right"/>
      <w:pPr>
        <w:tabs>
          <w:tab w:val="left" w:pos="2520"/>
        </w:tabs>
        <w:ind w:left="2520" w:hanging="420"/>
      </w:pPr>
    </w:lvl>
    <w:lvl w:ilvl="6" w:tentative="1">
      <w:start w:val="1"/>
      <w:numFmt w:val="decimal"/>
      <w:lvlText w:val="%7."/>
      <w:lvlJc w:val="left"/>
      <w:pPr>
        <w:tabs>
          <w:tab w:val="left" w:pos="2940"/>
        </w:tabs>
        <w:ind w:left="2940" w:hanging="420"/>
      </w:pPr>
    </w:lvl>
    <w:lvl w:ilvl="7" w:tentative="1">
      <w:start w:val="1"/>
      <w:numFmt w:val="lowerLetter"/>
      <w:lvlText w:val="%8)"/>
      <w:lvlJc w:val="left"/>
      <w:pPr>
        <w:tabs>
          <w:tab w:val="left" w:pos="3360"/>
        </w:tabs>
        <w:ind w:left="3360" w:hanging="420"/>
      </w:pPr>
    </w:lvl>
    <w:lvl w:ilvl="8" w:tentative="1">
      <w:start w:val="1"/>
      <w:numFmt w:val="lowerRoman"/>
      <w:lvlText w:val="%9."/>
      <w:lvlJc w:val="right"/>
      <w:pPr>
        <w:tabs>
          <w:tab w:val="left" w:pos="3780"/>
        </w:tabs>
        <w:ind w:left="3780" w:hanging="420"/>
      </w:pPr>
    </w:lvl>
  </w:abstractNum>
  <w:abstractNum w:abstractNumId="1679238143">
    <w:nsid w:val="641723FF"/>
    <w:multiLevelType w:val="multilevel"/>
    <w:tmpl w:val="641723FF"/>
    <w:lvl w:ilvl="0" w:tentative="1">
      <w:start w:val="1"/>
      <w:numFmt w:val="decimal"/>
      <w:pStyle w:val="17"/>
      <w:lvlText w:val="%1、"/>
      <w:lvlJc w:val="left"/>
      <w:pPr>
        <w:ind w:left="780" w:hanging="360"/>
      </w:pPr>
      <w:rPr>
        <w:rFonts w:hint="default"/>
      </w:rPr>
    </w:lvl>
    <w:lvl w:ilvl="1" w:tentative="1">
      <w:start w:val="1"/>
      <w:numFmt w:val="lowerLetter"/>
      <w:lvlText w:val="%2)"/>
      <w:lvlJc w:val="left"/>
      <w:pPr>
        <w:ind w:left="1260" w:hanging="420"/>
      </w:pPr>
    </w:lvl>
    <w:lvl w:ilvl="2" w:tentative="1">
      <w:start w:val="1"/>
      <w:numFmt w:val="lowerRoman"/>
      <w:lvlText w:val="%3."/>
      <w:lvlJc w:val="right"/>
      <w:pPr>
        <w:ind w:left="1680" w:hanging="420"/>
      </w:pPr>
    </w:lvl>
    <w:lvl w:ilvl="3" w:tentative="1">
      <w:start w:val="1"/>
      <w:numFmt w:val="decimal"/>
      <w:lvlText w:val="%4."/>
      <w:lvlJc w:val="left"/>
      <w:pPr>
        <w:ind w:left="2100" w:hanging="420"/>
      </w:pPr>
    </w:lvl>
    <w:lvl w:ilvl="4" w:tentative="1">
      <w:start w:val="1"/>
      <w:numFmt w:val="lowerLetter"/>
      <w:lvlText w:val="%5)"/>
      <w:lvlJc w:val="left"/>
      <w:pPr>
        <w:ind w:left="2520" w:hanging="420"/>
      </w:pPr>
    </w:lvl>
    <w:lvl w:ilvl="5" w:tentative="1">
      <w:start w:val="1"/>
      <w:numFmt w:val="lowerRoman"/>
      <w:lvlText w:val="%6."/>
      <w:lvlJc w:val="right"/>
      <w:pPr>
        <w:ind w:left="2940" w:hanging="420"/>
      </w:pPr>
    </w:lvl>
    <w:lvl w:ilvl="6" w:tentative="1">
      <w:start w:val="1"/>
      <w:numFmt w:val="decimal"/>
      <w:lvlText w:val="%7."/>
      <w:lvlJc w:val="left"/>
      <w:pPr>
        <w:ind w:left="3360" w:hanging="420"/>
      </w:pPr>
    </w:lvl>
    <w:lvl w:ilvl="7" w:tentative="1">
      <w:start w:val="1"/>
      <w:numFmt w:val="lowerLetter"/>
      <w:lvlText w:val="%8)"/>
      <w:lvlJc w:val="left"/>
      <w:pPr>
        <w:ind w:left="3780" w:hanging="420"/>
      </w:pPr>
    </w:lvl>
    <w:lvl w:ilvl="8" w:tentative="1">
      <w:start w:val="1"/>
      <w:numFmt w:val="lowerRoman"/>
      <w:lvlText w:val="%9."/>
      <w:lvlJc w:val="right"/>
      <w:pPr>
        <w:ind w:left="4200" w:hanging="420"/>
      </w:pPr>
    </w:lvl>
  </w:abstractNum>
  <w:abstractNum w:abstractNumId="2990805140">
    <w:nsid w:val="B2441094"/>
    <w:multiLevelType w:val="singleLevel"/>
    <w:tmpl w:val="B2441094"/>
    <w:lvl w:ilvl="0" w:tentative="1">
      <w:start w:val="1"/>
      <w:numFmt w:val="decimal"/>
      <w:suff w:val="nothing"/>
      <w:lvlText w:val="%1．"/>
      <w:lvlJc w:val="left"/>
      <w:pPr>
        <w:ind w:left="0" w:firstLine="400"/>
      </w:pPr>
      <w:rPr>
        <w:rFonts w:hint="default"/>
      </w:rPr>
    </w:lvl>
  </w:abstractNum>
  <w:abstractNum w:abstractNumId="272160722">
    <w:nsid w:val="1038D7D2"/>
    <w:multiLevelType w:val="singleLevel"/>
    <w:tmpl w:val="1038D7D2"/>
    <w:lvl w:ilvl="0" w:tentative="1">
      <w:start w:val="1"/>
      <w:numFmt w:val="decimal"/>
      <w:suff w:val="nothing"/>
      <w:lvlText w:val="%1．"/>
      <w:lvlJc w:val="left"/>
      <w:pPr>
        <w:ind w:left="0" w:firstLine="400"/>
      </w:pPr>
      <w:rPr>
        <w:rFonts w:hint="default"/>
      </w:rPr>
    </w:lvl>
  </w:abstractNum>
  <w:abstractNum w:abstractNumId="1100508966">
    <w:nsid w:val="41986F26"/>
    <w:multiLevelType w:val="singleLevel"/>
    <w:tmpl w:val="41986F26"/>
    <w:lvl w:ilvl="0" w:tentative="1">
      <w:start w:val="1"/>
      <w:numFmt w:val="decimal"/>
      <w:suff w:val="nothing"/>
      <w:lvlText w:val="%1．"/>
      <w:lvlJc w:val="left"/>
      <w:pPr>
        <w:ind w:left="0" w:firstLine="400"/>
      </w:pPr>
      <w:rPr>
        <w:rFonts w:hint="default"/>
      </w:rPr>
    </w:lvl>
  </w:abstractNum>
  <w:abstractNum w:abstractNumId="1618995049">
    <w:nsid w:val="607FE769"/>
    <w:multiLevelType w:val="singleLevel"/>
    <w:tmpl w:val="607FE769"/>
    <w:lvl w:ilvl="0" w:tentative="1">
      <w:start w:val="2"/>
      <w:numFmt w:val="chineseCounting"/>
      <w:suff w:val="space"/>
      <w:lvlText w:val="第%1章"/>
      <w:lvlJc w:val="left"/>
    </w:lvl>
  </w:abstractNum>
  <w:abstractNum w:abstractNumId="1631259559">
    <w:nsid w:val="613B0BA7"/>
    <w:multiLevelType w:val="singleLevel"/>
    <w:tmpl w:val="613B0BA7"/>
    <w:lvl w:ilvl="0" w:tentative="1">
      <w:start w:val="1"/>
      <w:numFmt w:val="chineseCounting"/>
      <w:suff w:val="nothing"/>
      <w:lvlText w:val="%1、"/>
      <w:lvlJc w:val="left"/>
    </w:lvl>
  </w:abstractNum>
  <w:abstractNum w:abstractNumId="507476516">
    <w:nsid w:val="1E3F7A24"/>
    <w:multiLevelType w:val="singleLevel"/>
    <w:tmpl w:val="1E3F7A24"/>
    <w:lvl w:ilvl="0" w:tentative="1">
      <w:start w:val="1"/>
      <w:numFmt w:val="decimal"/>
      <w:suff w:val="nothing"/>
      <w:lvlText w:val="%1．"/>
      <w:lvlJc w:val="left"/>
      <w:pPr>
        <w:ind w:left="0" w:firstLine="400"/>
      </w:pPr>
      <w:rPr>
        <w:rFonts w:hint="default"/>
      </w:rPr>
    </w:lvl>
  </w:abstractNum>
  <w:abstractNum w:abstractNumId="381169946">
    <w:nsid w:val="16B8311A"/>
    <w:multiLevelType w:val="singleLevel"/>
    <w:tmpl w:val="16B8311A"/>
    <w:lvl w:ilvl="0" w:tentative="1">
      <w:start w:val="1"/>
      <w:numFmt w:val="decimal"/>
      <w:suff w:val="nothing"/>
      <w:lvlText w:val="%1．"/>
      <w:lvlJc w:val="left"/>
      <w:pPr>
        <w:ind w:left="0" w:firstLine="400"/>
      </w:pPr>
      <w:rPr>
        <w:rFonts w:hint="default"/>
      </w:rPr>
    </w:lvl>
  </w:abstractNum>
  <w:abstractNum w:abstractNumId="1873189603">
    <w:nsid w:val="6FA69AE3"/>
    <w:multiLevelType w:val="singleLevel"/>
    <w:tmpl w:val="6FA69AE3"/>
    <w:lvl w:ilvl="0" w:tentative="1">
      <w:start w:val="1"/>
      <w:numFmt w:val="decimal"/>
      <w:suff w:val="nothing"/>
      <w:lvlText w:val="%1．"/>
      <w:lvlJc w:val="left"/>
      <w:pPr>
        <w:ind w:left="0" w:firstLine="400"/>
      </w:pPr>
      <w:rPr>
        <w:rFonts w:hint="default"/>
      </w:rPr>
    </w:lvl>
  </w:abstractNum>
  <w:abstractNum w:abstractNumId="1390112629">
    <w:nsid w:val="52DB6F75"/>
    <w:multiLevelType w:val="singleLevel"/>
    <w:tmpl w:val="52DB6F75"/>
    <w:lvl w:ilvl="0" w:tentative="1">
      <w:start w:val="1"/>
      <w:numFmt w:val="decimal"/>
      <w:suff w:val="nothing"/>
      <w:lvlText w:val="%1．"/>
      <w:lvlJc w:val="left"/>
      <w:pPr>
        <w:ind w:left="0" w:firstLine="400"/>
      </w:pPr>
      <w:rPr>
        <w:rFonts w:hint="default"/>
      </w:rPr>
    </w:lvl>
  </w:abstractNum>
  <w:abstractNum w:abstractNumId="1086925691">
    <w:nsid w:val="40C92B7B"/>
    <w:multiLevelType w:val="singleLevel"/>
    <w:tmpl w:val="40C92B7B"/>
    <w:lvl w:ilvl="0" w:tentative="1">
      <w:start w:val="1"/>
      <w:numFmt w:val="decimal"/>
      <w:suff w:val="nothing"/>
      <w:lvlText w:val="%1．"/>
      <w:lvlJc w:val="left"/>
      <w:pPr>
        <w:ind w:left="0" w:firstLine="400"/>
      </w:pPr>
      <w:rPr>
        <w:rFonts w:hint="default"/>
      </w:rPr>
    </w:lvl>
  </w:abstractNum>
  <w:abstractNum w:abstractNumId="3748131752">
    <w:nsid w:val="DF67F3A8"/>
    <w:multiLevelType w:val="singleLevel"/>
    <w:tmpl w:val="DF67F3A8"/>
    <w:lvl w:ilvl="0" w:tentative="1">
      <w:start w:val="1"/>
      <w:numFmt w:val="decimal"/>
      <w:suff w:val="nothing"/>
      <w:lvlText w:val="%1．"/>
      <w:lvlJc w:val="left"/>
      <w:pPr>
        <w:ind w:left="0" w:firstLine="400"/>
      </w:pPr>
      <w:rPr>
        <w:rFonts w:hint="default"/>
      </w:rPr>
    </w:lvl>
  </w:abstractNum>
  <w:abstractNum w:abstractNumId="3057674480">
    <w:nsid w:val="B64068F0"/>
    <w:multiLevelType w:val="singleLevel"/>
    <w:tmpl w:val="B64068F0"/>
    <w:lvl w:ilvl="0" w:tentative="1">
      <w:start w:val="1"/>
      <w:numFmt w:val="decimal"/>
      <w:suff w:val="nothing"/>
      <w:lvlText w:val="%1．"/>
      <w:lvlJc w:val="left"/>
      <w:pPr>
        <w:ind w:left="0" w:firstLine="400"/>
      </w:pPr>
      <w:rPr>
        <w:rFonts w:hint="default"/>
      </w:rPr>
    </w:lvl>
  </w:abstractNum>
  <w:abstractNum w:abstractNumId="1245741555">
    <w:nsid w:val="4A4081F3"/>
    <w:multiLevelType w:val="singleLevel"/>
    <w:tmpl w:val="4A4081F3"/>
    <w:lvl w:ilvl="0" w:tentative="1">
      <w:start w:val="1"/>
      <w:numFmt w:val="decimal"/>
      <w:suff w:val="nothing"/>
      <w:lvlText w:val="%1．"/>
      <w:lvlJc w:val="left"/>
      <w:pPr>
        <w:ind w:left="0" w:firstLine="400"/>
      </w:pPr>
      <w:rPr>
        <w:rFonts w:hint="default"/>
      </w:rPr>
    </w:lvl>
  </w:abstractNum>
  <w:abstractNum w:abstractNumId="1013529574">
    <w:nsid w:val="3C693BE6"/>
    <w:multiLevelType w:val="multilevel"/>
    <w:tmpl w:val="3C693BE6"/>
    <w:lvl w:ilvl="0" w:tentative="1">
      <w:start w:val="1"/>
      <w:numFmt w:val="decimal"/>
      <w:lvlText w:val="%1."/>
      <w:lvlJc w:val="left"/>
      <w:pPr>
        <w:tabs>
          <w:tab w:val="left" w:pos="720"/>
        </w:tabs>
        <w:ind w:left="720" w:hanging="720"/>
      </w:pPr>
    </w:lvl>
    <w:lvl w:ilvl="1" w:tentative="1">
      <w:start w:val="1"/>
      <w:numFmt w:val="decimal"/>
      <w:lvlText w:val="%2."/>
      <w:lvlJc w:val="left"/>
      <w:pPr>
        <w:tabs>
          <w:tab w:val="left" w:pos="1440"/>
        </w:tabs>
        <w:ind w:left="1440" w:hanging="720"/>
      </w:pPr>
    </w:lvl>
    <w:lvl w:ilvl="2" w:tentative="1">
      <w:start w:val="1"/>
      <w:numFmt w:val="decimal"/>
      <w:lvlText w:val="%3."/>
      <w:lvlJc w:val="left"/>
      <w:pPr>
        <w:tabs>
          <w:tab w:val="left" w:pos="2160"/>
        </w:tabs>
        <w:ind w:left="2160" w:hanging="720"/>
      </w:pPr>
    </w:lvl>
    <w:lvl w:ilvl="3" w:tentative="1">
      <w:start w:val="1"/>
      <w:numFmt w:val="decimal"/>
      <w:lvlText w:val="%4."/>
      <w:lvlJc w:val="left"/>
      <w:pPr>
        <w:tabs>
          <w:tab w:val="left" w:pos="2880"/>
        </w:tabs>
        <w:ind w:left="2880" w:hanging="720"/>
      </w:pPr>
    </w:lvl>
    <w:lvl w:ilvl="4" w:tentative="1">
      <w:start w:val="1"/>
      <w:numFmt w:val="decimal"/>
      <w:lvlText w:val="%5."/>
      <w:lvlJc w:val="left"/>
      <w:pPr>
        <w:tabs>
          <w:tab w:val="left" w:pos="3600"/>
        </w:tabs>
        <w:ind w:left="3600" w:hanging="720"/>
      </w:pPr>
    </w:lvl>
    <w:lvl w:ilvl="5" w:tentative="1">
      <w:start w:val="1"/>
      <w:numFmt w:val="decimal"/>
      <w:lvlText w:val="%6."/>
      <w:lvlJc w:val="left"/>
      <w:pPr>
        <w:tabs>
          <w:tab w:val="left" w:pos="4320"/>
        </w:tabs>
        <w:ind w:left="4320" w:hanging="720"/>
      </w:pPr>
    </w:lvl>
    <w:lvl w:ilvl="6" w:tentative="1">
      <w:start w:val="1"/>
      <w:numFmt w:val="decimal"/>
      <w:lvlText w:val="%7."/>
      <w:lvlJc w:val="left"/>
      <w:pPr>
        <w:tabs>
          <w:tab w:val="left" w:pos="5040"/>
        </w:tabs>
        <w:ind w:left="5040" w:hanging="720"/>
      </w:pPr>
    </w:lvl>
    <w:lvl w:ilvl="7" w:tentative="1">
      <w:start w:val="1"/>
      <w:numFmt w:val="decimal"/>
      <w:lvlText w:val="%8."/>
      <w:lvlJc w:val="left"/>
      <w:pPr>
        <w:tabs>
          <w:tab w:val="left" w:pos="5760"/>
        </w:tabs>
        <w:ind w:left="5760" w:hanging="720"/>
      </w:pPr>
    </w:lvl>
    <w:lvl w:ilvl="8" w:tentative="1">
      <w:start w:val="1"/>
      <w:numFmt w:val="decimal"/>
      <w:lvlText w:val="%9."/>
      <w:lvlJc w:val="left"/>
      <w:pPr>
        <w:tabs>
          <w:tab w:val="left" w:pos="6480"/>
        </w:tabs>
        <w:ind w:left="6480" w:hanging="720"/>
      </w:pPr>
    </w:lvl>
  </w:abstractNum>
  <w:abstractNum w:abstractNumId="3063048962">
    <w:nsid w:val="B6926B02"/>
    <w:multiLevelType w:val="singleLevel"/>
    <w:tmpl w:val="B6926B02"/>
    <w:lvl w:ilvl="0" w:tentative="1">
      <w:start w:val="1"/>
      <w:numFmt w:val="decimal"/>
      <w:suff w:val="nothing"/>
      <w:lvlText w:val="%1．"/>
      <w:lvlJc w:val="left"/>
      <w:pPr>
        <w:ind w:left="0" w:firstLine="400"/>
      </w:pPr>
      <w:rPr>
        <w:rFonts w:hint="default"/>
      </w:rPr>
    </w:lvl>
  </w:abstractNum>
  <w:abstractNum w:abstractNumId="1017928684">
    <w:nsid w:val="3CAC5BEC"/>
    <w:multiLevelType w:val="singleLevel"/>
    <w:tmpl w:val="3CAC5BEC"/>
    <w:lvl w:ilvl="0" w:tentative="1">
      <w:start w:val="1"/>
      <w:numFmt w:val="decimal"/>
      <w:suff w:val="nothing"/>
      <w:lvlText w:val="%1．"/>
      <w:lvlJc w:val="left"/>
      <w:pPr>
        <w:ind w:left="0" w:firstLine="400"/>
      </w:pPr>
      <w:rPr>
        <w:rFonts w:hint="default"/>
      </w:rPr>
    </w:lvl>
  </w:abstractNum>
  <w:abstractNum w:abstractNumId="43821387">
    <w:nsid w:val="029CA94B"/>
    <w:multiLevelType w:val="singleLevel"/>
    <w:tmpl w:val="029CA94B"/>
    <w:lvl w:ilvl="0" w:tentative="1">
      <w:start w:val="1"/>
      <w:numFmt w:val="decimal"/>
      <w:suff w:val="nothing"/>
      <w:lvlText w:val="%1．"/>
      <w:lvlJc w:val="left"/>
      <w:pPr>
        <w:ind w:left="0" w:firstLine="400"/>
      </w:pPr>
      <w:rPr>
        <w:rFonts w:hint="default"/>
      </w:rPr>
    </w:lvl>
  </w:abstractNum>
  <w:abstractNum w:abstractNumId="700876340">
    <w:nsid w:val="29C68634"/>
    <w:multiLevelType w:val="singleLevel"/>
    <w:tmpl w:val="29C68634"/>
    <w:lvl w:ilvl="0" w:tentative="1">
      <w:start w:val="1"/>
      <w:numFmt w:val="decimal"/>
      <w:suff w:val="nothing"/>
      <w:lvlText w:val="%1．"/>
      <w:lvlJc w:val="left"/>
      <w:pPr>
        <w:ind w:left="0" w:firstLine="400"/>
      </w:pPr>
      <w:rPr>
        <w:rFonts w:hint="default"/>
      </w:rPr>
    </w:lvl>
  </w:abstractNum>
  <w:abstractNum w:abstractNumId="1124848378">
    <w:nsid w:val="430BD2FA"/>
    <w:multiLevelType w:val="singleLevel"/>
    <w:tmpl w:val="430BD2FA"/>
    <w:lvl w:ilvl="0" w:tentative="1">
      <w:start w:val="1"/>
      <w:numFmt w:val="decimal"/>
      <w:suff w:val="nothing"/>
      <w:lvlText w:val="%1．"/>
      <w:lvlJc w:val="left"/>
      <w:pPr>
        <w:ind w:left="0" w:firstLine="400"/>
      </w:pPr>
      <w:rPr>
        <w:rFonts w:hint="default"/>
      </w:rPr>
    </w:lvl>
  </w:abstractNum>
  <w:abstractNum w:abstractNumId="2553498010">
    <w:nsid w:val="9833499A"/>
    <w:multiLevelType w:val="singleLevel"/>
    <w:tmpl w:val="9833499A"/>
    <w:lvl w:ilvl="0" w:tentative="1">
      <w:start w:val="1"/>
      <w:numFmt w:val="decimal"/>
      <w:suff w:val="nothing"/>
      <w:lvlText w:val="%1．"/>
      <w:lvlJc w:val="left"/>
      <w:pPr>
        <w:ind w:left="0" w:firstLine="400"/>
      </w:pPr>
      <w:rPr>
        <w:rFonts w:hint="default"/>
      </w:rPr>
    </w:lvl>
  </w:abstractNum>
  <w:abstractNum w:abstractNumId="267081633">
    <w:nsid w:val="0FEB57A1"/>
    <w:multiLevelType w:val="singleLevel"/>
    <w:tmpl w:val="0FEB57A1"/>
    <w:lvl w:ilvl="0" w:tentative="1">
      <w:start w:val="1"/>
      <w:numFmt w:val="decimal"/>
      <w:suff w:val="nothing"/>
      <w:lvlText w:val="%1．"/>
      <w:lvlJc w:val="left"/>
      <w:pPr>
        <w:ind w:left="0" w:firstLine="400"/>
      </w:pPr>
      <w:rPr>
        <w:rFonts w:hint="default"/>
      </w:rPr>
    </w:lvl>
  </w:abstractNum>
  <w:abstractNum w:abstractNumId="71061562">
    <w:nsid w:val="043C503A"/>
    <w:multiLevelType w:val="singleLevel"/>
    <w:tmpl w:val="043C503A"/>
    <w:lvl w:ilvl="0" w:tentative="1">
      <w:start w:val="1"/>
      <w:numFmt w:val="decimal"/>
      <w:suff w:val="nothing"/>
      <w:lvlText w:val="%1．"/>
      <w:lvlJc w:val="left"/>
      <w:pPr>
        <w:ind w:left="0" w:firstLine="400"/>
      </w:pPr>
      <w:rPr>
        <w:rFonts w:hint="default"/>
      </w:rPr>
    </w:lvl>
  </w:abstractNum>
  <w:abstractNum w:abstractNumId="321314494">
    <w:nsid w:val="1326DEBE"/>
    <w:multiLevelType w:val="singleLevel"/>
    <w:tmpl w:val="1326DEBE"/>
    <w:lvl w:ilvl="0" w:tentative="1">
      <w:start w:val="3"/>
      <w:numFmt w:val="chineseCounting"/>
      <w:suff w:val="nothing"/>
      <w:lvlText w:val="（%1）"/>
      <w:lvlJc w:val="left"/>
      <w:rPr>
        <w:rFonts w:hint="eastAsia"/>
      </w:rPr>
    </w:lvl>
  </w:abstractNum>
  <w:abstractNum w:abstractNumId="2788297528">
    <w:nsid w:val="A6320B38"/>
    <w:multiLevelType w:val="singleLevel"/>
    <w:tmpl w:val="A6320B38"/>
    <w:lvl w:ilvl="0" w:tentative="1">
      <w:start w:val="1"/>
      <w:numFmt w:val="decimal"/>
      <w:suff w:val="nothing"/>
      <w:lvlText w:val="%1．"/>
      <w:lvlJc w:val="left"/>
      <w:pPr>
        <w:ind w:left="0" w:firstLine="403"/>
      </w:pPr>
      <w:rPr>
        <w:rFonts w:hint="default"/>
      </w:rPr>
    </w:lvl>
  </w:abstractNum>
  <w:abstractNum w:abstractNumId="959072428">
    <w:nsid w:val="392A48AC"/>
    <w:multiLevelType w:val="singleLevel"/>
    <w:tmpl w:val="392A48AC"/>
    <w:lvl w:ilvl="0" w:tentative="1">
      <w:start w:val="1"/>
      <w:numFmt w:val="decimal"/>
      <w:suff w:val="nothing"/>
      <w:lvlText w:val="%1．"/>
      <w:lvlJc w:val="left"/>
      <w:pPr>
        <w:ind w:left="0" w:firstLine="400"/>
      </w:pPr>
      <w:rPr>
        <w:rFonts w:hint="default"/>
      </w:rPr>
    </w:lvl>
  </w:abstractNum>
  <w:abstractNum w:abstractNumId="2117388409">
    <w:nsid w:val="7E34C879"/>
    <w:multiLevelType w:val="singleLevel"/>
    <w:tmpl w:val="7E34C879"/>
    <w:lvl w:ilvl="0" w:tentative="1">
      <w:start w:val="1"/>
      <w:numFmt w:val="decimal"/>
      <w:lvlText w:val="(%1)"/>
      <w:lvlJc w:val="left"/>
      <w:pPr>
        <w:tabs>
          <w:tab w:val="left" w:pos="420"/>
        </w:tabs>
        <w:ind w:left="845" w:hanging="425"/>
      </w:pPr>
      <w:rPr>
        <w:rFonts w:hint="default"/>
      </w:rPr>
    </w:lvl>
  </w:abstractNum>
  <w:abstractNum w:abstractNumId="2397907278">
    <w:nsid w:val="8EED294E"/>
    <w:multiLevelType w:val="singleLevel"/>
    <w:tmpl w:val="8EED294E"/>
    <w:lvl w:ilvl="0" w:tentative="1">
      <w:start w:val="1"/>
      <w:numFmt w:val="decimal"/>
      <w:suff w:val="nothing"/>
      <w:lvlText w:val="%1．"/>
      <w:lvlJc w:val="left"/>
      <w:pPr>
        <w:ind w:left="0" w:firstLine="400"/>
      </w:pPr>
      <w:rPr>
        <w:rFonts w:hint="default"/>
      </w:rPr>
    </w:lvl>
  </w:abstractNum>
  <w:abstractNum w:abstractNumId="2070534495">
    <w:nsid w:val="7B69D95F"/>
    <w:multiLevelType w:val="singleLevel"/>
    <w:tmpl w:val="7B69D95F"/>
    <w:lvl w:ilvl="0" w:tentative="1">
      <w:start w:val="1"/>
      <w:numFmt w:val="bullet"/>
      <w:lvlText w:val=""/>
      <w:lvlJc w:val="left"/>
      <w:pPr>
        <w:ind w:left="420" w:hanging="420"/>
      </w:pPr>
      <w:rPr>
        <w:rFonts w:hint="default" w:ascii="Wingdings" w:hAnsi="Wingdings"/>
      </w:rPr>
    </w:lvl>
  </w:abstractNum>
  <w:abstractNum w:abstractNumId="2716868673">
    <w:nsid w:val="A1F02041"/>
    <w:multiLevelType w:val="singleLevel"/>
    <w:tmpl w:val="A1F02041"/>
    <w:lvl w:ilvl="0" w:tentative="1">
      <w:start w:val="1"/>
      <w:numFmt w:val="decimal"/>
      <w:suff w:val="nothing"/>
      <w:lvlText w:val="%1．"/>
      <w:lvlJc w:val="left"/>
      <w:pPr>
        <w:ind w:left="0" w:firstLine="400"/>
      </w:pPr>
      <w:rPr>
        <w:rFonts w:hint="default"/>
      </w:rPr>
    </w:lvl>
  </w:abstractNum>
  <w:abstractNum w:abstractNumId="1837293531">
    <w:nsid w:val="6D82DFDB"/>
    <w:multiLevelType w:val="singleLevel"/>
    <w:tmpl w:val="6D82DFDB"/>
    <w:lvl w:ilvl="0" w:tentative="1">
      <w:start w:val="1"/>
      <w:numFmt w:val="decimal"/>
      <w:suff w:val="nothing"/>
      <w:lvlText w:val="%1．"/>
      <w:lvlJc w:val="left"/>
      <w:pPr>
        <w:ind w:left="0" w:firstLine="400"/>
      </w:pPr>
      <w:rPr>
        <w:rFonts w:hint="default"/>
      </w:rPr>
    </w:lvl>
  </w:abstractNum>
  <w:abstractNum w:abstractNumId="3547686211">
    <w:nsid w:val="D3756543"/>
    <w:multiLevelType w:val="singleLevel"/>
    <w:tmpl w:val="D3756543"/>
    <w:lvl w:ilvl="0" w:tentative="1">
      <w:start w:val="1"/>
      <w:numFmt w:val="decimal"/>
      <w:suff w:val="nothing"/>
      <w:lvlText w:val="%1．"/>
      <w:lvlJc w:val="left"/>
      <w:pPr>
        <w:ind w:left="0" w:firstLine="400"/>
      </w:pPr>
      <w:rPr>
        <w:rFonts w:hint="default"/>
      </w:rPr>
    </w:lvl>
  </w:abstractNum>
  <w:abstractNum w:abstractNumId="1709165102">
    <w:nsid w:val="65DFCA2E"/>
    <w:multiLevelType w:val="singleLevel"/>
    <w:tmpl w:val="65DFCA2E"/>
    <w:lvl w:ilvl="0" w:tentative="1">
      <w:start w:val="1"/>
      <w:numFmt w:val="decimal"/>
      <w:suff w:val="nothing"/>
      <w:lvlText w:val="%1．"/>
      <w:lvlJc w:val="left"/>
      <w:pPr>
        <w:ind w:left="0" w:firstLine="400"/>
      </w:pPr>
      <w:rPr>
        <w:rFonts w:hint="default"/>
      </w:rPr>
    </w:lvl>
  </w:abstractNum>
  <w:abstractNum w:abstractNumId="206314393">
    <w:nsid w:val="0C4C1B99"/>
    <w:multiLevelType w:val="singleLevel"/>
    <w:tmpl w:val="0C4C1B99"/>
    <w:lvl w:ilvl="0" w:tentative="1">
      <w:start w:val="1"/>
      <w:numFmt w:val="decimal"/>
      <w:suff w:val="nothing"/>
      <w:lvlText w:val="%1．"/>
      <w:lvlJc w:val="left"/>
      <w:pPr>
        <w:ind w:left="0" w:firstLine="400"/>
      </w:pPr>
      <w:rPr>
        <w:rFonts w:hint="default"/>
      </w:rPr>
    </w:lvl>
  </w:abstractNum>
  <w:abstractNum w:abstractNumId="1595849027">
    <w:nsid w:val="5F1EB943"/>
    <w:multiLevelType w:val="singleLevel"/>
    <w:tmpl w:val="5F1EB943"/>
    <w:lvl w:ilvl="0" w:tentative="1">
      <w:start w:val="1"/>
      <w:numFmt w:val="decimal"/>
      <w:suff w:val="nothing"/>
      <w:lvlText w:val="%1．"/>
      <w:lvlJc w:val="left"/>
      <w:pPr>
        <w:ind w:left="0" w:firstLine="400"/>
      </w:pPr>
      <w:rPr>
        <w:rFonts w:hint="default"/>
      </w:rPr>
    </w:lvl>
  </w:abstractNum>
  <w:abstractNum w:abstractNumId="3919687920">
    <w:nsid w:val="E9A1B0F0"/>
    <w:multiLevelType w:val="singleLevel"/>
    <w:tmpl w:val="E9A1B0F0"/>
    <w:lvl w:ilvl="0" w:tentative="1">
      <w:start w:val="1"/>
      <w:numFmt w:val="decimal"/>
      <w:suff w:val="nothing"/>
      <w:lvlText w:val="%1．"/>
      <w:lvlJc w:val="left"/>
      <w:pPr>
        <w:ind w:left="0" w:firstLine="400"/>
      </w:pPr>
      <w:rPr>
        <w:rFonts w:hint="default"/>
      </w:rPr>
    </w:lvl>
  </w:abstractNum>
  <w:abstractNum w:abstractNumId="2134979599">
    <w:nsid w:val="7F41340F"/>
    <w:multiLevelType w:val="singleLevel"/>
    <w:tmpl w:val="7F41340F"/>
    <w:lvl w:ilvl="0" w:tentative="1">
      <w:start w:val="2"/>
      <w:numFmt w:val="decimal"/>
      <w:lvlText w:val="%1、"/>
      <w:lvlJc w:val="left"/>
      <w:pPr>
        <w:tabs>
          <w:tab w:val="left" w:pos="1620"/>
        </w:tabs>
        <w:ind w:left="1620" w:hanging="720"/>
      </w:pPr>
      <w:rPr>
        <w:rFonts w:hint="eastAsia"/>
      </w:rPr>
    </w:lvl>
  </w:abstractNum>
  <w:abstractNum w:abstractNumId="1610007584">
    <w:nsid w:val="5FF6C420"/>
    <w:multiLevelType w:val="singleLevel"/>
    <w:tmpl w:val="5FF6C420"/>
    <w:lvl w:ilvl="0" w:tentative="1">
      <w:start w:val="1"/>
      <w:numFmt w:val="decimal"/>
      <w:suff w:val="space"/>
      <w:lvlText w:val="%1."/>
      <w:lvlJc w:val="left"/>
    </w:lvl>
  </w:abstractNum>
  <w:abstractNum w:abstractNumId="1504493287">
    <w:nsid w:val="59ACBEE7"/>
    <w:multiLevelType w:val="singleLevel"/>
    <w:tmpl w:val="59ACBEE7"/>
    <w:lvl w:ilvl="0" w:tentative="1">
      <w:start w:val="1"/>
      <w:numFmt w:val="decimal"/>
      <w:suff w:val="nothing"/>
      <w:lvlText w:val="%1、"/>
      <w:lvlJc w:val="left"/>
      <w:rPr>
        <w:rFonts w:cs="Times New Roman"/>
      </w:rPr>
    </w:lvl>
  </w:abstractNum>
  <w:abstractNum w:abstractNumId="1531814332">
    <w:nsid w:val="5B4DA1BC"/>
    <w:multiLevelType w:val="singleLevel"/>
    <w:tmpl w:val="5B4DA1BC"/>
    <w:lvl w:ilvl="0" w:tentative="1">
      <w:start w:val="2"/>
      <w:numFmt w:val="decimal"/>
      <w:suff w:val="nothing"/>
      <w:lvlText w:val="%1、"/>
      <w:lvlJc w:val="left"/>
    </w:lvl>
  </w:abstractNum>
  <w:abstractNum w:abstractNumId="2555468025">
    <w:nsid w:val="985158F9"/>
    <w:multiLevelType w:val="singleLevel"/>
    <w:tmpl w:val="985158F9"/>
    <w:lvl w:ilvl="0" w:tentative="1">
      <w:start w:val="1"/>
      <w:numFmt w:val="decimal"/>
      <w:suff w:val="nothing"/>
      <w:lvlText w:val="%1．"/>
      <w:lvlJc w:val="left"/>
      <w:pPr>
        <w:ind w:left="0" w:firstLine="400"/>
      </w:pPr>
      <w:rPr>
        <w:rFonts w:hint="default"/>
      </w:rPr>
    </w:lvl>
  </w:abstractNum>
  <w:abstractNum w:abstractNumId="156379079">
    <w:nsid w:val="095227C7"/>
    <w:multiLevelType w:val="singleLevel"/>
    <w:tmpl w:val="095227C7"/>
    <w:lvl w:ilvl="0" w:tentative="1">
      <w:start w:val="1"/>
      <w:numFmt w:val="decimal"/>
      <w:suff w:val="nothing"/>
      <w:lvlText w:val="%1．"/>
      <w:lvlJc w:val="left"/>
      <w:pPr>
        <w:ind w:left="0" w:firstLine="400"/>
      </w:pPr>
      <w:rPr>
        <w:rFonts w:hint="default"/>
      </w:rPr>
    </w:lvl>
  </w:abstractNum>
  <w:abstractNum w:abstractNumId="3962930202">
    <w:nsid w:val="EC35841A"/>
    <w:multiLevelType w:val="singleLevel"/>
    <w:tmpl w:val="EC35841A"/>
    <w:lvl w:ilvl="0" w:tentative="1">
      <w:start w:val="1"/>
      <w:numFmt w:val="decimal"/>
      <w:suff w:val="nothing"/>
      <w:lvlText w:val="%1．"/>
      <w:lvlJc w:val="left"/>
      <w:pPr>
        <w:ind w:left="0" w:firstLine="400"/>
      </w:pPr>
      <w:rPr>
        <w:rFonts w:hint="default"/>
      </w:rPr>
    </w:lvl>
  </w:abstractNum>
  <w:abstractNum w:abstractNumId="2738153486">
    <w:nsid w:val="A334E80E"/>
    <w:multiLevelType w:val="singleLevel"/>
    <w:tmpl w:val="A334E80E"/>
    <w:lvl w:ilvl="0" w:tentative="1">
      <w:start w:val="1"/>
      <w:numFmt w:val="decimal"/>
      <w:suff w:val="nothing"/>
      <w:lvlText w:val="%1．"/>
      <w:lvlJc w:val="left"/>
      <w:pPr>
        <w:ind w:left="0" w:firstLine="400"/>
      </w:pPr>
      <w:rPr>
        <w:rFonts w:hint="default"/>
      </w:rPr>
    </w:lvl>
  </w:abstractNum>
  <w:num w:numId="1">
    <w:abstractNumId w:val="1679238143"/>
  </w:num>
  <w:num w:numId="2">
    <w:abstractNumId w:val="1843468400"/>
  </w:num>
  <w:num w:numId="3">
    <w:abstractNumId w:val="723137771"/>
  </w:num>
  <w:num w:numId="4">
    <w:abstractNumId w:val="1618995049"/>
  </w:num>
  <w:num w:numId="5">
    <w:abstractNumId w:val="1631259559"/>
  </w:num>
  <w:num w:numId="6">
    <w:abstractNumId w:val="156379079"/>
  </w:num>
  <w:num w:numId="7">
    <w:abstractNumId w:val="2738153486"/>
  </w:num>
  <w:num w:numId="8">
    <w:abstractNumId w:val="3962930202"/>
  </w:num>
  <w:num w:numId="9">
    <w:abstractNumId w:val="321314494"/>
  </w:num>
  <w:num w:numId="10">
    <w:abstractNumId w:val="2788297528"/>
  </w:num>
  <w:num w:numId="11">
    <w:abstractNumId w:val="959072428"/>
  </w:num>
  <w:num w:numId="12">
    <w:abstractNumId w:val="2117388409"/>
  </w:num>
  <w:num w:numId="13">
    <w:abstractNumId w:val="2397907278"/>
  </w:num>
  <w:num w:numId="14">
    <w:abstractNumId w:val="272160722"/>
  </w:num>
  <w:num w:numId="15">
    <w:abstractNumId w:val="1100508966"/>
  </w:num>
  <w:num w:numId="16">
    <w:abstractNumId w:val="2070534495"/>
  </w:num>
  <w:num w:numId="17">
    <w:abstractNumId w:val="2716868673"/>
  </w:num>
  <w:num w:numId="18">
    <w:abstractNumId w:val="1837293531"/>
  </w:num>
  <w:num w:numId="19">
    <w:abstractNumId w:val="3547686211"/>
  </w:num>
  <w:num w:numId="20">
    <w:abstractNumId w:val="1709165102"/>
  </w:num>
  <w:num w:numId="21">
    <w:abstractNumId w:val="206314393"/>
  </w:num>
  <w:num w:numId="22">
    <w:abstractNumId w:val="1086925691"/>
  </w:num>
  <w:num w:numId="23">
    <w:abstractNumId w:val="3748131752"/>
  </w:num>
  <w:num w:numId="24">
    <w:abstractNumId w:val="3057674480"/>
  </w:num>
  <w:num w:numId="25">
    <w:abstractNumId w:val="1245741555"/>
  </w:num>
  <w:num w:numId="26">
    <w:abstractNumId w:val="1013529574"/>
  </w:num>
  <w:num w:numId="27">
    <w:abstractNumId w:val="3063048962"/>
  </w:num>
  <w:num w:numId="28">
    <w:abstractNumId w:val="1017928684"/>
  </w:num>
  <w:num w:numId="29">
    <w:abstractNumId w:val="43821387"/>
  </w:num>
  <w:num w:numId="30">
    <w:abstractNumId w:val="700876340"/>
  </w:num>
  <w:num w:numId="31">
    <w:abstractNumId w:val="1124848378"/>
  </w:num>
  <w:num w:numId="32">
    <w:abstractNumId w:val="2553498010"/>
  </w:num>
  <w:num w:numId="33">
    <w:abstractNumId w:val="267081633"/>
  </w:num>
  <w:num w:numId="34">
    <w:abstractNumId w:val="71061562"/>
  </w:num>
  <w:num w:numId="35">
    <w:abstractNumId w:val="507476516"/>
  </w:num>
  <w:num w:numId="36">
    <w:abstractNumId w:val="381169946"/>
  </w:num>
  <w:num w:numId="37">
    <w:abstractNumId w:val="1390112629"/>
  </w:num>
  <w:num w:numId="38">
    <w:abstractNumId w:val="1873189603"/>
  </w:num>
  <w:num w:numId="39">
    <w:abstractNumId w:val="1595849027"/>
  </w:num>
  <w:num w:numId="40">
    <w:abstractNumId w:val="3919687920"/>
  </w:num>
  <w:num w:numId="41">
    <w:abstractNumId w:val="2134979599"/>
  </w:num>
  <w:num w:numId="42">
    <w:abstractNumId w:val="1610007584"/>
  </w:num>
  <w:num w:numId="43">
    <w:abstractNumId w:val="1504493287"/>
  </w:num>
  <w:num w:numId="44">
    <w:abstractNumId w:val="1531814332"/>
  </w:num>
  <w:num w:numId="45">
    <w:abstractNumId w:val="2555468025"/>
  </w:num>
  <w:num w:numId="46">
    <w:abstractNumId w:val="299080514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4FBE"/>
    <w:rsid w:val="0000025A"/>
    <w:rsid w:val="00001CC1"/>
    <w:rsid w:val="000035F4"/>
    <w:rsid w:val="000037F0"/>
    <w:rsid w:val="00011721"/>
    <w:rsid w:val="000138E8"/>
    <w:rsid w:val="00015136"/>
    <w:rsid w:val="0001591E"/>
    <w:rsid w:val="00015D46"/>
    <w:rsid w:val="00017060"/>
    <w:rsid w:val="000202BD"/>
    <w:rsid w:val="00025F4A"/>
    <w:rsid w:val="00026A02"/>
    <w:rsid w:val="00030E74"/>
    <w:rsid w:val="00031467"/>
    <w:rsid w:val="0003254D"/>
    <w:rsid w:val="00032E39"/>
    <w:rsid w:val="00034AF2"/>
    <w:rsid w:val="00036D69"/>
    <w:rsid w:val="000404A4"/>
    <w:rsid w:val="00041C10"/>
    <w:rsid w:val="00042B4E"/>
    <w:rsid w:val="00042EB3"/>
    <w:rsid w:val="00045487"/>
    <w:rsid w:val="0004607A"/>
    <w:rsid w:val="000501FA"/>
    <w:rsid w:val="00050C78"/>
    <w:rsid w:val="000522E6"/>
    <w:rsid w:val="0005297E"/>
    <w:rsid w:val="000559D6"/>
    <w:rsid w:val="00055E6D"/>
    <w:rsid w:val="00056173"/>
    <w:rsid w:val="0005637F"/>
    <w:rsid w:val="00057D5B"/>
    <w:rsid w:val="000604C8"/>
    <w:rsid w:val="00060F38"/>
    <w:rsid w:val="000613C9"/>
    <w:rsid w:val="00061709"/>
    <w:rsid w:val="00061751"/>
    <w:rsid w:val="0006421C"/>
    <w:rsid w:val="00064331"/>
    <w:rsid w:val="0006488C"/>
    <w:rsid w:val="00066FF5"/>
    <w:rsid w:val="00071D0C"/>
    <w:rsid w:val="00073925"/>
    <w:rsid w:val="000745F6"/>
    <w:rsid w:val="0007498A"/>
    <w:rsid w:val="00080A0E"/>
    <w:rsid w:val="000839F9"/>
    <w:rsid w:val="00084E75"/>
    <w:rsid w:val="00085C83"/>
    <w:rsid w:val="00087CAA"/>
    <w:rsid w:val="00090D1F"/>
    <w:rsid w:val="00090FF6"/>
    <w:rsid w:val="0009249B"/>
    <w:rsid w:val="00092B40"/>
    <w:rsid w:val="00093E97"/>
    <w:rsid w:val="000943A3"/>
    <w:rsid w:val="00094405"/>
    <w:rsid w:val="00094BA4"/>
    <w:rsid w:val="00097898"/>
    <w:rsid w:val="000979EB"/>
    <w:rsid w:val="000A06EB"/>
    <w:rsid w:val="000A1C87"/>
    <w:rsid w:val="000A1CDE"/>
    <w:rsid w:val="000A1D3B"/>
    <w:rsid w:val="000A2B27"/>
    <w:rsid w:val="000A5003"/>
    <w:rsid w:val="000A587C"/>
    <w:rsid w:val="000A7A8F"/>
    <w:rsid w:val="000B1739"/>
    <w:rsid w:val="000B18F5"/>
    <w:rsid w:val="000B46DF"/>
    <w:rsid w:val="000B58E3"/>
    <w:rsid w:val="000C250F"/>
    <w:rsid w:val="000C2DAF"/>
    <w:rsid w:val="000C30E1"/>
    <w:rsid w:val="000C37C9"/>
    <w:rsid w:val="000C5DBD"/>
    <w:rsid w:val="000D2071"/>
    <w:rsid w:val="000D331A"/>
    <w:rsid w:val="000D4D96"/>
    <w:rsid w:val="000D57D1"/>
    <w:rsid w:val="000D635C"/>
    <w:rsid w:val="000D788C"/>
    <w:rsid w:val="000D7C23"/>
    <w:rsid w:val="000D7FEC"/>
    <w:rsid w:val="000E1852"/>
    <w:rsid w:val="000E1EAA"/>
    <w:rsid w:val="000E1EEA"/>
    <w:rsid w:val="000E3154"/>
    <w:rsid w:val="000E77D9"/>
    <w:rsid w:val="000F12CA"/>
    <w:rsid w:val="000F3297"/>
    <w:rsid w:val="000F444F"/>
    <w:rsid w:val="000F4473"/>
    <w:rsid w:val="000F58E0"/>
    <w:rsid w:val="000F6102"/>
    <w:rsid w:val="000F64D5"/>
    <w:rsid w:val="0010080A"/>
    <w:rsid w:val="0010157A"/>
    <w:rsid w:val="0011181B"/>
    <w:rsid w:val="00111A6A"/>
    <w:rsid w:val="0011211A"/>
    <w:rsid w:val="00112B47"/>
    <w:rsid w:val="001148C6"/>
    <w:rsid w:val="00115094"/>
    <w:rsid w:val="00117AD4"/>
    <w:rsid w:val="001200F0"/>
    <w:rsid w:val="0012516A"/>
    <w:rsid w:val="001266F7"/>
    <w:rsid w:val="00127E3B"/>
    <w:rsid w:val="0013455A"/>
    <w:rsid w:val="00134E45"/>
    <w:rsid w:val="0013792B"/>
    <w:rsid w:val="00140519"/>
    <w:rsid w:val="00144132"/>
    <w:rsid w:val="001443A3"/>
    <w:rsid w:val="0014477F"/>
    <w:rsid w:val="00144E22"/>
    <w:rsid w:val="00145FC1"/>
    <w:rsid w:val="00153938"/>
    <w:rsid w:val="00154FA3"/>
    <w:rsid w:val="001568D6"/>
    <w:rsid w:val="001603BB"/>
    <w:rsid w:val="00160F1A"/>
    <w:rsid w:val="001613F6"/>
    <w:rsid w:val="00161742"/>
    <w:rsid w:val="00162AC7"/>
    <w:rsid w:val="00163C6B"/>
    <w:rsid w:val="00163CF5"/>
    <w:rsid w:val="00163D3F"/>
    <w:rsid w:val="00164038"/>
    <w:rsid w:val="0016454E"/>
    <w:rsid w:val="00164B17"/>
    <w:rsid w:val="00166F73"/>
    <w:rsid w:val="0017056C"/>
    <w:rsid w:val="001719C5"/>
    <w:rsid w:val="0017260C"/>
    <w:rsid w:val="0017509E"/>
    <w:rsid w:val="00176C19"/>
    <w:rsid w:val="0018119D"/>
    <w:rsid w:val="00181D19"/>
    <w:rsid w:val="00182B31"/>
    <w:rsid w:val="0018410D"/>
    <w:rsid w:val="001843C6"/>
    <w:rsid w:val="00184735"/>
    <w:rsid w:val="00184FB7"/>
    <w:rsid w:val="001858A6"/>
    <w:rsid w:val="00186FFB"/>
    <w:rsid w:val="00187352"/>
    <w:rsid w:val="00187590"/>
    <w:rsid w:val="00187674"/>
    <w:rsid w:val="00190477"/>
    <w:rsid w:val="00194B73"/>
    <w:rsid w:val="00195532"/>
    <w:rsid w:val="00195F5B"/>
    <w:rsid w:val="001967ED"/>
    <w:rsid w:val="001A0A45"/>
    <w:rsid w:val="001A1F36"/>
    <w:rsid w:val="001A24A9"/>
    <w:rsid w:val="001A5AD8"/>
    <w:rsid w:val="001A6304"/>
    <w:rsid w:val="001B0AEC"/>
    <w:rsid w:val="001B4607"/>
    <w:rsid w:val="001B51FE"/>
    <w:rsid w:val="001B6084"/>
    <w:rsid w:val="001B68D8"/>
    <w:rsid w:val="001C031F"/>
    <w:rsid w:val="001C09CF"/>
    <w:rsid w:val="001C42CD"/>
    <w:rsid w:val="001C441C"/>
    <w:rsid w:val="001C4DD1"/>
    <w:rsid w:val="001C4DE4"/>
    <w:rsid w:val="001C6E99"/>
    <w:rsid w:val="001C78A7"/>
    <w:rsid w:val="001D25B6"/>
    <w:rsid w:val="001D2793"/>
    <w:rsid w:val="001D6435"/>
    <w:rsid w:val="001D67D5"/>
    <w:rsid w:val="001E4700"/>
    <w:rsid w:val="001E6BA1"/>
    <w:rsid w:val="001F1D58"/>
    <w:rsid w:val="001F2B86"/>
    <w:rsid w:val="001F2D5E"/>
    <w:rsid w:val="001F4CF7"/>
    <w:rsid w:val="001F6B29"/>
    <w:rsid w:val="001F72A2"/>
    <w:rsid w:val="001F7AB6"/>
    <w:rsid w:val="001F7C4A"/>
    <w:rsid w:val="00200224"/>
    <w:rsid w:val="00201004"/>
    <w:rsid w:val="00202DB8"/>
    <w:rsid w:val="00204B71"/>
    <w:rsid w:val="00207178"/>
    <w:rsid w:val="002122DB"/>
    <w:rsid w:val="00213994"/>
    <w:rsid w:val="00213B07"/>
    <w:rsid w:val="002152F0"/>
    <w:rsid w:val="00216EB4"/>
    <w:rsid w:val="00221913"/>
    <w:rsid w:val="00221953"/>
    <w:rsid w:val="00221B97"/>
    <w:rsid w:val="00226E86"/>
    <w:rsid w:val="00226F50"/>
    <w:rsid w:val="00230A4E"/>
    <w:rsid w:val="00232602"/>
    <w:rsid w:val="00232F13"/>
    <w:rsid w:val="00233085"/>
    <w:rsid w:val="0023344E"/>
    <w:rsid w:val="00234F46"/>
    <w:rsid w:val="00237051"/>
    <w:rsid w:val="002372E3"/>
    <w:rsid w:val="002408C8"/>
    <w:rsid w:val="0024232D"/>
    <w:rsid w:val="00242A24"/>
    <w:rsid w:val="002434B6"/>
    <w:rsid w:val="002447B7"/>
    <w:rsid w:val="002452ED"/>
    <w:rsid w:val="002510A9"/>
    <w:rsid w:val="0025343D"/>
    <w:rsid w:val="002539A2"/>
    <w:rsid w:val="00254E25"/>
    <w:rsid w:val="0026022B"/>
    <w:rsid w:val="002662A3"/>
    <w:rsid w:val="0026685D"/>
    <w:rsid w:val="0026688A"/>
    <w:rsid w:val="00266937"/>
    <w:rsid w:val="00267608"/>
    <w:rsid w:val="00267CCE"/>
    <w:rsid w:val="00270528"/>
    <w:rsid w:val="0027327B"/>
    <w:rsid w:val="00277B3D"/>
    <w:rsid w:val="00281B19"/>
    <w:rsid w:val="00282430"/>
    <w:rsid w:val="00283762"/>
    <w:rsid w:val="00283A95"/>
    <w:rsid w:val="00283DBA"/>
    <w:rsid w:val="00287043"/>
    <w:rsid w:val="002A0D60"/>
    <w:rsid w:val="002A1458"/>
    <w:rsid w:val="002A2966"/>
    <w:rsid w:val="002A2D74"/>
    <w:rsid w:val="002A350A"/>
    <w:rsid w:val="002A5605"/>
    <w:rsid w:val="002A75FF"/>
    <w:rsid w:val="002B0321"/>
    <w:rsid w:val="002B1E3C"/>
    <w:rsid w:val="002B4EEF"/>
    <w:rsid w:val="002B510A"/>
    <w:rsid w:val="002B5196"/>
    <w:rsid w:val="002B5982"/>
    <w:rsid w:val="002B6139"/>
    <w:rsid w:val="002C1486"/>
    <w:rsid w:val="002C549E"/>
    <w:rsid w:val="002C55D2"/>
    <w:rsid w:val="002D39A3"/>
    <w:rsid w:val="002D3BB1"/>
    <w:rsid w:val="002D4566"/>
    <w:rsid w:val="002D4C27"/>
    <w:rsid w:val="002D4D08"/>
    <w:rsid w:val="002D6292"/>
    <w:rsid w:val="002D6B47"/>
    <w:rsid w:val="002D73CD"/>
    <w:rsid w:val="002E272E"/>
    <w:rsid w:val="002E2BEE"/>
    <w:rsid w:val="002E3121"/>
    <w:rsid w:val="002E3D90"/>
    <w:rsid w:val="002E41DB"/>
    <w:rsid w:val="002E5D7F"/>
    <w:rsid w:val="002F3D28"/>
    <w:rsid w:val="002F603A"/>
    <w:rsid w:val="003032C9"/>
    <w:rsid w:val="003034D2"/>
    <w:rsid w:val="00305221"/>
    <w:rsid w:val="00306305"/>
    <w:rsid w:val="0030784B"/>
    <w:rsid w:val="00311320"/>
    <w:rsid w:val="00312109"/>
    <w:rsid w:val="00313655"/>
    <w:rsid w:val="00313C6B"/>
    <w:rsid w:val="00314DA9"/>
    <w:rsid w:val="00317FBE"/>
    <w:rsid w:val="0032495C"/>
    <w:rsid w:val="00325B6A"/>
    <w:rsid w:val="0032613D"/>
    <w:rsid w:val="00327F94"/>
    <w:rsid w:val="00330393"/>
    <w:rsid w:val="0033149C"/>
    <w:rsid w:val="00335987"/>
    <w:rsid w:val="003451D5"/>
    <w:rsid w:val="00345C73"/>
    <w:rsid w:val="00345F39"/>
    <w:rsid w:val="0034601A"/>
    <w:rsid w:val="00347C07"/>
    <w:rsid w:val="00350C68"/>
    <w:rsid w:val="00353396"/>
    <w:rsid w:val="00354041"/>
    <w:rsid w:val="00356AA8"/>
    <w:rsid w:val="003618CD"/>
    <w:rsid w:val="003630D0"/>
    <w:rsid w:val="00366D40"/>
    <w:rsid w:val="00367C72"/>
    <w:rsid w:val="00367ED7"/>
    <w:rsid w:val="003751EF"/>
    <w:rsid w:val="00375E93"/>
    <w:rsid w:val="003977AF"/>
    <w:rsid w:val="00397FCB"/>
    <w:rsid w:val="003A118C"/>
    <w:rsid w:val="003A17D7"/>
    <w:rsid w:val="003A21C4"/>
    <w:rsid w:val="003A3CE9"/>
    <w:rsid w:val="003A52B2"/>
    <w:rsid w:val="003B0382"/>
    <w:rsid w:val="003C0650"/>
    <w:rsid w:val="003C0693"/>
    <w:rsid w:val="003C0861"/>
    <w:rsid w:val="003C430F"/>
    <w:rsid w:val="003C6FB6"/>
    <w:rsid w:val="003C70A4"/>
    <w:rsid w:val="003D111D"/>
    <w:rsid w:val="003D1A1D"/>
    <w:rsid w:val="003D441F"/>
    <w:rsid w:val="003D655A"/>
    <w:rsid w:val="003D71E5"/>
    <w:rsid w:val="003D79E7"/>
    <w:rsid w:val="003E284D"/>
    <w:rsid w:val="003E2AB8"/>
    <w:rsid w:val="003E5143"/>
    <w:rsid w:val="003E69EF"/>
    <w:rsid w:val="003E7AC3"/>
    <w:rsid w:val="003F281F"/>
    <w:rsid w:val="003F310F"/>
    <w:rsid w:val="003F34D7"/>
    <w:rsid w:val="003F440F"/>
    <w:rsid w:val="003F491A"/>
    <w:rsid w:val="003F6B3A"/>
    <w:rsid w:val="003F6CA3"/>
    <w:rsid w:val="003F7C56"/>
    <w:rsid w:val="00403094"/>
    <w:rsid w:val="00405EBF"/>
    <w:rsid w:val="004076A6"/>
    <w:rsid w:val="00407BB7"/>
    <w:rsid w:val="004105ED"/>
    <w:rsid w:val="004120D4"/>
    <w:rsid w:val="00412FF5"/>
    <w:rsid w:val="004137FE"/>
    <w:rsid w:val="0041720E"/>
    <w:rsid w:val="00417342"/>
    <w:rsid w:val="0043001F"/>
    <w:rsid w:val="004307A3"/>
    <w:rsid w:val="004341AA"/>
    <w:rsid w:val="00434685"/>
    <w:rsid w:val="00434C28"/>
    <w:rsid w:val="0043524F"/>
    <w:rsid w:val="00437350"/>
    <w:rsid w:val="0043763D"/>
    <w:rsid w:val="00440896"/>
    <w:rsid w:val="00445CFD"/>
    <w:rsid w:val="004468DE"/>
    <w:rsid w:val="00447A63"/>
    <w:rsid w:val="0045047B"/>
    <w:rsid w:val="004537CA"/>
    <w:rsid w:val="0045693A"/>
    <w:rsid w:val="004574CF"/>
    <w:rsid w:val="00460B52"/>
    <w:rsid w:val="0046116C"/>
    <w:rsid w:val="00461887"/>
    <w:rsid w:val="0046220A"/>
    <w:rsid w:val="00462D41"/>
    <w:rsid w:val="00462EDE"/>
    <w:rsid w:val="00464FB5"/>
    <w:rsid w:val="00465A03"/>
    <w:rsid w:val="00465C7B"/>
    <w:rsid w:val="004673A3"/>
    <w:rsid w:val="004700E2"/>
    <w:rsid w:val="00470586"/>
    <w:rsid w:val="00470BCA"/>
    <w:rsid w:val="00471405"/>
    <w:rsid w:val="004725F2"/>
    <w:rsid w:val="00475E8A"/>
    <w:rsid w:val="00477053"/>
    <w:rsid w:val="00477109"/>
    <w:rsid w:val="00481EF4"/>
    <w:rsid w:val="0048641F"/>
    <w:rsid w:val="00486775"/>
    <w:rsid w:val="0049040C"/>
    <w:rsid w:val="00492413"/>
    <w:rsid w:val="00492B7F"/>
    <w:rsid w:val="00492C6B"/>
    <w:rsid w:val="00492E09"/>
    <w:rsid w:val="00493CA6"/>
    <w:rsid w:val="004943E8"/>
    <w:rsid w:val="00495E2B"/>
    <w:rsid w:val="00495E3C"/>
    <w:rsid w:val="004A020F"/>
    <w:rsid w:val="004A2044"/>
    <w:rsid w:val="004B067B"/>
    <w:rsid w:val="004B2E62"/>
    <w:rsid w:val="004B5EC6"/>
    <w:rsid w:val="004B6762"/>
    <w:rsid w:val="004B6CFF"/>
    <w:rsid w:val="004B7F6E"/>
    <w:rsid w:val="004C16D5"/>
    <w:rsid w:val="004C1B9D"/>
    <w:rsid w:val="004C216A"/>
    <w:rsid w:val="004C32D6"/>
    <w:rsid w:val="004C3684"/>
    <w:rsid w:val="004C60E9"/>
    <w:rsid w:val="004D0206"/>
    <w:rsid w:val="004D048E"/>
    <w:rsid w:val="004D0C51"/>
    <w:rsid w:val="004D0DD6"/>
    <w:rsid w:val="004D13B1"/>
    <w:rsid w:val="004D150A"/>
    <w:rsid w:val="004D29FF"/>
    <w:rsid w:val="004D626B"/>
    <w:rsid w:val="004D6905"/>
    <w:rsid w:val="004D6F27"/>
    <w:rsid w:val="004D7553"/>
    <w:rsid w:val="004D7C4C"/>
    <w:rsid w:val="004E0302"/>
    <w:rsid w:val="004E0F9A"/>
    <w:rsid w:val="004E21F5"/>
    <w:rsid w:val="004E4CB6"/>
    <w:rsid w:val="004E6BA4"/>
    <w:rsid w:val="004E7787"/>
    <w:rsid w:val="004F0B26"/>
    <w:rsid w:val="004F0FCE"/>
    <w:rsid w:val="004F1662"/>
    <w:rsid w:val="004F202B"/>
    <w:rsid w:val="004F3507"/>
    <w:rsid w:val="004F3EE4"/>
    <w:rsid w:val="004F42C4"/>
    <w:rsid w:val="004F5477"/>
    <w:rsid w:val="004F63CE"/>
    <w:rsid w:val="004F7E99"/>
    <w:rsid w:val="004F7FE8"/>
    <w:rsid w:val="0050000D"/>
    <w:rsid w:val="00500645"/>
    <w:rsid w:val="005019B3"/>
    <w:rsid w:val="00503042"/>
    <w:rsid w:val="00503AA5"/>
    <w:rsid w:val="00504E09"/>
    <w:rsid w:val="00516B63"/>
    <w:rsid w:val="005206C3"/>
    <w:rsid w:val="00521C7F"/>
    <w:rsid w:val="00522CAF"/>
    <w:rsid w:val="00526755"/>
    <w:rsid w:val="00526C59"/>
    <w:rsid w:val="00530109"/>
    <w:rsid w:val="00530BB1"/>
    <w:rsid w:val="0053248E"/>
    <w:rsid w:val="00532B43"/>
    <w:rsid w:val="00533248"/>
    <w:rsid w:val="005345B3"/>
    <w:rsid w:val="00537959"/>
    <w:rsid w:val="00537FA7"/>
    <w:rsid w:val="00541249"/>
    <w:rsid w:val="00541A28"/>
    <w:rsid w:val="00543072"/>
    <w:rsid w:val="005507B7"/>
    <w:rsid w:val="0055158F"/>
    <w:rsid w:val="005527B8"/>
    <w:rsid w:val="00557FFD"/>
    <w:rsid w:val="005618A8"/>
    <w:rsid w:val="00561DC5"/>
    <w:rsid w:val="005630BA"/>
    <w:rsid w:val="00565484"/>
    <w:rsid w:val="005661C0"/>
    <w:rsid w:val="00566AE5"/>
    <w:rsid w:val="00566D88"/>
    <w:rsid w:val="005701DE"/>
    <w:rsid w:val="0057111D"/>
    <w:rsid w:val="00574EF9"/>
    <w:rsid w:val="00576E2C"/>
    <w:rsid w:val="005770DF"/>
    <w:rsid w:val="00577127"/>
    <w:rsid w:val="00580F00"/>
    <w:rsid w:val="005827EF"/>
    <w:rsid w:val="00583761"/>
    <w:rsid w:val="0058503E"/>
    <w:rsid w:val="0058622B"/>
    <w:rsid w:val="00587A9A"/>
    <w:rsid w:val="005964EA"/>
    <w:rsid w:val="005A002A"/>
    <w:rsid w:val="005A010C"/>
    <w:rsid w:val="005A130D"/>
    <w:rsid w:val="005A1ACF"/>
    <w:rsid w:val="005A1B31"/>
    <w:rsid w:val="005A7C49"/>
    <w:rsid w:val="005B06FB"/>
    <w:rsid w:val="005B350D"/>
    <w:rsid w:val="005B6142"/>
    <w:rsid w:val="005B681E"/>
    <w:rsid w:val="005C0C63"/>
    <w:rsid w:val="005C0E04"/>
    <w:rsid w:val="005C19C0"/>
    <w:rsid w:val="005C6B3F"/>
    <w:rsid w:val="005D0D2F"/>
    <w:rsid w:val="005D46CD"/>
    <w:rsid w:val="005D4A96"/>
    <w:rsid w:val="005D5E1B"/>
    <w:rsid w:val="005D7FC7"/>
    <w:rsid w:val="005E654C"/>
    <w:rsid w:val="005E7132"/>
    <w:rsid w:val="005F26B4"/>
    <w:rsid w:val="005F2D62"/>
    <w:rsid w:val="005F2D88"/>
    <w:rsid w:val="005F4D1B"/>
    <w:rsid w:val="005F4FB8"/>
    <w:rsid w:val="005F6C39"/>
    <w:rsid w:val="005F79FD"/>
    <w:rsid w:val="00600060"/>
    <w:rsid w:val="00600341"/>
    <w:rsid w:val="00602E21"/>
    <w:rsid w:val="00603612"/>
    <w:rsid w:val="0060380C"/>
    <w:rsid w:val="00603FC0"/>
    <w:rsid w:val="0060545C"/>
    <w:rsid w:val="00605AF4"/>
    <w:rsid w:val="00606E06"/>
    <w:rsid w:val="00607AAE"/>
    <w:rsid w:val="00613372"/>
    <w:rsid w:val="0062425C"/>
    <w:rsid w:val="00624392"/>
    <w:rsid w:val="006262D0"/>
    <w:rsid w:val="00626C87"/>
    <w:rsid w:val="006270E1"/>
    <w:rsid w:val="00633F76"/>
    <w:rsid w:val="00635A21"/>
    <w:rsid w:val="006371A6"/>
    <w:rsid w:val="00640C70"/>
    <w:rsid w:val="006411C0"/>
    <w:rsid w:val="006444C5"/>
    <w:rsid w:val="00644AED"/>
    <w:rsid w:val="006457E3"/>
    <w:rsid w:val="00646067"/>
    <w:rsid w:val="00647592"/>
    <w:rsid w:val="0065067F"/>
    <w:rsid w:val="006506AA"/>
    <w:rsid w:val="00652FD2"/>
    <w:rsid w:val="006531B2"/>
    <w:rsid w:val="006542CD"/>
    <w:rsid w:val="006544E3"/>
    <w:rsid w:val="00654780"/>
    <w:rsid w:val="00655B0E"/>
    <w:rsid w:val="006566B1"/>
    <w:rsid w:val="0065776D"/>
    <w:rsid w:val="0066048B"/>
    <w:rsid w:val="006607A7"/>
    <w:rsid w:val="00664BDC"/>
    <w:rsid w:val="00665DFD"/>
    <w:rsid w:val="00682742"/>
    <w:rsid w:val="0068504F"/>
    <w:rsid w:val="00690CFF"/>
    <w:rsid w:val="00690F83"/>
    <w:rsid w:val="0069131A"/>
    <w:rsid w:val="006923E4"/>
    <w:rsid w:val="00693444"/>
    <w:rsid w:val="006938F3"/>
    <w:rsid w:val="006A06BA"/>
    <w:rsid w:val="006A31FD"/>
    <w:rsid w:val="006A482E"/>
    <w:rsid w:val="006A68D0"/>
    <w:rsid w:val="006A7262"/>
    <w:rsid w:val="006A778E"/>
    <w:rsid w:val="006B1CA2"/>
    <w:rsid w:val="006B5B1F"/>
    <w:rsid w:val="006B608F"/>
    <w:rsid w:val="006B6A8F"/>
    <w:rsid w:val="006C059F"/>
    <w:rsid w:val="006C0C12"/>
    <w:rsid w:val="006C3BD9"/>
    <w:rsid w:val="006C5238"/>
    <w:rsid w:val="006C641F"/>
    <w:rsid w:val="006D0972"/>
    <w:rsid w:val="006D09C6"/>
    <w:rsid w:val="006D3640"/>
    <w:rsid w:val="006D64A1"/>
    <w:rsid w:val="006D65A8"/>
    <w:rsid w:val="006D73CA"/>
    <w:rsid w:val="006E086A"/>
    <w:rsid w:val="006E2A3C"/>
    <w:rsid w:val="006E4E59"/>
    <w:rsid w:val="006E5367"/>
    <w:rsid w:val="006E67C2"/>
    <w:rsid w:val="006F033A"/>
    <w:rsid w:val="006F4513"/>
    <w:rsid w:val="006F5547"/>
    <w:rsid w:val="00701BD2"/>
    <w:rsid w:val="00703DFE"/>
    <w:rsid w:val="0070413B"/>
    <w:rsid w:val="007066D4"/>
    <w:rsid w:val="00706F94"/>
    <w:rsid w:val="00711281"/>
    <w:rsid w:val="0071168F"/>
    <w:rsid w:val="007133A7"/>
    <w:rsid w:val="00714D40"/>
    <w:rsid w:val="0071607F"/>
    <w:rsid w:val="00716992"/>
    <w:rsid w:val="00717FBE"/>
    <w:rsid w:val="00720A4F"/>
    <w:rsid w:val="00721700"/>
    <w:rsid w:val="00722CCB"/>
    <w:rsid w:val="007238B9"/>
    <w:rsid w:val="00723E53"/>
    <w:rsid w:val="007256CA"/>
    <w:rsid w:val="00731786"/>
    <w:rsid w:val="00740830"/>
    <w:rsid w:val="00741369"/>
    <w:rsid w:val="007420A7"/>
    <w:rsid w:val="00742819"/>
    <w:rsid w:val="00742F45"/>
    <w:rsid w:val="007454AA"/>
    <w:rsid w:val="00746398"/>
    <w:rsid w:val="00746A57"/>
    <w:rsid w:val="00747674"/>
    <w:rsid w:val="00747F36"/>
    <w:rsid w:val="00751D07"/>
    <w:rsid w:val="00751D77"/>
    <w:rsid w:val="00754AB3"/>
    <w:rsid w:val="00756186"/>
    <w:rsid w:val="00761946"/>
    <w:rsid w:val="007647EC"/>
    <w:rsid w:val="00765AAB"/>
    <w:rsid w:val="00770034"/>
    <w:rsid w:val="00771DDD"/>
    <w:rsid w:val="0077232D"/>
    <w:rsid w:val="00772782"/>
    <w:rsid w:val="00772943"/>
    <w:rsid w:val="00772DBD"/>
    <w:rsid w:val="0077469F"/>
    <w:rsid w:val="00774992"/>
    <w:rsid w:val="007805C7"/>
    <w:rsid w:val="00781678"/>
    <w:rsid w:val="0078362A"/>
    <w:rsid w:val="00790F04"/>
    <w:rsid w:val="0079359D"/>
    <w:rsid w:val="007941ED"/>
    <w:rsid w:val="00794800"/>
    <w:rsid w:val="007949C9"/>
    <w:rsid w:val="007A02ED"/>
    <w:rsid w:val="007A0B2E"/>
    <w:rsid w:val="007A117E"/>
    <w:rsid w:val="007A1406"/>
    <w:rsid w:val="007A17EB"/>
    <w:rsid w:val="007A1D06"/>
    <w:rsid w:val="007A1E93"/>
    <w:rsid w:val="007A2211"/>
    <w:rsid w:val="007A3CB2"/>
    <w:rsid w:val="007A4BE9"/>
    <w:rsid w:val="007A4DCD"/>
    <w:rsid w:val="007A4FBC"/>
    <w:rsid w:val="007A5E90"/>
    <w:rsid w:val="007A7FF2"/>
    <w:rsid w:val="007B0B00"/>
    <w:rsid w:val="007C15BB"/>
    <w:rsid w:val="007C2C88"/>
    <w:rsid w:val="007C39DB"/>
    <w:rsid w:val="007C3B8F"/>
    <w:rsid w:val="007C4D0F"/>
    <w:rsid w:val="007C505D"/>
    <w:rsid w:val="007C5D39"/>
    <w:rsid w:val="007C6A54"/>
    <w:rsid w:val="007C6DEE"/>
    <w:rsid w:val="007C797E"/>
    <w:rsid w:val="007D0365"/>
    <w:rsid w:val="007D3F32"/>
    <w:rsid w:val="007D40E3"/>
    <w:rsid w:val="007D6B9C"/>
    <w:rsid w:val="007E0CC3"/>
    <w:rsid w:val="007E1506"/>
    <w:rsid w:val="007E1B9A"/>
    <w:rsid w:val="007E410D"/>
    <w:rsid w:val="007E59B5"/>
    <w:rsid w:val="007E6600"/>
    <w:rsid w:val="007E752E"/>
    <w:rsid w:val="007F215E"/>
    <w:rsid w:val="007F622F"/>
    <w:rsid w:val="007F7FBD"/>
    <w:rsid w:val="00800DE7"/>
    <w:rsid w:val="0080561C"/>
    <w:rsid w:val="00806B0F"/>
    <w:rsid w:val="00812188"/>
    <w:rsid w:val="00813D5B"/>
    <w:rsid w:val="008143A5"/>
    <w:rsid w:val="008153C6"/>
    <w:rsid w:val="00816D37"/>
    <w:rsid w:val="00817EFC"/>
    <w:rsid w:val="00820225"/>
    <w:rsid w:val="00824D2A"/>
    <w:rsid w:val="00825638"/>
    <w:rsid w:val="00831D3E"/>
    <w:rsid w:val="00834967"/>
    <w:rsid w:val="00834AB9"/>
    <w:rsid w:val="00835A5B"/>
    <w:rsid w:val="00836D1E"/>
    <w:rsid w:val="00837C31"/>
    <w:rsid w:val="0084192B"/>
    <w:rsid w:val="00841B4E"/>
    <w:rsid w:val="00841F1F"/>
    <w:rsid w:val="008447E2"/>
    <w:rsid w:val="00845A18"/>
    <w:rsid w:val="0084601B"/>
    <w:rsid w:val="00850352"/>
    <w:rsid w:val="00850D6C"/>
    <w:rsid w:val="00852693"/>
    <w:rsid w:val="008527E2"/>
    <w:rsid w:val="00852A18"/>
    <w:rsid w:val="00853B02"/>
    <w:rsid w:val="008540D8"/>
    <w:rsid w:val="00854DBF"/>
    <w:rsid w:val="00854F0A"/>
    <w:rsid w:val="00856D3F"/>
    <w:rsid w:val="008571D4"/>
    <w:rsid w:val="00860099"/>
    <w:rsid w:val="00860F92"/>
    <w:rsid w:val="00862E74"/>
    <w:rsid w:val="008630CF"/>
    <w:rsid w:val="00863205"/>
    <w:rsid w:val="00863AA6"/>
    <w:rsid w:val="0086405A"/>
    <w:rsid w:val="00865708"/>
    <w:rsid w:val="00866030"/>
    <w:rsid w:val="0086685B"/>
    <w:rsid w:val="00873F7F"/>
    <w:rsid w:val="00875802"/>
    <w:rsid w:val="008767C2"/>
    <w:rsid w:val="00876FE0"/>
    <w:rsid w:val="00881677"/>
    <w:rsid w:val="00881B22"/>
    <w:rsid w:val="00883AF0"/>
    <w:rsid w:val="00884CE1"/>
    <w:rsid w:val="00885632"/>
    <w:rsid w:val="008863D7"/>
    <w:rsid w:val="0088691B"/>
    <w:rsid w:val="008879E8"/>
    <w:rsid w:val="00887D37"/>
    <w:rsid w:val="00890CB7"/>
    <w:rsid w:val="00892D18"/>
    <w:rsid w:val="00895CE2"/>
    <w:rsid w:val="008A35CC"/>
    <w:rsid w:val="008A389F"/>
    <w:rsid w:val="008A52F9"/>
    <w:rsid w:val="008B0EAE"/>
    <w:rsid w:val="008B14D4"/>
    <w:rsid w:val="008B1740"/>
    <w:rsid w:val="008B36B7"/>
    <w:rsid w:val="008B3A60"/>
    <w:rsid w:val="008B3DCC"/>
    <w:rsid w:val="008B3EE4"/>
    <w:rsid w:val="008B4E9D"/>
    <w:rsid w:val="008B5CE5"/>
    <w:rsid w:val="008B5DE4"/>
    <w:rsid w:val="008B63ED"/>
    <w:rsid w:val="008B72F5"/>
    <w:rsid w:val="008B7CD5"/>
    <w:rsid w:val="008B7DC8"/>
    <w:rsid w:val="008C3CCF"/>
    <w:rsid w:val="008C63E2"/>
    <w:rsid w:val="008D0DFF"/>
    <w:rsid w:val="008D11C5"/>
    <w:rsid w:val="008D1CA5"/>
    <w:rsid w:val="008D2B04"/>
    <w:rsid w:val="008D3DC8"/>
    <w:rsid w:val="008D4A85"/>
    <w:rsid w:val="008D761B"/>
    <w:rsid w:val="008D7DB6"/>
    <w:rsid w:val="008E071B"/>
    <w:rsid w:val="008E0F66"/>
    <w:rsid w:val="008E1797"/>
    <w:rsid w:val="008E62C8"/>
    <w:rsid w:val="008F0A38"/>
    <w:rsid w:val="008F2CC1"/>
    <w:rsid w:val="008F488E"/>
    <w:rsid w:val="008F5610"/>
    <w:rsid w:val="008F7594"/>
    <w:rsid w:val="0090119A"/>
    <w:rsid w:val="00901E6E"/>
    <w:rsid w:val="0090228C"/>
    <w:rsid w:val="00902733"/>
    <w:rsid w:val="00903B2E"/>
    <w:rsid w:val="0090571D"/>
    <w:rsid w:val="00906DFB"/>
    <w:rsid w:val="009073FB"/>
    <w:rsid w:val="009145A2"/>
    <w:rsid w:val="009153BC"/>
    <w:rsid w:val="00915E4E"/>
    <w:rsid w:val="00916AFD"/>
    <w:rsid w:val="00916BB0"/>
    <w:rsid w:val="0091775E"/>
    <w:rsid w:val="009178D0"/>
    <w:rsid w:val="00917E73"/>
    <w:rsid w:val="00917EF0"/>
    <w:rsid w:val="00921EB3"/>
    <w:rsid w:val="0092282C"/>
    <w:rsid w:val="00923A58"/>
    <w:rsid w:val="009249F8"/>
    <w:rsid w:val="00930BA8"/>
    <w:rsid w:val="0093281F"/>
    <w:rsid w:val="0093785D"/>
    <w:rsid w:val="00940BBF"/>
    <w:rsid w:val="00943BC8"/>
    <w:rsid w:val="00944741"/>
    <w:rsid w:val="00946A18"/>
    <w:rsid w:val="00950FF3"/>
    <w:rsid w:val="00951580"/>
    <w:rsid w:val="009539A2"/>
    <w:rsid w:val="009539F3"/>
    <w:rsid w:val="009550F2"/>
    <w:rsid w:val="0095737E"/>
    <w:rsid w:val="00957BA4"/>
    <w:rsid w:val="00957F04"/>
    <w:rsid w:val="00960D9D"/>
    <w:rsid w:val="00962F90"/>
    <w:rsid w:val="00965393"/>
    <w:rsid w:val="00965885"/>
    <w:rsid w:val="00965F40"/>
    <w:rsid w:val="00966CEF"/>
    <w:rsid w:val="00971572"/>
    <w:rsid w:val="00973266"/>
    <w:rsid w:val="009743FD"/>
    <w:rsid w:val="00974FBE"/>
    <w:rsid w:val="00975A8E"/>
    <w:rsid w:val="0097668C"/>
    <w:rsid w:val="009766A1"/>
    <w:rsid w:val="00976A77"/>
    <w:rsid w:val="0097746C"/>
    <w:rsid w:val="00977776"/>
    <w:rsid w:val="00980747"/>
    <w:rsid w:val="00980C44"/>
    <w:rsid w:val="00983278"/>
    <w:rsid w:val="0098366F"/>
    <w:rsid w:val="00984782"/>
    <w:rsid w:val="00984E74"/>
    <w:rsid w:val="00986CB3"/>
    <w:rsid w:val="0099174A"/>
    <w:rsid w:val="009946C9"/>
    <w:rsid w:val="00994B9D"/>
    <w:rsid w:val="00995EBC"/>
    <w:rsid w:val="00997A29"/>
    <w:rsid w:val="009A0068"/>
    <w:rsid w:val="009A1381"/>
    <w:rsid w:val="009A22B8"/>
    <w:rsid w:val="009A3005"/>
    <w:rsid w:val="009A5355"/>
    <w:rsid w:val="009A627B"/>
    <w:rsid w:val="009A6797"/>
    <w:rsid w:val="009A6D84"/>
    <w:rsid w:val="009A7882"/>
    <w:rsid w:val="009B22B7"/>
    <w:rsid w:val="009B3A51"/>
    <w:rsid w:val="009B7465"/>
    <w:rsid w:val="009C6164"/>
    <w:rsid w:val="009C6AB8"/>
    <w:rsid w:val="009C761C"/>
    <w:rsid w:val="009D0232"/>
    <w:rsid w:val="009D0EC8"/>
    <w:rsid w:val="009D34ED"/>
    <w:rsid w:val="009D436A"/>
    <w:rsid w:val="009D7FCF"/>
    <w:rsid w:val="009E09CB"/>
    <w:rsid w:val="009E22E7"/>
    <w:rsid w:val="009E25ED"/>
    <w:rsid w:val="009E3BB3"/>
    <w:rsid w:val="009E4587"/>
    <w:rsid w:val="009E5E84"/>
    <w:rsid w:val="009E6073"/>
    <w:rsid w:val="009F1945"/>
    <w:rsid w:val="009F1FBA"/>
    <w:rsid w:val="009F2A5C"/>
    <w:rsid w:val="009F4B23"/>
    <w:rsid w:val="009F4DCC"/>
    <w:rsid w:val="009F51EC"/>
    <w:rsid w:val="009F5A70"/>
    <w:rsid w:val="009F636D"/>
    <w:rsid w:val="00A02599"/>
    <w:rsid w:val="00A0280C"/>
    <w:rsid w:val="00A03400"/>
    <w:rsid w:val="00A06D5A"/>
    <w:rsid w:val="00A07964"/>
    <w:rsid w:val="00A1043F"/>
    <w:rsid w:val="00A12827"/>
    <w:rsid w:val="00A15FDB"/>
    <w:rsid w:val="00A208F6"/>
    <w:rsid w:val="00A210CC"/>
    <w:rsid w:val="00A220E2"/>
    <w:rsid w:val="00A26FA5"/>
    <w:rsid w:val="00A27D3E"/>
    <w:rsid w:val="00A27F2E"/>
    <w:rsid w:val="00A31392"/>
    <w:rsid w:val="00A35E28"/>
    <w:rsid w:val="00A416A5"/>
    <w:rsid w:val="00A41CDC"/>
    <w:rsid w:val="00A44F9F"/>
    <w:rsid w:val="00A4648E"/>
    <w:rsid w:val="00A4744B"/>
    <w:rsid w:val="00A47B0E"/>
    <w:rsid w:val="00A50BAC"/>
    <w:rsid w:val="00A52FA5"/>
    <w:rsid w:val="00A558DC"/>
    <w:rsid w:val="00A6086B"/>
    <w:rsid w:val="00A60970"/>
    <w:rsid w:val="00A61171"/>
    <w:rsid w:val="00A6337F"/>
    <w:rsid w:val="00A64FF4"/>
    <w:rsid w:val="00A71092"/>
    <w:rsid w:val="00A72D91"/>
    <w:rsid w:val="00A767E4"/>
    <w:rsid w:val="00A775F2"/>
    <w:rsid w:val="00A7767F"/>
    <w:rsid w:val="00A825C8"/>
    <w:rsid w:val="00A82E91"/>
    <w:rsid w:val="00A82F39"/>
    <w:rsid w:val="00A83F86"/>
    <w:rsid w:val="00A851FF"/>
    <w:rsid w:val="00A852A7"/>
    <w:rsid w:val="00A869A9"/>
    <w:rsid w:val="00A90B85"/>
    <w:rsid w:val="00A92DEE"/>
    <w:rsid w:val="00A93771"/>
    <w:rsid w:val="00A941EE"/>
    <w:rsid w:val="00A97026"/>
    <w:rsid w:val="00AA0F8D"/>
    <w:rsid w:val="00AA36B8"/>
    <w:rsid w:val="00AA587A"/>
    <w:rsid w:val="00AB202E"/>
    <w:rsid w:val="00AB20E9"/>
    <w:rsid w:val="00AB590A"/>
    <w:rsid w:val="00AB6F47"/>
    <w:rsid w:val="00AC0B0F"/>
    <w:rsid w:val="00AC194F"/>
    <w:rsid w:val="00AC2070"/>
    <w:rsid w:val="00AC2A8A"/>
    <w:rsid w:val="00AC44A1"/>
    <w:rsid w:val="00AC44F6"/>
    <w:rsid w:val="00AC4A05"/>
    <w:rsid w:val="00AC5F87"/>
    <w:rsid w:val="00AC6830"/>
    <w:rsid w:val="00AC7DFE"/>
    <w:rsid w:val="00AD14B2"/>
    <w:rsid w:val="00AD1EAD"/>
    <w:rsid w:val="00AD2938"/>
    <w:rsid w:val="00AD5ADE"/>
    <w:rsid w:val="00AD6AD1"/>
    <w:rsid w:val="00AD71F6"/>
    <w:rsid w:val="00AE169A"/>
    <w:rsid w:val="00AE4371"/>
    <w:rsid w:val="00AE44AF"/>
    <w:rsid w:val="00AE45F5"/>
    <w:rsid w:val="00AE5BFD"/>
    <w:rsid w:val="00AE6075"/>
    <w:rsid w:val="00AE6F8F"/>
    <w:rsid w:val="00AE73AD"/>
    <w:rsid w:val="00AE755A"/>
    <w:rsid w:val="00AF2013"/>
    <w:rsid w:val="00AF3DB1"/>
    <w:rsid w:val="00AF3E73"/>
    <w:rsid w:val="00AF4BAE"/>
    <w:rsid w:val="00AF6D01"/>
    <w:rsid w:val="00AF70AD"/>
    <w:rsid w:val="00B00312"/>
    <w:rsid w:val="00B01703"/>
    <w:rsid w:val="00B03D41"/>
    <w:rsid w:val="00B04D98"/>
    <w:rsid w:val="00B05578"/>
    <w:rsid w:val="00B06906"/>
    <w:rsid w:val="00B06B5E"/>
    <w:rsid w:val="00B06F67"/>
    <w:rsid w:val="00B07230"/>
    <w:rsid w:val="00B076F8"/>
    <w:rsid w:val="00B10FCB"/>
    <w:rsid w:val="00B11F97"/>
    <w:rsid w:val="00B16BAF"/>
    <w:rsid w:val="00B21805"/>
    <w:rsid w:val="00B234F6"/>
    <w:rsid w:val="00B24D66"/>
    <w:rsid w:val="00B25010"/>
    <w:rsid w:val="00B25637"/>
    <w:rsid w:val="00B26DF0"/>
    <w:rsid w:val="00B273CA"/>
    <w:rsid w:val="00B27E1C"/>
    <w:rsid w:val="00B27E49"/>
    <w:rsid w:val="00B303E7"/>
    <w:rsid w:val="00B333BE"/>
    <w:rsid w:val="00B3632A"/>
    <w:rsid w:val="00B4367A"/>
    <w:rsid w:val="00B440A3"/>
    <w:rsid w:val="00B45C49"/>
    <w:rsid w:val="00B46ACC"/>
    <w:rsid w:val="00B47A71"/>
    <w:rsid w:val="00B504FD"/>
    <w:rsid w:val="00B51B99"/>
    <w:rsid w:val="00B53BCC"/>
    <w:rsid w:val="00B56F8E"/>
    <w:rsid w:val="00B57506"/>
    <w:rsid w:val="00B613C7"/>
    <w:rsid w:val="00B627FD"/>
    <w:rsid w:val="00B718BA"/>
    <w:rsid w:val="00B72636"/>
    <w:rsid w:val="00B72B6B"/>
    <w:rsid w:val="00B734A3"/>
    <w:rsid w:val="00B74E07"/>
    <w:rsid w:val="00B757B0"/>
    <w:rsid w:val="00B774DD"/>
    <w:rsid w:val="00B7754F"/>
    <w:rsid w:val="00B81E5E"/>
    <w:rsid w:val="00B8205F"/>
    <w:rsid w:val="00B83A8F"/>
    <w:rsid w:val="00B84D2E"/>
    <w:rsid w:val="00B87A61"/>
    <w:rsid w:val="00B939AC"/>
    <w:rsid w:val="00B948A0"/>
    <w:rsid w:val="00B954D6"/>
    <w:rsid w:val="00B972D7"/>
    <w:rsid w:val="00B97E4A"/>
    <w:rsid w:val="00BA1774"/>
    <w:rsid w:val="00BA31C9"/>
    <w:rsid w:val="00BA39D0"/>
    <w:rsid w:val="00BA5BA6"/>
    <w:rsid w:val="00BB033B"/>
    <w:rsid w:val="00BB2CD1"/>
    <w:rsid w:val="00BB3FF1"/>
    <w:rsid w:val="00BB4E29"/>
    <w:rsid w:val="00BB534A"/>
    <w:rsid w:val="00BB6D81"/>
    <w:rsid w:val="00BC0B4A"/>
    <w:rsid w:val="00BC3172"/>
    <w:rsid w:val="00BC588C"/>
    <w:rsid w:val="00BC710C"/>
    <w:rsid w:val="00BD054F"/>
    <w:rsid w:val="00BD224C"/>
    <w:rsid w:val="00BD23F2"/>
    <w:rsid w:val="00BD4341"/>
    <w:rsid w:val="00BD6EF0"/>
    <w:rsid w:val="00BE073B"/>
    <w:rsid w:val="00BE1E83"/>
    <w:rsid w:val="00BE2CD7"/>
    <w:rsid w:val="00BE30C3"/>
    <w:rsid w:val="00BE3E96"/>
    <w:rsid w:val="00BE4293"/>
    <w:rsid w:val="00BF3167"/>
    <w:rsid w:val="00BF4E44"/>
    <w:rsid w:val="00BF5EF7"/>
    <w:rsid w:val="00C028CC"/>
    <w:rsid w:val="00C02E8B"/>
    <w:rsid w:val="00C12049"/>
    <w:rsid w:val="00C1235B"/>
    <w:rsid w:val="00C13BEA"/>
    <w:rsid w:val="00C1406E"/>
    <w:rsid w:val="00C1483A"/>
    <w:rsid w:val="00C14A02"/>
    <w:rsid w:val="00C15DA0"/>
    <w:rsid w:val="00C16FE9"/>
    <w:rsid w:val="00C178DB"/>
    <w:rsid w:val="00C201E6"/>
    <w:rsid w:val="00C22097"/>
    <w:rsid w:val="00C228FA"/>
    <w:rsid w:val="00C25B05"/>
    <w:rsid w:val="00C26519"/>
    <w:rsid w:val="00C26FC4"/>
    <w:rsid w:val="00C2766D"/>
    <w:rsid w:val="00C27CFE"/>
    <w:rsid w:val="00C30EEC"/>
    <w:rsid w:val="00C3196C"/>
    <w:rsid w:val="00C34B63"/>
    <w:rsid w:val="00C369E9"/>
    <w:rsid w:val="00C376AD"/>
    <w:rsid w:val="00C37E7D"/>
    <w:rsid w:val="00C416C2"/>
    <w:rsid w:val="00C423A8"/>
    <w:rsid w:val="00C426AE"/>
    <w:rsid w:val="00C43374"/>
    <w:rsid w:val="00C433DB"/>
    <w:rsid w:val="00C438F0"/>
    <w:rsid w:val="00C44887"/>
    <w:rsid w:val="00C45722"/>
    <w:rsid w:val="00C47B02"/>
    <w:rsid w:val="00C5040F"/>
    <w:rsid w:val="00C53349"/>
    <w:rsid w:val="00C54AAD"/>
    <w:rsid w:val="00C564FA"/>
    <w:rsid w:val="00C5747E"/>
    <w:rsid w:val="00C57981"/>
    <w:rsid w:val="00C62C73"/>
    <w:rsid w:val="00C6573F"/>
    <w:rsid w:val="00C6688C"/>
    <w:rsid w:val="00C66F21"/>
    <w:rsid w:val="00C713DA"/>
    <w:rsid w:val="00C72AF5"/>
    <w:rsid w:val="00C75619"/>
    <w:rsid w:val="00C75EF1"/>
    <w:rsid w:val="00C7782D"/>
    <w:rsid w:val="00C82B0E"/>
    <w:rsid w:val="00C82F96"/>
    <w:rsid w:val="00C8440C"/>
    <w:rsid w:val="00C8580C"/>
    <w:rsid w:val="00C860FF"/>
    <w:rsid w:val="00C90A69"/>
    <w:rsid w:val="00C91706"/>
    <w:rsid w:val="00C92EBB"/>
    <w:rsid w:val="00C94CCC"/>
    <w:rsid w:val="00C951F9"/>
    <w:rsid w:val="00C96BA0"/>
    <w:rsid w:val="00C96C28"/>
    <w:rsid w:val="00C97DD4"/>
    <w:rsid w:val="00C97FDC"/>
    <w:rsid w:val="00CA15E8"/>
    <w:rsid w:val="00CA2440"/>
    <w:rsid w:val="00CA3316"/>
    <w:rsid w:val="00CA621E"/>
    <w:rsid w:val="00CA6E64"/>
    <w:rsid w:val="00CA7433"/>
    <w:rsid w:val="00CB0E34"/>
    <w:rsid w:val="00CB15A0"/>
    <w:rsid w:val="00CB1F87"/>
    <w:rsid w:val="00CB3300"/>
    <w:rsid w:val="00CB6D94"/>
    <w:rsid w:val="00CB6F74"/>
    <w:rsid w:val="00CB716F"/>
    <w:rsid w:val="00CB7809"/>
    <w:rsid w:val="00CC0FDA"/>
    <w:rsid w:val="00CC1016"/>
    <w:rsid w:val="00CC1641"/>
    <w:rsid w:val="00CC1A04"/>
    <w:rsid w:val="00CC1B34"/>
    <w:rsid w:val="00CC1B6E"/>
    <w:rsid w:val="00CC38DF"/>
    <w:rsid w:val="00CC3E73"/>
    <w:rsid w:val="00CC4133"/>
    <w:rsid w:val="00CC5980"/>
    <w:rsid w:val="00CC5CB8"/>
    <w:rsid w:val="00CC6722"/>
    <w:rsid w:val="00CC6FE4"/>
    <w:rsid w:val="00CC70BF"/>
    <w:rsid w:val="00CD134A"/>
    <w:rsid w:val="00CD1628"/>
    <w:rsid w:val="00CD2193"/>
    <w:rsid w:val="00CD269D"/>
    <w:rsid w:val="00CE068C"/>
    <w:rsid w:val="00CE144F"/>
    <w:rsid w:val="00CE2597"/>
    <w:rsid w:val="00CE2A93"/>
    <w:rsid w:val="00CE359D"/>
    <w:rsid w:val="00CE3795"/>
    <w:rsid w:val="00CE4D92"/>
    <w:rsid w:val="00CE61FB"/>
    <w:rsid w:val="00CF1033"/>
    <w:rsid w:val="00CF1865"/>
    <w:rsid w:val="00CF393D"/>
    <w:rsid w:val="00CF393E"/>
    <w:rsid w:val="00CF4448"/>
    <w:rsid w:val="00CF4526"/>
    <w:rsid w:val="00CF5760"/>
    <w:rsid w:val="00CF7C79"/>
    <w:rsid w:val="00D00BCA"/>
    <w:rsid w:val="00D00FE8"/>
    <w:rsid w:val="00D026AE"/>
    <w:rsid w:val="00D0412A"/>
    <w:rsid w:val="00D044BD"/>
    <w:rsid w:val="00D05127"/>
    <w:rsid w:val="00D0616B"/>
    <w:rsid w:val="00D10DE4"/>
    <w:rsid w:val="00D115A1"/>
    <w:rsid w:val="00D116A9"/>
    <w:rsid w:val="00D1591F"/>
    <w:rsid w:val="00D16044"/>
    <w:rsid w:val="00D1689A"/>
    <w:rsid w:val="00D2256C"/>
    <w:rsid w:val="00D259BA"/>
    <w:rsid w:val="00D25AC3"/>
    <w:rsid w:val="00D27E7B"/>
    <w:rsid w:val="00D3031A"/>
    <w:rsid w:val="00D32582"/>
    <w:rsid w:val="00D32FF1"/>
    <w:rsid w:val="00D33AEF"/>
    <w:rsid w:val="00D3426B"/>
    <w:rsid w:val="00D374F5"/>
    <w:rsid w:val="00D37542"/>
    <w:rsid w:val="00D37D1D"/>
    <w:rsid w:val="00D405B7"/>
    <w:rsid w:val="00D40CB0"/>
    <w:rsid w:val="00D42FF4"/>
    <w:rsid w:val="00D438DD"/>
    <w:rsid w:val="00D45B1C"/>
    <w:rsid w:val="00D45F49"/>
    <w:rsid w:val="00D46B36"/>
    <w:rsid w:val="00D477C1"/>
    <w:rsid w:val="00D47DE8"/>
    <w:rsid w:val="00D50258"/>
    <w:rsid w:val="00D51912"/>
    <w:rsid w:val="00D51D81"/>
    <w:rsid w:val="00D5294D"/>
    <w:rsid w:val="00D551C7"/>
    <w:rsid w:val="00D56D8B"/>
    <w:rsid w:val="00D57109"/>
    <w:rsid w:val="00D57421"/>
    <w:rsid w:val="00D575E6"/>
    <w:rsid w:val="00D61D10"/>
    <w:rsid w:val="00D62454"/>
    <w:rsid w:val="00D70AC4"/>
    <w:rsid w:val="00D74CF3"/>
    <w:rsid w:val="00D75DB5"/>
    <w:rsid w:val="00D77E6B"/>
    <w:rsid w:val="00D818E5"/>
    <w:rsid w:val="00D822A3"/>
    <w:rsid w:val="00D8342B"/>
    <w:rsid w:val="00D83B39"/>
    <w:rsid w:val="00D84923"/>
    <w:rsid w:val="00D865C6"/>
    <w:rsid w:val="00D870D4"/>
    <w:rsid w:val="00D9046D"/>
    <w:rsid w:val="00D93B3F"/>
    <w:rsid w:val="00D9574A"/>
    <w:rsid w:val="00D979A1"/>
    <w:rsid w:val="00DA2CF3"/>
    <w:rsid w:val="00DA5D97"/>
    <w:rsid w:val="00DB082A"/>
    <w:rsid w:val="00DB28BD"/>
    <w:rsid w:val="00DB3344"/>
    <w:rsid w:val="00DB34B5"/>
    <w:rsid w:val="00DB45A5"/>
    <w:rsid w:val="00DB4CA6"/>
    <w:rsid w:val="00DB5C8D"/>
    <w:rsid w:val="00DB65A0"/>
    <w:rsid w:val="00DC1397"/>
    <w:rsid w:val="00DC3403"/>
    <w:rsid w:val="00DC4019"/>
    <w:rsid w:val="00DC78F1"/>
    <w:rsid w:val="00DD0004"/>
    <w:rsid w:val="00DD07CE"/>
    <w:rsid w:val="00DD53ED"/>
    <w:rsid w:val="00DD5C78"/>
    <w:rsid w:val="00DD6A80"/>
    <w:rsid w:val="00DD7428"/>
    <w:rsid w:val="00DE0130"/>
    <w:rsid w:val="00DE0DB4"/>
    <w:rsid w:val="00DE2D30"/>
    <w:rsid w:val="00DE3012"/>
    <w:rsid w:val="00DE338A"/>
    <w:rsid w:val="00DE3636"/>
    <w:rsid w:val="00DE49AD"/>
    <w:rsid w:val="00DE4CFC"/>
    <w:rsid w:val="00DE5E1C"/>
    <w:rsid w:val="00DE6680"/>
    <w:rsid w:val="00DE7EBE"/>
    <w:rsid w:val="00DF2D86"/>
    <w:rsid w:val="00DF4044"/>
    <w:rsid w:val="00DF48EE"/>
    <w:rsid w:val="00DF6A10"/>
    <w:rsid w:val="00E00EA5"/>
    <w:rsid w:val="00E0462E"/>
    <w:rsid w:val="00E059D1"/>
    <w:rsid w:val="00E061C1"/>
    <w:rsid w:val="00E06CCA"/>
    <w:rsid w:val="00E116B6"/>
    <w:rsid w:val="00E127AF"/>
    <w:rsid w:val="00E1516B"/>
    <w:rsid w:val="00E16DE7"/>
    <w:rsid w:val="00E16F67"/>
    <w:rsid w:val="00E20612"/>
    <w:rsid w:val="00E221EF"/>
    <w:rsid w:val="00E27ED1"/>
    <w:rsid w:val="00E30ACB"/>
    <w:rsid w:val="00E32B9F"/>
    <w:rsid w:val="00E33708"/>
    <w:rsid w:val="00E33F4B"/>
    <w:rsid w:val="00E35027"/>
    <w:rsid w:val="00E36879"/>
    <w:rsid w:val="00E36B29"/>
    <w:rsid w:val="00E37772"/>
    <w:rsid w:val="00E37FA9"/>
    <w:rsid w:val="00E40758"/>
    <w:rsid w:val="00E40F88"/>
    <w:rsid w:val="00E45E27"/>
    <w:rsid w:val="00E46FF9"/>
    <w:rsid w:val="00E479F6"/>
    <w:rsid w:val="00E50C26"/>
    <w:rsid w:val="00E51177"/>
    <w:rsid w:val="00E521C8"/>
    <w:rsid w:val="00E544B2"/>
    <w:rsid w:val="00E54C54"/>
    <w:rsid w:val="00E57012"/>
    <w:rsid w:val="00E66091"/>
    <w:rsid w:val="00E666C3"/>
    <w:rsid w:val="00E66AD8"/>
    <w:rsid w:val="00E67979"/>
    <w:rsid w:val="00E70411"/>
    <w:rsid w:val="00E714B1"/>
    <w:rsid w:val="00E721E4"/>
    <w:rsid w:val="00E74F68"/>
    <w:rsid w:val="00E755D8"/>
    <w:rsid w:val="00E75727"/>
    <w:rsid w:val="00E80206"/>
    <w:rsid w:val="00E8068A"/>
    <w:rsid w:val="00E8172F"/>
    <w:rsid w:val="00E830B3"/>
    <w:rsid w:val="00E84C31"/>
    <w:rsid w:val="00E8502D"/>
    <w:rsid w:val="00E8545D"/>
    <w:rsid w:val="00E864DD"/>
    <w:rsid w:val="00E86E4B"/>
    <w:rsid w:val="00E873D5"/>
    <w:rsid w:val="00E90B0A"/>
    <w:rsid w:val="00E926BB"/>
    <w:rsid w:val="00E93C39"/>
    <w:rsid w:val="00E945CE"/>
    <w:rsid w:val="00E946AD"/>
    <w:rsid w:val="00E9697F"/>
    <w:rsid w:val="00E96E50"/>
    <w:rsid w:val="00E97BB5"/>
    <w:rsid w:val="00EA3335"/>
    <w:rsid w:val="00EA33AB"/>
    <w:rsid w:val="00EA3A6C"/>
    <w:rsid w:val="00EA773C"/>
    <w:rsid w:val="00EA78B6"/>
    <w:rsid w:val="00EA7950"/>
    <w:rsid w:val="00EA79AF"/>
    <w:rsid w:val="00EA7F50"/>
    <w:rsid w:val="00EB16A5"/>
    <w:rsid w:val="00EB20B1"/>
    <w:rsid w:val="00EB713F"/>
    <w:rsid w:val="00EC00ED"/>
    <w:rsid w:val="00EC1034"/>
    <w:rsid w:val="00EC1F1A"/>
    <w:rsid w:val="00EC5011"/>
    <w:rsid w:val="00EC5F12"/>
    <w:rsid w:val="00ED25DF"/>
    <w:rsid w:val="00ED315D"/>
    <w:rsid w:val="00EE08B0"/>
    <w:rsid w:val="00EE265E"/>
    <w:rsid w:val="00EE4578"/>
    <w:rsid w:val="00EE47DC"/>
    <w:rsid w:val="00EF0786"/>
    <w:rsid w:val="00EF0B21"/>
    <w:rsid w:val="00EF2236"/>
    <w:rsid w:val="00EF34D3"/>
    <w:rsid w:val="00EF3E8B"/>
    <w:rsid w:val="00EF4F5D"/>
    <w:rsid w:val="00EF7453"/>
    <w:rsid w:val="00EF78A8"/>
    <w:rsid w:val="00F000C6"/>
    <w:rsid w:val="00F006BD"/>
    <w:rsid w:val="00F013B5"/>
    <w:rsid w:val="00F01936"/>
    <w:rsid w:val="00F05EC5"/>
    <w:rsid w:val="00F10401"/>
    <w:rsid w:val="00F15BDE"/>
    <w:rsid w:val="00F16CB9"/>
    <w:rsid w:val="00F17DAE"/>
    <w:rsid w:val="00F20EFD"/>
    <w:rsid w:val="00F25157"/>
    <w:rsid w:val="00F266D4"/>
    <w:rsid w:val="00F31F60"/>
    <w:rsid w:val="00F33890"/>
    <w:rsid w:val="00F33B48"/>
    <w:rsid w:val="00F3460B"/>
    <w:rsid w:val="00F34962"/>
    <w:rsid w:val="00F3502F"/>
    <w:rsid w:val="00F40F18"/>
    <w:rsid w:val="00F4120E"/>
    <w:rsid w:val="00F41536"/>
    <w:rsid w:val="00F418DF"/>
    <w:rsid w:val="00F44001"/>
    <w:rsid w:val="00F46C8C"/>
    <w:rsid w:val="00F46F3A"/>
    <w:rsid w:val="00F47E49"/>
    <w:rsid w:val="00F51A4B"/>
    <w:rsid w:val="00F524F2"/>
    <w:rsid w:val="00F5419A"/>
    <w:rsid w:val="00F5451B"/>
    <w:rsid w:val="00F54B05"/>
    <w:rsid w:val="00F54B6A"/>
    <w:rsid w:val="00F555FF"/>
    <w:rsid w:val="00F57BC7"/>
    <w:rsid w:val="00F57ED1"/>
    <w:rsid w:val="00F609CD"/>
    <w:rsid w:val="00F61148"/>
    <w:rsid w:val="00F61C38"/>
    <w:rsid w:val="00F627DC"/>
    <w:rsid w:val="00F629C7"/>
    <w:rsid w:val="00F63C23"/>
    <w:rsid w:val="00F655E3"/>
    <w:rsid w:val="00F715F2"/>
    <w:rsid w:val="00F721E7"/>
    <w:rsid w:val="00F73D12"/>
    <w:rsid w:val="00F756C6"/>
    <w:rsid w:val="00F77980"/>
    <w:rsid w:val="00F779AA"/>
    <w:rsid w:val="00F82AF1"/>
    <w:rsid w:val="00F83187"/>
    <w:rsid w:val="00F84082"/>
    <w:rsid w:val="00F86BA5"/>
    <w:rsid w:val="00F87C39"/>
    <w:rsid w:val="00F902D3"/>
    <w:rsid w:val="00F905B6"/>
    <w:rsid w:val="00F92AF7"/>
    <w:rsid w:val="00F93D63"/>
    <w:rsid w:val="00F93DBA"/>
    <w:rsid w:val="00F954E4"/>
    <w:rsid w:val="00F95872"/>
    <w:rsid w:val="00F95F2A"/>
    <w:rsid w:val="00F96C4E"/>
    <w:rsid w:val="00F97D52"/>
    <w:rsid w:val="00FA0F8B"/>
    <w:rsid w:val="00FA262F"/>
    <w:rsid w:val="00FA3492"/>
    <w:rsid w:val="00FA3AE1"/>
    <w:rsid w:val="00FA49C0"/>
    <w:rsid w:val="00FA5B10"/>
    <w:rsid w:val="00FA5CD7"/>
    <w:rsid w:val="00FA688C"/>
    <w:rsid w:val="00FB08B6"/>
    <w:rsid w:val="00FB1CC5"/>
    <w:rsid w:val="00FB43F1"/>
    <w:rsid w:val="00FB5216"/>
    <w:rsid w:val="00FB76D3"/>
    <w:rsid w:val="00FC0FE8"/>
    <w:rsid w:val="00FC2217"/>
    <w:rsid w:val="00FC25B9"/>
    <w:rsid w:val="00FC2CE1"/>
    <w:rsid w:val="00FC3A91"/>
    <w:rsid w:val="00FC3F8F"/>
    <w:rsid w:val="00FC7C01"/>
    <w:rsid w:val="00FD0855"/>
    <w:rsid w:val="00FD0ED0"/>
    <w:rsid w:val="00FD1990"/>
    <w:rsid w:val="00FD1EC4"/>
    <w:rsid w:val="00FD5B33"/>
    <w:rsid w:val="00FD76AE"/>
    <w:rsid w:val="00FE166B"/>
    <w:rsid w:val="00FE1A60"/>
    <w:rsid w:val="00FE34AF"/>
    <w:rsid w:val="00FE6CE4"/>
    <w:rsid w:val="00FF1927"/>
    <w:rsid w:val="00FF1B75"/>
    <w:rsid w:val="00FF2A23"/>
    <w:rsid w:val="00FF2EAE"/>
    <w:rsid w:val="00FF3154"/>
    <w:rsid w:val="00FF5002"/>
    <w:rsid w:val="00FF60BC"/>
    <w:rsid w:val="00FF6519"/>
    <w:rsid w:val="010B6B80"/>
    <w:rsid w:val="01131CBE"/>
    <w:rsid w:val="01604E80"/>
    <w:rsid w:val="016D3985"/>
    <w:rsid w:val="0175612D"/>
    <w:rsid w:val="01A01AFA"/>
    <w:rsid w:val="01A9153E"/>
    <w:rsid w:val="01C06A4B"/>
    <w:rsid w:val="01C64642"/>
    <w:rsid w:val="01CB5453"/>
    <w:rsid w:val="01E27923"/>
    <w:rsid w:val="02062B58"/>
    <w:rsid w:val="02132159"/>
    <w:rsid w:val="02531163"/>
    <w:rsid w:val="02546A97"/>
    <w:rsid w:val="025F5776"/>
    <w:rsid w:val="02644C33"/>
    <w:rsid w:val="0269067C"/>
    <w:rsid w:val="02751313"/>
    <w:rsid w:val="02857F1F"/>
    <w:rsid w:val="02B779DA"/>
    <w:rsid w:val="02C741EC"/>
    <w:rsid w:val="02CB255D"/>
    <w:rsid w:val="02D70676"/>
    <w:rsid w:val="02F01C71"/>
    <w:rsid w:val="02F04BCE"/>
    <w:rsid w:val="02F95629"/>
    <w:rsid w:val="03137D7E"/>
    <w:rsid w:val="03210061"/>
    <w:rsid w:val="034657EF"/>
    <w:rsid w:val="034F488B"/>
    <w:rsid w:val="03A92A2C"/>
    <w:rsid w:val="03BD6858"/>
    <w:rsid w:val="03C26658"/>
    <w:rsid w:val="03D21196"/>
    <w:rsid w:val="03D52124"/>
    <w:rsid w:val="043B11C4"/>
    <w:rsid w:val="04415EE3"/>
    <w:rsid w:val="044D726A"/>
    <w:rsid w:val="046B6B89"/>
    <w:rsid w:val="04707F81"/>
    <w:rsid w:val="0476275B"/>
    <w:rsid w:val="047775AF"/>
    <w:rsid w:val="04805806"/>
    <w:rsid w:val="0492451B"/>
    <w:rsid w:val="04960FA1"/>
    <w:rsid w:val="04CE27B5"/>
    <w:rsid w:val="04D12AAC"/>
    <w:rsid w:val="04DB3BDB"/>
    <w:rsid w:val="04DD2267"/>
    <w:rsid w:val="04F02C74"/>
    <w:rsid w:val="050A4816"/>
    <w:rsid w:val="05242276"/>
    <w:rsid w:val="05273450"/>
    <w:rsid w:val="053C4BD7"/>
    <w:rsid w:val="053E5083"/>
    <w:rsid w:val="05407F0F"/>
    <w:rsid w:val="054B15E0"/>
    <w:rsid w:val="0566775D"/>
    <w:rsid w:val="056F500B"/>
    <w:rsid w:val="05AC2718"/>
    <w:rsid w:val="05B01605"/>
    <w:rsid w:val="06362A67"/>
    <w:rsid w:val="066A7233"/>
    <w:rsid w:val="067C248B"/>
    <w:rsid w:val="067F331E"/>
    <w:rsid w:val="06872211"/>
    <w:rsid w:val="0690677F"/>
    <w:rsid w:val="069912C7"/>
    <w:rsid w:val="06AF039D"/>
    <w:rsid w:val="06C705E9"/>
    <w:rsid w:val="06CB2A63"/>
    <w:rsid w:val="06CC3B1B"/>
    <w:rsid w:val="06D909EF"/>
    <w:rsid w:val="06E6032A"/>
    <w:rsid w:val="06F32C4C"/>
    <w:rsid w:val="07221759"/>
    <w:rsid w:val="072C1DB9"/>
    <w:rsid w:val="072E5B90"/>
    <w:rsid w:val="0755005F"/>
    <w:rsid w:val="07845EBA"/>
    <w:rsid w:val="078B11F7"/>
    <w:rsid w:val="078E7909"/>
    <w:rsid w:val="07996EB4"/>
    <w:rsid w:val="079E733B"/>
    <w:rsid w:val="07A36F1B"/>
    <w:rsid w:val="07A94598"/>
    <w:rsid w:val="07CC0035"/>
    <w:rsid w:val="07D945DC"/>
    <w:rsid w:val="07DB537C"/>
    <w:rsid w:val="08107785"/>
    <w:rsid w:val="082825E5"/>
    <w:rsid w:val="082D669C"/>
    <w:rsid w:val="088912F7"/>
    <w:rsid w:val="08902B73"/>
    <w:rsid w:val="08B057F3"/>
    <w:rsid w:val="08BA6E3E"/>
    <w:rsid w:val="08D35F71"/>
    <w:rsid w:val="08FD503D"/>
    <w:rsid w:val="09293151"/>
    <w:rsid w:val="092D4ADB"/>
    <w:rsid w:val="093247D0"/>
    <w:rsid w:val="094B0040"/>
    <w:rsid w:val="095546E9"/>
    <w:rsid w:val="096B7ED1"/>
    <w:rsid w:val="096D0679"/>
    <w:rsid w:val="096E007D"/>
    <w:rsid w:val="09874ADA"/>
    <w:rsid w:val="099E3911"/>
    <w:rsid w:val="09A13A7B"/>
    <w:rsid w:val="09BB15AB"/>
    <w:rsid w:val="09C02513"/>
    <w:rsid w:val="09C943AD"/>
    <w:rsid w:val="09D51869"/>
    <w:rsid w:val="09D72C37"/>
    <w:rsid w:val="09E06DF4"/>
    <w:rsid w:val="09F129F2"/>
    <w:rsid w:val="0A1B07A8"/>
    <w:rsid w:val="0A453641"/>
    <w:rsid w:val="0A5A0A93"/>
    <w:rsid w:val="0A676977"/>
    <w:rsid w:val="0A6952B7"/>
    <w:rsid w:val="0A7E19BC"/>
    <w:rsid w:val="0A801E5D"/>
    <w:rsid w:val="0A9500F7"/>
    <w:rsid w:val="0AA07475"/>
    <w:rsid w:val="0ACF7D96"/>
    <w:rsid w:val="0ADB794D"/>
    <w:rsid w:val="0ADF300F"/>
    <w:rsid w:val="0AE36BBE"/>
    <w:rsid w:val="0AEB2A60"/>
    <w:rsid w:val="0AF461CA"/>
    <w:rsid w:val="0AFE662A"/>
    <w:rsid w:val="0B2769D5"/>
    <w:rsid w:val="0B3A136F"/>
    <w:rsid w:val="0B504A69"/>
    <w:rsid w:val="0B5673B8"/>
    <w:rsid w:val="0B656F36"/>
    <w:rsid w:val="0B6C28C5"/>
    <w:rsid w:val="0B955563"/>
    <w:rsid w:val="0B9C4FEC"/>
    <w:rsid w:val="0BA33880"/>
    <w:rsid w:val="0BA81580"/>
    <w:rsid w:val="0BEA1AC9"/>
    <w:rsid w:val="0BF243BC"/>
    <w:rsid w:val="0C175E9D"/>
    <w:rsid w:val="0C317937"/>
    <w:rsid w:val="0C3B2575"/>
    <w:rsid w:val="0C5F1564"/>
    <w:rsid w:val="0C68672E"/>
    <w:rsid w:val="0C6C2EEC"/>
    <w:rsid w:val="0C7737E5"/>
    <w:rsid w:val="0C7C407F"/>
    <w:rsid w:val="0C890F4D"/>
    <w:rsid w:val="0C94198B"/>
    <w:rsid w:val="0C974616"/>
    <w:rsid w:val="0C986D75"/>
    <w:rsid w:val="0CA8083B"/>
    <w:rsid w:val="0CA83953"/>
    <w:rsid w:val="0CD26A47"/>
    <w:rsid w:val="0CE64047"/>
    <w:rsid w:val="0D0431A0"/>
    <w:rsid w:val="0D105CC0"/>
    <w:rsid w:val="0D236955"/>
    <w:rsid w:val="0D387753"/>
    <w:rsid w:val="0D684C0C"/>
    <w:rsid w:val="0D7366E4"/>
    <w:rsid w:val="0D7B4EC7"/>
    <w:rsid w:val="0D8D0D41"/>
    <w:rsid w:val="0DA11273"/>
    <w:rsid w:val="0DA30FAE"/>
    <w:rsid w:val="0DA424D8"/>
    <w:rsid w:val="0DDE177A"/>
    <w:rsid w:val="0DDE6170"/>
    <w:rsid w:val="0E1359FA"/>
    <w:rsid w:val="0E1B53A5"/>
    <w:rsid w:val="0E274777"/>
    <w:rsid w:val="0E305776"/>
    <w:rsid w:val="0E3777BE"/>
    <w:rsid w:val="0E3B795C"/>
    <w:rsid w:val="0E6827C3"/>
    <w:rsid w:val="0E6E1C90"/>
    <w:rsid w:val="0E8A4737"/>
    <w:rsid w:val="0E933D26"/>
    <w:rsid w:val="0E971D46"/>
    <w:rsid w:val="0EB05D52"/>
    <w:rsid w:val="0ECB3208"/>
    <w:rsid w:val="0EE43718"/>
    <w:rsid w:val="0EE90B68"/>
    <w:rsid w:val="0EEC50BC"/>
    <w:rsid w:val="0F081F0E"/>
    <w:rsid w:val="0F223A71"/>
    <w:rsid w:val="0F333C8A"/>
    <w:rsid w:val="0F441053"/>
    <w:rsid w:val="0F6415F3"/>
    <w:rsid w:val="0F6D01FB"/>
    <w:rsid w:val="0F80584B"/>
    <w:rsid w:val="0F9124E8"/>
    <w:rsid w:val="0FBC0D1A"/>
    <w:rsid w:val="0FDF298A"/>
    <w:rsid w:val="102927A5"/>
    <w:rsid w:val="102942B6"/>
    <w:rsid w:val="10377139"/>
    <w:rsid w:val="10432E57"/>
    <w:rsid w:val="10475F34"/>
    <w:rsid w:val="104C58A2"/>
    <w:rsid w:val="10620D5D"/>
    <w:rsid w:val="10671982"/>
    <w:rsid w:val="108D7D74"/>
    <w:rsid w:val="10910D2D"/>
    <w:rsid w:val="10AF3D07"/>
    <w:rsid w:val="10B95459"/>
    <w:rsid w:val="10C770AD"/>
    <w:rsid w:val="10CB2801"/>
    <w:rsid w:val="10D23EDD"/>
    <w:rsid w:val="11331221"/>
    <w:rsid w:val="114138F4"/>
    <w:rsid w:val="117F1B35"/>
    <w:rsid w:val="118544BA"/>
    <w:rsid w:val="11957DC7"/>
    <w:rsid w:val="11970C71"/>
    <w:rsid w:val="11A842FF"/>
    <w:rsid w:val="11A84BDA"/>
    <w:rsid w:val="11BA4DA3"/>
    <w:rsid w:val="11C03118"/>
    <w:rsid w:val="11E5015A"/>
    <w:rsid w:val="11E72657"/>
    <w:rsid w:val="11F92F92"/>
    <w:rsid w:val="120B1F32"/>
    <w:rsid w:val="120E0E48"/>
    <w:rsid w:val="12265805"/>
    <w:rsid w:val="122C3515"/>
    <w:rsid w:val="123F4C14"/>
    <w:rsid w:val="124B51C6"/>
    <w:rsid w:val="12567E7B"/>
    <w:rsid w:val="126A132E"/>
    <w:rsid w:val="1276067B"/>
    <w:rsid w:val="12B1627A"/>
    <w:rsid w:val="12C36FD4"/>
    <w:rsid w:val="12CB1F54"/>
    <w:rsid w:val="12CB665D"/>
    <w:rsid w:val="12F12AA5"/>
    <w:rsid w:val="13094C4A"/>
    <w:rsid w:val="132450B4"/>
    <w:rsid w:val="13416B2E"/>
    <w:rsid w:val="136254A2"/>
    <w:rsid w:val="136F32AE"/>
    <w:rsid w:val="13816691"/>
    <w:rsid w:val="13893CE1"/>
    <w:rsid w:val="13934DF1"/>
    <w:rsid w:val="13953125"/>
    <w:rsid w:val="13B8461E"/>
    <w:rsid w:val="13F61959"/>
    <w:rsid w:val="1402655C"/>
    <w:rsid w:val="140734F7"/>
    <w:rsid w:val="141A42B8"/>
    <w:rsid w:val="14211693"/>
    <w:rsid w:val="14376E43"/>
    <w:rsid w:val="14525069"/>
    <w:rsid w:val="14541696"/>
    <w:rsid w:val="145D6A8B"/>
    <w:rsid w:val="145F7E28"/>
    <w:rsid w:val="14780D27"/>
    <w:rsid w:val="147A2410"/>
    <w:rsid w:val="14852C6F"/>
    <w:rsid w:val="1488358C"/>
    <w:rsid w:val="148F2F85"/>
    <w:rsid w:val="14982EB8"/>
    <w:rsid w:val="14A502EF"/>
    <w:rsid w:val="14AF54DA"/>
    <w:rsid w:val="14C64C59"/>
    <w:rsid w:val="14D20FC7"/>
    <w:rsid w:val="14F740A3"/>
    <w:rsid w:val="150724B3"/>
    <w:rsid w:val="15074434"/>
    <w:rsid w:val="15227A32"/>
    <w:rsid w:val="152B4D84"/>
    <w:rsid w:val="153049D7"/>
    <w:rsid w:val="153769F7"/>
    <w:rsid w:val="155301FE"/>
    <w:rsid w:val="15871E93"/>
    <w:rsid w:val="15930009"/>
    <w:rsid w:val="159E521A"/>
    <w:rsid w:val="15C91F5E"/>
    <w:rsid w:val="15D315F3"/>
    <w:rsid w:val="15DF3010"/>
    <w:rsid w:val="15F003C1"/>
    <w:rsid w:val="15F61009"/>
    <w:rsid w:val="15FC3115"/>
    <w:rsid w:val="16110086"/>
    <w:rsid w:val="164A49E5"/>
    <w:rsid w:val="16883A58"/>
    <w:rsid w:val="168A004B"/>
    <w:rsid w:val="168C48D6"/>
    <w:rsid w:val="16A27000"/>
    <w:rsid w:val="16A705A2"/>
    <w:rsid w:val="16B20B12"/>
    <w:rsid w:val="16BE1FF6"/>
    <w:rsid w:val="16C83D17"/>
    <w:rsid w:val="16E311A5"/>
    <w:rsid w:val="16E3518A"/>
    <w:rsid w:val="16E952DD"/>
    <w:rsid w:val="17252E73"/>
    <w:rsid w:val="172E63EE"/>
    <w:rsid w:val="173D752B"/>
    <w:rsid w:val="173E3BF5"/>
    <w:rsid w:val="173F377F"/>
    <w:rsid w:val="17435E46"/>
    <w:rsid w:val="17441767"/>
    <w:rsid w:val="17445402"/>
    <w:rsid w:val="17721C8E"/>
    <w:rsid w:val="178E71CD"/>
    <w:rsid w:val="17912574"/>
    <w:rsid w:val="179A05A8"/>
    <w:rsid w:val="179D7FD7"/>
    <w:rsid w:val="179E173F"/>
    <w:rsid w:val="17A650FC"/>
    <w:rsid w:val="17AB40AE"/>
    <w:rsid w:val="17BA677B"/>
    <w:rsid w:val="17CA2B8F"/>
    <w:rsid w:val="17D82FD7"/>
    <w:rsid w:val="17E65EE9"/>
    <w:rsid w:val="17F405EB"/>
    <w:rsid w:val="180339A2"/>
    <w:rsid w:val="18040F10"/>
    <w:rsid w:val="18264A50"/>
    <w:rsid w:val="183E076F"/>
    <w:rsid w:val="18644505"/>
    <w:rsid w:val="18761DAB"/>
    <w:rsid w:val="18967A84"/>
    <w:rsid w:val="189E3D12"/>
    <w:rsid w:val="18B00122"/>
    <w:rsid w:val="18B20BDD"/>
    <w:rsid w:val="18B951B3"/>
    <w:rsid w:val="18C35170"/>
    <w:rsid w:val="18D21A5A"/>
    <w:rsid w:val="18D61B96"/>
    <w:rsid w:val="18E00489"/>
    <w:rsid w:val="18E7252F"/>
    <w:rsid w:val="18FB5A21"/>
    <w:rsid w:val="19282791"/>
    <w:rsid w:val="192939F8"/>
    <w:rsid w:val="192C2D7A"/>
    <w:rsid w:val="19353DEC"/>
    <w:rsid w:val="19677AF7"/>
    <w:rsid w:val="19810432"/>
    <w:rsid w:val="19BA2109"/>
    <w:rsid w:val="19BE3086"/>
    <w:rsid w:val="19C3541C"/>
    <w:rsid w:val="19E21D1C"/>
    <w:rsid w:val="19E92539"/>
    <w:rsid w:val="19EB3CD8"/>
    <w:rsid w:val="19F45009"/>
    <w:rsid w:val="1A093B60"/>
    <w:rsid w:val="1A135EB3"/>
    <w:rsid w:val="1A190153"/>
    <w:rsid w:val="1A216042"/>
    <w:rsid w:val="1A26575C"/>
    <w:rsid w:val="1A4C0E92"/>
    <w:rsid w:val="1A5E1863"/>
    <w:rsid w:val="1A7F3A58"/>
    <w:rsid w:val="1A84474A"/>
    <w:rsid w:val="1A8532C9"/>
    <w:rsid w:val="1A8B60FB"/>
    <w:rsid w:val="1A9B3C6B"/>
    <w:rsid w:val="1AB83062"/>
    <w:rsid w:val="1AC502CF"/>
    <w:rsid w:val="1AD05C11"/>
    <w:rsid w:val="1B05587E"/>
    <w:rsid w:val="1B187A1B"/>
    <w:rsid w:val="1B200375"/>
    <w:rsid w:val="1B2F2124"/>
    <w:rsid w:val="1B3419FD"/>
    <w:rsid w:val="1B51069C"/>
    <w:rsid w:val="1B52032C"/>
    <w:rsid w:val="1B87118E"/>
    <w:rsid w:val="1B8F29D9"/>
    <w:rsid w:val="1BA47383"/>
    <w:rsid w:val="1BD20383"/>
    <w:rsid w:val="1BE06630"/>
    <w:rsid w:val="1BF90E89"/>
    <w:rsid w:val="1BFF3FFC"/>
    <w:rsid w:val="1C6A6D50"/>
    <w:rsid w:val="1C7C1550"/>
    <w:rsid w:val="1C7F50C5"/>
    <w:rsid w:val="1C9A6C63"/>
    <w:rsid w:val="1CBF63C3"/>
    <w:rsid w:val="1CC13EB1"/>
    <w:rsid w:val="1D2C4F1B"/>
    <w:rsid w:val="1D47273F"/>
    <w:rsid w:val="1D492F27"/>
    <w:rsid w:val="1D643026"/>
    <w:rsid w:val="1D6541DB"/>
    <w:rsid w:val="1D7C153E"/>
    <w:rsid w:val="1D7C22EC"/>
    <w:rsid w:val="1D7F48E1"/>
    <w:rsid w:val="1D866B79"/>
    <w:rsid w:val="1D99014B"/>
    <w:rsid w:val="1DA65B4D"/>
    <w:rsid w:val="1DE35CF5"/>
    <w:rsid w:val="1DE42E39"/>
    <w:rsid w:val="1E055C9E"/>
    <w:rsid w:val="1E3646C2"/>
    <w:rsid w:val="1E3C0371"/>
    <w:rsid w:val="1E404244"/>
    <w:rsid w:val="1E646060"/>
    <w:rsid w:val="1E6E033F"/>
    <w:rsid w:val="1E796F89"/>
    <w:rsid w:val="1E895CEE"/>
    <w:rsid w:val="1E8D072E"/>
    <w:rsid w:val="1EAD7476"/>
    <w:rsid w:val="1EB76F1A"/>
    <w:rsid w:val="1EDF3101"/>
    <w:rsid w:val="1EE47B86"/>
    <w:rsid w:val="1F0136F8"/>
    <w:rsid w:val="1F0565C7"/>
    <w:rsid w:val="1F136BA5"/>
    <w:rsid w:val="1F1C1A13"/>
    <w:rsid w:val="1F1F54B2"/>
    <w:rsid w:val="1F1F564E"/>
    <w:rsid w:val="1F26548C"/>
    <w:rsid w:val="1F4A727D"/>
    <w:rsid w:val="1F51638C"/>
    <w:rsid w:val="1F6971DE"/>
    <w:rsid w:val="1F890B51"/>
    <w:rsid w:val="1F8A0112"/>
    <w:rsid w:val="1FE63033"/>
    <w:rsid w:val="1FF35231"/>
    <w:rsid w:val="20015A6D"/>
    <w:rsid w:val="200C1A5C"/>
    <w:rsid w:val="200C3AA1"/>
    <w:rsid w:val="20211C45"/>
    <w:rsid w:val="202911D7"/>
    <w:rsid w:val="20654C19"/>
    <w:rsid w:val="206B546A"/>
    <w:rsid w:val="206C2DEB"/>
    <w:rsid w:val="20847C38"/>
    <w:rsid w:val="20974516"/>
    <w:rsid w:val="20AE211E"/>
    <w:rsid w:val="20B34AC6"/>
    <w:rsid w:val="20CB3924"/>
    <w:rsid w:val="20CD5726"/>
    <w:rsid w:val="20ED63C9"/>
    <w:rsid w:val="20F12941"/>
    <w:rsid w:val="21220D3E"/>
    <w:rsid w:val="21292388"/>
    <w:rsid w:val="213C1A3B"/>
    <w:rsid w:val="214A3DCF"/>
    <w:rsid w:val="215E76DF"/>
    <w:rsid w:val="216D7B97"/>
    <w:rsid w:val="217C182D"/>
    <w:rsid w:val="2189394D"/>
    <w:rsid w:val="218E7B2E"/>
    <w:rsid w:val="21944711"/>
    <w:rsid w:val="21B53A1F"/>
    <w:rsid w:val="21BF72A1"/>
    <w:rsid w:val="21C3592D"/>
    <w:rsid w:val="21C55F53"/>
    <w:rsid w:val="21C60013"/>
    <w:rsid w:val="21C76285"/>
    <w:rsid w:val="21DA6FA1"/>
    <w:rsid w:val="21E166C7"/>
    <w:rsid w:val="21FB6F9B"/>
    <w:rsid w:val="21FC530F"/>
    <w:rsid w:val="22080498"/>
    <w:rsid w:val="22430EB2"/>
    <w:rsid w:val="224F077B"/>
    <w:rsid w:val="225A2932"/>
    <w:rsid w:val="225B318C"/>
    <w:rsid w:val="226A25E4"/>
    <w:rsid w:val="22740558"/>
    <w:rsid w:val="228A54AE"/>
    <w:rsid w:val="22955C48"/>
    <w:rsid w:val="22A84E37"/>
    <w:rsid w:val="22AC4EAC"/>
    <w:rsid w:val="22B4304D"/>
    <w:rsid w:val="22BC6A0C"/>
    <w:rsid w:val="230437EA"/>
    <w:rsid w:val="232E4270"/>
    <w:rsid w:val="23356F82"/>
    <w:rsid w:val="233A2E59"/>
    <w:rsid w:val="23420192"/>
    <w:rsid w:val="23594B35"/>
    <w:rsid w:val="23655DFC"/>
    <w:rsid w:val="2379757D"/>
    <w:rsid w:val="23815AAD"/>
    <w:rsid w:val="23B534DB"/>
    <w:rsid w:val="23C27A95"/>
    <w:rsid w:val="23C515B0"/>
    <w:rsid w:val="23CC45FC"/>
    <w:rsid w:val="23EA5690"/>
    <w:rsid w:val="23F933BF"/>
    <w:rsid w:val="23FB5BA9"/>
    <w:rsid w:val="23FC0AA0"/>
    <w:rsid w:val="240F127A"/>
    <w:rsid w:val="24222A24"/>
    <w:rsid w:val="244157BB"/>
    <w:rsid w:val="247240E4"/>
    <w:rsid w:val="247B62DB"/>
    <w:rsid w:val="249027F9"/>
    <w:rsid w:val="24BC0B8C"/>
    <w:rsid w:val="24D54DB0"/>
    <w:rsid w:val="24DD44A9"/>
    <w:rsid w:val="24E625D6"/>
    <w:rsid w:val="24F82B87"/>
    <w:rsid w:val="24FA3F62"/>
    <w:rsid w:val="251E6CB6"/>
    <w:rsid w:val="2530104D"/>
    <w:rsid w:val="25471A46"/>
    <w:rsid w:val="25834A03"/>
    <w:rsid w:val="259879AE"/>
    <w:rsid w:val="25A328BE"/>
    <w:rsid w:val="25A34005"/>
    <w:rsid w:val="25A66195"/>
    <w:rsid w:val="25D27E7B"/>
    <w:rsid w:val="25E20F3C"/>
    <w:rsid w:val="25E777B3"/>
    <w:rsid w:val="25E92B9A"/>
    <w:rsid w:val="25F7768D"/>
    <w:rsid w:val="25FE59B1"/>
    <w:rsid w:val="26061971"/>
    <w:rsid w:val="26111D68"/>
    <w:rsid w:val="26307E6E"/>
    <w:rsid w:val="264008E8"/>
    <w:rsid w:val="26433F7F"/>
    <w:rsid w:val="264721D8"/>
    <w:rsid w:val="2666771E"/>
    <w:rsid w:val="26700C16"/>
    <w:rsid w:val="267A2D17"/>
    <w:rsid w:val="267F4830"/>
    <w:rsid w:val="26BD493E"/>
    <w:rsid w:val="26EE45DB"/>
    <w:rsid w:val="26F37DB0"/>
    <w:rsid w:val="26F541F1"/>
    <w:rsid w:val="270F5095"/>
    <w:rsid w:val="27144105"/>
    <w:rsid w:val="271C5FC6"/>
    <w:rsid w:val="27484D00"/>
    <w:rsid w:val="274F2171"/>
    <w:rsid w:val="275D6367"/>
    <w:rsid w:val="275E0F3C"/>
    <w:rsid w:val="2760568F"/>
    <w:rsid w:val="27610A07"/>
    <w:rsid w:val="27797DE0"/>
    <w:rsid w:val="27965B8B"/>
    <w:rsid w:val="27992D09"/>
    <w:rsid w:val="27D00352"/>
    <w:rsid w:val="27FD025A"/>
    <w:rsid w:val="282657F7"/>
    <w:rsid w:val="2856652E"/>
    <w:rsid w:val="2867494D"/>
    <w:rsid w:val="287E2C12"/>
    <w:rsid w:val="287F59EE"/>
    <w:rsid w:val="2884100B"/>
    <w:rsid w:val="28874CE8"/>
    <w:rsid w:val="28A8001C"/>
    <w:rsid w:val="28FC2B68"/>
    <w:rsid w:val="29147CD7"/>
    <w:rsid w:val="29172B11"/>
    <w:rsid w:val="291B7E44"/>
    <w:rsid w:val="29223179"/>
    <w:rsid w:val="292863C0"/>
    <w:rsid w:val="294A4308"/>
    <w:rsid w:val="29523F82"/>
    <w:rsid w:val="297728FC"/>
    <w:rsid w:val="297F63E2"/>
    <w:rsid w:val="298D40D9"/>
    <w:rsid w:val="29AA4023"/>
    <w:rsid w:val="29D506B9"/>
    <w:rsid w:val="29D815F7"/>
    <w:rsid w:val="29FF498C"/>
    <w:rsid w:val="2A155A4E"/>
    <w:rsid w:val="2A307C1D"/>
    <w:rsid w:val="2A37666B"/>
    <w:rsid w:val="2A3B1864"/>
    <w:rsid w:val="2A456589"/>
    <w:rsid w:val="2A475E62"/>
    <w:rsid w:val="2A4B2DEC"/>
    <w:rsid w:val="2A5B4807"/>
    <w:rsid w:val="2A837B23"/>
    <w:rsid w:val="2A8B619D"/>
    <w:rsid w:val="2A981F0C"/>
    <w:rsid w:val="2AC46B39"/>
    <w:rsid w:val="2AD311B2"/>
    <w:rsid w:val="2ADE0C2E"/>
    <w:rsid w:val="2B0717DF"/>
    <w:rsid w:val="2B16314B"/>
    <w:rsid w:val="2B1745E1"/>
    <w:rsid w:val="2B314EE4"/>
    <w:rsid w:val="2B53670E"/>
    <w:rsid w:val="2B7B1662"/>
    <w:rsid w:val="2B8C17C6"/>
    <w:rsid w:val="2B8E3C1B"/>
    <w:rsid w:val="2B8E7455"/>
    <w:rsid w:val="2BF21C56"/>
    <w:rsid w:val="2BFF3A07"/>
    <w:rsid w:val="2C010002"/>
    <w:rsid w:val="2C0E274C"/>
    <w:rsid w:val="2C1864B9"/>
    <w:rsid w:val="2C2104A7"/>
    <w:rsid w:val="2C3042EA"/>
    <w:rsid w:val="2C53238E"/>
    <w:rsid w:val="2C5466FC"/>
    <w:rsid w:val="2C65290D"/>
    <w:rsid w:val="2C913ADA"/>
    <w:rsid w:val="2C99767D"/>
    <w:rsid w:val="2C9F349F"/>
    <w:rsid w:val="2CAC0753"/>
    <w:rsid w:val="2CD441D3"/>
    <w:rsid w:val="2CDA7A1A"/>
    <w:rsid w:val="2D0779A7"/>
    <w:rsid w:val="2D2F5557"/>
    <w:rsid w:val="2D401642"/>
    <w:rsid w:val="2D4477EE"/>
    <w:rsid w:val="2D513389"/>
    <w:rsid w:val="2D7E2FF7"/>
    <w:rsid w:val="2D7E7EA2"/>
    <w:rsid w:val="2D8A7EEE"/>
    <w:rsid w:val="2DAC120D"/>
    <w:rsid w:val="2DAE6D54"/>
    <w:rsid w:val="2DB51D8C"/>
    <w:rsid w:val="2DBE157E"/>
    <w:rsid w:val="2DC41DAC"/>
    <w:rsid w:val="2DD2364E"/>
    <w:rsid w:val="2DD4300E"/>
    <w:rsid w:val="2DDB036C"/>
    <w:rsid w:val="2DE31F3E"/>
    <w:rsid w:val="2DEE1755"/>
    <w:rsid w:val="2DF815C0"/>
    <w:rsid w:val="2DFF5078"/>
    <w:rsid w:val="2E175D83"/>
    <w:rsid w:val="2E413F38"/>
    <w:rsid w:val="2E5E191E"/>
    <w:rsid w:val="2E6E0A25"/>
    <w:rsid w:val="2E720553"/>
    <w:rsid w:val="2E966933"/>
    <w:rsid w:val="2EC14611"/>
    <w:rsid w:val="2ED26A84"/>
    <w:rsid w:val="2EF6340A"/>
    <w:rsid w:val="2F1F63D3"/>
    <w:rsid w:val="2F507973"/>
    <w:rsid w:val="2F782D47"/>
    <w:rsid w:val="2F883C62"/>
    <w:rsid w:val="2FA13846"/>
    <w:rsid w:val="2FA662AC"/>
    <w:rsid w:val="2FC16D53"/>
    <w:rsid w:val="2FD44650"/>
    <w:rsid w:val="2FDE3293"/>
    <w:rsid w:val="2FDF5C9D"/>
    <w:rsid w:val="2FE83125"/>
    <w:rsid w:val="3009331C"/>
    <w:rsid w:val="301D5C97"/>
    <w:rsid w:val="30277C8E"/>
    <w:rsid w:val="30300320"/>
    <w:rsid w:val="30364EE2"/>
    <w:rsid w:val="30381F9E"/>
    <w:rsid w:val="30402949"/>
    <w:rsid w:val="304A74D6"/>
    <w:rsid w:val="30532E5A"/>
    <w:rsid w:val="305E4CC4"/>
    <w:rsid w:val="308640EB"/>
    <w:rsid w:val="30921EDF"/>
    <w:rsid w:val="309F49B3"/>
    <w:rsid w:val="30D61929"/>
    <w:rsid w:val="30D77E04"/>
    <w:rsid w:val="30E36619"/>
    <w:rsid w:val="30E44E75"/>
    <w:rsid w:val="30F77156"/>
    <w:rsid w:val="31070840"/>
    <w:rsid w:val="311753BD"/>
    <w:rsid w:val="311A734D"/>
    <w:rsid w:val="312B7B5C"/>
    <w:rsid w:val="31394AA3"/>
    <w:rsid w:val="31421613"/>
    <w:rsid w:val="314B5255"/>
    <w:rsid w:val="3157644A"/>
    <w:rsid w:val="315B6D60"/>
    <w:rsid w:val="3174505E"/>
    <w:rsid w:val="318A347D"/>
    <w:rsid w:val="318C4F08"/>
    <w:rsid w:val="31914894"/>
    <w:rsid w:val="31956A66"/>
    <w:rsid w:val="31C072B8"/>
    <w:rsid w:val="31DA45C8"/>
    <w:rsid w:val="31E4797E"/>
    <w:rsid w:val="31EE4BAA"/>
    <w:rsid w:val="31F521F6"/>
    <w:rsid w:val="31F5436E"/>
    <w:rsid w:val="31F857BF"/>
    <w:rsid w:val="320107D3"/>
    <w:rsid w:val="32243194"/>
    <w:rsid w:val="3224417B"/>
    <w:rsid w:val="32330ED1"/>
    <w:rsid w:val="324662CB"/>
    <w:rsid w:val="324C3A59"/>
    <w:rsid w:val="3263631F"/>
    <w:rsid w:val="32687D16"/>
    <w:rsid w:val="327331BC"/>
    <w:rsid w:val="32864611"/>
    <w:rsid w:val="32877675"/>
    <w:rsid w:val="329A5FA7"/>
    <w:rsid w:val="32A355BC"/>
    <w:rsid w:val="32C00D78"/>
    <w:rsid w:val="32DA49E4"/>
    <w:rsid w:val="32F653B6"/>
    <w:rsid w:val="33033068"/>
    <w:rsid w:val="331550E0"/>
    <w:rsid w:val="33222A9A"/>
    <w:rsid w:val="33273336"/>
    <w:rsid w:val="332D1CBE"/>
    <w:rsid w:val="33385D65"/>
    <w:rsid w:val="33480719"/>
    <w:rsid w:val="335F1874"/>
    <w:rsid w:val="336D05B7"/>
    <w:rsid w:val="3370375F"/>
    <w:rsid w:val="337D3E97"/>
    <w:rsid w:val="33805A44"/>
    <w:rsid w:val="338D6656"/>
    <w:rsid w:val="339D5261"/>
    <w:rsid w:val="339F59B9"/>
    <w:rsid w:val="33E6096F"/>
    <w:rsid w:val="33FD75CB"/>
    <w:rsid w:val="341374B8"/>
    <w:rsid w:val="3474243E"/>
    <w:rsid w:val="34802C16"/>
    <w:rsid w:val="34955EDA"/>
    <w:rsid w:val="349A334C"/>
    <w:rsid w:val="34C21BC2"/>
    <w:rsid w:val="34CA78C0"/>
    <w:rsid w:val="34E7352B"/>
    <w:rsid w:val="34E94C24"/>
    <w:rsid w:val="34FC01FE"/>
    <w:rsid w:val="35491DE7"/>
    <w:rsid w:val="354D799B"/>
    <w:rsid w:val="35586223"/>
    <w:rsid w:val="35A418C4"/>
    <w:rsid w:val="35C43DE3"/>
    <w:rsid w:val="35D55562"/>
    <w:rsid w:val="35E55B5D"/>
    <w:rsid w:val="35EF33C5"/>
    <w:rsid w:val="36127C2E"/>
    <w:rsid w:val="36130454"/>
    <w:rsid w:val="361325D6"/>
    <w:rsid w:val="361C7D06"/>
    <w:rsid w:val="36253B84"/>
    <w:rsid w:val="36401A4A"/>
    <w:rsid w:val="368920CF"/>
    <w:rsid w:val="36F0354C"/>
    <w:rsid w:val="36FE5573"/>
    <w:rsid w:val="37071254"/>
    <w:rsid w:val="3707184A"/>
    <w:rsid w:val="37412D5B"/>
    <w:rsid w:val="37424084"/>
    <w:rsid w:val="37524F3E"/>
    <w:rsid w:val="376533BD"/>
    <w:rsid w:val="37741B80"/>
    <w:rsid w:val="37795A76"/>
    <w:rsid w:val="378B2E6F"/>
    <w:rsid w:val="379B0D76"/>
    <w:rsid w:val="37C26EEE"/>
    <w:rsid w:val="37D078F7"/>
    <w:rsid w:val="37EB0089"/>
    <w:rsid w:val="37F76452"/>
    <w:rsid w:val="37FB7082"/>
    <w:rsid w:val="380E52E1"/>
    <w:rsid w:val="38423923"/>
    <w:rsid w:val="384F744A"/>
    <w:rsid w:val="38735C94"/>
    <w:rsid w:val="38A87CD8"/>
    <w:rsid w:val="38AB7652"/>
    <w:rsid w:val="38C0661D"/>
    <w:rsid w:val="38CE707C"/>
    <w:rsid w:val="38DD2EEF"/>
    <w:rsid w:val="38E93272"/>
    <w:rsid w:val="38FB4AF5"/>
    <w:rsid w:val="3902717F"/>
    <w:rsid w:val="39104B12"/>
    <w:rsid w:val="39150974"/>
    <w:rsid w:val="39253DBF"/>
    <w:rsid w:val="398F11DA"/>
    <w:rsid w:val="39985420"/>
    <w:rsid w:val="39A33546"/>
    <w:rsid w:val="39C01D61"/>
    <w:rsid w:val="39C16CB7"/>
    <w:rsid w:val="39E502D1"/>
    <w:rsid w:val="3A1B1AFA"/>
    <w:rsid w:val="3A1B760C"/>
    <w:rsid w:val="3A34051D"/>
    <w:rsid w:val="3A3B1E69"/>
    <w:rsid w:val="3A541B4B"/>
    <w:rsid w:val="3A60333A"/>
    <w:rsid w:val="3A6359E6"/>
    <w:rsid w:val="3A7D171B"/>
    <w:rsid w:val="3A7E7A19"/>
    <w:rsid w:val="3A920D31"/>
    <w:rsid w:val="3A9B60C5"/>
    <w:rsid w:val="3ACD10F0"/>
    <w:rsid w:val="3AF0613B"/>
    <w:rsid w:val="3B03762C"/>
    <w:rsid w:val="3B216441"/>
    <w:rsid w:val="3B2C0F24"/>
    <w:rsid w:val="3B334458"/>
    <w:rsid w:val="3B35199F"/>
    <w:rsid w:val="3B48554F"/>
    <w:rsid w:val="3B4E7C42"/>
    <w:rsid w:val="3B594BC0"/>
    <w:rsid w:val="3B644769"/>
    <w:rsid w:val="3B663E14"/>
    <w:rsid w:val="3B866206"/>
    <w:rsid w:val="3B8845D7"/>
    <w:rsid w:val="3B8B6665"/>
    <w:rsid w:val="3B917707"/>
    <w:rsid w:val="3B9C2E5C"/>
    <w:rsid w:val="3BA15D36"/>
    <w:rsid w:val="3BAD6AD3"/>
    <w:rsid w:val="3BC15D5C"/>
    <w:rsid w:val="3BDF17BD"/>
    <w:rsid w:val="3BE060F4"/>
    <w:rsid w:val="3BFB42C7"/>
    <w:rsid w:val="3C005EAA"/>
    <w:rsid w:val="3C0C25C4"/>
    <w:rsid w:val="3C21682D"/>
    <w:rsid w:val="3C277DFD"/>
    <w:rsid w:val="3C2D6E50"/>
    <w:rsid w:val="3C3079FF"/>
    <w:rsid w:val="3C513234"/>
    <w:rsid w:val="3C7556F3"/>
    <w:rsid w:val="3CAA46F7"/>
    <w:rsid w:val="3CAB4CF9"/>
    <w:rsid w:val="3CC223A3"/>
    <w:rsid w:val="3CC96375"/>
    <w:rsid w:val="3CCB77E5"/>
    <w:rsid w:val="3CD25CFD"/>
    <w:rsid w:val="3CE109E9"/>
    <w:rsid w:val="3CE57D2D"/>
    <w:rsid w:val="3CE77BA9"/>
    <w:rsid w:val="3CF4275A"/>
    <w:rsid w:val="3D024C8D"/>
    <w:rsid w:val="3D07311F"/>
    <w:rsid w:val="3D0B19D3"/>
    <w:rsid w:val="3D1E133E"/>
    <w:rsid w:val="3D5170E9"/>
    <w:rsid w:val="3D8E3347"/>
    <w:rsid w:val="3DA64913"/>
    <w:rsid w:val="3DAB6021"/>
    <w:rsid w:val="3DBB5ECC"/>
    <w:rsid w:val="3DFE1A79"/>
    <w:rsid w:val="3E091CA6"/>
    <w:rsid w:val="3E1D71D8"/>
    <w:rsid w:val="3E217459"/>
    <w:rsid w:val="3E2230B8"/>
    <w:rsid w:val="3E263650"/>
    <w:rsid w:val="3E2805F5"/>
    <w:rsid w:val="3E2A4E15"/>
    <w:rsid w:val="3E3B4014"/>
    <w:rsid w:val="3EA24223"/>
    <w:rsid w:val="3EB1354E"/>
    <w:rsid w:val="3EED7585"/>
    <w:rsid w:val="3F055097"/>
    <w:rsid w:val="3F161199"/>
    <w:rsid w:val="3F255D56"/>
    <w:rsid w:val="3F416A26"/>
    <w:rsid w:val="3F4A3E88"/>
    <w:rsid w:val="3F761504"/>
    <w:rsid w:val="3F892D8A"/>
    <w:rsid w:val="3FA54CBA"/>
    <w:rsid w:val="3FB26EF8"/>
    <w:rsid w:val="3FD0776A"/>
    <w:rsid w:val="3FFC0DC4"/>
    <w:rsid w:val="3FFF7676"/>
    <w:rsid w:val="400B0253"/>
    <w:rsid w:val="401E7C74"/>
    <w:rsid w:val="40223FBC"/>
    <w:rsid w:val="404F40EA"/>
    <w:rsid w:val="40775629"/>
    <w:rsid w:val="4082593F"/>
    <w:rsid w:val="40843549"/>
    <w:rsid w:val="40A72F7F"/>
    <w:rsid w:val="41474308"/>
    <w:rsid w:val="41681941"/>
    <w:rsid w:val="416E4242"/>
    <w:rsid w:val="417C534F"/>
    <w:rsid w:val="417E36CE"/>
    <w:rsid w:val="41815287"/>
    <w:rsid w:val="418F3223"/>
    <w:rsid w:val="41A46743"/>
    <w:rsid w:val="41A73A13"/>
    <w:rsid w:val="41BA6E38"/>
    <w:rsid w:val="41CF22D5"/>
    <w:rsid w:val="41E06904"/>
    <w:rsid w:val="41E47D60"/>
    <w:rsid w:val="41FB3940"/>
    <w:rsid w:val="41FE4EBD"/>
    <w:rsid w:val="421B0517"/>
    <w:rsid w:val="421C002D"/>
    <w:rsid w:val="421E7906"/>
    <w:rsid w:val="422024E8"/>
    <w:rsid w:val="422E6A18"/>
    <w:rsid w:val="42313AD0"/>
    <w:rsid w:val="423D6569"/>
    <w:rsid w:val="42762B0E"/>
    <w:rsid w:val="42796D6D"/>
    <w:rsid w:val="42965151"/>
    <w:rsid w:val="42B8066C"/>
    <w:rsid w:val="42D50F2A"/>
    <w:rsid w:val="431F44D2"/>
    <w:rsid w:val="43410AEC"/>
    <w:rsid w:val="43440507"/>
    <w:rsid w:val="43486F47"/>
    <w:rsid w:val="43606A91"/>
    <w:rsid w:val="437046B0"/>
    <w:rsid w:val="437468EC"/>
    <w:rsid w:val="437635E3"/>
    <w:rsid w:val="437B3C36"/>
    <w:rsid w:val="437D2796"/>
    <w:rsid w:val="43A56EBD"/>
    <w:rsid w:val="43A6733A"/>
    <w:rsid w:val="43C85A23"/>
    <w:rsid w:val="43DB21A0"/>
    <w:rsid w:val="43F6552A"/>
    <w:rsid w:val="44191691"/>
    <w:rsid w:val="444C4862"/>
    <w:rsid w:val="44560F40"/>
    <w:rsid w:val="44565344"/>
    <w:rsid w:val="446B1522"/>
    <w:rsid w:val="44720E16"/>
    <w:rsid w:val="44B24538"/>
    <w:rsid w:val="44B40707"/>
    <w:rsid w:val="44BF37DC"/>
    <w:rsid w:val="44C41913"/>
    <w:rsid w:val="44CE1408"/>
    <w:rsid w:val="44D619FA"/>
    <w:rsid w:val="44F4553C"/>
    <w:rsid w:val="450874FC"/>
    <w:rsid w:val="450A7A4F"/>
    <w:rsid w:val="453A6E98"/>
    <w:rsid w:val="45476EA5"/>
    <w:rsid w:val="455D71A8"/>
    <w:rsid w:val="456553DD"/>
    <w:rsid w:val="459F2609"/>
    <w:rsid w:val="45BC0D69"/>
    <w:rsid w:val="45C33C42"/>
    <w:rsid w:val="45CC2621"/>
    <w:rsid w:val="45D10164"/>
    <w:rsid w:val="45E54860"/>
    <w:rsid w:val="460878E8"/>
    <w:rsid w:val="461203B6"/>
    <w:rsid w:val="46205844"/>
    <w:rsid w:val="4627075D"/>
    <w:rsid w:val="466C6EAA"/>
    <w:rsid w:val="469D0412"/>
    <w:rsid w:val="469D53BB"/>
    <w:rsid w:val="469F108B"/>
    <w:rsid w:val="46B249C0"/>
    <w:rsid w:val="46CF5EFF"/>
    <w:rsid w:val="46EF1849"/>
    <w:rsid w:val="46F7673A"/>
    <w:rsid w:val="46FB2F42"/>
    <w:rsid w:val="46FB4409"/>
    <w:rsid w:val="471C603E"/>
    <w:rsid w:val="47237C1D"/>
    <w:rsid w:val="47345EF6"/>
    <w:rsid w:val="473D6B0A"/>
    <w:rsid w:val="475C4FE1"/>
    <w:rsid w:val="476E4CA0"/>
    <w:rsid w:val="478148E6"/>
    <w:rsid w:val="47821C82"/>
    <w:rsid w:val="4784369C"/>
    <w:rsid w:val="47AD7740"/>
    <w:rsid w:val="47D951E8"/>
    <w:rsid w:val="47F47478"/>
    <w:rsid w:val="480D10C9"/>
    <w:rsid w:val="481F428B"/>
    <w:rsid w:val="48216BFC"/>
    <w:rsid w:val="482B2304"/>
    <w:rsid w:val="4853715D"/>
    <w:rsid w:val="485C724A"/>
    <w:rsid w:val="485F31E9"/>
    <w:rsid w:val="48857FBF"/>
    <w:rsid w:val="48981C64"/>
    <w:rsid w:val="489E3D1D"/>
    <w:rsid w:val="48AB513B"/>
    <w:rsid w:val="48B828AA"/>
    <w:rsid w:val="48BE652C"/>
    <w:rsid w:val="48C21E3A"/>
    <w:rsid w:val="48CC0ED2"/>
    <w:rsid w:val="48DE11B8"/>
    <w:rsid w:val="48F112AB"/>
    <w:rsid w:val="48F36F3B"/>
    <w:rsid w:val="48F91BE2"/>
    <w:rsid w:val="490D4FEC"/>
    <w:rsid w:val="49186926"/>
    <w:rsid w:val="491A3B93"/>
    <w:rsid w:val="49205619"/>
    <w:rsid w:val="4922547B"/>
    <w:rsid w:val="4923483E"/>
    <w:rsid w:val="49280E7A"/>
    <w:rsid w:val="49336412"/>
    <w:rsid w:val="493F0195"/>
    <w:rsid w:val="495113FA"/>
    <w:rsid w:val="4969085B"/>
    <w:rsid w:val="4969756D"/>
    <w:rsid w:val="49777618"/>
    <w:rsid w:val="497A1477"/>
    <w:rsid w:val="49862A25"/>
    <w:rsid w:val="49893CAB"/>
    <w:rsid w:val="49A24B16"/>
    <w:rsid w:val="49AE4A8C"/>
    <w:rsid w:val="49D54F3C"/>
    <w:rsid w:val="4A1F67CA"/>
    <w:rsid w:val="4A3100F0"/>
    <w:rsid w:val="4A503ED1"/>
    <w:rsid w:val="4A5E0E3F"/>
    <w:rsid w:val="4A620A37"/>
    <w:rsid w:val="4A7B772D"/>
    <w:rsid w:val="4A852A32"/>
    <w:rsid w:val="4A8C084D"/>
    <w:rsid w:val="4A8D5A66"/>
    <w:rsid w:val="4AAE265D"/>
    <w:rsid w:val="4AB7573A"/>
    <w:rsid w:val="4AC63524"/>
    <w:rsid w:val="4AC97099"/>
    <w:rsid w:val="4ACC0576"/>
    <w:rsid w:val="4AE3407E"/>
    <w:rsid w:val="4AE81506"/>
    <w:rsid w:val="4AEA4ED1"/>
    <w:rsid w:val="4AF02574"/>
    <w:rsid w:val="4B1E70A8"/>
    <w:rsid w:val="4B225419"/>
    <w:rsid w:val="4B2A2B69"/>
    <w:rsid w:val="4B3512FE"/>
    <w:rsid w:val="4B373D3C"/>
    <w:rsid w:val="4B3E7C24"/>
    <w:rsid w:val="4B4B0FFC"/>
    <w:rsid w:val="4B505EFA"/>
    <w:rsid w:val="4B74669C"/>
    <w:rsid w:val="4B7859E7"/>
    <w:rsid w:val="4B7F3A41"/>
    <w:rsid w:val="4B860513"/>
    <w:rsid w:val="4B8A72CF"/>
    <w:rsid w:val="4B972445"/>
    <w:rsid w:val="4BB70AA8"/>
    <w:rsid w:val="4BCF396B"/>
    <w:rsid w:val="4BED66CC"/>
    <w:rsid w:val="4C1065B5"/>
    <w:rsid w:val="4C217E66"/>
    <w:rsid w:val="4C3A49DA"/>
    <w:rsid w:val="4C6C4B2C"/>
    <w:rsid w:val="4C6D3334"/>
    <w:rsid w:val="4C70027F"/>
    <w:rsid w:val="4C723944"/>
    <w:rsid w:val="4C8937D3"/>
    <w:rsid w:val="4C92636C"/>
    <w:rsid w:val="4C987B90"/>
    <w:rsid w:val="4CAE2139"/>
    <w:rsid w:val="4CB3686B"/>
    <w:rsid w:val="4CC05C71"/>
    <w:rsid w:val="4CC51258"/>
    <w:rsid w:val="4CD9331E"/>
    <w:rsid w:val="4CDD791C"/>
    <w:rsid w:val="4CE92D4E"/>
    <w:rsid w:val="4D094E39"/>
    <w:rsid w:val="4D0E5386"/>
    <w:rsid w:val="4D1E6158"/>
    <w:rsid w:val="4D527A3F"/>
    <w:rsid w:val="4D6D5854"/>
    <w:rsid w:val="4D760E6D"/>
    <w:rsid w:val="4D7D3ADC"/>
    <w:rsid w:val="4D834573"/>
    <w:rsid w:val="4D943011"/>
    <w:rsid w:val="4DA33AAF"/>
    <w:rsid w:val="4DB4337B"/>
    <w:rsid w:val="4DCB3EE4"/>
    <w:rsid w:val="4DDF3F73"/>
    <w:rsid w:val="4DE01E40"/>
    <w:rsid w:val="4E043932"/>
    <w:rsid w:val="4E1C1B71"/>
    <w:rsid w:val="4E361A67"/>
    <w:rsid w:val="4E680901"/>
    <w:rsid w:val="4EAC0101"/>
    <w:rsid w:val="4EB0535F"/>
    <w:rsid w:val="4EC44FA2"/>
    <w:rsid w:val="4EDC13F9"/>
    <w:rsid w:val="4F2D03BA"/>
    <w:rsid w:val="4F3E4EE5"/>
    <w:rsid w:val="4F522D7B"/>
    <w:rsid w:val="4F8046F1"/>
    <w:rsid w:val="4F8119B1"/>
    <w:rsid w:val="4F92238A"/>
    <w:rsid w:val="4FB93F22"/>
    <w:rsid w:val="4FC7629C"/>
    <w:rsid w:val="4FD42702"/>
    <w:rsid w:val="4FE062A3"/>
    <w:rsid w:val="4FFD0A59"/>
    <w:rsid w:val="4FFF755C"/>
    <w:rsid w:val="50223E9C"/>
    <w:rsid w:val="502D6DB0"/>
    <w:rsid w:val="5043798C"/>
    <w:rsid w:val="506F22A9"/>
    <w:rsid w:val="50731BAF"/>
    <w:rsid w:val="50892AE1"/>
    <w:rsid w:val="508A28EA"/>
    <w:rsid w:val="50A05FBD"/>
    <w:rsid w:val="50A56264"/>
    <w:rsid w:val="50D310E7"/>
    <w:rsid w:val="50FE681F"/>
    <w:rsid w:val="51074EDB"/>
    <w:rsid w:val="510E0E2A"/>
    <w:rsid w:val="510E6480"/>
    <w:rsid w:val="51197F18"/>
    <w:rsid w:val="51547ADE"/>
    <w:rsid w:val="51570B9A"/>
    <w:rsid w:val="515B5BAE"/>
    <w:rsid w:val="516F68B9"/>
    <w:rsid w:val="517A494B"/>
    <w:rsid w:val="518A04D2"/>
    <w:rsid w:val="51B8400A"/>
    <w:rsid w:val="51C25525"/>
    <w:rsid w:val="51F5627A"/>
    <w:rsid w:val="52107F84"/>
    <w:rsid w:val="52264C68"/>
    <w:rsid w:val="522C4211"/>
    <w:rsid w:val="52586942"/>
    <w:rsid w:val="527511EB"/>
    <w:rsid w:val="5298489A"/>
    <w:rsid w:val="52BF7035"/>
    <w:rsid w:val="52C34F5E"/>
    <w:rsid w:val="52CD2457"/>
    <w:rsid w:val="52E223AA"/>
    <w:rsid w:val="5305770A"/>
    <w:rsid w:val="537C1E5C"/>
    <w:rsid w:val="53834532"/>
    <w:rsid w:val="53B25B95"/>
    <w:rsid w:val="53BC65C2"/>
    <w:rsid w:val="53C24FBF"/>
    <w:rsid w:val="53C3751C"/>
    <w:rsid w:val="53E91DA0"/>
    <w:rsid w:val="53FD089E"/>
    <w:rsid w:val="540508D6"/>
    <w:rsid w:val="54321EEE"/>
    <w:rsid w:val="54453B17"/>
    <w:rsid w:val="544A03D8"/>
    <w:rsid w:val="54707003"/>
    <w:rsid w:val="54765614"/>
    <w:rsid w:val="548536F4"/>
    <w:rsid w:val="54934A30"/>
    <w:rsid w:val="54963849"/>
    <w:rsid w:val="54B2488E"/>
    <w:rsid w:val="54BA7426"/>
    <w:rsid w:val="54DD61CF"/>
    <w:rsid w:val="54DF2E0B"/>
    <w:rsid w:val="54E76C3E"/>
    <w:rsid w:val="54EF4663"/>
    <w:rsid w:val="54FE5794"/>
    <w:rsid w:val="550F5286"/>
    <w:rsid w:val="5518177A"/>
    <w:rsid w:val="55323649"/>
    <w:rsid w:val="556A2FD5"/>
    <w:rsid w:val="557668CE"/>
    <w:rsid w:val="5593631B"/>
    <w:rsid w:val="55946AD4"/>
    <w:rsid w:val="55CA3EEC"/>
    <w:rsid w:val="55D055CE"/>
    <w:rsid w:val="55D634ED"/>
    <w:rsid w:val="55DE47B5"/>
    <w:rsid w:val="55E62651"/>
    <w:rsid w:val="560C1958"/>
    <w:rsid w:val="564C06F4"/>
    <w:rsid w:val="567910F3"/>
    <w:rsid w:val="568E7A95"/>
    <w:rsid w:val="56986CF3"/>
    <w:rsid w:val="569A13D1"/>
    <w:rsid w:val="56A05000"/>
    <w:rsid w:val="56A331CD"/>
    <w:rsid w:val="56B13420"/>
    <w:rsid w:val="56B332E9"/>
    <w:rsid w:val="56CA16A1"/>
    <w:rsid w:val="56EA6035"/>
    <w:rsid w:val="56F0146F"/>
    <w:rsid w:val="56F25C5D"/>
    <w:rsid w:val="571826D1"/>
    <w:rsid w:val="572610A1"/>
    <w:rsid w:val="57436AF9"/>
    <w:rsid w:val="577517E8"/>
    <w:rsid w:val="577F25EF"/>
    <w:rsid w:val="578204BE"/>
    <w:rsid w:val="5785395A"/>
    <w:rsid w:val="57902474"/>
    <w:rsid w:val="57A1541B"/>
    <w:rsid w:val="57C20060"/>
    <w:rsid w:val="57C62622"/>
    <w:rsid w:val="57DA3EA0"/>
    <w:rsid w:val="57E435FE"/>
    <w:rsid w:val="57FF1EAD"/>
    <w:rsid w:val="58046270"/>
    <w:rsid w:val="580D088A"/>
    <w:rsid w:val="5829224E"/>
    <w:rsid w:val="5834256D"/>
    <w:rsid w:val="583643B6"/>
    <w:rsid w:val="585C04F2"/>
    <w:rsid w:val="585D5FB5"/>
    <w:rsid w:val="58733088"/>
    <w:rsid w:val="58790B40"/>
    <w:rsid w:val="58805921"/>
    <w:rsid w:val="588F0D50"/>
    <w:rsid w:val="58B15802"/>
    <w:rsid w:val="58D74C96"/>
    <w:rsid w:val="58D76CBA"/>
    <w:rsid w:val="58E12CBB"/>
    <w:rsid w:val="58FA6822"/>
    <w:rsid w:val="58FC2C37"/>
    <w:rsid w:val="592734D1"/>
    <w:rsid w:val="59383ADA"/>
    <w:rsid w:val="593B0594"/>
    <w:rsid w:val="594B38A6"/>
    <w:rsid w:val="5953365B"/>
    <w:rsid w:val="5961766F"/>
    <w:rsid w:val="597074BB"/>
    <w:rsid w:val="59781953"/>
    <w:rsid w:val="599020E6"/>
    <w:rsid w:val="59950669"/>
    <w:rsid w:val="59AD3357"/>
    <w:rsid w:val="59BF3C49"/>
    <w:rsid w:val="59C373D1"/>
    <w:rsid w:val="59E15D3D"/>
    <w:rsid w:val="59F51CED"/>
    <w:rsid w:val="5A0A5ECA"/>
    <w:rsid w:val="5A1222DD"/>
    <w:rsid w:val="5A1F08E3"/>
    <w:rsid w:val="5A284D2A"/>
    <w:rsid w:val="5A3A0457"/>
    <w:rsid w:val="5A437242"/>
    <w:rsid w:val="5A7C1A33"/>
    <w:rsid w:val="5A7D7AFF"/>
    <w:rsid w:val="5A911489"/>
    <w:rsid w:val="5AD311F6"/>
    <w:rsid w:val="5AF968C7"/>
    <w:rsid w:val="5B0C31E8"/>
    <w:rsid w:val="5B252510"/>
    <w:rsid w:val="5B291FCE"/>
    <w:rsid w:val="5BC14505"/>
    <w:rsid w:val="5BC270D8"/>
    <w:rsid w:val="5BD72738"/>
    <w:rsid w:val="5BD76AB6"/>
    <w:rsid w:val="5BD87A5F"/>
    <w:rsid w:val="5BE24E20"/>
    <w:rsid w:val="5BFF7AE6"/>
    <w:rsid w:val="5C0B789C"/>
    <w:rsid w:val="5C372F37"/>
    <w:rsid w:val="5C3A48B6"/>
    <w:rsid w:val="5C410A77"/>
    <w:rsid w:val="5CA27355"/>
    <w:rsid w:val="5CA95EEB"/>
    <w:rsid w:val="5CAB0CD0"/>
    <w:rsid w:val="5CAB7727"/>
    <w:rsid w:val="5CAC66E1"/>
    <w:rsid w:val="5CBE6758"/>
    <w:rsid w:val="5CC441E1"/>
    <w:rsid w:val="5CE760ED"/>
    <w:rsid w:val="5D2113E8"/>
    <w:rsid w:val="5D673A5A"/>
    <w:rsid w:val="5D6B1009"/>
    <w:rsid w:val="5D836428"/>
    <w:rsid w:val="5D8D5661"/>
    <w:rsid w:val="5DAA473B"/>
    <w:rsid w:val="5DBD32BE"/>
    <w:rsid w:val="5DBF5D4F"/>
    <w:rsid w:val="5DC55B3F"/>
    <w:rsid w:val="5DCB4D6D"/>
    <w:rsid w:val="5DD97AD5"/>
    <w:rsid w:val="5E2524A8"/>
    <w:rsid w:val="5E2A7441"/>
    <w:rsid w:val="5E2E2912"/>
    <w:rsid w:val="5E567403"/>
    <w:rsid w:val="5E813DB6"/>
    <w:rsid w:val="5E851E72"/>
    <w:rsid w:val="5E8972BA"/>
    <w:rsid w:val="5EA62EF7"/>
    <w:rsid w:val="5EB441A9"/>
    <w:rsid w:val="5EBA517D"/>
    <w:rsid w:val="5EBD202B"/>
    <w:rsid w:val="5ED6420B"/>
    <w:rsid w:val="5EE43E9B"/>
    <w:rsid w:val="5EE822FC"/>
    <w:rsid w:val="5EEC4DA1"/>
    <w:rsid w:val="5EF442CA"/>
    <w:rsid w:val="5EF715EB"/>
    <w:rsid w:val="5EFC796F"/>
    <w:rsid w:val="5F281498"/>
    <w:rsid w:val="5F4C13E6"/>
    <w:rsid w:val="5F4C71F9"/>
    <w:rsid w:val="5F530F9F"/>
    <w:rsid w:val="5F544D91"/>
    <w:rsid w:val="5F7D5ED3"/>
    <w:rsid w:val="5F947ED8"/>
    <w:rsid w:val="5FA81A4B"/>
    <w:rsid w:val="5FB55DAF"/>
    <w:rsid w:val="5FC42AD9"/>
    <w:rsid w:val="5FFA1888"/>
    <w:rsid w:val="5FFB56DE"/>
    <w:rsid w:val="600960AF"/>
    <w:rsid w:val="601B7031"/>
    <w:rsid w:val="604407BF"/>
    <w:rsid w:val="60486347"/>
    <w:rsid w:val="60566B33"/>
    <w:rsid w:val="60580D25"/>
    <w:rsid w:val="60B179AB"/>
    <w:rsid w:val="60BF3DA2"/>
    <w:rsid w:val="60BF626C"/>
    <w:rsid w:val="60CE1B44"/>
    <w:rsid w:val="60E92F0A"/>
    <w:rsid w:val="60EB09BA"/>
    <w:rsid w:val="60F41E9F"/>
    <w:rsid w:val="61072CD2"/>
    <w:rsid w:val="610970AF"/>
    <w:rsid w:val="611D59EE"/>
    <w:rsid w:val="611D7C5B"/>
    <w:rsid w:val="61454633"/>
    <w:rsid w:val="617B0BB5"/>
    <w:rsid w:val="618E396B"/>
    <w:rsid w:val="61910762"/>
    <w:rsid w:val="61B05D45"/>
    <w:rsid w:val="61BE7D2A"/>
    <w:rsid w:val="61C015E9"/>
    <w:rsid w:val="61E74D6C"/>
    <w:rsid w:val="61F57174"/>
    <w:rsid w:val="623449FC"/>
    <w:rsid w:val="62355655"/>
    <w:rsid w:val="62362B91"/>
    <w:rsid w:val="623F08B8"/>
    <w:rsid w:val="62523266"/>
    <w:rsid w:val="62595EC7"/>
    <w:rsid w:val="627177CD"/>
    <w:rsid w:val="627511AF"/>
    <w:rsid w:val="62770624"/>
    <w:rsid w:val="62814A14"/>
    <w:rsid w:val="62CE0974"/>
    <w:rsid w:val="62D54B71"/>
    <w:rsid w:val="62E0024A"/>
    <w:rsid w:val="62E02E1C"/>
    <w:rsid w:val="631D2AC7"/>
    <w:rsid w:val="63261CB3"/>
    <w:rsid w:val="633F1142"/>
    <w:rsid w:val="63463232"/>
    <w:rsid w:val="634D48DE"/>
    <w:rsid w:val="636B19CD"/>
    <w:rsid w:val="63780F55"/>
    <w:rsid w:val="63A1609E"/>
    <w:rsid w:val="63A22ADD"/>
    <w:rsid w:val="63BA5239"/>
    <w:rsid w:val="63F25AAD"/>
    <w:rsid w:val="63F71532"/>
    <w:rsid w:val="63F769F2"/>
    <w:rsid w:val="64045B83"/>
    <w:rsid w:val="641129B5"/>
    <w:rsid w:val="641724DD"/>
    <w:rsid w:val="642C33B8"/>
    <w:rsid w:val="644F09B6"/>
    <w:rsid w:val="64516D3E"/>
    <w:rsid w:val="645C797F"/>
    <w:rsid w:val="64867737"/>
    <w:rsid w:val="648D4DC3"/>
    <w:rsid w:val="64937B40"/>
    <w:rsid w:val="64951845"/>
    <w:rsid w:val="64A7189D"/>
    <w:rsid w:val="64A93377"/>
    <w:rsid w:val="64B94457"/>
    <w:rsid w:val="64C10B7B"/>
    <w:rsid w:val="64C72A0B"/>
    <w:rsid w:val="64E414E0"/>
    <w:rsid w:val="64F81386"/>
    <w:rsid w:val="652524D0"/>
    <w:rsid w:val="652A3F85"/>
    <w:rsid w:val="652C15E3"/>
    <w:rsid w:val="656B25DE"/>
    <w:rsid w:val="656E0AFF"/>
    <w:rsid w:val="65744A67"/>
    <w:rsid w:val="657D496C"/>
    <w:rsid w:val="65965311"/>
    <w:rsid w:val="65991807"/>
    <w:rsid w:val="65A0142C"/>
    <w:rsid w:val="65C71253"/>
    <w:rsid w:val="65EA707A"/>
    <w:rsid w:val="663228BD"/>
    <w:rsid w:val="665C7E71"/>
    <w:rsid w:val="665F1C74"/>
    <w:rsid w:val="66722C55"/>
    <w:rsid w:val="66730C34"/>
    <w:rsid w:val="668E5827"/>
    <w:rsid w:val="66A43656"/>
    <w:rsid w:val="66AD46B9"/>
    <w:rsid w:val="66B3502D"/>
    <w:rsid w:val="66C806BD"/>
    <w:rsid w:val="66C873FE"/>
    <w:rsid w:val="66EF7312"/>
    <w:rsid w:val="66F44D63"/>
    <w:rsid w:val="67173F59"/>
    <w:rsid w:val="67256520"/>
    <w:rsid w:val="67267A59"/>
    <w:rsid w:val="67520F7A"/>
    <w:rsid w:val="67822F4A"/>
    <w:rsid w:val="67A04650"/>
    <w:rsid w:val="67A9516E"/>
    <w:rsid w:val="67D544FF"/>
    <w:rsid w:val="67F50961"/>
    <w:rsid w:val="68014D26"/>
    <w:rsid w:val="680F0D3C"/>
    <w:rsid w:val="68297331"/>
    <w:rsid w:val="683A43E2"/>
    <w:rsid w:val="68631F9E"/>
    <w:rsid w:val="68F212CB"/>
    <w:rsid w:val="68F63773"/>
    <w:rsid w:val="69010518"/>
    <w:rsid w:val="69272D88"/>
    <w:rsid w:val="69274894"/>
    <w:rsid w:val="69320622"/>
    <w:rsid w:val="69331F88"/>
    <w:rsid w:val="693F120E"/>
    <w:rsid w:val="69440073"/>
    <w:rsid w:val="6954065E"/>
    <w:rsid w:val="695C41D8"/>
    <w:rsid w:val="69730085"/>
    <w:rsid w:val="69756FB8"/>
    <w:rsid w:val="6980463C"/>
    <w:rsid w:val="69B6146E"/>
    <w:rsid w:val="69BA6CE6"/>
    <w:rsid w:val="69C81951"/>
    <w:rsid w:val="69E1043D"/>
    <w:rsid w:val="69E105C7"/>
    <w:rsid w:val="69E3741F"/>
    <w:rsid w:val="69E67861"/>
    <w:rsid w:val="69E92F58"/>
    <w:rsid w:val="69ED7FCE"/>
    <w:rsid w:val="69F603A4"/>
    <w:rsid w:val="69F677D1"/>
    <w:rsid w:val="6A122522"/>
    <w:rsid w:val="6A225BCB"/>
    <w:rsid w:val="6A4A00DD"/>
    <w:rsid w:val="6A5945EB"/>
    <w:rsid w:val="6A5B554E"/>
    <w:rsid w:val="6A6019CC"/>
    <w:rsid w:val="6A6F0C2B"/>
    <w:rsid w:val="6A8E441C"/>
    <w:rsid w:val="6A9834B2"/>
    <w:rsid w:val="6AA07311"/>
    <w:rsid w:val="6AA3203F"/>
    <w:rsid w:val="6AAC6B9E"/>
    <w:rsid w:val="6AC2507F"/>
    <w:rsid w:val="6B0D754B"/>
    <w:rsid w:val="6B161984"/>
    <w:rsid w:val="6B287EA8"/>
    <w:rsid w:val="6B2B5BD2"/>
    <w:rsid w:val="6B2F2DA6"/>
    <w:rsid w:val="6B385122"/>
    <w:rsid w:val="6B556307"/>
    <w:rsid w:val="6B865118"/>
    <w:rsid w:val="6B871777"/>
    <w:rsid w:val="6B8C65AF"/>
    <w:rsid w:val="6BA158BF"/>
    <w:rsid w:val="6BA33D7F"/>
    <w:rsid w:val="6BC703C0"/>
    <w:rsid w:val="6BC8237B"/>
    <w:rsid w:val="6BCB7818"/>
    <w:rsid w:val="6BE26F6A"/>
    <w:rsid w:val="6BF23043"/>
    <w:rsid w:val="6BF32268"/>
    <w:rsid w:val="6BFB7D72"/>
    <w:rsid w:val="6BFC2786"/>
    <w:rsid w:val="6C08695F"/>
    <w:rsid w:val="6C0D546E"/>
    <w:rsid w:val="6C0D5A20"/>
    <w:rsid w:val="6C1E03F6"/>
    <w:rsid w:val="6C2C2459"/>
    <w:rsid w:val="6C3D3F2D"/>
    <w:rsid w:val="6C3F0B24"/>
    <w:rsid w:val="6C454CBD"/>
    <w:rsid w:val="6C4B7810"/>
    <w:rsid w:val="6C887360"/>
    <w:rsid w:val="6C941171"/>
    <w:rsid w:val="6CD27CEA"/>
    <w:rsid w:val="6CD57E78"/>
    <w:rsid w:val="6CF266C6"/>
    <w:rsid w:val="6D104C89"/>
    <w:rsid w:val="6D1A4E80"/>
    <w:rsid w:val="6D3343BE"/>
    <w:rsid w:val="6D37574E"/>
    <w:rsid w:val="6D46263C"/>
    <w:rsid w:val="6D476454"/>
    <w:rsid w:val="6D484037"/>
    <w:rsid w:val="6D5A55A1"/>
    <w:rsid w:val="6D6D18F5"/>
    <w:rsid w:val="6D710B57"/>
    <w:rsid w:val="6D8F6200"/>
    <w:rsid w:val="6DB07064"/>
    <w:rsid w:val="6DB94322"/>
    <w:rsid w:val="6DC45C8A"/>
    <w:rsid w:val="6E040055"/>
    <w:rsid w:val="6E39307B"/>
    <w:rsid w:val="6E3F2CCE"/>
    <w:rsid w:val="6E405F4A"/>
    <w:rsid w:val="6E704D3B"/>
    <w:rsid w:val="6E721AC2"/>
    <w:rsid w:val="6E875598"/>
    <w:rsid w:val="6E8E28B2"/>
    <w:rsid w:val="6EB25336"/>
    <w:rsid w:val="6EBC51F3"/>
    <w:rsid w:val="6ECB2092"/>
    <w:rsid w:val="6ECB75C0"/>
    <w:rsid w:val="6ECD2F7C"/>
    <w:rsid w:val="6EE06940"/>
    <w:rsid w:val="6EF9226B"/>
    <w:rsid w:val="6F0247A4"/>
    <w:rsid w:val="6F075F3D"/>
    <w:rsid w:val="6F094974"/>
    <w:rsid w:val="6F0C2BFB"/>
    <w:rsid w:val="6F17672B"/>
    <w:rsid w:val="6F1B2BD3"/>
    <w:rsid w:val="6F2C13F5"/>
    <w:rsid w:val="6F2C770E"/>
    <w:rsid w:val="6F5762A3"/>
    <w:rsid w:val="6F5B3495"/>
    <w:rsid w:val="6F6144E0"/>
    <w:rsid w:val="6FB8455F"/>
    <w:rsid w:val="6FB91458"/>
    <w:rsid w:val="6FCB62BA"/>
    <w:rsid w:val="6FFA1703"/>
    <w:rsid w:val="70151F71"/>
    <w:rsid w:val="70206BB3"/>
    <w:rsid w:val="702D243B"/>
    <w:rsid w:val="703644CA"/>
    <w:rsid w:val="70730315"/>
    <w:rsid w:val="70784492"/>
    <w:rsid w:val="709A551D"/>
    <w:rsid w:val="70AA763C"/>
    <w:rsid w:val="70B10BBB"/>
    <w:rsid w:val="70B34E7A"/>
    <w:rsid w:val="70CB12D9"/>
    <w:rsid w:val="70CF1289"/>
    <w:rsid w:val="70D079F5"/>
    <w:rsid w:val="70EC036D"/>
    <w:rsid w:val="70FF4E43"/>
    <w:rsid w:val="71000A51"/>
    <w:rsid w:val="71137217"/>
    <w:rsid w:val="714149A1"/>
    <w:rsid w:val="715D41FB"/>
    <w:rsid w:val="71687318"/>
    <w:rsid w:val="71CD678B"/>
    <w:rsid w:val="71E963C9"/>
    <w:rsid w:val="71F372EB"/>
    <w:rsid w:val="71F97AA3"/>
    <w:rsid w:val="71FB2F3F"/>
    <w:rsid w:val="723C40E2"/>
    <w:rsid w:val="7242273F"/>
    <w:rsid w:val="72473C63"/>
    <w:rsid w:val="725215CC"/>
    <w:rsid w:val="72524DC3"/>
    <w:rsid w:val="72574340"/>
    <w:rsid w:val="727C1491"/>
    <w:rsid w:val="72967050"/>
    <w:rsid w:val="72980ABC"/>
    <w:rsid w:val="72A031B5"/>
    <w:rsid w:val="72B27DED"/>
    <w:rsid w:val="72B566B1"/>
    <w:rsid w:val="72BC0BF9"/>
    <w:rsid w:val="72C9415F"/>
    <w:rsid w:val="72D14842"/>
    <w:rsid w:val="72D37761"/>
    <w:rsid w:val="72D717C0"/>
    <w:rsid w:val="72F45438"/>
    <w:rsid w:val="730456BB"/>
    <w:rsid w:val="73177AF3"/>
    <w:rsid w:val="7330204A"/>
    <w:rsid w:val="735220C5"/>
    <w:rsid w:val="736A47A3"/>
    <w:rsid w:val="73853395"/>
    <w:rsid w:val="73863414"/>
    <w:rsid w:val="738C2387"/>
    <w:rsid w:val="73A078A8"/>
    <w:rsid w:val="73A7045C"/>
    <w:rsid w:val="73CA51E6"/>
    <w:rsid w:val="73CE6911"/>
    <w:rsid w:val="73CF5E6E"/>
    <w:rsid w:val="73EF6AF6"/>
    <w:rsid w:val="74131685"/>
    <w:rsid w:val="742346B4"/>
    <w:rsid w:val="742413AD"/>
    <w:rsid w:val="74245699"/>
    <w:rsid w:val="742837D4"/>
    <w:rsid w:val="742933DA"/>
    <w:rsid w:val="74425093"/>
    <w:rsid w:val="74672F69"/>
    <w:rsid w:val="746A2482"/>
    <w:rsid w:val="746D17A9"/>
    <w:rsid w:val="747576EC"/>
    <w:rsid w:val="74870825"/>
    <w:rsid w:val="748A490D"/>
    <w:rsid w:val="74C55558"/>
    <w:rsid w:val="74F060ED"/>
    <w:rsid w:val="75101554"/>
    <w:rsid w:val="751D2BEE"/>
    <w:rsid w:val="7555614B"/>
    <w:rsid w:val="755D3BE5"/>
    <w:rsid w:val="7562116D"/>
    <w:rsid w:val="757C7A9C"/>
    <w:rsid w:val="757D33CC"/>
    <w:rsid w:val="758461E8"/>
    <w:rsid w:val="759A19ED"/>
    <w:rsid w:val="75A042AA"/>
    <w:rsid w:val="75AA3778"/>
    <w:rsid w:val="75C36B26"/>
    <w:rsid w:val="75CD37C6"/>
    <w:rsid w:val="75DC2DB7"/>
    <w:rsid w:val="75E32B1D"/>
    <w:rsid w:val="75EC2E8A"/>
    <w:rsid w:val="76032837"/>
    <w:rsid w:val="76125315"/>
    <w:rsid w:val="76154506"/>
    <w:rsid w:val="7638520B"/>
    <w:rsid w:val="765066A5"/>
    <w:rsid w:val="76525FF1"/>
    <w:rsid w:val="76687AB8"/>
    <w:rsid w:val="766E3BB5"/>
    <w:rsid w:val="76897870"/>
    <w:rsid w:val="76AA37AA"/>
    <w:rsid w:val="76C67EF9"/>
    <w:rsid w:val="76C84CCD"/>
    <w:rsid w:val="76F01E2B"/>
    <w:rsid w:val="76F22868"/>
    <w:rsid w:val="76F2757F"/>
    <w:rsid w:val="76FA5A69"/>
    <w:rsid w:val="76FD42C7"/>
    <w:rsid w:val="770A2942"/>
    <w:rsid w:val="77360CB3"/>
    <w:rsid w:val="77410D37"/>
    <w:rsid w:val="774F0625"/>
    <w:rsid w:val="77672932"/>
    <w:rsid w:val="7782776C"/>
    <w:rsid w:val="77C60B09"/>
    <w:rsid w:val="77E047BF"/>
    <w:rsid w:val="77E57096"/>
    <w:rsid w:val="78087C0A"/>
    <w:rsid w:val="783402FB"/>
    <w:rsid w:val="783B409E"/>
    <w:rsid w:val="784A0948"/>
    <w:rsid w:val="78595B08"/>
    <w:rsid w:val="78783252"/>
    <w:rsid w:val="787852A2"/>
    <w:rsid w:val="7892463D"/>
    <w:rsid w:val="78B44EA8"/>
    <w:rsid w:val="78CF67C4"/>
    <w:rsid w:val="78DA641E"/>
    <w:rsid w:val="78E131DA"/>
    <w:rsid w:val="78E81464"/>
    <w:rsid w:val="79026409"/>
    <w:rsid w:val="79076B57"/>
    <w:rsid w:val="791B26B4"/>
    <w:rsid w:val="795F5CCF"/>
    <w:rsid w:val="79F124F2"/>
    <w:rsid w:val="7A0B537A"/>
    <w:rsid w:val="7A3610CC"/>
    <w:rsid w:val="7A60697D"/>
    <w:rsid w:val="7A7D176C"/>
    <w:rsid w:val="7A7D43E3"/>
    <w:rsid w:val="7A9651DE"/>
    <w:rsid w:val="7A9E1199"/>
    <w:rsid w:val="7AA01F48"/>
    <w:rsid w:val="7AA37705"/>
    <w:rsid w:val="7ABA4D69"/>
    <w:rsid w:val="7ADB1D8A"/>
    <w:rsid w:val="7AE1116D"/>
    <w:rsid w:val="7AF62569"/>
    <w:rsid w:val="7B0A05EE"/>
    <w:rsid w:val="7B1D7382"/>
    <w:rsid w:val="7B3F01F5"/>
    <w:rsid w:val="7B7F7CAC"/>
    <w:rsid w:val="7B835C42"/>
    <w:rsid w:val="7BDA6932"/>
    <w:rsid w:val="7BE121BC"/>
    <w:rsid w:val="7BF25336"/>
    <w:rsid w:val="7BFB40BE"/>
    <w:rsid w:val="7BFC10C4"/>
    <w:rsid w:val="7C053EEA"/>
    <w:rsid w:val="7C496BEE"/>
    <w:rsid w:val="7C4D5033"/>
    <w:rsid w:val="7C510967"/>
    <w:rsid w:val="7C660A57"/>
    <w:rsid w:val="7C6B6D07"/>
    <w:rsid w:val="7C804436"/>
    <w:rsid w:val="7C83738D"/>
    <w:rsid w:val="7C8B5068"/>
    <w:rsid w:val="7CC21E81"/>
    <w:rsid w:val="7CDE1C69"/>
    <w:rsid w:val="7D082E8B"/>
    <w:rsid w:val="7D2F14F1"/>
    <w:rsid w:val="7D7E530B"/>
    <w:rsid w:val="7D8442D2"/>
    <w:rsid w:val="7D95465E"/>
    <w:rsid w:val="7D9A6D7A"/>
    <w:rsid w:val="7DA5350B"/>
    <w:rsid w:val="7DB75509"/>
    <w:rsid w:val="7DD124DB"/>
    <w:rsid w:val="7E100392"/>
    <w:rsid w:val="7E192C83"/>
    <w:rsid w:val="7E253160"/>
    <w:rsid w:val="7E2A13A3"/>
    <w:rsid w:val="7E355625"/>
    <w:rsid w:val="7E4176C5"/>
    <w:rsid w:val="7E704415"/>
    <w:rsid w:val="7EAB487A"/>
    <w:rsid w:val="7EB4068F"/>
    <w:rsid w:val="7EBE12A4"/>
    <w:rsid w:val="7EC77481"/>
    <w:rsid w:val="7EDB3970"/>
    <w:rsid w:val="7F29120C"/>
    <w:rsid w:val="7F3B7177"/>
    <w:rsid w:val="7F3D0996"/>
    <w:rsid w:val="7F4D6B12"/>
    <w:rsid w:val="7F5D2459"/>
    <w:rsid w:val="7F6711ED"/>
    <w:rsid w:val="7F753532"/>
    <w:rsid w:val="7F9830B0"/>
    <w:rsid w:val="7FC976D0"/>
    <w:rsid w:val="7FCD59AE"/>
    <w:rsid w:val="7FE27484"/>
    <w:rsid w:val="7FF31F08"/>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 w:semiHidden="0" w:name="heading 4"/>
    <w:lsdException w:qFormat="1"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iPriority="0" w:semiHidden="0" w:name="Normal Indent"/>
    <w:lsdException w:uiPriority="99" w:name="footnote text"/>
    <w:lsdException w:qFormat="1"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iPriority="0" w:semiHidden="0" w:name="List"/>
    <w:lsdException w:uiPriority="99" w:name="List Bullet"/>
    <w:lsdException w:uiPriority="99" w:name="List Number"/>
    <w:lsdException w:qFormat="1" w:uiPriority="0" w:semiHidden="0" w:name="List 2"/>
    <w:lsdException w:uiPriority="99" w:name="List 3"/>
    <w:lsdException w:uiPriority="99" w:name="List 4"/>
    <w:lsdException w:uiPriority="99" w:name="List 5"/>
    <w:lsdException w:qFormat="1" w:uiPriority="0" w:semiHidden="0" w:name="List Bullet 2"/>
    <w:lsdException w:qFormat="1" w:uiPriority="0" w:semiHidden="0"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semiHidden="0" w:name="Default Paragraph Font"/>
    <w:lsdException w:qFormat="1" w:uiPriority="0" w:semiHidden="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0" w:semiHidden="0" w:name="Date"/>
    <w:lsdException w:qFormat="1" w:uiPriority="99" w:semiHidden="0" w:name="Body Text First Indent"/>
    <w:lsdException w:qFormat="1" w:unhideWhenUsed="0" w:uiPriority="0" w:semiHidden="0" w:name="Body Text First Indent 2"/>
    <w:lsdException w:uiPriority="99" w:name="Note Heading"/>
    <w:lsdException w:qFormat="1" w:uiPriority="0" w:semiHidden="0" w:name="Body Text 2"/>
    <w:lsdException w:qFormat="1" w:uiPriority="0" w:semiHidden="0" w:name="Body Text 3"/>
    <w:lsdException w:qFormat="1" w:uiPriority="0" w:semiHidden="0" w:name="Body Text Indent 2"/>
    <w:lsdException w:qFormat="1" w:uiPriority="0" w:semiHidden="0" w:name="Body Text Indent 3"/>
    <w:lsdException w:uiPriority="99" w:name="Block Text"/>
    <w:lsdException w:qFormat="1" w:uiPriority="99" w:semiHidden="0" w:name="Hyperlink"/>
    <w:lsdException w:qFormat="1" w:uiPriority="0" w:semiHidden="0" w:name="FollowedHyperlink"/>
    <w:lsdException w:qFormat="1" w:unhideWhenUsed="0" w:uiPriority="22" w:semiHidden="0" w:name="Strong"/>
    <w:lsdException w:qFormat="1" w:unhideWhenUsed="0" w:uiPriority="20" w:semiHidden="0" w:name="Emphasis"/>
    <w:lsdException w:qFormat="1" w:uiPriority="0" w:semiHidden="0" w:name="Document Map"/>
    <w:lsdException w:qFormat="1" w:uiPriority="0" w:semiHidden="0"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semiHidden="0" w:name="Table Web 2"/>
    <w:lsdException w:uiPriority="99" w:semiHidden="0" w:name="Table Web 3"/>
    <w:lsdException w:qFormat="1" w:uiPriority="0" w:semiHidden="0" w:name="Balloon Text"/>
    <w:lsdException w:qFormat="1" w:unhideWhenUsed="0" w:uiPriority="59" w:semiHidden="0" w:name="Table Grid"/>
    <w:lsdException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360" w:lineRule="auto"/>
      <w:ind w:firstLine="200" w:firstLineChars="200"/>
    </w:pPr>
    <w:rPr>
      <w:rFonts w:ascii="宋体" w:hAnsi="宋体" w:eastAsia="宋体" w:cs="Times New Roman"/>
      <w:kern w:val="2"/>
      <w:sz w:val="24"/>
      <w:szCs w:val="24"/>
      <w:lang w:val="en-US" w:eastAsia="zh-CN" w:bidi="ar-SA"/>
    </w:rPr>
  </w:style>
  <w:style w:type="paragraph" w:styleId="4">
    <w:name w:val="heading 1"/>
    <w:basedOn w:val="1"/>
    <w:next w:val="1"/>
    <w:link w:val="70"/>
    <w:qFormat/>
    <w:uiPriority w:val="0"/>
    <w:pPr>
      <w:keepNext/>
      <w:keepLines/>
      <w:adjustRightInd w:val="0"/>
      <w:snapToGrid w:val="0"/>
      <w:ind w:firstLine="0" w:firstLineChars="0"/>
      <w:jc w:val="center"/>
      <w:outlineLvl w:val="0"/>
    </w:pPr>
    <w:rPr>
      <w:b/>
      <w:bCs/>
      <w:kern w:val="44"/>
      <w:sz w:val="32"/>
      <w:szCs w:val="52"/>
    </w:rPr>
  </w:style>
  <w:style w:type="paragraph" w:styleId="5">
    <w:name w:val="heading 2"/>
    <w:basedOn w:val="1"/>
    <w:next w:val="1"/>
    <w:link w:val="107"/>
    <w:qFormat/>
    <w:uiPriority w:val="0"/>
    <w:pPr>
      <w:keepNext/>
      <w:keepLines/>
      <w:adjustRightInd w:val="0"/>
      <w:snapToGrid w:val="0"/>
      <w:ind w:firstLine="0" w:firstLineChars="0"/>
      <w:outlineLvl w:val="1"/>
    </w:pPr>
    <w:rPr>
      <w:b/>
      <w:bCs/>
      <w:sz w:val="28"/>
      <w:szCs w:val="32"/>
    </w:rPr>
  </w:style>
  <w:style w:type="paragraph" w:styleId="6">
    <w:name w:val="heading 3"/>
    <w:basedOn w:val="1"/>
    <w:next w:val="1"/>
    <w:link w:val="71"/>
    <w:qFormat/>
    <w:uiPriority w:val="0"/>
    <w:pPr>
      <w:keepNext/>
      <w:keepLines/>
      <w:adjustRightInd w:val="0"/>
      <w:snapToGrid w:val="0"/>
      <w:ind w:firstLine="0" w:firstLineChars="0"/>
      <w:outlineLvl w:val="2"/>
    </w:pPr>
    <w:rPr>
      <w:b/>
      <w:bCs/>
      <w:szCs w:val="32"/>
    </w:rPr>
  </w:style>
  <w:style w:type="paragraph" w:styleId="7">
    <w:name w:val="heading 4"/>
    <w:basedOn w:val="1"/>
    <w:next w:val="1"/>
    <w:link w:val="94"/>
    <w:qFormat/>
    <w:uiPriority w:val="9"/>
    <w:pPr>
      <w:keepNext/>
      <w:keepLines/>
      <w:adjustRightInd w:val="0"/>
      <w:snapToGrid w:val="0"/>
      <w:outlineLvl w:val="3"/>
    </w:pPr>
    <w:rPr>
      <w:rFonts w:ascii="Cambria" w:hAnsi="Cambria"/>
      <w:b/>
      <w:bCs/>
      <w:sz w:val="21"/>
      <w:szCs w:val="28"/>
    </w:rPr>
  </w:style>
  <w:style w:type="paragraph" w:styleId="8">
    <w:name w:val="heading 5"/>
    <w:basedOn w:val="1"/>
    <w:next w:val="1"/>
    <w:unhideWhenUsed/>
    <w:qFormat/>
    <w:uiPriority w:val="9"/>
    <w:pPr>
      <w:keepNext/>
      <w:keepLines/>
      <w:spacing w:before="280" w:after="290" w:line="372" w:lineRule="auto"/>
      <w:outlineLvl w:val="4"/>
    </w:pPr>
    <w:rPr>
      <w:b/>
      <w:sz w:val="28"/>
    </w:rPr>
  </w:style>
  <w:style w:type="character" w:default="1" w:styleId="40">
    <w:name w:val="Default Paragraph Font"/>
    <w:unhideWhenUsed/>
    <w:qFormat/>
    <w:uiPriority w:val="1"/>
  </w:style>
  <w:style w:type="table" w:default="1" w:styleId="46">
    <w:name w:val="Normal Table"/>
    <w:unhideWhenUsed/>
    <w:qFormat/>
    <w:uiPriority w:val="99"/>
    <w:tblPr>
      <w:tblLayout w:type="fixed"/>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1"/>
    <w:link w:val="56"/>
    <w:unhideWhenUsed/>
    <w:qFormat/>
    <w:uiPriority w:val="0"/>
    <w:pPr>
      <w:widowControl/>
      <w:autoSpaceDE w:val="0"/>
      <w:autoSpaceDN w:val="0"/>
      <w:snapToGrid w:val="0"/>
      <w:spacing w:before="120" w:line="400" w:lineRule="atLeast"/>
      <w:ind w:firstLine="570" w:firstLineChars="0"/>
    </w:pPr>
    <w:rPr>
      <w:kern w:val="0"/>
      <w:szCs w:val="20"/>
    </w:rPr>
  </w:style>
  <w:style w:type="paragraph" w:styleId="9">
    <w:name w:val="annotation subject"/>
    <w:basedOn w:val="10"/>
    <w:next w:val="10"/>
    <w:link w:val="103"/>
    <w:unhideWhenUsed/>
    <w:qFormat/>
    <w:uiPriority w:val="0"/>
    <w:rPr>
      <w:b/>
      <w:bCs/>
    </w:rPr>
  </w:style>
  <w:style w:type="paragraph" w:styleId="10">
    <w:name w:val="annotation text"/>
    <w:basedOn w:val="1"/>
    <w:link w:val="55"/>
    <w:unhideWhenUsed/>
    <w:qFormat/>
    <w:uiPriority w:val="0"/>
    <w:pPr>
      <w:spacing w:line="240" w:lineRule="auto"/>
      <w:ind w:firstLine="0" w:firstLineChars="0"/>
    </w:pPr>
    <w:rPr>
      <w:sz w:val="21"/>
    </w:rPr>
  </w:style>
  <w:style w:type="paragraph" w:styleId="11">
    <w:name w:val="toc 7"/>
    <w:basedOn w:val="1"/>
    <w:next w:val="1"/>
    <w:unhideWhenUsed/>
    <w:qFormat/>
    <w:uiPriority w:val="39"/>
    <w:pPr>
      <w:spacing w:line="240" w:lineRule="auto"/>
      <w:ind w:left="1260" w:firstLine="0" w:firstLineChars="0"/>
    </w:pPr>
    <w:rPr>
      <w:szCs w:val="21"/>
    </w:rPr>
  </w:style>
  <w:style w:type="paragraph" w:styleId="12">
    <w:name w:val="Body Text First Indent"/>
    <w:basedOn w:val="13"/>
    <w:unhideWhenUsed/>
    <w:qFormat/>
    <w:uiPriority w:val="99"/>
    <w:pPr>
      <w:ind w:firstLine="420" w:firstLineChars="100"/>
    </w:pPr>
  </w:style>
  <w:style w:type="paragraph" w:styleId="13">
    <w:name w:val="Body Text"/>
    <w:basedOn w:val="1"/>
    <w:next w:val="1"/>
    <w:link w:val="50"/>
    <w:unhideWhenUsed/>
    <w:qFormat/>
    <w:uiPriority w:val="0"/>
    <w:pPr>
      <w:adjustRightInd w:val="0"/>
      <w:spacing w:line="315" w:lineRule="atLeast"/>
      <w:ind w:firstLine="0" w:firstLineChars="0"/>
    </w:pPr>
    <w:rPr>
      <w:rFonts w:ascii="仿宋_GB2312" w:eastAsia="仿宋_GB2312"/>
      <w:kern w:val="0"/>
      <w:sz w:val="28"/>
      <w:szCs w:val="20"/>
    </w:rPr>
  </w:style>
  <w:style w:type="paragraph" w:styleId="14">
    <w:name w:val="Normal Indent"/>
    <w:basedOn w:val="1"/>
    <w:link w:val="79"/>
    <w:unhideWhenUsed/>
    <w:qFormat/>
    <w:uiPriority w:val="0"/>
    <w:pPr>
      <w:spacing w:line="240" w:lineRule="auto"/>
      <w:ind w:firstLine="420" w:firstLineChars="0"/>
    </w:pPr>
    <w:rPr>
      <w:sz w:val="21"/>
    </w:rPr>
  </w:style>
  <w:style w:type="paragraph" w:styleId="15">
    <w:name w:val="Document Map"/>
    <w:basedOn w:val="1"/>
    <w:link w:val="102"/>
    <w:unhideWhenUsed/>
    <w:qFormat/>
    <w:uiPriority w:val="0"/>
    <w:rPr>
      <w:kern w:val="0"/>
      <w:sz w:val="18"/>
      <w:szCs w:val="18"/>
    </w:rPr>
  </w:style>
  <w:style w:type="paragraph" w:styleId="16">
    <w:name w:val="Body Text 3"/>
    <w:basedOn w:val="1"/>
    <w:link w:val="106"/>
    <w:unhideWhenUsed/>
    <w:qFormat/>
    <w:uiPriority w:val="0"/>
    <w:pPr>
      <w:spacing w:line="440" w:lineRule="atLeast"/>
      <w:ind w:firstLine="0" w:firstLineChars="0"/>
      <w:jc w:val="center"/>
    </w:pPr>
    <w:rPr>
      <w:rFonts w:ascii="楷体_GB2312" w:eastAsia="楷体_GB2312"/>
      <w:b/>
      <w:color w:val="000000"/>
      <w:sz w:val="30"/>
    </w:rPr>
  </w:style>
  <w:style w:type="paragraph" w:styleId="17">
    <w:name w:val="List Bullet 3"/>
    <w:basedOn w:val="1"/>
    <w:unhideWhenUsed/>
    <w:qFormat/>
    <w:uiPriority w:val="0"/>
    <w:pPr>
      <w:numPr>
        <w:ilvl w:val="0"/>
        <w:numId w:val="1"/>
      </w:numPr>
      <w:tabs>
        <w:tab w:val="left" w:pos="720"/>
      </w:tabs>
      <w:spacing w:line="240" w:lineRule="auto"/>
      <w:ind w:firstLine="0" w:firstLineChars="0"/>
    </w:pPr>
  </w:style>
  <w:style w:type="paragraph" w:styleId="18">
    <w:name w:val="List 2"/>
    <w:basedOn w:val="1"/>
    <w:unhideWhenUsed/>
    <w:qFormat/>
    <w:uiPriority w:val="0"/>
    <w:pPr>
      <w:spacing w:line="240" w:lineRule="auto"/>
      <w:ind w:left="100" w:leftChars="200" w:hanging="200" w:hangingChars="200"/>
    </w:pPr>
  </w:style>
  <w:style w:type="paragraph" w:styleId="19">
    <w:name w:val="List Bullet 2"/>
    <w:basedOn w:val="1"/>
    <w:next w:val="17"/>
    <w:unhideWhenUsed/>
    <w:qFormat/>
    <w:uiPriority w:val="0"/>
    <w:pPr>
      <w:numPr>
        <w:ilvl w:val="0"/>
        <w:numId w:val="2"/>
      </w:numPr>
      <w:tabs>
        <w:tab w:val="left" w:pos="360"/>
        <w:tab w:val="left" w:pos="780"/>
      </w:tabs>
      <w:spacing w:after="100" w:afterAutospacing="1" w:line="240" w:lineRule="auto"/>
      <w:ind w:firstLine="0" w:firstLineChars="0"/>
    </w:pPr>
    <w:rPr>
      <w:rFonts w:eastAsia="仿宋_GB2312"/>
    </w:rPr>
  </w:style>
  <w:style w:type="paragraph" w:styleId="20">
    <w:name w:val="toc 5"/>
    <w:basedOn w:val="1"/>
    <w:next w:val="1"/>
    <w:unhideWhenUsed/>
    <w:qFormat/>
    <w:uiPriority w:val="39"/>
    <w:pPr>
      <w:spacing w:line="240" w:lineRule="auto"/>
      <w:ind w:left="840" w:firstLine="0" w:firstLineChars="0"/>
    </w:pPr>
    <w:rPr>
      <w:szCs w:val="21"/>
    </w:rPr>
  </w:style>
  <w:style w:type="paragraph" w:styleId="21">
    <w:name w:val="toc 3"/>
    <w:basedOn w:val="1"/>
    <w:next w:val="1"/>
    <w:unhideWhenUsed/>
    <w:qFormat/>
    <w:uiPriority w:val="39"/>
    <w:pPr>
      <w:spacing w:line="240" w:lineRule="auto"/>
      <w:ind w:left="420" w:firstLine="0" w:firstLineChars="0"/>
    </w:pPr>
    <w:rPr>
      <w:i/>
      <w:iCs/>
    </w:rPr>
  </w:style>
  <w:style w:type="paragraph" w:styleId="22">
    <w:name w:val="Plain Text"/>
    <w:basedOn w:val="1"/>
    <w:next w:val="1"/>
    <w:link w:val="61"/>
    <w:unhideWhenUsed/>
    <w:qFormat/>
    <w:uiPriority w:val="0"/>
    <w:pPr>
      <w:spacing w:line="240" w:lineRule="auto"/>
      <w:ind w:firstLine="0" w:firstLineChars="0"/>
    </w:pPr>
    <w:rPr>
      <w:rFonts w:hAnsi="Courier New"/>
      <w:sz w:val="21"/>
      <w:szCs w:val="20"/>
    </w:rPr>
  </w:style>
  <w:style w:type="paragraph" w:styleId="23">
    <w:name w:val="toc 8"/>
    <w:basedOn w:val="1"/>
    <w:next w:val="1"/>
    <w:unhideWhenUsed/>
    <w:qFormat/>
    <w:uiPriority w:val="39"/>
    <w:pPr>
      <w:spacing w:line="240" w:lineRule="auto"/>
      <w:ind w:left="1470" w:firstLine="0" w:firstLineChars="0"/>
    </w:pPr>
    <w:rPr>
      <w:szCs w:val="21"/>
    </w:rPr>
  </w:style>
  <w:style w:type="paragraph" w:styleId="24">
    <w:name w:val="Date"/>
    <w:basedOn w:val="1"/>
    <w:next w:val="1"/>
    <w:link w:val="65"/>
    <w:unhideWhenUsed/>
    <w:qFormat/>
    <w:uiPriority w:val="0"/>
    <w:pPr>
      <w:spacing w:line="240" w:lineRule="auto"/>
      <w:ind w:left="100" w:leftChars="2500" w:firstLine="0" w:firstLineChars="0"/>
    </w:pPr>
    <w:rPr>
      <w:color w:val="000000"/>
    </w:rPr>
  </w:style>
  <w:style w:type="paragraph" w:styleId="25">
    <w:name w:val="Body Text Indent 2"/>
    <w:basedOn w:val="1"/>
    <w:link w:val="53"/>
    <w:unhideWhenUsed/>
    <w:qFormat/>
    <w:uiPriority w:val="0"/>
    <w:pPr>
      <w:widowControl/>
      <w:spacing w:line="480" w:lineRule="atLeast"/>
      <w:ind w:firstLine="480" w:firstLineChars="0"/>
    </w:pPr>
    <w:rPr>
      <w:kern w:val="0"/>
      <w:szCs w:val="20"/>
    </w:rPr>
  </w:style>
  <w:style w:type="paragraph" w:styleId="26">
    <w:name w:val="Balloon Text"/>
    <w:basedOn w:val="1"/>
    <w:link w:val="84"/>
    <w:unhideWhenUsed/>
    <w:qFormat/>
    <w:uiPriority w:val="0"/>
    <w:rPr>
      <w:kern w:val="0"/>
      <w:sz w:val="18"/>
      <w:szCs w:val="18"/>
    </w:rPr>
  </w:style>
  <w:style w:type="paragraph" w:styleId="27">
    <w:name w:val="footer"/>
    <w:basedOn w:val="1"/>
    <w:link w:val="92"/>
    <w:unhideWhenUsed/>
    <w:qFormat/>
    <w:uiPriority w:val="99"/>
    <w:pPr>
      <w:tabs>
        <w:tab w:val="center" w:pos="4153"/>
        <w:tab w:val="right" w:pos="8306"/>
      </w:tabs>
      <w:snapToGrid w:val="0"/>
    </w:pPr>
    <w:rPr>
      <w:kern w:val="0"/>
      <w:sz w:val="18"/>
      <w:szCs w:val="18"/>
    </w:rPr>
  </w:style>
  <w:style w:type="paragraph" w:styleId="28">
    <w:name w:val="header"/>
    <w:basedOn w:val="1"/>
    <w:link w:val="89"/>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29">
    <w:name w:val="toc 1"/>
    <w:basedOn w:val="1"/>
    <w:next w:val="1"/>
    <w:unhideWhenUsed/>
    <w:qFormat/>
    <w:uiPriority w:val="39"/>
    <w:pPr>
      <w:tabs>
        <w:tab w:val="right" w:leader="dot" w:pos="8296"/>
      </w:tabs>
      <w:ind w:firstLine="0" w:firstLineChars="0"/>
    </w:pPr>
  </w:style>
  <w:style w:type="paragraph" w:styleId="30">
    <w:name w:val="toc 4"/>
    <w:basedOn w:val="1"/>
    <w:next w:val="1"/>
    <w:unhideWhenUsed/>
    <w:qFormat/>
    <w:uiPriority w:val="39"/>
    <w:pPr>
      <w:spacing w:line="240" w:lineRule="auto"/>
      <w:ind w:left="630" w:firstLine="0" w:firstLineChars="0"/>
    </w:pPr>
    <w:rPr>
      <w:szCs w:val="21"/>
    </w:rPr>
  </w:style>
  <w:style w:type="paragraph" w:styleId="31">
    <w:name w:val="List"/>
    <w:basedOn w:val="1"/>
    <w:unhideWhenUsed/>
    <w:qFormat/>
    <w:uiPriority w:val="0"/>
    <w:pPr>
      <w:spacing w:line="240" w:lineRule="auto"/>
      <w:ind w:left="420" w:hanging="420" w:firstLineChars="0"/>
    </w:pPr>
    <w:rPr>
      <w:szCs w:val="20"/>
    </w:rPr>
  </w:style>
  <w:style w:type="paragraph" w:styleId="32">
    <w:name w:val="toc 6"/>
    <w:basedOn w:val="1"/>
    <w:next w:val="1"/>
    <w:unhideWhenUsed/>
    <w:qFormat/>
    <w:uiPriority w:val="39"/>
    <w:pPr>
      <w:spacing w:line="240" w:lineRule="auto"/>
      <w:ind w:left="1050" w:firstLine="0" w:firstLineChars="0"/>
    </w:pPr>
    <w:rPr>
      <w:szCs w:val="21"/>
    </w:rPr>
  </w:style>
  <w:style w:type="paragraph" w:styleId="33">
    <w:name w:val="Body Text Indent 3"/>
    <w:basedOn w:val="1"/>
    <w:link w:val="93"/>
    <w:unhideWhenUsed/>
    <w:qFormat/>
    <w:uiPriority w:val="0"/>
    <w:pPr>
      <w:autoSpaceDE w:val="0"/>
      <w:autoSpaceDN w:val="0"/>
      <w:spacing w:line="400" w:lineRule="atLeast"/>
      <w:ind w:firstLine="443"/>
    </w:pPr>
    <w:rPr>
      <w:rFonts w:eastAsia="黑体"/>
      <w:color w:val="000000"/>
    </w:rPr>
  </w:style>
  <w:style w:type="paragraph" w:styleId="34">
    <w:name w:val="toc 2"/>
    <w:basedOn w:val="1"/>
    <w:next w:val="1"/>
    <w:unhideWhenUsed/>
    <w:qFormat/>
    <w:uiPriority w:val="39"/>
    <w:pPr>
      <w:tabs>
        <w:tab w:val="right" w:leader="dot" w:pos="8296"/>
      </w:tabs>
      <w:ind w:left="420" w:leftChars="200" w:firstLine="0" w:firstLineChars="0"/>
    </w:pPr>
  </w:style>
  <w:style w:type="paragraph" w:styleId="35">
    <w:name w:val="toc 9"/>
    <w:basedOn w:val="1"/>
    <w:next w:val="1"/>
    <w:unhideWhenUsed/>
    <w:qFormat/>
    <w:uiPriority w:val="39"/>
    <w:pPr>
      <w:spacing w:line="240" w:lineRule="auto"/>
      <w:ind w:left="1680" w:firstLine="0" w:firstLineChars="0"/>
    </w:pPr>
    <w:rPr>
      <w:szCs w:val="21"/>
    </w:rPr>
  </w:style>
  <w:style w:type="paragraph" w:styleId="36">
    <w:name w:val="Body Text 2"/>
    <w:basedOn w:val="1"/>
    <w:link w:val="100"/>
    <w:unhideWhenUsed/>
    <w:qFormat/>
    <w:uiPriority w:val="0"/>
    <w:pPr>
      <w:spacing w:line="240" w:lineRule="auto"/>
      <w:ind w:firstLine="0" w:firstLineChars="0"/>
    </w:pPr>
    <w:rPr>
      <w:b/>
      <w:bCs/>
      <w:color w:val="000000"/>
      <w:sz w:val="28"/>
    </w:rPr>
  </w:style>
  <w:style w:type="paragraph" w:styleId="37">
    <w:name w:val="HTML Preformatted"/>
    <w:basedOn w:val="1"/>
    <w:link w:val="63"/>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pPr>
    <w:rPr>
      <w:rFonts w:ascii="Arial Unicode MS" w:hAnsi="Arial Unicode MS" w:eastAsia="Arial Unicode MS"/>
      <w:kern w:val="0"/>
      <w:sz w:val="20"/>
      <w:szCs w:val="20"/>
    </w:rPr>
  </w:style>
  <w:style w:type="paragraph" w:styleId="38">
    <w:name w:val="Normal (Web)"/>
    <w:basedOn w:val="1"/>
    <w:unhideWhenUsed/>
    <w:qFormat/>
    <w:uiPriority w:val="0"/>
    <w:pPr>
      <w:widowControl/>
      <w:spacing w:before="100" w:beforeAutospacing="1" w:after="100" w:afterAutospacing="1" w:line="240" w:lineRule="auto"/>
      <w:ind w:firstLine="0" w:firstLineChars="0"/>
    </w:pPr>
    <w:rPr>
      <w:kern w:val="0"/>
    </w:rPr>
  </w:style>
  <w:style w:type="paragraph" w:styleId="39">
    <w:name w:val="Title"/>
    <w:basedOn w:val="1"/>
    <w:link w:val="87"/>
    <w:qFormat/>
    <w:uiPriority w:val="0"/>
    <w:pPr>
      <w:spacing w:line="240" w:lineRule="auto"/>
      <w:ind w:firstLine="0" w:firstLineChars="0"/>
      <w:jc w:val="center"/>
    </w:pPr>
    <w:rPr>
      <w:sz w:val="30"/>
    </w:rPr>
  </w:style>
  <w:style w:type="character" w:styleId="41">
    <w:name w:val="Strong"/>
    <w:qFormat/>
    <w:uiPriority w:val="22"/>
    <w:rPr>
      <w:b/>
    </w:rPr>
  </w:style>
  <w:style w:type="character" w:styleId="42">
    <w:name w:val="page number"/>
    <w:basedOn w:val="40"/>
    <w:qFormat/>
    <w:uiPriority w:val="0"/>
  </w:style>
  <w:style w:type="character" w:styleId="43">
    <w:name w:val="FollowedHyperlink"/>
    <w:unhideWhenUsed/>
    <w:qFormat/>
    <w:uiPriority w:val="0"/>
    <w:rPr>
      <w:color w:val="800080"/>
      <w:u w:val="single"/>
    </w:rPr>
  </w:style>
  <w:style w:type="character" w:styleId="44">
    <w:name w:val="Hyperlink"/>
    <w:unhideWhenUsed/>
    <w:qFormat/>
    <w:uiPriority w:val="99"/>
    <w:rPr>
      <w:color w:val="0000FF"/>
      <w:u w:val="single"/>
    </w:rPr>
  </w:style>
  <w:style w:type="character" w:styleId="45">
    <w:name w:val="annotation reference"/>
    <w:unhideWhenUsed/>
    <w:qFormat/>
    <w:uiPriority w:val="0"/>
    <w:rPr>
      <w:sz w:val="21"/>
      <w:szCs w:val="21"/>
    </w:rPr>
  </w:style>
  <w:style w:type="table" w:styleId="47">
    <w:name w:val="Table Grid"/>
    <w:basedOn w:val="4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48">
    <w:name w:val="Default"/>
    <w:next w:val="49"/>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49">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50">
    <w:name w:val="正文文本 字符"/>
    <w:link w:val="13"/>
    <w:semiHidden/>
    <w:qFormat/>
    <w:uiPriority w:val="0"/>
    <w:rPr>
      <w:rFonts w:ascii="仿宋_GB2312" w:hAnsi="Times New Roman" w:eastAsia="仿宋_GB2312"/>
      <w:sz w:val="28"/>
    </w:rPr>
  </w:style>
  <w:style w:type="character" w:customStyle="1" w:styleId="51">
    <w:name w:val="Char Char2"/>
    <w:qFormat/>
    <w:uiPriority w:val="0"/>
    <w:rPr>
      <w:rFonts w:hint="eastAsia" w:ascii="宋体" w:hAnsi="Courier New" w:eastAsia="宋体"/>
      <w:kern w:val="2"/>
      <w:sz w:val="21"/>
    </w:rPr>
  </w:style>
  <w:style w:type="character" w:customStyle="1" w:styleId="52">
    <w:name w:val="页脚 字符"/>
    <w:qFormat/>
    <w:uiPriority w:val="99"/>
    <w:rPr>
      <w:rFonts w:eastAsia="宋体"/>
      <w:kern w:val="2"/>
      <w:sz w:val="18"/>
      <w:lang w:val="en-US" w:eastAsia="zh-CN" w:bidi="ar-SA"/>
    </w:rPr>
  </w:style>
  <w:style w:type="character" w:customStyle="1" w:styleId="53">
    <w:name w:val="正文文本缩进 2 字符"/>
    <w:link w:val="25"/>
    <w:semiHidden/>
    <w:qFormat/>
    <w:uiPriority w:val="0"/>
    <w:rPr>
      <w:rFonts w:ascii="宋体" w:hAnsi="Times New Roman"/>
      <w:sz w:val="24"/>
    </w:rPr>
  </w:style>
  <w:style w:type="character" w:customStyle="1" w:styleId="54">
    <w:name w:val="unnamed51"/>
    <w:qFormat/>
    <w:uiPriority w:val="0"/>
    <w:rPr>
      <w:sz w:val="22"/>
      <w:szCs w:val="22"/>
    </w:rPr>
  </w:style>
  <w:style w:type="character" w:customStyle="1" w:styleId="55">
    <w:name w:val="批注文字 字符"/>
    <w:link w:val="10"/>
    <w:semiHidden/>
    <w:qFormat/>
    <w:uiPriority w:val="0"/>
    <w:rPr>
      <w:rFonts w:ascii="Times New Roman" w:hAnsi="Times New Roman"/>
      <w:kern w:val="2"/>
      <w:sz w:val="21"/>
      <w:szCs w:val="24"/>
    </w:rPr>
  </w:style>
  <w:style w:type="character" w:customStyle="1" w:styleId="56">
    <w:name w:val="正文文本缩进 字符1"/>
    <w:link w:val="3"/>
    <w:semiHidden/>
    <w:qFormat/>
    <w:uiPriority w:val="0"/>
    <w:rPr>
      <w:rFonts w:ascii="宋体" w:hAnsi="Times New Roman"/>
      <w:sz w:val="24"/>
    </w:rPr>
  </w:style>
  <w:style w:type="character" w:customStyle="1" w:styleId="57">
    <w:name w:val="纯文本 Char"/>
    <w:qFormat/>
    <w:uiPriority w:val="0"/>
    <w:rPr>
      <w:rFonts w:ascii="宋体" w:hAnsi="Courier New" w:cs="Courier New"/>
      <w:kern w:val="2"/>
      <w:sz w:val="21"/>
      <w:szCs w:val="21"/>
    </w:rPr>
  </w:style>
  <w:style w:type="character" w:customStyle="1" w:styleId="58">
    <w:name w:val="author-p-368601"/>
    <w:qFormat/>
    <w:uiPriority w:val="0"/>
  </w:style>
  <w:style w:type="character" w:customStyle="1" w:styleId="59">
    <w:name w:val="Char Char"/>
    <w:qFormat/>
    <w:uiPriority w:val="0"/>
    <w:rPr>
      <w:rFonts w:hint="eastAsia" w:ascii="宋体" w:hAnsi="Courier New" w:eastAsia="宋体"/>
      <w:kern w:val="2"/>
      <w:sz w:val="21"/>
      <w:lang w:val="en-US" w:eastAsia="zh-CN" w:bidi="ar-SA"/>
    </w:rPr>
  </w:style>
  <w:style w:type="character" w:customStyle="1" w:styleId="60">
    <w:name w:val="font01"/>
    <w:basedOn w:val="40"/>
    <w:qFormat/>
    <w:uiPriority w:val="0"/>
    <w:rPr>
      <w:rFonts w:hint="eastAsia" w:ascii="宋体" w:hAnsi="宋体" w:eastAsia="宋体" w:cs="宋体"/>
      <w:b/>
      <w:color w:val="333333"/>
      <w:sz w:val="20"/>
      <w:szCs w:val="20"/>
      <w:u w:val="none"/>
    </w:rPr>
  </w:style>
  <w:style w:type="character" w:customStyle="1" w:styleId="61">
    <w:name w:val="纯文本 字符1"/>
    <w:link w:val="22"/>
    <w:qFormat/>
    <w:locked/>
    <w:uiPriority w:val="0"/>
    <w:rPr>
      <w:rFonts w:ascii="宋体" w:hAnsi="Courier New"/>
      <w:kern w:val="2"/>
      <w:sz w:val="21"/>
    </w:rPr>
  </w:style>
  <w:style w:type="character" w:customStyle="1" w:styleId="62">
    <w:name w:val="button1"/>
    <w:qFormat/>
    <w:uiPriority w:val="0"/>
    <w:rPr>
      <w:rFonts w:hint="default" w:ascii="Verdana" w:hAnsi="Verdana"/>
      <w:b/>
      <w:bCs/>
      <w:sz w:val="20"/>
      <w:szCs w:val="20"/>
    </w:rPr>
  </w:style>
  <w:style w:type="character" w:customStyle="1" w:styleId="63">
    <w:name w:val="HTML 预设格式 字符"/>
    <w:link w:val="37"/>
    <w:semiHidden/>
    <w:qFormat/>
    <w:uiPriority w:val="0"/>
    <w:rPr>
      <w:rFonts w:ascii="Arial Unicode MS" w:hAnsi="Arial Unicode MS" w:eastAsia="Arial Unicode MS" w:cs="Arial Unicode MS"/>
    </w:rPr>
  </w:style>
  <w:style w:type="character" w:customStyle="1" w:styleId="64">
    <w:name w:val="search_content1"/>
    <w:qFormat/>
    <w:uiPriority w:val="0"/>
    <w:rPr>
      <w:sz w:val="20"/>
      <w:szCs w:val="20"/>
    </w:rPr>
  </w:style>
  <w:style w:type="character" w:customStyle="1" w:styleId="65">
    <w:name w:val="日期 字符"/>
    <w:link w:val="24"/>
    <w:semiHidden/>
    <w:qFormat/>
    <w:uiPriority w:val="0"/>
    <w:rPr>
      <w:rFonts w:ascii="Times New Roman" w:hAnsi="Times New Roman"/>
      <w:color w:val="000000"/>
      <w:kern w:val="2"/>
      <w:sz w:val="24"/>
      <w:szCs w:val="24"/>
    </w:rPr>
  </w:style>
  <w:style w:type="character" w:customStyle="1" w:styleId="66">
    <w:name w:val="标题 4 Char"/>
    <w:qFormat/>
    <w:uiPriority w:val="9"/>
    <w:rPr>
      <w:rFonts w:ascii="Cambria" w:hAnsi="Cambria" w:eastAsia="宋体" w:cs="Times New Roman"/>
      <w:b/>
      <w:bCs/>
      <w:kern w:val="2"/>
      <w:sz w:val="21"/>
      <w:szCs w:val="28"/>
    </w:rPr>
  </w:style>
  <w:style w:type="character" w:customStyle="1" w:styleId="67">
    <w:name w:val="纯文本 字符"/>
    <w:qFormat/>
    <w:uiPriority w:val="0"/>
    <w:rPr>
      <w:rFonts w:ascii="宋体" w:hAnsi="Courier New" w:eastAsia="宋体" w:cs="Courier New"/>
      <w:kern w:val="2"/>
      <w:sz w:val="21"/>
      <w:szCs w:val="21"/>
      <w:lang w:val="en-US" w:eastAsia="zh-CN" w:bidi="ar-SA"/>
    </w:rPr>
  </w:style>
  <w:style w:type="character" w:customStyle="1" w:styleId="68">
    <w:name w:val="不明显强调1"/>
    <w:qFormat/>
    <w:uiPriority w:val="0"/>
    <w:rPr>
      <w:i/>
      <w:iCs/>
      <w:color w:val="808080"/>
    </w:rPr>
  </w:style>
  <w:style w:type="character" w:customStyle="1" w:styleId="69">
    <w:name w:val="font101"/>
    <w:qFormat/>
    <w:uiPriority w:val="0"/>
    <w:rPr>
      <w:rFonts w:hint="eastAsia" w:ascii="宋体" w:hAnsi="宋体" w:eastAsia="宋体" w:cs="宋体"/>
      <w:color w:val="000000"/>
      <w:sz w:val="18"/>
      <w:szCs w:val="18"/>
      <w:u w:val="none"/>
    </w:rPr>
  </w:style>
  <w:style w:type="character" w:customStyle="1" w:styleId="70">
    <w:name w:val="标题 1 字符"/>
    <w:link w:val="4"/>
    <w:qFormat/>
    <w:uiPriority w:val="0"/>
    <w:rPr>
      <w:rFonts w:ascii="宋体" w:hAnsi="宋体" w:eastAsia="宋体" w:cs="宋体"/>
      <w:b/>
      <w:bCs/>
      <w:kern w:val="44"/>
      <w:sz w:val="32"/>
      <w:szCs w:val="52"/>
    </w:rPr>
  </w:style>
  <w:style w:type="character" w:customStyle="1" w:styleId="71">
    <w:name w:val="标题 3 字符1"/>
    <w:link w:val="6"/>
    <w:qFormat/>
    <w:uiPriority w:val="0"/>
    <w:rPr>
      <w:rFonts w:ascii="宋体" w:hAnsi="宋体" w:eastAsia="宋体"/>
      <w:b/>
      <w:bCs/>
      <w:kern w:val="2"/>
      <w:sz w:val="24"/>
      <w:szCs w:val="32"/>
    </w:rPr>
  </w:style>
  <w:style w:type="character" w:customStyle="1" w:styleId="72">
    <w:name w:val="font11"/>
    <w:qFormat/>
    <w:uiPriority w:val="0"/>
    <w:rPr>
      <w:rFonts w:hint="eastAsia" w:ascii="宋体" w:hAnsi="宋体" w:eastAsia="宋体" w:cs="宋体"/>
      <w:color w:val="000000"/>
      <w:sz w:val="40"/>
      <w:szCs w:val="40"/>
      <w:u w:val="none"/>
    </w:rPr>
  </w:style>
  <w:style w:type="character" w:customStyle="1" w:styleId="73">
    <w:name w:val="style8"/>
    <w:basedOn w:val="40"/>
    <w:qFormat/>
    <w:uiPriority w:val="0"/>
  </w:style>
  <w:style w:type="character" w:customStyle="1" w:styleId="74">
    <w:name w:val="hei16b1"/>
    <w:qFormat/>
    <w:uiPriority w:val="0"/>
    <w:rPr>
      <w:rFonts w:hint="default" w:ascii="Arial" w:hAnsi="Arial" w:cs="Arial"/>
      <w:b/>
      <w:bCs/>
      <w:color w:val="000000"/>
      <w:sz w:val="24"/>
      <w:szCs w:val="24"/>
    </w:rPr>
  </w:style>
  <w:style w:type="character" w:customStyle="1" w:styleId="75">
    <w:name w:val="无间隔 Char"/>
    <w:link w:val="76"/>
    <w:qFormat/>
    <w:locked/>
    <w:uiPriority w:val="0"/>
    <w:rPr>
      <w:rFonts w:cs="Calibri"/>
      <w:kern w:val="2"/>
      <w:sz w:val="21"/>
      <w:szCs w:val="22"/>
      <w:lang w:val="en-US" w:eastAsia="zh-CN" w:bidi="ar-SA"/>
    </w:rPr>
  </w:style>
  <w:style w:type="paragraph" w:customStyle="1" w:styleId="76">
    <w:name w:val="无间隔1"/>
    <w:link w:val="75"/>
    <w:qFormat/>
    <w:uiPriority w:val="0"/>
    <w:pPr>
      <w:widowControl w:val="0"/>
      <w:jc w:val="both"/>
    </w:pPr>
    <w:rPr>
      <w:rFonts w:ascii="Times New Roman" w:hAnsi="Times New Roman" w:eastAsia="宋体" w:cs="Calibri"/>
      <w:kern w:val="2"/>
      <w:sz w:val="21"/>
      <w:szCs w:val="22"/>
      <w:lang w:val="en-US" w:eastAsia="zh-CN" w:bidi="ar-SA"/>
    </w:rPr>
  </w:style>
  <w:style w:type="character" w:customStyle="1" w:styleId="77">
    <w:name w:val="s"/>
    <w:basedOn w:val="40"/>
    <w:qFormat/>
    <w:uiPriority w:val="0"/>
  </w:style>
  <w:style w:type="character" w:customStyle="1" w:styleId="78">
    <w:name w:val="font71"/>
    <w:qFormat/>
    <w:uiPriority w:val="0"/>
    <w:rPr>
      <w:rFonts w:ascii="Arial" w:hAnsi="Arial" w:cs="Arial"/>
      <w:b/>
      <w:color w:val="333333"/>
      <w:sz w:val="20"/>
      <w:szCs w:val="20"/>
      <w:u w:val="none"/>
    </w:rPr>
  </w:style>
  <w:style w:type="character" w:customStyle="1" w:styleId="79">
    <w:name w:val="正文缩进 字符"/>
    <w:link w:val="14"/>
    <w:semiHidden/>
    <w:qFormat/>
    <w:locked/>
    <w:uiPriority w:val="0"/>
    <w:rPr>
      <w:kern w:val="2"/>
      <w:sz w:val="21"/>
      <w:szCs w:val="24"/>
    </w:rPr>
  </w:style>
  <w:style w:type="character" w:customStyle="1" w:styleId="80">
    <w:name w:val="标题 Char"/>
    <w:qFormat/>
    <w:uiPriority w:val="0"/>
    <w:rPr>
      <w:rFonts w:ascii="Cambria" w:hAnsi="Cambria" w:cs="Times New Roman"/>
      <w:b/>
      <w:bCs/>
      <w:kern w:val="2"/>
      <w:sz w:val="32"/>
      <w:szCs w:val="32"/>
    </w:rPr>
  </w:style>
  <w:style w:type="character" w:customStyle="1" w:styleId="81">
    <w:name w:val="正文文本首行缩进 字符"/>
    <w:link w:val="82"/>
    <w:semiHidden/>
    <w:qFormat/>
    <w:uiPriority w:val="0"/>
    <w:rPr>
      <w:rFonts w:ascii="Times New Roman" w:hAnsi="Times New Roman" w:eastAsia="仿宋_GB2312"/>
      <w:kern w:val="2"/>
      <w:sz w:val="21"/>
      <w:szCs w:val="24"/>
    </w:rPr>
  </w:style>
  <w:style w:type="paragraph" w:customStyle="1" w:styleId="82">
    <w:name w:val="正文文本首行缩进1"/>
    <w:basedOn w:val="13"/>
    <w:link w:val="81"/>
    <w:unhideWhenUsed/>
    <w:qFormat/>
    <w:uiPriority w:val="0"/>
    <w:pPr>
      <w:adjustRightInd/>
      <w:spacing w:after="120" w:line="240" w:lineRule="auto"/>
      <w:ind w:firstLine="420" w:firstLineChars="100"/>
      <w:jc w:val="both"/>
    </w:pPr>
    <w:rPr>
      <w:rFonts w:ascii="Times New Roman"/>
      <w:kern w:val="2"/>
      <w:sz w:val="21"/>
      <w:szCs w:val="24"/>
    </w:rPr>
  </w:style>
  <w:style w:type="character" w:customStyle="1" w:styleId="83">
    <w:name w:val="正文文本缩进 字符"/>
    <w:qFormat/>
    <w:uiPriority w:val="0"/>
    <w:rPr>
      <w:rFonts w:ascii="仿宋_GB2312" w:eastAsia="仿宋_GB2312"/>
      <w:kern w:val="2"/>
      <w:sz w:val="28"/>
      <w:lang w:val="en-US" w:eastAsia="zh-CN" w:bidi="ar-SA"/>
    </w:rPr>
  </w:style>
  <w:style w:type="character" w:customStyle="1" w:styleId="84">
    <w:name w:val="批注框文本 字符"/>
    <w:link w:val="26"/>
    <w:semiHidden/>
    <w:qFormat/>
    <w:uiPriority w:val="0"/>
    <w:rPr>
      <w:rFonts w:ascii="Times New Roman" w:hAnsi="Times New Roman" w:eastAsia="宋体" w:cs="Times New Roman"/>
      <w:sz w:val="18"/>
      <w:szCs w:val="18"/>
    </w:rPr>
  </w:style>
  <w:style w:type="character" w:customStyle="1" w:styleId="85">
    <w:name w:val="body001"/>
    <w:qFormat/>
    <w:uiPriority w:val="0"/>
    <w:rPr>
      <w:rFonts w:hint="default" w:ascii="ˎ̥" w:hAnsi="ˎ̥"/>
      <w:color w:val="333333"/>
      <w:sz w:val="18"/>
      <w:szCs w:val="18"/>
    </w:rPr>
  </w:style>
  <w:style w:type="character" w:customStyle="1" w:styleId="86">
    <w:name w:val="Char Char3"/>
    <w:qFormat/>
    <w:uiPriority w:val="0"/>
    <w:rPr>
      <w:rFonts w:hint="eastAsia" w:ascii="宋体" w:hAnsi="Courier New" w:eastAsia="宋体"/>
      <w:kern w:val="2"/>
      <w:sz w:val="21"/>
      <w:lang w:val="en-US" w:eastAsia="zh-CN" w:bidi="ar-SA"/>
    </w:rPr>
  </w:style>
  <w:style w:type="character" w:customStyle="1" w:styleId="87">
    <w:name w:val="标题 字符"/>
    <w:link w:val="39"/>
    <w:qFormat/>
    <w:locked/>
    <w:uiPriority w:val="0"/>
    <w:rPr>
      <w:rFonts w:ascii="Times New Roman" w:hAnsi="Times New Roman"/>
      <w:kern w:val="2"/>
      <w:sz w:val="30"/>
      <w:szCs w:val="24"/>
    </w:rPr>
  </w:style>
  <w:style w:type="character" w:customStyle="1" w:styleId="88">
    <w:name w:val="l17"/>
    <w:basedOn w:val="40"/>
    <w:qFormat/>
    <w:uiPriority w:val="0"/>
  </w:style>
  <w:style w:type="character" w:customStyle="1" w:styleId="89">
    <w:name w:val="页眉 字符1"/>
    <w:link w:val="28"/>
    <w:qFormat/>
    <w:uiPriority w:val="99"/>
    <w:rPr>
      <w:sz w:val="18"/>
      <w:szCs w:val="18"/>
    </w:rPr>
  </w:style>
  <w:style w:type="character" w:customStyle="1" w:styleId="90">
    <w:name w:val="style1"/>
    <w:basedOn w:val="40"/>
    <w:qFormat/>
    <w:uiPriority w:val="0"/>
  </w:style>
  <w:style w:type="character" w:customStyle="1" w:styleId="91">
    <w:name w:val="huei12b1"/>
    <w:qFormat/>
    <w:uiPriority w:val="0"/>
    <w:rPr>
      <w:b/>
      <w:bCs/>
      <w:color w:val="333333"/>
      <w:sz w:val="20"/>
      <w:szCs w:val="20"/>
    </w:rPr>
  </w:style>
  <w:style w:type="character" w:customStyle="1" w:styleId="92">
    <w:name w:val="页脚 字符1"/>
    <w:link w:val="27"/>
    <w:qFormat/>
    <w:uiPriority w:val="99"/>
    <w:rPr>
      <w:sz w:val="18"/>
      <w:szCs w:val="18"/>
    </w:rPr>
  </w:style>
  <w:style w:type="character" w:customStyle="1" w:styleId="93">
    <w:name w:val="正文文本缩进 3 字符"/>
    <w:link w:val="33"/>
    <w:semiHidden/>
    <w:qFormat/>
    <w:uiPriority w:val="0"/>
    <w:rPr>
      <w:rFonts w:ascii="Times New Roman" w:hAnsi="Times New Roman" w:eastAsia="黑体"/>
      <w:color w:val="000000"/>
      <w:kern w:val="2"/>
      <w:sz w:val="24"/>
      <w:szCs w:val="24"/>
    </w:rPr>
  </w:style>
  <w:style w:type="character" w:customStyle="1" w:styleId="94">
    <w:name w:val="标题 4 字符"/>
    <w:link w:val="7"/>
    <w:qFormat/>
    <w:uiPriority w:val="9"/>
    <w:rPr>
      <w:rFonts w:ascii="Cambria" w:hAnsi="Cambria" w:eastAsia="宋体" w:cs="Times New Roman"/>
      <w:b/>
      <w:bCs/>
      <w:kern w:val="2"/>
      <w:sz w:val="21"/>
      <w:szCs w:val="28"/>
    </w:rPr>
  </w:style>
  <w:style w:type="character" w:customStyle="1" w:styleId="95">
    <w:name w:val="wz1"/>
    <w:basedOn w:val="40"/>
    <w:qFormat/>
    <w:uiPriority w:val="0"/>
  </w:style>
  <w:style w:type="character" w:customStyle="1" w:styleId="96">
    <w:name w:val="标题 3 字符"/>
    <w:qFormat/>
    <w:uiPriority w:val="0"/>
    <w:rPr>
      <w:b/>
      <w:bCs/>
      <w:kern w:val="2"/>
      <w:sz w:val="24"/>
      <w:szCs w:val="32"/>
    </w:rPr>
  </w:style>
  <w:style w:type="character" w:customStyle="1" w:styleId="97">
    <w:name w:val="unnamed1"/>
    <w:basedOn w:val="40"/>
    <w:qFormat/>
    <w:uiPriority w:val="0"/>
  </w:style>
  <w:style w:type="character" w:customStyle="1" w:styleId="98">
    <w:name w:val="(aNormal) + 宋体 Char"/>
    <w:link w:val="99"/>
    <w:qFormat/>
    <w:locked/>
    <w:uiPriority w:val="0"/>
    <w:rPr>
      <w:rFonts w:ascii="宋体" w:hAnsi="宋体"/>
      <w:lang w:val="en-GB"/>
    </w:rPr>
  </w:style>
  <w:style w:type="paragraph" w:customStyle="1" w:styleId="99">
    <w:name w:val="(aNormal) + 宋体"/>
    <w:basedOn w:val="1"/>
    <w:link w:val="98"/>
    <w:qFormat/>
    <w:uiPriority w:val="0"/>
    <w:pPr>
      <w:widowControl/>
      <w:spacing w:before="240" w:after="120" w:line="240" w:lineRule="auto"/>
      <w:ind w:firstLine="0" w:firstLineChars="0"/>
    </w:pPr>
    <w:rPr>
      <w:kern w:val="0"/>
      <w:sz w:val="20"/>
      <w:szCs w:val="20"/>
      <w:lang w:val="en-GB"/>
    </w:rPr>
  </w:style>
  <w:style w:type="character" w:customStyle="1" w:styleId="100">
    <w:name w:val="正文文本 2 字符"/>
    <w:link w:val="36"/>
    <w:semiHidden/>
    <w:qFormat/>
    <w:uiPriority w:val="0"/>
    <w:rPr>
      <w:rFonts w:ascii="Times New Roman" w:hAnsi="Times New Roman"/>
      <w:b/>
      <w:bCs/>
      <w:color w:val="000000"/>
      <w:kern w:val="2"/>
      <w:sz w:val="28"/>
      <w:szCs w:val="24"/>
    </w:rPr>
  </w:style>
  <w:style w:type="character" w:customStyle="1" w:styleId="101">
    <w:name w:val="页眉 字符"/>
    <w:qFormat/>
    <w:locked/>
    <w:uiPriority w:val="0"/>
    <w:rPr>
      <w:rFonts w:eastAsia="宋体"/>
      <w:kern w:val="2"/>
      <w:sz w:val="18"/>
      <w:lang w:val="en-US" w:eastAsia="zh-CN" w:bidi="ar-SA"/>
    </w:rPr>
  </w:style>
  <w:style w:type="character" w:customStyle="1" w:styleId="102">
    <w:name w:val="文档结构图 字符"/>
    <w:link w:val="15"/>
    <w:semiHidden/>
    <w:qFormat/>
    <w:uiPriority w:val="0"/>
    <w:rPr>
      <w:rFonts w:ascii="宋体" w:hAnsi="Times New Roman" w:eastAsia="宋体" w:cs="Times New Roman"/>
      <w:sz w:val="18"/>
      <w:szCs w:val="18"/>
    </w:rPr>
  </w:style>
  <w:style w:type="character" w:customStyle="1" w:styleId="103">
    <w:name w:val="批注主题 字符"/>
    <w:link w:val="9"/>
    <w:semiHidden/>
    <w:qFormat/>
    <w:uiPriority w:val="0"/>
    <w:rPr>
      <w:rFonts w:ascii="Times New Roman" w:hAnsi="Times New Roman"/>
      <w:b/>
      <w:bCs/>
      <w:kern w:val="2"/>
      <w:sz w:val="21"/>
      <w:szCs w:val="24"/>
    </w:rPr>
  </w:style>
  <w:style w:type="character" w:customStyle="1" w:styleId="104">
    <w:name w:val="apple-converted-space"/>
    <w:basedOn w:val="40"/>
    <w:qFormat/>
    <w:uiPriority w:val="0"/>
  </w:style>
  <w:style w:type="character" w:customStyle="1" w:styleId="105">
    <w:name w:val="标题 3 Char"/>
    <w:qFormat/>
    <w:uiPriority w:val="0"/>
    <w:rPr>
      <w:rFonts w:ascii="Times New Roman" w:hAnsi="Times New Roman"/>
      <w:b/>
      <w:bCs/>
      <w:kern w:val="2"/>
      <w:sz w:val="21"/>
      <w:szCs w:val="32"/>
    </w:rPr>
  </w:style>
  <w:style w:type="character" w:customStyle="1" w:styleId="106">
    <w:name w:val="正文文本 3 字符"/>
    <w:link w:val="16"/>
    <w:semiHidden/>
    <w:qFormat/>
    <w:uiPriority w:val="0"/>
    <w:rPr>
      <w:rFonts w:ascii="楷体_GB2312" w:hAnsi="Times New Roman" w:eastAsia="楷体_GB2312"/>
      <w:b/>
      <w:color w:val="000000"/>
      <w:kern w:val="2"/>
      <w:sz w:val="30"/>
      <w:szCs w:val="24"/>
    </w:rPr>
  </w:style>
  <w:style w:type="character" w:customStyle="1" w:styleId="107">
    <w:name w:val="标题 2 字符"/>
    <w:link w:val="5"/>
    <w:qFormat/>
    <w:uiPriority w:val="0"/>
    <w:rPr>
      <w:rFonts w:ascii="宋体" w:hAnsi="宋体" w:eastAsia="宋体"/>
      <w:b/>
      <w:bCs/>
      <w:kern w:val="2"/>
      <w:sz w:val="28"/>
      <w:szCs w:val="32"/>
    </w:rPr>
  </w:style>
  <w:style w:type="character" w:customStyle="1" w:styleId="108">
    <w:name w:val="content"/>
    <w:basedOn w:val="40"/>
    <w:qFormat/>
    <w:uiPriority w:val="0"/>
  </w:style>
  <w:style w:type="character" w:customStyle="1" w:styleId="109">
    <w:name w:val="search_result_snap1"/>
    <w:qFormat/>
    <w:uiPriority w:val="0"/>
    <w:rPr>
      <w:sz w:val="21"/>
      <w:szCs w:val="21"/>
    </w:rPr>
  </w:style>
  <w:style w:type="character" w:customStyle="1" w:styleId="110">
    <w:name w:val="批注文字 Char"/>
    <w:semiHidden/>
    <w:qFormat/>
    <w:uiPriority w:val="0"/>
    <w:rPr>
      <w:rFonts w:ascii="Times New Roman" w:hAnsi="Times New Roman"/>
      <w:kern w:val="2"/>
      <w:sz w:val="21"/>
      <w:szCs w:val="24"/>
    </w:rPr>
  </w:style>
  <w:style w:type="paragraph" w:customStyle="1" w:styleId="111">
    <w:name w:val="_Style 40"/>
    <w:basedOn w:val="1"/>
    <w:qFormat/>
    <w:uiPriority w:val="0"/>
    <w:pPr>
      <w:spacing w:line="240" w:lineRule="auto"/>
      <w:ind w:firstLine="0" w:firstLineChars="0"/>
    </w:pPr>
  </w:style>
  <w:style w:type="paragraph" w:customStyle="1" w:styleId="112">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cs="宋体"/>
      <w:color w:val="000000"/>
      <w:kern w:val="0"/>
      <w:sz w:val="18"/>
      <w:szCs w:val="18"/>
    </w:rPr>
  </w:style>
  <w:style w:type="paragraph" w:customStyle="1" w:styleId="113">
    <w:name w:val="标题3"/>
    <w:basedOn w:val="6"/>
    <w:qFormat/>
    <w:uiPriority w:val="0"/>
    <w:pPr>
      <w:spacing w:before="260" w:after="260" w:line="415" w:lineRule="auto"/>
    </w:pPr>
    <w:rPr>
      <w:sz w:val="28"/>
      <w:szCs w:val="28"/>
    </w:rPr>
  </w:style>
  <w:style w:type="paragraph" w:customStyle="1" w:styleId="114">
    <w:name w:val="TOC 标题1"/>
    <w:basedOn w:val="5"/>
    <w:next w:val="1"/>
    <w:qFormat/>
    <w:uiPriority w:val="39"/>
    <w:pPr>
      <w:widowControl/>
      <w:spacing w:line="240" w:lineRule="auto"/>
      <w:outlineLvl w:val="9"/>
    </w:pPr>
    <w:rPr>
      <w:kern w:val="0"/>
      <w:sz w:val="21"/>
      <w:szCs w:val="28"/>
    </w:rPr>
  </w:style>
  <w:style w:type="paragraph" w:customStyle="1" w:styleId="115">
    <w:name w:val="列出段落1"/>
    <w:basedOn w:val="1"/>
    <w:qFormat/>
    <w:uiPriority w:val="0"/>
    <w:pPr>
      <w:spacing w:line="240" w:lineRule="auto"/>
      <w:ind w:firstLine="420"/>
    </w:pPr>
  </w:style>
  <w:style w:type="paragraph" w:customStyle="1" w:styleId="116">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color w:val="000000"/>
      <w:kern w:val="0"/>
      <w:sz w:val="18"/>
      <w:szCs w:val="18"/>
    </w:rPr>
  </w:style>
  <w:style w:type="paragraph" w:customStyle="1" w:styleId="117">
    <w:name w:val="正文2"/>
    <w:basedOn w:val="1"/>
    <w:qFormat/>
    <w:uiPriority w:val="0"/>
    <w:pPr>
      <w:spacing w:before="156"/>
      <w:ind w:firstLine="510"/>
    </w:pPr>
    <w:rPr>
      <w:rFonts w:ascii="MT Extra" w:hAnsi="MT Extra" w:cs="MT Extra"/>
    </w:rPr>
  </w:style>
  <w:style w:type="paragraph" w:customStyle="1" w:styleId="118">
    <w:name w:val="Char Char Char Char"/>
    <w:basedOn w:val="1"/>
    <w:qFormat/>
    <w:uiPriority w:val="0"/>
    <w:pPr>
      <w:widowControl/>
      <w:spacing w:after="160" w:line="240" w:lineRule="exact"/>
      <w:ind w:firstLine="0" w:firstLineChars="0"/>
    </w:pPr>
    <w:rPr>
      <w:rFonts w:ascii="Arial" w:hAnsi="Arial" w:eastAsia="Times New Roman" w:cs="Verdana"/>
      <w:b/>
      <w:kern w:val="0"/>
      <w:szCs w:val="20"/>
      <w:lang w:eastAsia="en-US"/>
    </w:rPr>
  </w:style>
  <w:style w:type="paragraph" w:customStyle="1" w:styleId="119">
    <w:name w:val="样式1"/>
    <w:basedOn w:val="1"/>
    <w:qFormat/>
    <w:uiPriority w:val="0"/>
    <w:pPr>
      <w:spacing w:line="360" w:lineRule="exact"/>
    </w:pPr>
    <w:rPr>
      <w:rFonts w:ascii="Arial" w:hAnsi="Arial"/>
      <w:sz w:val="21"/>
    </w:rPr>
  </w:style>
  <w:style w:type="paragraph" w:customStyle="1" w:styleId="120">
    <w:name w:val="Char Char Char Char Char Char Char"/>
    <w:basedOn w:val="1"/>
    <w:qFormat/>
    <w:uiPriority w:val="0"/>
    <w:pPr>
      <w:tabs>
        <w:tab w:val="left" w:pos="432"/>
      </w:tabs>
      <w:spacing w:line="240" w:lineRule="auto"/>
      <w:ind w:left="432" w:hanging="432" w:firstLineChars="0"/>
    </w:pPr>
    <w:rPr>
      <w:rFonts w:ascii="Tahoma" w:hAnsi="Tahoma"/>
      <w:szCs w:val="20"/>
    </w:rPr>
  </w:style>
  <w:style w:type="paragraph" w:customStyle="1" w:styleId="121">
    <w:name w:val="正文缩进1"/>
    <w:basedOn w:val="1"/>
    <w:next w:val="3"/>
    <w:qFormat/>
    <w:uiPriority w:val="0"/>
    <w:pPr>
      <w:autoSpaceDE w:val="0"/>
      <w:autoSpaceDN w:val="0"/>
      <w:adjustRightInd w:val="0"/>
      <w:snapToGrid w:val="0"/>
      <w:spacing w:after="120"/>
      <w:ind w:left="420" w:firstLine="480" w:firstLineChars="0"/>
    </w:pPr>
    <w:rPr>
      <w:szCs w:val="20"/>
    </w:rPr>
  </w:style>
  <w:style w:type="paragraph" w:customStyle="1" w:styleId="122">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color w:val="000000"/>
      <w:kern w:val="0"/>
      <w:sz w:val="18"/>
      <w:szCs w:val="18"/>
    </w:rPr>
  </w:style>
  <w:style w:type="paragraph" w:customStyle="1" w:styleId="123">
    <w:name w:val="xl82"/>
    <w:basedOn w:val="1"/>
    <w:qFormat/>
    <w:uiPriority w:val="0"/>
    <w:pPr>
      <w:widowControl/>
      <w:spacing w:before="100" w:beforeAutospacing="1" w:after="100" w:afterAutospacing="1" w:line="240" w:lineRule="auto"/>
      <w:ind w:firstLine="0" w:firstLineChars="0"/>
    </w:pPr>
    <w:rPr>
      <w:rFonts w:cs="宋体"/>
      <w:color w:val="000000"/>
      <w:kern w:val="0"/>
      <w:sz w:val="18"/>
      <w:szCs w:val="18"/>
    </w:rPr>
  </w:style>
  <w:style w:type="paragraph" w:customStyle="1" w:styleId="124">
    <w:name w:val="font5"/>
    <w:basedOn w:val="1"/>
    <w:qFormat/>
    <w:uiPriority w:val="0"/>
    <w:pPr>
      <w:widowControl/>
      <w:spacing w:before="100" w:beforeAutospacing="1" w:after="100" w:afterAutospacing="1" w:line="240" w:lineRule="auto"/>
      <w:ind w:firstLine="0" w:firstLineChars="0"/>
    </w:pPr>
    <w:rPr>
      <w:rFonts w:cs="宋体"/>
      <w:kern w:val="0"/>
      <w:sz w:val="18"/>
      <w:szCs w:val="18"/>
    </w:rPr>
  </w:style>
  <w:style w:type="paragraph" w:customStyle="1" w:styleId="125">
    <w:name w:val="_Style 54"/>
    <w:basedOn w:val="1"/>
    <w:qFormat/>
    <w:uiPriority w:val="0"/>
    <w:pPr>
      <w:spacing w:line="240" w:lineRule="auto"/>
      <w:ind w:firstLine="0" w:firstLineChars="0"/>
    </w:pPr>
  </w:style>
  <w:style w:type="paragraph" w:customStyle="1" w:styleId="126">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cs="宋体"/>
      <w:color w:val="000000"/>
      <w:kern w:val="0"/>
      <w:sz w:val="18"/>
      <w:szCs w:val="18"/>
    </w:rPr>
  </w:style>
  <w:style w:type="paragraph" w:customStyle="1" w:styleId="127">
    <w:name w:val="四级目录 Char Char Char Char Char"/>
    <w:next w:val="1"/>
    <w:qFormat/>
    <w:uiPriority w:val="0"/>
    <w:pPr>
      <w:spacing w:line="360" w:lineRule="auto"/>
      <w:ind w:left="200" w:leftChars="200"/>
    </w:pPr>
    <w:rPr>
      <w:rFonts w:ascii="Times New Roman" w:hAnsi="Times New Roman" w:eastAsia="仿宋_GB2312" w:cs="Times New Roman"/>
      <w:sz w:val="30"/>
      <w:lang w:val="en-US" w:eastAsia="en-US" w:bidi="ar-SA"/>
    </w:rPr>
  </w:style>
  <w:style w:type="paragraph" w:customStyle="1" w:styleId="128">
    <w:name w:val="列表段落1"/>
    <w:basedOn w:val="1"/>
    <w:qFormat/>
    <w:uiPriority w:val="34"/>
    <w:pPr>
      <w:ind w:firstLine="420"/>
    </w:pPr>
    <w:rPr>
      <w:szCs w:val="22"/>
    </w:rPr>
  </w:style>
  <w:style w:type="paragraph" w:customStyle="1" w:styleId="129">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cs="宋体"/>
      <w:color w:val="000000"/>
      <w:kern w:val="0"/>
      <w:sz w:val="18"/>
      <w:szCs w:val="18"/>
    </w:rPr>
  </w:style>
  <w:style w:type="paragraph" w:customStyle="1" w:styleId="130">
    <w:name w:val="正文 A"/>
    <w:qFormat/>
    <w:uiPriority w:val="0"/>
    <w:pPr>
      <w:widowControl w:val="0"/>
      <w:jc w:val="both"/>
    </w:pPr>
    <w:rPr>
      <w:rFonts w:ascii="Times New Roman" w:hAnsi="Times New Roman" w:eastAsia="Arial Unicode MS" w:cs="Arial Unicode MS"/>
      <w:color w:val="000000"/>
      <w:kern w:val="2"/>
      <w:sz w:val="21"/>
      <w:szCs w:val="21"/>
      <w:lang w:val="en-US" w:eastAsia="zh-CN" w:bidi="ar-SA"/>
    </w:rPr>
  </w:style>
  <w:style w:type="paragraph" w:customStyle="1" w:styleId="131">
    <w:name w:val="表格"/>
    <w:basedOn w:val="13"/>
    <w:next w:val="1"/>
    <w:qFormat/>
    <w:uiPriority w:val="0"/>
    <w:pPr>
      <w:spacing w:line="240" w:lineRule="auto"/>
      <w:jc w:val="center"/>
    </w:pPr>
    <w:rPr>
      <w:rFonts w:ascii="Times New Roman"/>
    </w:rPr>
  </w:style>
  <w:style w:type="paragraph" w:customStyle="1" w:styleId="132">
    <w:name w:val="修订1"/>
    <w:unhideWhenUsed/>
    <w:qFormat/>
    <w:uiPriority w:val="99"/>
    <w:rPr>
      <w:rFonts w:ascii="Times New Roman" w:hAnsi="Times New Roman" w:eastAsia="宋体" w:cs="Times New Roman"/>
      <w:kern w:val="2"/>
      <w:sz w:val="24"/>
      <w:szCs w:val="24"/>
      <w:lang w:val="en-US" w:eastAsia="zh-CN" w:bidi="ar-SA"/>
    </w:rPr>
  </w:style>
  <w:style w:type="paragraph" w:customStyle="1" w:styleId="133">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color w:val="000000"/>
      <w:kern w:val="0"/>
      <w:sz w:val="18"/>
      <w:szCs w:val="18"/>
    </w:rPr>
  </w:style>
  <w:style w:type="paragraph" w:customStyle="1" w:styleId="134">
    <w:name w:val="font7"/>
    <w:basedOn w:val="1"/>
    <w:qFormat/>
    <w:uiPriority w:val="0"/>
    <w:pPr>
      <w:widowControl/>
      <w:spacing w:before="100" w:beforeAutospacing="1" w:after="100" w:afterAutospacing="1" w:line="240" w:lineRule="auto"/>
      <w:ind w:firstLine="0" w:firstLineChars="0"/>
    </w:pPr>
    <w:rPr>
      <w:color w:val="000000"/>
      <w:kern w:val="0"/>
      <w:sz w:val="18"/>
      <w:szCs w:val="18"/>
    </w:rPr>
  </w:style>
  <w:style w:type="paragraph" w:customStyle="1" w:styleId="135">
    <w:name w:val="trs_editor"/>
    <w:basedOn w:val="1"/>
    <w:qFormat/>
    <w:uiPriority w:val="0"/>
    <w:pPr>
      <w:widowControl/>
      <w:spacing w:before="100" w:beforeAutospacing="1" w:after="100" w:afterAutospacing="1"/>
    </w:pPr>
    <w:rPr>
      <w:rFonts w:cs="宋体"/>
      <w:kern w:val="0"/>
    </w:rPr>
  </w:style>
  <w:style w:type="paragraph" w:customStyle="1" w:styleId="136">
    <w:name w:val="Char"/>
    <w:basedOn w:val="1"/>
    <w:qFormat/>
    <w:uiPriority w:val="0"/>
    <w:pPr>
      <w:spacing w:line="240" w:lineRule="auto"/>
      <w:ind w:firstLine="0" w:firstLineChars="0"/>
    </w:pPr>
    <w:rPr>
      <w:rFonts w:ascii="仿宋_GB2312" w:eastAsia="仿宋_GB2312"/>
      <w:b/>
      <w:sz w:val="32"/>
      <w:szCs w:val="32"/>
    </w:rPr>
  </w:style>
  <w:style w:type="paragraph" w:customStyle="1" w:styleId="13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b/>
      <w:bCs/>
      <w:color w:val="000000"/>
      <w:kern w:val="0"/>
      <w:sz w:val="18"/>
      <w:szCs w:val="18"/>
    </w:rPr>
  </w:style>
  <w:style w:type="paragraph" w:customStyle="1" w:styleId="138">
    <w:name w:val="_Style 3"/>
    <w:basedOn w:val="1"/>
    <w:next w:val="128"/>
    <w:qFormat/>
    <w:uiPriority w:val="34"/>
    <w:pPr>
      <w:ind w:firstLine="420"/>
    </w:pPr>
    <w:rPr>
      <w:szCs w:val="22"/>
    </w:rPr>
  </w:style>
  <w:style w:type="paragraph" w:customStyle="1" w:styleId="139">
    <w:name w:val="默认段落字体 Para Char"/>
    <w:basedOn w:val="1"/>
    <w:qFormat/>
    <w:uiPriority w:val="0"/>
    <w:pPr>
      <w:spacing w:line="240" w:lineRule="auto"/>
      <w:ind w:firstLine="0" w:firstLineChars="0"/>
    </w:pPr>
  </w:style>
  <w:style w:type="paragraph" w:customStyle="1" w:styleId="140">
    <w:name w:val="部分1"/>
    <w:basedOn w:val="1"/>
    <w:qFormat/>
    <w:uiPriority w:val="99"/>
    <w:pPr>
      <w:keepNext/>
      <w:pageBreakBefore/>
      <w:tabs>
        <w:tab w:val="left" w:pos="720"/>
      </w:tabs>
      <w:jc w:val="center"/>
      <w:outlineLvl w:val="0"/>
    </w:pPr>
    <w:rPr>
      <w:rFonts w:eastAsia="黑体"/>
      <w:b/>
      <w:kern w:val="44"/>
      <w:sz w:val="36"/>
    </w:rPr>
  </w:style>
  <w:style w:type="paragraph" w:customStyle="1" w:styleId="141">
    <w:name w:val="table_lines"/>
    <w:basedOn w:val="1"/>
    <w:qFormat/>
    <w:uiPriority w:val="0"/>
    <w:pPr>
      <w:widowControl/>
      <w:spacing w:line="240" w:lineRule="auto"/>
      <w:ind w:firstLine="0" w:firstLineChars="0"/>
    </w:pPr>
    <w:rPr>
      <w:kern w:val="0"/>
      <w:sz w:val="20"/>
      <w:szCs w:val="20"/>
      <w:lang w:val="de-DE" w:eastAsia="de-DE"/>
    </w:rPr>
  </w:style>
  <w:style w:type="paragraph" w:customStyle="1" w:styleId="14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cs="宋体"/>
      <w:color w:val="000000"/>
      <w:kern w:val="0"/>
      <w:sz w:val="18"/>
      <w:szCs w:val="18"/>
    </w:rPr>
  </w:style>
  <w:style w:type="paragraph" w:customStyle="1" w:styleId="143">
    <w:name w:val="font6"/>
    <w:basedOn w:val="1"/>
    <w:qFormat/>
    <w:uiPriority w:val="0"/>
    <w:pPr>
      <w:widowControl/>
      <w:spacing w:before="100" w:beforeAutospacing="1" w:after="100" w:afterAutospacing="1" w:line="240" w:lineRule="auto"/>
      <w:ind w:firstLine="0" w:firstLineChars="0"/>
    </w:pPr>
    <w:rPr>
      <w:rFonts w:cs="宋体"/>
      <w:color w:val="000000"/>
      <w:kern w:val="0"/>
      <w:sz w:val="18"/>
      <w:szCs w:val="18"/>
    </w:rPr>
  </w:style>
  <w:style w:type="paragraph" w:customStyle="1" w:styleId="144">
    <w:name w:val="font9"/>
    <w:basedOn w:val="1"/>
    <w:qFormat/>
    <w:uiPriority w:val="0"/>
    <w:pPr>
      <w:widowControl/>
      <w:spacing w:before="100" w:beforeAutospacing="1" w:after="100" w:afterAutospacing="1" w:line="240" w:lineRule="auto"/>
      <w:ind w:firstLine="0" w:firstLineChars="0"/>
    </w:pPr>
    <w:rPr>
      <w:rFonts w:ascii="Symbol" w:hAnsi="Symbol" w:cs="宋体"/>
      <w:color w:val="000000"/>
      <w:kern w:val="0"/>
      <w:sz w:val="18"/>
      <w:szCs w:val="18"/>
    </w:rPr>
  </w:style>
  <w:style w:type="paragraph" w:customStyle="1" w:styleId="145">
    <w:name w:val="小标题2"/>
    <w:basedOn w:val="1"/>
    <w:next w:val="1"/>
    <w:qFormat/>
    <w:uiPriority w:val="0"/>
    <w:pPr>
      <w:spacing w:beforeLines="20" w:afterLines="20" w:line="400" w:lineRule="exact"/>
    </w:pPr>
    <w:rPr>
      <w:rFonts w:eastAsia="楷体_GB2312"/>
    </w:rPr>
  </w:style>
  <w:style w:type="paragraph" w:customStyle="1" w:styleId="146">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ascii="Arial Unicode MS" w:hAnsi="Arial Unicode MS" w:eastAsia="Arial Unicode MS" w:cs="Arial Unicode MS"/>
      <w:color w:val="000000"/>
      <w:kern w:val="0"/>
      <w:sz w:val="16"/>
      <w:szCs w:val="16"/>
    </w:rPr>
  </w:style>
  <w:style w:type="paragraph" w:customStyle="1" w:styleId="147">
    <w:name w:val="Blockquote"/>
    <w:basedOn w:val="1"/>
    <w:qFormat/>
    <w:uiPriority w:val="0"/>
    <w:pPr>
      <w:autoSpaceDE w:val="0"/>
      <w:autoSpaceDN w:val="0"/>
      <w:adjustRightInd w:val="0"/>
      <w:spacing w:before="100" w:after="100"/>
      <w:ind w:left="360" w:right="360"/>
    </w:pPr>
    <w:rPr>
      <w:kern w:val="0"/>
    </w:rPr>
  </w:style>
  <w:style w:type="paragraph" w:customStyle="1" w:styleId="148">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color w:val="000000"/>
      <w:kern w:val="0"/>
      <w:sz w:val="18"/>
      <w:szCs w:val="18"/>
    </w:rPr>
  </w:style>
  <w:style w:type="paragraph" w:customStyle="1" w:styleId="149">
    <w:name w:val="p16"/>
    <w:basedOn w:val="1"/>
    <w:qFormat/>
    <w:uiPriority w:val="0"/>
    <w:pPr>
      <w:widowControl/>
      <w:spacing w:line="240" w:lineRule="auto"/>
      <w:ind w:left="420" w:hanging="420" w:firstLineChars="0"/>
    </w:pPr>
    <w:rPr>
      <w:kern w:val="0"/>
      <w:szCs w:val="21"/>
    </w:rPr>
  </w:style>
  <w:style w:type="paragraph" w:customStyle="1" w:styleId="150">
    <w:name w:val="Proposals body"/>
    <w:basedOn w:val="1"/>
    <w:next w:val="1"/>
    <w:qFormat/>
    <w:uiPriority w:val="0"/>
    <w:pPr>
      <w:widowControl/>
      <w:snapToGrid w:val="0"/>
      <w:ind w:firstLine="0" w:firstLineChars="0"/>
    </w:pPr>
    <w:rPr>
      <w:color w:val="000000"/>
      <w:kern w:val="0"/>
      <w:szCs w:val="20"/>
    </w:rPr>
  </w:style>
  <w:style w:type="paragraph" w:customStyle="1" w:styleId="151">
    <w:name w:val="Horizontal Bar"/>
    <w:basedOn w:val="1"/>
    <w:qFormat/>
    <w:uiPriority w:val="0"/>
    <w:pPr>
      <w:kinsoku w:val="0"/>
      <w:overflowPunct w:val="0"/>
      <w:topLinePunct/>
      <w:spacing w:line="0" w:lineRule="atLeast"/>
      <w:ind w:firstLine="0" w:firstLineChars="0"/>
    </w:pPr>
    <w:rPr>
      <w:rFonts w:ascii="ScalaSansLF-Regular" w:hAnsi="ScalaSansLF-Regular" w:eastAsia="ScalaSansLF-Regular" w:cs="ScalaSansLF-Regular"/>
      <w:bCs/>
      <w:sz w:val="16"/>
      <w:szCs w:val="16"/>
      <w:lang w:eastAsia="ja-JP"/>
    </w:rPr>
  </w:style>
  <w:style w:type="paragraph" w:customStyle="1" w:styleId="152">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color w:val="000000"/>
      <w:kern w:val="0"/>
      <w:sz w:val="18"/>
      <w:szCs w:val="18"/>
    </w:rPr>
  </w:style>
  <w:style w:type="paragraph" w:customStyle="1" w:styleId="153">
    <w:name w:val="p0"/>
    <w:basedOn w:val="1"/>
    <w:qFormat/>
    <w:uiPriority w:val="0"/>
    <w:pPr>
      <w:widowControl/>
      <w:spacing w:line="240" w:lineRule="auto"/>
      <w:ind w:firstLine="0" w:firstLineChars="0"/>
    </w:pPr>
    <w:rPr>
      <w:kern w:val="0"/>
      <w:szCs w:val="21"/>
    </w:rPr>
  </w:style>
  <w:style w:type="paragraph" w:customStyle="1" w:styleId="154">
    <w:name w:val="彩色列表 - 强调文字颜色 11"/>
    <w:basedOn w:val="1"/>
    <w:qFormat/>
    <w:uiPriority w:val="34"/>
    <w:pPr>
      <w:ind w:firstLine="420"/>
    </w:pPr>
  </w:style>
  <w:style w:type="paragraph" w:customStyle="1" w:styleId="155">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cs="宋体"/>
      <w:color w:val="000000"/>
      <w:kern w:val="0"/>
      <w:sz w:val="18"/>
      <w:szCs w:val="18"/>
    </w:rPr>
  </w:style>
  <w:style w:type="paragraph" w:customStyle="1" w:styleId="156">
    <w:name w:val="Char Char Char Char Char Char Char Char"/>
    <w:basedOn w:val="1"/>
    <w:qFormat/>
    <w:uiPriority w:val="0"/>
    <w:pPr>
      <w:tabs>
        <w:tab w:val="left" w:pos="360"/>
      </w:tabs>
      <w:spacing w:line="240" w:lineRule="auto"/>
      <w:ind w:firstLine="0" w:firstLineChars="0"/>
    </w:pPr>
    <w:rPr>
      <w:szCs w:val="20"/>
    </w:rPr>
  </w:style>
  <w:style w:type="paragraph" w:customStyle="1" w:styleId="157">
    <w:name w:val="文字"/>
    <w:basedOn w:val="1"/>
    <w:qFormat/>
    <w:uiPriority w:val="0"/>
    <w:pPr>
      <w:tabs>
        <w:tab w:val="left" w:pos="8520"/>
      </w:tabs>
      <w:spacing w:line="312" w:lineRule="auto"/>
      <w:ind w:right="-210" w:firstLine="556" w:firstLineChars="0"/>
    </w:pPr>
    <w:rPr>
      <w:rFonts w:ascii="楷体_GB2312" w:eastAsia="楷体_GB2312"/>
      <w:sz w:val="28"/>
      <w:szCs w:val="20"/>
    </w:rPr>
  </w:style>
  <w:style w:type="paragraph" w:customStyle="1" w:styleId="158">
    <w:name w:val="Char Char Char Char Char Char Char Char Char Char"/>
    <w:basedOn w:val="15"/>
    <w:qFormat/>
    <w:uiPriority w:val="0"/>
    <w:pPr>
      <w:shd w:val="clear" w:color="auto" w:fill="000080"/>
      <w:spacing w:line="240" w:lineRule="auto"/>
      <w:ind w:firstLine="0" w:firstLineChars="0"/>
    </w:pPr>
    <w:rPr>
      <w:rFonts w:ascii="Tahoma" w:hAnsi="Tahoma"/>
      <w:sz w:val="24"/>
      <w:szCs w:val="24"/>
    </w:rPr>
  </w:style>
  <w:style w:type="paragraph" w:customStyle="1" w:styleId="159">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b/>
      <w:bCs/>
      <w:color w:val="000000"/>
      <w:kern w:val="0"/>
      <w:sz w:val="18"/>
      <w:szCs w:val="18"/>
    </w:rPr>
  </w:style>
  <w:style w:type="paragraph" w:customStyle="1" w:styleId="160">
    <w:name w:val="1"/>
    <w:basedOn w:val="1"/>
    <w:next w:val="38"/>
    <w:qFormat/>
    <w:uiPriority w:val="0"/>
    <w:pPr>
      <w:widowControl/>
      <w:spacing w:before="100" w:beforeAutospacing="1" w:after="100" w:afterAutospacing="1" w:line="240" w:lineRule="auto"/>
      <w:ind w:firstLine="0" w:firstLineChars="0"/>
    </w:pPr>
    <w:rPr>
      <w:kern w:val="0"/>
    </w:rPr>
  </w:style>
  <w:style w:type="paragraph" w:customStyle="1" w:styleId="161">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cs="宋体"/>
      <w:color w:val="000000"/>
      <w:kern w:val="0"/>
      <w:sz w:val="18"/>
      <w:szCs w:val="18"/>
    </w:rPr>
  </w:style>
  <w:style w:type="paragraph" w:customStyle="1" w:styleId="162">
    <w:name w:val="正文1"/>
    <w:basedOn w:val="1"/>
    <w:qFormat/>
    <w:uiPriority w:val="0"/>
    <w:pPr>
      <w:widowControl/>
      <w:spacing w:after="200" w:line="300" w:lineRule="atLeast"/>
    </w:pPr>
    <w:rPr>
      <w:rFonts w:cs="宋体"/>
      <w:kern w:val="0"/>
      <w:sz w:val="22"/>
      <w:szCs w:val="22"/>
    </w:rPr>
  </w:style>
  <w:style w:type="paragraph" w:customStyle="1" w:styleId="163">
    <w:name w:val="正文－恩普"/>
    <w:basedOn w:val="14"/>
    <w:qFormat/>
    <w:uiPriority w:val="0"/>
    <w:pPr>
      <w:widowControl/>
      <w:spacing w:afterLines="50" w:line="360" w:lineRule="auto"/>
      <w:ind w:firstLine="480" w:firstLineChars="200"/>
    </w:pPr>
  </w:style>
  <w:style w:type="paragraph" w:customStyle="1" w:styleId="164">
    <w:name w:val="Char Char Char"/>
    <w:basedOn w:val="1"/>
    <w:qFormat/>
    <w:uiPriority w:val="0"/>
    <w:pPr>
      <w:spacing w:line="240" w:lineRule="auto"/>
      <w:ind w:firstLine="0" w:firstLineChars="0"/>
    </w:pPr>
    <w:rPr>
      <w:rFonts w:ascii="Tahoma" w:hAnsi="Tahoma"/>
      <w:szCs w:val="20"/>
    </w:rPr>
  </w:style>
  <w:style w:type="paragraph" w:customStyle="1" w:styleId="16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color w:val="000000"/>
      <w:kern w:val="0"/>
      <w:sz w:val="18"/>
      <w:szCs w:val="18"/>
    </w:rPr>
  </w:style>
  <w:style w:type="paragraph" w:customStyle="1" w:styleId="166">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color w:val="000000"/>
      <w:kern w:val="0"/>
      <w:sz w:val="18"/>
      <w:szCs w:val="18"/>
    </w:rPr>
  </w:style>
  <w:style w:type="paragraph" w:customStyle="1" w:styleId="167">
    <w:name w:val="列表段落11"/>
    <w:basedOn w:val="1"/>
    <w:qFormat/>
    <w:uiPriority w:val="0"/>
    <w:pPr>
      <w:ind w:firstLine="420"/>
    </w:pPr>
  </w:style>
  <w:style w:type="paragraph" w:customStyle="1" w:styleId="168">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69">
    <w:name w:val="正文格式"/>
    <w:basedOn w:val="1"/>
    <w:qFormat/>
    <w:uiPriority w:val="0"/>
    <w:pPr>
      <w:widowControl/>
      <w:adjustRightInd w:val="0"/>
      <w:snapToGrid w:val="0"/>
      <w:ind w:firstLine="482" w:firstLineChars="0"/>
    </w:pPr>
    <w:rPr>
      <w:kern w:val="0"/>
      <w:szCs w:val="20"/>
    </w:rPr>
  </w:style>
  <w:style w:type="paragraph" w:customStyle="1" w:styleId="170">
    <w:name w:val="head 1.1"/>
    <w:basedOn w:val="167"/>
    <w:qFormat/>
    <w:uiPriority w:val="0"/>
    <w:pPr>
      <w:numPr>
        <w:ilvl w:val="1"/>
        <w:numId w:val="3"/>
      </w:numPr>
      <w:spacing w:before="260" w:after="260" w:line="240" w:lineRule="auto"/>
      <w:ind w:firstLine="0" w:firstLineChars="0"/>
    </w:pPr>
    <w:rPr>
      <w:bCs/>
      <w:szCs w:val="22"/>
    </w:rPr>
  </w:style>
  <w:style w:type="paragraph" w:customStyle="1" w:styleId="171">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b/>
      <w:bCs/>
      <w:color w:val="000000"/>
      <w:kern w:val="0"/>
      <w:sz w:val="18"/>
      <w:szCs w:val="18"/>
    </w:rPr>
  </w:style>
  <w:style w:type="paragraph" w:customStyle="1" w:styleId="172">
    <w:name w:val="head 1.1.1"/>
    <w:basedOn w:val="167"/>
    <w:qFormat/>
    <w:uiPriority w:val="0"/>
    <w:pPr>
      <w:numPr>
        <w:ilvl w:val="2"/>
        <w:numId w:val="3"/>
      </w:numPr>
      <w:spacing w:line="240" w:lineRule="auto"/>
      <w:ind w:firstLine="0" w:firstLineChars="0"/>
    </w:pPr>
    <w:rPr>
      <w:bCs/>
      <w:szCs w:val="22"/>
    </w:rPr>
  </w:style>
  <w:style w:type="paragraph" w:customStyle="1" w:styleId="173">
    <w:name w:val="默认段落字体 Para Char Char Char Char Char Char Char Char Char1 Char Char Char Char"/>
    <w:basedOn w:val="1"/>
    <w:qFormat/>
    <w:uiPriority w:val="0"/>
    <w:rPr>
      <w:rFonts w:ascii="Tahoma" w:hAnsi="Tahoma"/>
      <w:szCs w:val="20"/>
    </w:rPr>
  </w:style>
  <w:style w:type="paragraph" w:customStyle="1" w:styleId="174">
    <w:name w:val="Char1 Char Char"/>
    <w:basedOn w:val="1"/>
    <w:qFormat/>
    <w:uiPriority w:val="0"/>
    <w:pPr>
      <w:widowControl/>
      <w:spacing w:after="160"/>
    </w:pPr>
    <w:rPr>
      <w:rFonts w:ascii="Verdana" w:hAnsi="Verdana" w:eastAsia="黑体"/>
      <w:kern w:val="0"/>
      <w:szCs w:val="20"/>
      <w:lang w:eastAsia="en-US"/>
    </w:rPr>
  </w:style>
  <w:style w:type="paragraph" w:customStyle="1" w:styleId="175">
    <w:name w:val="Char1"/>
    <w:basedOn w:val="1"/>
    <w:qFormat/>
    <w:uiPriority w:val="0"/>
    <w:rPr>
      <w:rFonts w:ascii="Tahoma" w:hAnsi="Tahoma"/>
      <w:szCs w:val="20"/>
    </w:rPr>
  </w:style>
  <w:style w:type="paragraph" w:customStyle="1" w:styleId="176">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cs="宋体"/>
      <w:b/>
      <w:bCs/>
      <w:color w:val="000000"/>
      <w:kern w:val="0"/>
      <w:sz w:val="18"/>
      <w:szCs w:val="18"/>
    </w:rPr>
  </w:style>
  <w:style w:type="paragraph" w:customStyle="1" w:styleId="177">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jc w:val="center"/>
    </w:pPr>
    <w:rPr>
      <w:rFonts w:cs="宋体"/>
      <w:b/>
      <w:bCs/>
      <w:color w:val="000000"/>
      <w:kern w:val="0"/>
      <w:sz w:val="18"/>
      <w:szCs w:val="18"/>
    </w:rPr>
  </w:style>
  <w:style w:type="paragraph" w:customStyle="1" w:styleId="178">
    <w:name w:val="表内文字"/>
    <w:basedOn w:val="1"/>
    <w:qFormat/>
    <w:uiPriority w:val="0"/>
    <w:pPr>
      <w:tabs>
        <w:tab w:val="left" w:pos="1418"/>
      </w:tabs>
      <w:ind w:firstLine="0" w:firstLineChars="0"/>
      <w:jc w:val="center"/>
    </w:pPr>
    <w:rPr>
      <w:rFonts w:ascii="仿宋_GB2312" w:eastAsia="仿宋_GB2312"/>
      <w:spacing w:val="-20"/>
      <w:kern w:val="0"/>
    </w:rPr>
  </w:style>
  <w:style w:type="paragraph" w:customStyle="1" w:styleId="179">
    <w:name w:val="Char2"/>
    <w:basedOn w:val="1"/>
    <w:qFormat/>
    <w:uiPriority w:val="0"/>
    <w:pPr>
      <w:spacing w:line="240" w:lineRule="auto"/>
      <w:ind w:firstLine="0" w:firstLineChars="0"/>
    </w:pPr>
    <w:rPr>
      <w:rFonts w:ascii="仿宋_GB2312" w:eastAsia="仿宋_GB2312"/>
      <w:b/>
      <w:sz w:val="32"/>
      <w:szCs w:val="32"/>
    </w:rPr>
  </w:style>
  <w:style w:type="paragraph" w:customStyle="1" w:styleId="180">
    <w:name w:val="小标题"/>
    <w:basedOn w:val="1"/>
    <w:qFormat/>
    <w:uiPriority w:val="0"/>
    <w:pPr>
      <w:autoSpaceDE w:val="0"/>
      <w:autoSpaceDN w:val="0"/>
      <w:spacing w:before="240" w:line="300" w:lineRule="auto"/>
      <w:ind w:firstLine="480"/>
      <w:textAlignment w:val="center"/>
    </w:pPr>
    <w:rPr>
      <w:rFonts w:ascii="仿宋" w:hAnsi="仿宋" w:eastAsia="仿宋" w:cs="宋体"/>
      <w:b/>
      <w:bCs/>
      <w:szCs w:val="20"/>
    </w:rPr>
  </w:style>
  <w:style w:type="paragraph" w:customStyle="1" w:styleId="181">
    <w:name w:val="xl25"/>
    <w:basedOn w:val="1"/>
    <w:qFormat/>
    <w:uiPriority w:val="0"/>
    <w:pPr>
      <w:widowControl/>
      <w:spacing w:before="100" w:beforeAutospacing="1" w:after="100" w:afterAutospacing="1" w:line="240" w:lineRule="auto"/>
      <w:ind w:firstLine="0" w:firstLineChars="0"/>
      <w:jc w:val="center"/>
      <w:textAlignment w:val="center"/>
    </w:pPr>
    <w:rPr>
      <w:rFonts w:hint="eastAsia" w:ascii="楷体_GB2312" w:eastAsia="楷体_GB2312"/>
      <w:kern w:val="0"/>
    </w:rPr>
  </w:style>
  <w:style w:type="paragraph" w:customStyle="1" w:styleId="182">
    <w:name w:val="Char Char Char Char Char Char"/>
    <w:basedOn w:val="1"/>
    <w:qFormat/>
    <w:uiPriority w:val="0"/>
    <w:pPr>
      <w:spacing w:line="240" w:lineRule="auto"/>
    </w:pPr>
    <w:rPr>
      <w:rFonts w:ascii="Tahoma" w:hAnsi="Tahoma"/>
      <w:szCs w:val="20"/>
    </w:rPr>
  </w:style>
  <w:style w:type="paragraph" w:customStyle="1" w:styleId="183">
    <w:name w:val="正文段"/>
    <w:basedOn w:val="1"/>
    <w:qFormat/>
    <w:uiPriority w:val="0"/>
    <w:pPr>
      <w:widowControl/>
      <w:snapToGrid w:val="0"/>
      <w:spacing w:afterLines="50"/>
    </w:pPr>
    <w:rPr>
      <w:kern w:val="0"/>
    </w:rPr>
  </w:style>
  <w:style w:type="paragraph" w:customStyle="1" w:styleId="184">
    <w:name w:val="Char Char Char Char Char Char Char Char Char Char Char Char Char"/>
    <w:basedOn w:val="1"/>
    <w:qFormat/>
    <w:uiPriority w:val="0"/>
    <w:pPr>
      <w:spacing w:line="240" w:lineRule="auto"/>
      <w:ind w:firstLine="0" w:firstLineChars="0"/>
    </w:pPr>
    <w:rPr>
      <w:rFonts w:ascii="Tahoma" w:hAnsi="Tahoma"/>
      <w:szCs w:val="20"/>
    </w:rPr>
  </w:style>
  <w:style w:type="paragraph" w:customStyle="1" w:styleId="185">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240" w:lineRule="auto"/>
      <w:ind w:firstLine="0" w:firstLineChars="0"/>
    </w:pPr>
    <w:rPr>
      <w:rFonts w:cs="宋体"/>
      <w:color w:val="000000"/>
      <w:kern w:val="0"/>
      <w:sz w:val="18"/>
      <w:szCs w:val="18"/>
    </w:rPr>
  </w:style>
  <w:style w:type="paragraph" w:customStyle="1" w:styleId="186">
    <w:name w:val="font8"/>
    <w:basedOn w:val="1"/>
    <w:qFormat/>
    <w:uiPriority w:val="0"/>
    <w:pPr>
      <w:widowControl/>
      <w:spacing w:before="100" w:beforeAutospacing="1" w:after="100" w:afterAutospacing="1" w:line="240" w:lineRule="auto"/>
      <w:ind w:firstLine="0" w:firstLineChars="0"/>
    </w:pPr>
    <w:rPr>
      <w:rFonts w:cs="宋体"/>
      <w:color w:val="000000"/>
      <w:kern w:val="0"/>
      <w:sz w:val="18"/>
      <w:szCs w:val="18"/>
    </w:rPr>
  </w:style>
  <w:style w:type="paragraph" w:customStyle="1" w:styleId="187">
    <w:name w:val="WPSOffice手动目录 1"/>
    <w:qFormat/>
    <w:uiPriority w:val="0"/>
    <w:rPr>
      <w:rFonts w:ascii="Times New Roman" w:hAnsi="Times New Roman" w:eastAsia="宋体" w:cs="Times New Roman"/>
      <w:lang w:val="en-US" w:eastAsia="zh-CN" w:bidi="ar-SA"/>
    </w:rPr>
  </w:style>
  <w:style w:type="paragraph" w:customStyle="1" w:styleId="188">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189">
    <w:name w:val="WPSOffice手动目录 3"/>
    <w:qFormat/>
    <w:uiPriority w:val="0"/>
    <w:pPr>
      <w:ind w:left="400" w:leftChars="400"/>
    </w:pPr>
    <w:rPr>
      <w:rFonts w:ascii="Times New Roman" w:hAnsi="Times New Roman" w:eastAsia="宋体" w:cs="Times New Roman"/>
      <w:lang w:val="en-US" w:eastAsia="zh-CN" w:bidi="ar-SA"/>
    </w:rPr>
  </w:style>
  <w:style w:type="paragraph" w:customStyle="1" w:styleId="190">
    <w:name w:val="Char Char Char Char Char Char Char1"/>
    <w:basedOn w:val="1"/>
    <w:qFormat/>
    <w:uiPriority w:val="0"/>
    <w:pPr>
      <w:tabs>
        <w:tab w:val="left" w:pos="432"/>
      </w:tabs>
      <w:ind w:left="432" w:hanging="432"/>
    </w:pPr>
    <w:rPr>
      <w:rFonts w:ascii="Tahoma" w:hAnsi="Tahoma"/>
      <w:szCs w:val="20"/>
    </w:rPr>
  </w:style>
  <w:style w:type="paragraph" w:customStyle="1" w:styleId="191">
    <w:name w:val="普通(网站)1"/>
    <w:basedOn w:val="1"/>
    <w:qFormat/>
    <w:uiPriority w:val="2"/>
    <w:pPr>
      <w:widowControl/>
      <w:spacing w:before="100" w:after="100"/>
    </w:pPr>
    <w:rPr>
      <w:rFonts w:cs="宋体"/>
      <w:kern w:val="0"/>
    </w:rPr>
  </w:style>
  <w:style w:type="paragraph" w:customStyle="1" w:styleId="192">
    <w:name w:val="reader-word-layer"/>
    <w:basedOn w:val="1"/>
    <w:qFormat/>
    <w:uiPriority w:val="0"/>
    <w:pPr>
      <w:widowControl/>
      <w:spacing w:before="100" w:beforeAutospacing="1" w:after="100" w:afterAutospacing="1"/>
    </w:pPr>
    <w:rPr>
      <w:rFonts w:hAnsi="Times New Roman" w:cs="宋体"/>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4" Type="http://schemas.openxmlformats.org/officeDocument/2006/relationships/fontTable" Target="fontTable.xml"/><Relationship Id="rId23" Type="http://schemas.openxmlformats.org/officeDocument/2006/relationships/customXml" Target="../customXml/item2.xml"/><Relationship Id="rId22" Type="http://schemas.openxmlformats.org/officeDocument/2006/relationships/numbering" Target="numbering.xml"/><Relationship Id="rId21" Type="http://schemas.openxmlformats.org/officeDocument/2006/relationships/customXml" Target="../customXml/item1.xml"/><Relationship Id="rId20" Type="http://schemas.openxmlformats.org/officeDocument/2006/relationships/theme" Target="theme/theme1.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C7CC2A0-16A9-4732-A2B6-2CFB6CC7E36F}">
  <ds:schemaRefs/>
</ds:datastoreItem>
</file>

<file path=docProps/app.xml><?xml version="1.0" encoding="utf-8"?>
<Properties xmlns="http://schemas.openxmlformats.org/officeDocument/2006/extended-properties" xmlns:vt="http://schemas.openxmlformats.org/officeDocument/2006/docPropsVTypes">
  <Template>Normal</Template>
  <Pages>50</Pages>
  <Words>8884</Words>
  <Characters>50643</Characters>
  <Lines>422</Lines>
  <Paragraphs>118</Paragraphs>
  <ScaleCrop>false</ScaleCrop>
  <LinksUpToDate>false</LinksUpToDate>
  <CharactersWithSpaces>59409</CharactersWithSpaces>
  <Application>WPS Office_10.1.0.5603_F1E327BC-269C-435d-A152-05C5408002CA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2021-09-30T05:18:00Z</dcterms:created>
  <dc:creator>Administrator</dc:creator>
  <cp:lastModifiedBy>Administrator</cp:lastModifiedBy>
  <cp:lastPrinted>2021-09-30T06:52:00Z</cp:lastPrinted>
  <dcterms:modified xsi:type="dcterms:W3CDTF">2021-10-21T01:19:08Z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2052-10.1.0.5603</vt:lpwstr>
  </property>
  <property fmtid="{D5CDD505-2E9C-101B-9397-08002B2CF9AE}" pid="3" name="ICV">
    <vt:lpwstr>6B37AB17D735450F912D0F3A8C7357CB</vt:lpwstr>
  </property>
</Properties>
</file>