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textAlignment w:val="auto"/>
        <w:rPr>
          <w:rFonts w:hint="eastAsia"/>
          <w:b/>
          <w:color w:val="auto"/>
          <w:w w:val="95"/>
          <w:sz w:val="30"/>
          <w:szCs w:val="30"/>
        </w:rPr>
      </w:pPr>
      <w:r>
        <w:rPr>
          <w:rFonts w:hint="eastAsia"/>
          <w:b/>
          <w:color w:val="auto"/>
          <w:w w:val="95"/>
          <w:sz w:val="30"/>
          <w:szCs w:val="30"/>
        </w:rPr>
        <w:t>温州医科大学附属第一医院螺旋CT和磁共振</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imes New Roman" w:hAnsi="Times New Roman"/>
          <w:b/>
          <w:color w:val="auto"/>
          <w:sz w:val="30"/>
          <w:szCs w:val="30"/>
          <w:lang w:val="en-US" w:eastAsia="zh-CN"/>
        </w:rPr>
      </w:pPr>
      <w:r>
        <w:rPr>
          <w:rFonts w:hint="eastAsia" w:ascii="Times New Roman" w:hAnsi="Times New Roman"/>
          <w:b/>
          <w:color w:val="auto"/>
          <w:sz w:val="30"/>
          <w:szCs w:val="30"/>
        </w:rPr>
        <w:t>（</w:t>
      </w:r>
      <w:r>
        <w:rPr>
          <w:rFonts w:ascii="Times New Roman" w:hAnsi="Times New Roman"/>
          <w:b/>
          <w:color w:val="auto"/>
          <w:sz w:val="30"/>
          <w:szCs w:val="30"/>
        </w:rPr>
        <w:t>项目编号：</w:t>
      </w:r>
      <w:r>
        <w:rPr>
          <w:rFonts w:hint="eastAsia" w:ascii="Times New Roman" w:hAnsi="Times New Roman"/>
          <w:b/>
          <w:color w:val="auto"/>
          <w:sz w:val="30"/>
          <w:szCs w:val="30"/>
        </w:rPr>
        <w:t>ZJ-2131907-06）采购文件</w:t>
      </w:r>
      <w:r>
        <w:rPr>
          <w:rFonts w:hint="eastAsia" w:ascii="Times New Roman" w:hAnsi="Times New Roman"/>
          <w:b/>
          <w:color w:val="auto"/>
          <w:sz w:val="30"/>
          <w:szCs w:val="30"/>
          <w:lang w:val="en-US" w:eastAsia="zh-CN"/>
        </w:rPr>
        <w:t>更正公告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b/>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b/>
          <w:color w:val="auto"/>
          <w:sz w:val="28"/>
          <w:szCs w:val="28"/>
          <w:lang w:val="en-US" w:eastAsia="zh-CN"/>
        </w:rPr>
      </w:pPr>
      <w:r>
        <w:rPr>
          <w:rFonts w:hint="eastAsia" w:ascii="Times New Roman" w:hAnsi="Times New Roman"/>
          <w:b/>
          <w:color w:val="auto"/>
          <w:sz w:val="28"/>
          <w:szCs w:val="28"/>
          <w:lang w:val="en-US" w:eastAsia="zh-CN"/>
        </w:rPr>
        <w:t>各供应商：</w:t>
      </w:r>
    </w:p>
    <w:p>
      <w:pPr>
        <w:pStyle w:val="2"/>
        <w:keepNext w:val="0"/>
        <w:keepLines w:val="0"/>
        <w:pageBreakBefore w:val="0"/>
        <w:kinsoku/>
        <w:wordWrap/>
        <w:overflowPunct/>
        <w:topLinePunct w:val="0"/>
        <w:autoSpaceDE/>
        <w:autoSpaceDN/>
        <w:bidi w:val="0"/>
        <w:adjustRightInd/>
        <w:spacing w:line="36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现对</w:t>
      </w:r>
      <w:r>
        <w:rPr>
          <w:rFonts w:hint="default" w:ascii="Times New Roman" w:hAnsi="Times New Roman" w:eastAsia="宋体" w:cs="Times New Roman"/>
          <w:b w:val="0"/>
          <w:bCs/>
          <w:sz w:val="24"/>
          <w:szCs w:val="24"/>
        </w:rPr>
        <w:t>温州医科大学附属第一医院螺旋CT和磁共振</w:t>
      </w:r>
      <w:r>
        <w:rPr>
          <w:rFonts w:hint="default" w:ascii="Times New Roman" w:hAnsi="Times New Roman" w:eastAsia="宋体" w:cs="Times New Roman"/>
          <w:b w:val="0"/>
          <w:bCs/>
          <w:sz w:val="24"/>
          <w:szCs w:val="24"/>
          <w:lang w:val="en-US" w:eastAsia="zh-CN"/>
        </w:rPr>
        <w:t>采购文件</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rPr>
        <w:t>项目编号：</w:t>
      </w:r>
      <w:r>
        <w:rPr>
          <w:rFonts w:hint="eastAsia" w:ascii="Times New Roman" w:hAnsi="Times New Roman" w:eastAsia="宋体" w:cs="Times New Roman"/>
          <w:b w:val="0"/>
          <w:bCs/>
          <w:sz w:val="24"/>
          <w:szCs w:val="24"/>
        </w:rPr>
        <w:t>ZJ-2131907-06</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作如下修改：</w:t>
      </w:r>
    </w:p>
    <w:tbl>
      <w:tblPr>
        <w:tblStyle w:val="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67"/>
        <w:gridCol w:w="951"/>
        <w:gridCol w:w="773"/>
        <w:gridCol w:w="1056"/>
        <w:gridCol w:w="951"/>
        <w:gridCol w:w="78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cente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序号</w:t>
            </w:r>
          </w:p>
        </w:tc>
        <w:tc>
          <w:tcPr>
            <w:tcW w:w="2246" w:type="dxa"/>
            <w:vAlign w:val="center"/>
          </w:tcPr>
          <w:p>
            <w:pPr>
              <w:spacing w:line="240" w:lineRule="auto"/>
              <w:jc w:val="cente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内容</w:t>
            </w:r>
          </w:p>
        </w:tc>
        <w:tc>
          <w:tcPr>
            <w:tcW w:w="2822" w:type="dxa"/>
            <w:gridSpan w:val="3"/>
            <w:vAlign w:val="center"/>
          </w:tcPr>
          <w:p>
            <w:pPr>
              <w:spacing w:line="240" w:lineRule="auto"/>
              <w:jc w:val="cente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修改前</w:t>
            </w:r>
          </w:p>
        </w:tc>
        <w:tc>
          <w:tcPr>
            <w:tcW w:w="2473" w:type="dxa"/>
            <w:gridSpan w:val="3"/>
            <w:vAlign w:val="center"/>
          </w:tcPr>
          <w:p>
            <w:pPr>
              <w:spacing w:line="240" w:lineRule="auto"/>
              <w:jc w:val="cente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w:t>
            </w: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bookmarkStart w:id="0" w:name="_Toc298767927"/>
            <w:bookmarkStart w:id="1" w:name="_Toc294012141"/>
            <w:bookmarkStart w:id="2" w:name="_Toc495317669"/>
            <w:r>
              <w:rPr>
                <w:rFonts w:hint="default" w:ascii="Times New Roman" w:hAnsi="Times New Roman" w:eastAsia="宋体" w:cs="Times New Roman"/>
                <w:b w:val="0"/>
                <w:bCs/>
                <w:sz w:val="24"/>
                <w:szCs w:val="24"/>
              </w:rPr>
              <w:t>第二章</w:t>
            </w:r>
            <w:bookmarkEnd w:id="0"/>
            <w:bookmarkEnd w:id="1"/>
            <w:r>
              <w:rPr>
                <w:rFonts w:hint="default" w:ascii="Times New Roman" w:hAnsi="Times New Roman" w:eastAsia="宋体" w:cs="Times New Roman"/>
                <w:b w:val="0"/>
                <w:bCs/>
                <w:sz w:val="24"/>
                <w:szCs w:val="24"/>
              </w:rPr>
              <w:t>采购内容及需求</w:t>
            </w:r>
            <w:bookmarkEnd w:id="2"/>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二、招标技术要求</w:t>
            </w:r>
            <w:r>
              <w:rPr>
                <w:rFonts w:hint="default" w:ascii="Times New Roman" w:hAnsi="Times New Roman" w:eastAsia="宋体" w:cs="Times New Roman"/>
                <w:b w:val="0"/>
                <w:bCs/>
                <w:sz w:val="24"/>
                <w:szCs w:val="24"/>
                <w:lang w:val="en-US" w:eastAsia="zh-CN"/>
              </w:rPr>
              <w:t>的</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三</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rPr>
              <w:t>其他要求</w:t>
            </w:r>
            <w:r>
              <w:rPr>
                <w:rFonts w:hint="eastAsia"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lang w:val="en-US" w:eastAsia="zh-CN"/>
              </w:rPr>
              <w:t>第4条</w:t>
            </w: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提供回收服务，回收GE lightspeed pro16 CT一台和飞利浦DIGITAL DIAGNOST VR拍片机一台，报回收价格。投标价为扣除回收费后的价格。</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w:t>
            </w: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eastAsia="zh-CN"/>
              </w:rPr>
              <w:t>第二章采购内容及需求，二、招标技术要求</w:t>
            </w:r>
            <w:r>
              <w:rPr>
                <w:rFonts w:hint="default" w:ascii="Times New Roman" w:hAnsi="Times New Roman" w:eastAsia="宋体" w:cs="Times New Roman"/>
                <w:b w:val="0"/>
                <w:bCs/>
                <w:sz w:val="24"/>
                <w:szCs w:val="24"/>
                <w:lang w:val="en-US" w:eastAsia="zh-CN"/>
              </w:rPr>
              <w:t>的</w:t>
            </w:r>
            <w:r>
              <w:rPr>
                <w:rFonts w:hint="eastAsia"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eastAsia="zh-CN"/>
              </w:rPr>
              <w:t>（一）</w:t>
            </w:r>
            <w:r>
              <w:rPr>
                <w:rFonts w:hint="eastAsia" w:ascii="Times New Roman" w:hAnsi="Times New Roman" w:eastAsia="宋体" w:cs="Times New Roman"/>
                <w:b w:val="0"/>
                <w:bCs/>
                <w:sz w:val="24"/>
                <w:szCs w:val="24"/>
                <w:lang w:val="en-US" w:eastAsia="zh-CN"/>
              </w:rPr>
              <w:t>CT”</w:t>
            </w:r>
            <w:r>
              <w:rPr>
                <w:rFonts w:hint="eastAsia"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lang w:eastAsia="zh-CN"/>
              </w:rPr>
              <w:t>1.3.</w:t>
            </w:r>
            <w:r>
              <w:rPr>
                <w:rFonts w:hint="eastAsia" w:ascii="Times New Roman" w:hAnsi="Times New Roman" w:eastAsia="宋体" w:cs="Times New Roman"/>
                <w:b w:val="0"/>
                <w:bCs/>
                <w:sz w:val="24"/>
                <w:szCs w:val="24"/>
                <w:lang w:eastAsia="zh-CN"/>
              </w:rPr>
              <w:t>2</w:t>
            </w:r>
            <w:r>
              <w:rPr>
                <w:rFonts w:hint="default" w:ascii="Times New Roman" w:hAnsi="Times New Roman" w:eastAsia="宋体" w:cs="Times New Roman"/>
                <w:b w:val="0"/>
                <w:bCs/>
                <w:sz w:val="24"/>
                <w:szCs w:val="24"/>
                <w:lang w:val="en-US" w:eastAsia="zh-CN"/>
              </w:rPr>
              <w:t>条</w:t>
            </w: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eastAsia="zh-CN"/>
              </w:rPr>
            </w:pPr>
            <w:r>
              <w:rPr>
                <w:rFonts w:hint="eastAsia" w:ascii="Times New Roman" w:hAnsi="Times New Roman" w:eastAsia="宋体" w:cs="Times New Roman"/>
                <w:b w:val="0"/>
                <w:bCs/>
                <w:sz w:val="24"/>
                <w:szCs w:val="24"/>
                <w:lang w:eastAsia="zh-CN"/>
              </w:rPr>
              <w:t>球管物理非等效热容量≥7MHu</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球管物理非等效热容量≥7MHU或者0M高散热率球管（阳极直接油冷却）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2" w:type="dxa"/>
            <w:vMerge w:val="restart"/>
            <w:vAlign w:val="center"/>
          </w:tcPr>
          <w:p>
            <w:pPr>
              <w:spacing w:line="240" w:lineRule="auto"/>
              <w:jc w:val="both"/>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sz w:val="24"/>
                <w:szCs w:val="24"/>
                <w:lang w:val="en-US" w:eastAsia="zh-CN"/>
              </w:rPr>
              <w:t>3</w:t>
            </w:r>
          </w:p>
        </w:tc>
        <w:tc>
          <w:tcPr>
            <w:tcW w:w="2246" w:type="dxa"/>
            <w:vMerge w:val="restart"/>
            <w:vAlign w:val="center"/>
          </w:tcPr>
          <w:p>
            <w:pPr>
              <w:spacing w:line="240" w:lineRule="auto"/>
              <w:jc w:val="both"/>
              <w:rPr>
                <w:rFonts w:hint="eastAsia" w:ascii="Times New Roman" w:hAnsi="Times New Roman" w:cs="Times New Roman" w:eastAsiaTheme="minorEastAsia"/>
                <w:b w:val="0"/>
                <w:bCs/>
                <w:kern w:val="2"/>
                <w:sz w:val="24"/>
                <w:szCs w:val="24"/>
                <w:lang w:val="en-US" w:eastAsia="zh-CN" w:bidi="ar-SA"/>
              </w:rPr>
            </w:pPr>
            <w:r>
              <w:rPr>
                <w:rFonts w:hint="default" w:ascii="Times New Roman" w:hAnsi="Times New Roman" w:eastAsia="宋体" w:cs="Times New Roman"/>
                <w:b w:val="0"/>
                <w:bCs/>
                <w:sz w:val="24"/>
                <w:szCs w:val="24"/>
                <w:lang w:eastAsia="zh-CN"/>
              </w:rPr>
              <w:t>第二章采购内容及需求，二、招标技术要求</w:t>
            </w:r>
            <w:r>
              <w:rPr>
                <w:rFonts w:hint="default" w:ascii="Times New Roman" w:hAnsi="Times New Roman" w:eastAsia="宋体" w:cs="Times New Roman"/>
                <w:b w:val="0"/>
                <w:bCs/>
                <w:sz w:val="24"/>
                <w:szCs w:val="24"/>
                <w:lang w:val="en-US" w:eastAsia="zh-CN"/>
              </w:rPr>
              <w:t>的</w:t>
            </w:r>
            <w:r>
              <w:rPr>
                <w:rFonts w:hint="eastAsia"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eastAsia="zh-CN"/>
              </w:rPr>
              <w:t>（</w:t>
            </w:r>
            <w:r>
              <w:rPr>
                <w:rFonts w:hint="eastAsia" w:ascii="Times New Roman" w:hAnsi="Times New Roman" w:eastAsia="宋体" w:cs="Times New Roman"/>
                <w:b w:val="0"/>
                <w:bCs/>
                <w:sz w:val="24"/>
                <w:szCs w:val="24"/>
                <w:lang w:val="en-US" w:eastAsia="zh-CN"/>
              </w:rPr>
              <w:t>二</w:t>
            </w:r>
            <w:r>
              <w:rPr>
                <w:rFonts w:hint="eastAsia" w:ascii="Times New Roman" w:hAnsi="Times New Roman" w:eastAsia="宋体" w:cs="Times New Roman"/>
                <w:b w:val="0"/>
                <w:bCs/>
                <w:sz w:val="24"/>
                <w:szCs w:val="24"/>
                <w:lang w:eastAsia="zh-CN"/>
              </w:rPr>
              <w:t>）</w:t>
            </w:r>
            <w:r>
              <w:rPr>
                <w:rFonts w:hint="eastAsia" w:ascii="Times New Roman" w:hAnsi="Times New Roman" w:eastAsia="宋体" w:cs="Times New Roman"/>
                <w:b w:val="0"/>
                <w:bCs/>
                <w:sz w:val="24"/>
                <w:szCs w:val="24"/>
                <w:lang w:val="en-US" w:eastAsia="zh-CN"/>
              </w:rPr>
              <w:t>磁共振”</w:t>
            </w:r>
            <w:r>
              <w:rPr>
                <w:rFonts w:ascii="Calibri" w:hAnsi="Calibri"/>
                <w:kern w:val="0"/>
                <w:sz w:val="24"/>
                <w:szCs w:val="24"/>
              </w:rPr>
              <w:t>1.7</w:t>
            </w:r>
            <w:r>
              <w:rPr>
                <w:rFonts w:hint="eastAsia" w:ascii="Calibri" w:hAnsi="Calibri"/>
                <w:kern w:val="0"/>
                <w:sz w:val="24"/>
                <w:szCs w:val="24"/>
                <w:lang w:val="en-US" w:eastAsia="zh-CN"/>
              </w:rPr>
              <w:t>条</w:t>
            </w:r>
          </w:p>
        </w:tc>
        <w:tc>
          <w:tcPr>
            <w:tcW w:w="951" w:type="dxa"/>
            <w:vMerge w:val="restart"/>
            <w:vAlign w:val="center"/>
          </w:tcPr>
          <w:p>
            <w:pPr>
              <w:spacing w:line="240" w:lineRule="auto"/>
              <w:jc w:val="both"/>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widowControl/>
              <w:rPr>
                <w:rFonts w:ascii="宋体" w:hAnsi="宋体" w:cs="宋体"/>
                <w:kern w:val="0"/>
                <w:szCs w:val="21"/>
              </w:rPr>
            </w:pPr>
            <w:r>
              <w:rPr>
                <w:rFonts w:hint="eastAsia" w:ascii="宋体" w:hAnsi="宋体" w:cs="宋体"/>
                <w:kern w:val="0"/>
                <w:szCs w:val="21"/>
              </w:rPr>
              <w:t>磁体均匀度</w:t>
            </w:r>
          </w:p>
          <w:p>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V-RMS</w:t>
            </w:r>
          </w:p>
          <w:p>
            <w:pPr>
              <w:rPr>
                <w:rFonts w:hint="default"/>
                <w:lang w:val="en-US" w:eastAsia="zh-CN"/>
              </w:rPr>
            </w:pPr>
            <w:r>
              <w:rPr>
                <w:rFonts w:hint="eastAsia" w:ascii="宋体" w:hAnsi="宋体" w:cs="宋体"/>
                <w:kern w:val="0"/>
                <w:szCs w:val="21"/>
              </w:rPr>
              <w:t>典型值）</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tc>
        <w:tc>
          <w:tcPr>
            <w:tcW w:w="815" w:type="dxa"/>
            <w:vAlign w:val="center"/>
          </w:tcPr>
          <w:p>
            <w:pPr>
              <w:widowControl/>
              <w:rPr>
                <w:rFonts w:ascii="宋体" w:hAnsi="宋体" w:cs="宋体"/>
                <w:kern w:val="0"/>
                <w:szCs w:val="21"/>
              </w:rPr>
            </w:pPr>
            <w:r>
              <w:rPr>
                <w:rFonts w:hint="eastAsia" w:ascii="宋体" w:hAnsi="宋体" w:cs="宋体"/>
                <w:kern w:val="0"/>
                <w:szCs w:val="21"/>
              </w:rPr>
              <w:t>典型值</w:t>
            </w:r>
          </w:p>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50cm DSV</w:t>
            </w:r>
          </w:p>
        </w:tc>
        <w:tc>
          <w:tcPr>
            <w:tcW w:w="1056"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2.5ppm</w:t>
            </w:r>
          </w:p>
        </w:tc>
        <w:tc>
          <w:tcPr>
            <w:tcW w:w="824" w:type="dxa"/>
            <w:vMerge w:val="restart"/>
            <w:vAlign w:val="center"/>
          </w:tcPr>
          <w:p>
            <w:pPr>
              <w:spacing w:line="240" w:lineRule="auto"/>
              <w:jc w:val="both"/>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widowControl/>
              <w:rPr>
                <w:rFonts w:ascii="宋体" w:hAnsi="宋体" w:cs="宋体"/>
                <w:kern w:val="0"/>
                <w:szCs w:val="21"/>
              </w:rPr>
            </w:pPr>
            <w:r>
              <w:rPr>
                <w:rFonts w:hint="eastAsia" w:ascii="宋体" w:hAnsi="宋体" w:cs="宋体"/>
                <w:kern w:val="0"/>
                <w:szCs w:val="21"/>
              </w:rPr>
              <w:t>磁体均匀度</w:t>
            </w:r>
          </w:p>
          <w:p>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V-RMS</w:t>
            </w:r>
          </w:p>
          <w:p>
            <w:pPr>
              <w:rPr>
                <w:rFonts w:hint="default"/>
                <w:lang w:val="en-US" w:eastAsia="zh-CN"/>
              </w:rPr>
            </w:pPr>
            <w:r>
              <w:rPr>
                <w:rFonts w:hint="eastAsia" w:ascii="宋体" w:hAnsi="宋体" w:cs="宋体"/>
                <w:kern w:val="0"/>
                <w:szCs w:val="21"/>
              </w:rPr>
              <w:t>典型值）</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p>
            <w:pPr>
              <w:spacing w:line="240" w:lineRule="auto"/>
              <w:jc w:val="both"/>
              <w:rPr>
                <w:rFonts w:hint="default" w:ascii="Times New Roman" w:hAnsi="Times New Roman" w:eastAsia="宋体" w:cs="Times New Roman"/>
                <w:b w:val="0"/>
                <w:bCs/>
                <w:kern w:val="2"/>
                <w:sz w:val="24"/>
                <w:szCs w:val="24"/>
                <w:lang w:val="en-US" w:eastAsia="zh-CN" w:bidi="ar-SA"/>
              </w:rPr>
            </w:pPr>
          </w:p>
        </w:tc>
        <w:tc>
          <w:tcPr>
            <w:tcW w:w="824" w:type="dxa"/>
            <w:vAlign w:val="center"/>
          </w:tcPr>
          <w:p>
            <w:pPr>
              <w:widowControl/>
              <w:rPr>
                <w:rFonts w:ascii="宋体" w:hAnsi="宋体" w:cs="宋体"/>
                <w:kern w:val="0"/>
                <w:szCs w:val="21"/>
              </w:rPr>
            </w:pPr>
            <w:r>
              <w:rPr>
                <w:rFonts w:hint="eastAsia" w:ascii="宋体" w:hAnsi="宋体" w:cs="宋体"/>
                <w:kern w:val="0"/>
                <w:szCs w:val="21"/>
              </w:rPr>
              <w:t>典型值</w:t>
            </w:r>
          </w:p>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50cm</w:t>
            </w:r>
            <w:r>
              <w:rPr>
                <w:rFonts w:hint="eastAsia" w:ascii="宋体" w:hAnsi="宋体" w:cs="宋体"/>
                <w:kern w:val="0"/>
                <w:szCs w:val="21"/>
                <w:lang w:val="en-US" w:eastAsia="zh-CN"/>
              </w:rPr>
              <w:t>或48cm</w:t>
            </w:r>
            <w:bookmarkStart w:id="4" w:name="_GoBack"/>
            <w:bookmarkEnd w:id="4"/>
            <w:r>
              <w:rPr>
                <w:rFonts w:ascii="宋体" w:hAnsi="宋体" w:cs="宋体"/>
                <w:kern w:val="0"/>
                <w:szCs w:val="21"/>
              </w:rPr>
              <w:t xml:space="preserve"> DSV</w:t>
            </w:r>
          </w:p>
        </w:tc>
        <w:tc>
          <w:tcPr>
            <w:tcW w:w="825"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2.5ppm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2" w:type="dxa"/>
            <w:vMerge w:val="continue"/>
            <w:vAlign w:val="center"/>
          </w:tcPr>
          <w:p/>
        </w:tc>
        <w:tc>
          <w:tcPr>
            <w:tcW w:w="2246" w:type="dxa"/>
            <w:vMerge w:val="continue"/>
            <w:vAlign w:val="center"/>
          </w:tcPr>
          <w:p/>
        </w:tc>
        <w:tc>
          <w:tcPr>
            <w:tcW w:w="951" w:type="dxa"/>
            <w:vMerge w:val="continue"/>
            <w:vAlign w:val="center"/>
          </w:tcPr>
          <w:p/>
        </w:tc>
        <w:tc>
          <w:tcPr>
            <w:tcW w:w="815"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40cm DSV</w:t>
            </w:r>
          </w:p>
        </w:tc>
        <w:tc>
          <w:tcPr>
            <w:tcW w:w="1056"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0.4ppm</w:t>
            </w:r>
          </w:p>
        </w:tc>
        <w:tc>
          <w:tcPr>
            <w:tcW w:w="824" w:type="dxa"/>
            <w:vMerge w:val="continue"/>
            <w:vAlign w:val="center"/>
          </w:tcPr>
          <w:p>
            <w:pPr>
              <w:rPr>
                <w:rFonts w:hint="default"/>
                <w:lang w:val="en-US" w:eastAsia="zh-CN"/>
              </w:rPr>
            </w:pPr>
          </w:p>
        </w:tc>
        <w:tc>
          <w:tcPr>
            <w:tcW w:w="824"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40cm DSV</w:t>
            </w:r>
          </w:p>
        </w:tc>
        <w:tc>
          <w:tcPr>
            <w:tcW w:w="825"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0.4ppm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2" w:type="dxa"/>
            <w:vMerge w:val="continue"/>
            <w:vAlign w:val="center"/>
          </w:tcPr>
          <w:p>
            <w:pPr>
              <w:rPr>
                <w:rFonts w:hint="default"/>
                <w:lang w:val="en-US" w:eastAsia="zh-CN"/>
              </w:rPr>
            </w:pPr>
          </w:p>
        </w:tc>
        <w:tc>
          <w:tcPr>
            <w:tcW w:w="2246" w:type="dxa"/>
            <w:vMerge w:val="continue"/>
            <w:vAlign w:val="center"/>
          </w:tcPr>
          <w:p>
            <w:pPr>
              <w:rPr>
                <w:rFonts w:hint="default"/>
                <w:lang w:val="en-US" w:eastAsia="zh-CN"/>
              </w:rPr>
            </w:pPr>
          </w:p>
        </w:tc>
        <w:tc>
          <w:tcPr>
            <w:tcW w:w="951" w:type="dxa"/>
            <w:vMerge w:val="continue"/>
            <w:vAlign w:val="center"/>
          </w:tcPr>
          <w:p>
            <w:pPr>
              <w:rPr>
                <w:rFonts w:hint="default"/>
                <w:lang w:val="en-US" w:eastAsia="zh-CN"/>
              </w:rPr>
            </w:pPr>
          </w:p>
        </w:tc>
        <w:tc>
          <w:tcPr>
            <w:tcW w:w="815"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30cm DSV</w:t>
            </w:r>
          </w:p>
        </w:tc>
        <w:tc>
          <w:tcPr>
            <w:tcW w:w="1056"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ppm</w:t>
            </w:r>
          </w:p>
        </w:tc>
        <w:tc>
          <w:tcPr>
            <w:tcW w:w="824" w:type="dxa"/>
            <w:vMerge w:val="continue"/>
            <w:vAlign w:val="center"/>
          </w:tcPr>
          <w:p>
            <w:pPr>
              <w:rPr>
                <w:rFonts w:hint="default"/>
                <w:lang w:val="en-US" w:eastAsia="zh-CN"/>
              </w:rPr>
            </w:pPr>
          </w:p>
        </w:tc>
        <w:tc>
          <w:tcPr>
            <w:tcW w:w="824"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30cm DSV</w:t>
            </w:r>
          </w:p>
        </w:tc>
        <w:tc>
          <w:tcPr>
            <w:tcW w:w="825"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2" w:type="dxa"/>
            <w:vMerge w:val="continue"/>
            <w:vAlign w:val="center"/>
          </w:tcPr>
          <w:p>
            <w:pPr>
              <w:rPr>
                <w:rFonts w:hint="default"/>
                <w:lang w:val="en-US" w:eastAsia="zh-CN"/>
              </w:rPr>
            </w:pPr>
          </w:p>
        </w:tc>
        <w:tc>
          <w:tcPr>
            <w:tcW w:w="2246" w:type="dxa"/>
            <w:vMerge w:val="continue"/>
            <w:vAlign w:val="center"/>
          </w:tcPr>
          <w:p>
            <w:pPr>
              <w:rPr>
                <w:rFonts w:hint="default"/>
                <w:lang w:val="en-US" w:eastAsia="zh-CN"/>
              </w:rPr>
            </w:pPr>
          </w:p>
        </w:tc>
        <w:tc>
          <w:tcPr>
            <w:tcW w:w="951" w:type="dxa"/>
            <w:vMerge w:val="continue"/>
            <w:vAlign w:val="center"/>
          </w:tcPr>
          <w:p>
            <w:pPr>
              <w:rPr>
                <w:rFonts w:hint="default"/>
                <w:lang w:val="en-US" w:eastAsia="zh-CN"/>
              </w:rPr>
            </w:pPr>
          </w:p>
        </w:tc>
        <w:tc>
          <w:tcPr>
            <w:tcW w:w="815"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20cm DSV</w:t>
            </w:r>
          </w:p>
        </w:tc>
        <w:tc>
          <w:tcPr>
            <w:tcW w:w="1056"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4</w:t>
            </w:r>
            <w:r>
              <w:rPr>
                <w:rFonts w:ascii="宋体" w:hAnsi="宋体" w:cs="宋体"/>
                <w:kern w:val="0"/>
                <w:szCs w:val="21"/>
              </w:rPr>
              <w:t>ppm</w:t>
            </w:r>
          </w:p>
        </w:tc>
        <w:tc>
          <w:tcPr>
            <w:tcW w:w="824" w:type="dxa"/>
            <w:vMerge w:val="continue"/>
            <w:vAlign w:val="center"/>
          </w:tcPr>
          <w:p>
            <w:pPr>
              <w:rPr>
                <w:rFonts w:hint="default"/>
                <w:lang w:val="en-US" w:eastAsia="zh-CN"/>
              </w:rPr>
            </w:pPr>
          </w:p>
        </w:tc>
        <w:tc>
          <w:tcPr>
            <w:tcW w:w="824"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20cm DSV</w:t>
            </w:r>
          </w:p>
        </w:tc>
        <w:tc>
          <w:tcPr>
            <w:tcW w:w="825"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4</w:t>
            </w:r>
            <w:r>
              <w:rPr>
                <w:rFonts w:ascii="宋体" w:hAnsi="宋体" w:cs="宋体"/>
                <w:kern w:val="0"/>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2" w:type="dxa"/>
            <w:vMerge w:val="continue"/>
            <w:vAlign w:val="center"/>
          </w:tcPr>
          <w:p>
            <w:pPr>
              <w:rPr>
                <w:rFonts w:hint="default"/>
                <w:lang w:val="en-US" w:eastAsia="zh-CN"/>
              </w:rPr>
            </w:pPr>
          </w:p>
        </w:tc>
        <w:tc>
          <w:tcPr>
            <w:tcW w:w="2246" w:type="dxa"/>
            <w:vMerge w:val="continue"/>
            <w:vAlign w:val="center"/>
          </w:tcPr>
          <w:p>
            <w:pPr>
              <w:rPr>
                <w:rFonts w:hint="default"/>
                <w:lang w:val="en-US" w:eastAsia="zh-CN"/>
              </w:rPr>
            </w:pPr>
          </w:p>
        </w:tc>
        <w:tc>
          <w:tcPr>
            <w:tcW w:w="951" w:type="dxa"/>
            <w:vMerge w:val="continue"/>
            <w:vAlign w:val="center"/>
          </w:tcPr>
          <w:p>
            <w:pPr>
              <w:rPr>
                <w:rFonts w:hint="default"/>
                <w:lang w:val="en-US" w:eastAsia="zh-CN"/>
              </w:rPr>
            </w:pPr>
          </w:p>
        </w:tc>
        <w:tc>
          <w:tcPr>
            <w:tcW w:w="815"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10cm DSV</w:t>
            </w:r>
          </w:p>
        </w:tc>
        <w:tc>
          <w:tcPr>
            <w:tcW w:w="1056"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0.00</w:t>
            </w:r>
            <w:r>
              <w:rPr>
                <w:rFonts w:hint="eastAsia" w:ascii="宋体" w:hAnsi="宋体" w:cs="宋体"/>
                <w:kern w:val="0"/>
                <w:szCs w:val="21"/>
              </w:rPr>
              <w:t>7</w:t>
            </w:r>
            <w:r>
              <w:rPr>
                <w:rFonts w:ascii="宋体" w:hAnsi="宋体" w:cs="宋体"/>
                <w:kern w:val="0"/>
                <w:szCs w:val="21"/>
              </w:rPr>
              <w:t>ppm</w:t>
            </w:r>
          </w:p>
        </w:tc>
        <w:tc>
          <w:tcPr>
            <w:tcW w:w="824" w:type="dxa"/>
            <w:vMerge w:val="continue"/>
            <w:vAlign w:val="center"/>
          </w:tcPr>
          <w:p>
            <w:pPr>
              <w:rPr>
                <w:rFonts w:hint="default"/>
                <w:lang w:val="en-US" w:eastAsia="zh-CN"/>
              </w:rPr>
            </w:pPr>
          </w:p>
        </w:tc>
        <w:tc>
          <w:tcPr>
            <w:tcW w:w="824" w:type="dxa"/>
            <w:vAlign w:val="center"/>
          </w:tcPr>
          <w:p>
            <w:pPr>
              <w:widowControl/>
              <w:rPr>
                <w:rFonts w:hint="default" w:ascii="宋体" w:hAnsi="宋体" w:cs="宋体" w:eastAsiaTheme="minorEastAsia"/>
                <w:kern w:val="0"/>
                <w:sz w:val="21"/>
                <w:szCs w:val="21"/>
                <w:lang w:val="en-US" w:eastAsia="zh-CN" w:bidi="ar-SA"/>
              </w:rPr>
            </w:pPr>
            <w:r>
              <w:rPr>
                <w:rFonts w:ascii="宋体" w:hAnsi="宋体" w:cs="宋体"/>
                <w:kern w:val="0"/>
                <w:szCs w:val="21"/>
              </w:rPr>
              <w:t>10cm DSV</w:t>
            </w:r>
          </w:p>
        </w:tc>
        <w:tc>
          <w:tcPr>
            <w:tcW w:w="825" w:type="dxa"/>
            <w:vAlign w:val="center"/>
          </w:tcPr>
          <w:p>
            <w:pPr>
              <w:widowControl/>
              <w:rPr>
                <w:rFonts w:hint="default" w:ascii="宋体" w:hAnsi="宋体" w:cs="宋体" w:eastAsiaTheme="minorEastAsia"/>
                <w:kern w:val="0"/>
                <w:sz w:val="21"/>
                <w:szCs w:val="21"/>
                <w:lang w:val="en-US" w:eastAsia="zh-CN" w:bidi="ar-SA"/>
              </w:rPr>
            </w:pPr>
            <w:r>
              <w:rPr>
                <w:rFonts w:hint="eastAsia" w:ascii="宋体" w:hAnsi="宋体" w:cs="宋体"/>
                <w:kern w:val="0"/>
                <w:szCs w:val="21"/>
              </w:rPr>
              <w:t>≤</w:t>
            </w:r>
            <w:r>
              <w:rPr>
                <w:rFonts w:ascii="宋体" w:hAnsi="宋体" w:cs="宋体"/>
                <w:kern w:val="0"/>
                <w:szCs w:val="21"/>
              </w:rPr>
              <w:t>0.00</w:t>
            </w:r>
            <w:r>
              <w:rPr>
                <w:rFonts w:hint="eastAsia" w:ascii="宋体" w:hAnsi="宋体" w:cs="宋体"/>
                <w:kern w:val="0"/>
                <w:szCs w:val="21"/>
              </w:rPr>
              <w:t>7</w:t>
            </w:r>
            <w:r>
              <w:rPr>
                <w:rFonts w:ascii="宋体" w:hAnsi="宋体" w:cs="宋体"/>
                <w:kern w:val="0"/>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sz w:val="24"/>
                <w:szCs w:val="24"/>
                <w:lang w:val="en-US" w:eastAsia="zh-CN"/>
              </w:rPr>
              <w:t>4</w:t>
            </w:r>
          </w:p>
        </w:tc>
        <w:tc>
          <w:tcPr>
            <w:tcW w:w="2246" w:type="dxa"/>
            <w:vAlign w:val="center"/>
          </w:tcPr>
          <w:p>
            <w:pPr>
              <w:spacing w:line="240" w:lineRule="auto"/>
              <w:jc w:val="both"/>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第二章采购内容及需求</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lang w:val="en-GB"/>
              </w:rPr>
              <w:t>三、商务条款</w:t>
            </w:r>
          </w:p>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的“四</w:t>
            </w:r>
            <w:r>
              <w:rPr>
                <w:rFonts w:hint="default" w:ascii="Times New Roman" w:hAnsi="Times New Roman" w:eastAsia="宋体" w:cs="Times New Roman"/>
                <w:b w:val="0"/>
                <w:bCs/>
                <w:sz w:val="24"/>
                <w:szCs w:val="24"/>
              </w:rPr>
              <w:t>付款方式</w:t>
            </w:r>
            <w:r>
              <w:rPr>
                <w:rFonts w:hint="default" w:ascii="Times New Roman" w:hAnsi="Times New Roman" w:eastAsia="宋体" w:cs="Times New Roman"/>
                <w:b w:val="0"/>
                <w:bCs/>
                <w:sz w:val="24"/>
                <w:szCs w:val="24"/>
                <w:lang w:eastAsia="zh-CN"/>
              </w:rPr>
              <w:t>”</w:t>
            </w: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所有货物到齐后80%，设备验收合格后付清余款。</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合同签订后预付30%货款，设备验收合格后付清余款。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sz w:val="24"/>
                <w:szCs w:val="24"/>
                <w:lang w:val="en-US" w:eastAsia="zh-CN"/>
              </w:rPr>
              <w:t>5</w:t>
            </w: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bookmarkStart w:id="3" w:name="_Toc495317671"/>
            <w:r>
              <w:rPr>
                <w:rFonts w:hint="default" w:ascii="Times New Roman" w:hAnsi="Times New Roman" w:eastAsia="宋体" w:cs="Times New Roman"/>
                <w:b w:val="0"/>
                <w:bCs/>
                <w:sz w:val="24"/>
                <w:szCs w:val="24"/>
              </w:rPr>
              <w:t>第四章评标办法</w:t>
            </w:r>
            <w:bookmarkEnd w:id="3"/>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五、评标细则</w:t>
            </w:r>
            <w:r>
              <w:rPr>
                <w:rFonts w:hint="default" w:ascii="Times New Roman" w:hAnsi="Times New Roman" w:eastAsia="宋体" w:cs="Times New Roman"/>
                <w:b w:val="0"/>
                <w:bCs/>
                <w:sz w:val="24"/>
                <w:szCs w:val="24"/>
                <w:lang w:val="en-US" w:eastAsia="zh-CN"/>
              </w:rPr>
              <w:t>中</w:t>
            </w:r>
            <w:r>
              <w:rPr>
                <w:rFonts w:hint="default" w:ascii="Times New Roman" w:hAnsi="Times New Roman" w:eastAsia="宋体" w:cs="Times New Roman"/>
                <w:b w:val="0"/>
                <w:bCs/>
                <w:sz w:val="24"/>
                <w:szCs w:val="24"/>
              </w:rPr>
              <w:t>评标内容</w:t>
            </w:r>
            <w:r>
              <w:rPr>
                <w:rFonts w:hint="default" w:ascii="Times New Roman" w:hAnsi="Times New Roman" w:eastAsia="宋体" w:cs="Times New Roman"/>
                <w:b w:val="0"/>
                <w:bCs/>
                <w:sz w:val="24"/>
                <w:szCs w:val="24"/>
                <w:lang w:val="en-US" w:eastAsia="zh-CN"/>
              </w:rPr>
              <w:t>第1条</w:t>
            </w:r>
          </w:p>
          <w:p>
            <w:pPr>
              <w:spacing w:line="240" w:lineRule="auto"/>
              <w:jc w:val="both"/>
              <w:rPr>
                <w:rFonts w:hint="default" w:ascii="Times New Roman" w:hAnsi="Times New Roman" w:eastAsia="宋体" w:cs="Times New Roman"/>
                <w:b w:val="0"/>
                <w:bCs/>
                <w:sz w:val="24"/>
                <w:szCs w:val="24"/>
                <w:lang w:val="en-US" w:eastAsia="zh-CN"/>
              </w:rPr>
            </w:pP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技术功能符合情况：对应招标文件第二章</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招标技术要求</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响应情况，每一条不能满足采购文件要求扣1分，扣完为止。</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技术功能符合情况：</w:t>
            </w:r>
            <w:r>
              <w:rPr>
                <w:rFonts w:hint="default" w:ascii="Times New Roman" w:hAnsi="Times New Roman" w:eastAsia="宋体" w:cs="Times New Roman"/>
                <w:b w:val="0"/>
                <w:bCs/>
                <w:sz w:val="24"/>
                <w:szCs w:val="24"/>
                <w:lang w:eastAsia="zh-CN"/>
              </w:rPr>
              <w:t>对应招标文件第二章“招标技术要求”响应情况，每一条不能满足采购文件要求扣1分，累计</w:t>
            </w:r>
            <w:r>
              <w:rPr>
                <w:rFonts w:hint="default" w:ascii="Times New Roman" w:hAnsi="Times New Roman" w:eastAsia="宋体" w:cs="Times New Roman"/>
                <w:b w:val="0"/>
                <w:bCs/>
                <w:sz w:val="24"/>
                <w:szCs w:val="24"/>
                <w:lang w:val="en-US" w:eastAsia="zh-CN"/>
              </w:rPr>
              <w:t>至35条不能满足采购文件要求将</w:t>
            </w:r>
            <w:r>
              <w:rPr>
                <w:rFonts w:hint="default" w:ascii="Times New Roman" w:hAnsi="Times New Roman" w:eastAsia="宋体" w:cs="Times New Roman"/>
                <w:b w:val="0"/>
                <w:bCs/>
                <w:sz w:val="24"/>
                <w:szCs w:val="24"/>
                <w:lang w:eastAsia="zh-CN"/>
              </w:rPr>
              <w:t>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sz w:val="24"/>
                <w:szCs w:val="24"/>
                <w:lang w:val="en-US" w:eastAsia="zh-CN"/>
              </w:rPr>
              <w:t>6</w:t>
            </w: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第四章评标办法</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lang w:val="en-US" w:eastAsia="zh-CN"/>
              </w:rPr>
              <w:t>五</w:t>
            </w:r>
            <w:r>
              <w:rPr>
                <w:rFonts w:hint="default" w:ascii="Times New Roman" w:hAnsi="Times New Roman" w:eastAsia="宋体" w:cs="Times New Roman"/>
                <w:b w:val="0"/>
                <w:bCs/>
                <w:sz w:val="24"/>
                <w:szCs w:val="24"/>
              </w:rPr>
              <w:t>、评标细则</w:t>
            </w:r>
            <w:r>
              <w:rPr>
                <w:rFonts w:hint="default" w:ascii="Times New Roman" w:hAnsi="Times New Roman" w:eastAsia="宋体" w:cs="Times New Roman"/>
                <w:b w:val="0"/>
                <w:bCs/>
                <w:sz w:val="24"/>
                <w:szCs w:val="24"/>
                <w:lang w:val="en-US" w:eastAsia="zh-CN"/>
              </w:rPr>
              <w:t>中</w:t>
            </w:r>
            <w:r>
              <w:rPr>
                <w:rFonts w:hint="default" w:ascii="Times New Roman" w:hAnsi="Times New Roman" w:eastAsia="宋体" w:cs="Times New Roman"/>
                <w:b w:val="0"/>
                <w:bCs/>
                <w:sz w:val="24"/>
                <w:szCs w:val="24"/>
              </w:rPr>
              <w:t>评标内容</w:t>
            </w:r>
            <w:r>
              <w:rPr>
                <w:rFonts w:hint="default" w:ascii="Times New Roman" w:hAnsi="Times New Roman" w:eastAsia="宋体" w:cs="Times New Roman"/>
                <w:b w:val="0"/>
                <w:bCs/>
                <w:sz w:val="24"/>
                <w:szCs w:val="24"/>
                <w:lang w:val="en-US" w:eastAsia="zh-CN"/>
              </w:rPr>
              <w:t>第6条</w:t>
            </w:r>
          </w:p>
          <w:p>
            <w:pPr>
              <w:spacing w:line="240" w:lineRule="auto"/>
              <w:jc w:val="both"/>
              <w:rPr>
                <w:rFonts w:hint="default" w:ascii="Times New Roman" w:hAnsi="Times New Roman" w:eastAsia="宋体" w:cs="Times New Roman"/>
                <w:b w:val="0"/>
                <w:bCs/>
                <w:sz w:val="24"/>
                <w:szCs w:val="24"/>
                <w:lang w:val="en-US" w:eastAsia="zh-CN"/>
              </w:rPr>
            </w:pP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投标人业绩：评委对投标人两年（投标截止日期前两年内）内投标货物（CT或MRI）的销售合同个数（提供合同复印件，合同原件备查）进行评分。上述合同中，合同买方为医疗机构等最终用户的，每个合同得1分，满分为2分。</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投标人业绩：评委对投标人两年（投标截止日期前两年内）内</w:t>
            </w:r>
            <w:r>
              <w:rPr>
                <w:rFonts w:hint="default" w:ascii="Times New Roman" w:hAnsi="Times New Roman" w:eastAsia="宋体" w:cs="Times New Roman"/>
                <w:b w:val="0"/>
                <w:bCs/>
                <w:sz w:val="24"/>
                <w:szCs w:val="24"/>
                <w:lang w:val="en-US" w:eastAsia="zh-CN"/>
              </w:rPr>
              <w:t>同类</w:t>
            </w:r>
            <w:r>
              <w:rPr>
                <w:rFonts w:hint="default" w:ascii="Times New Roman" w:hAnsi="Times New Roman" w:eastAsia="宋体" w:cs="Times New Roman"/>
                <w:b w:val="0"/>
                <w:bCs/>
                <w:sz w:val="24"/>
                <w:szCs w:val="24"/>
              </w:rPr>
              <w:t>业绩进行评分，每提供1个业绩证明材料得1分，最高得2分。每个业绩证明材料须同时提供投标人和</w:t>
            </w:r>
            <w:r>
              <w:rPr>
                <w:rFonts w:hint="default" w:ascii="Times New Roman" w:hAnsi="Times New Roman" w:eastAsia="宋体" w:cs="Times New Roman"/>
                <w:b w:val="0"/>
                <w:bCs/>
                <w:sz w:val="24"/>
                <w:szCs w:val="24"/>
                <w:lang w:val="en-US" w:eastAsia="zh-CN"/>
              </w:rPr>
              <w:t>最终</w:t>
            </w:r>
            <w:r>
              <w:rPr>
                <w:rFonts w:hint="default" w:ascii="Times New Roman" w:hAnsi="Times New Roman" w:eastAsia="宋体" w:cs="Times New Roman"/>
                <w:b w:val="0"/>
                <w:bCs/>
                <w:sz w:val="24"/>
                <w:szCs w:val="24"/>
              </w:rPr>
              <w:t>用户</w:t>
            </w:r>
            <w:r>
              <w:rPr>
                <w:rFonts w:hint="default" w:ascii="Times New Roman" w:hAnsi="Times New Roman" w:eastAsia="宋体" w:cs="Times New Roman"/>
                <w:b w:val="0"/>
                <w:bCs/>
                <w:sz w:val="24"/>
                <w:szCs w:val="24"/>
                <w:lang w:val="en-US" w:eastAsia="zh-CN"/>
              </w:rPr>
              <w:t>双方</w:t>
            </w:r>
            <w:r>
              <w:rPr>
                <w:rFonts w:hint="default" w:ascii="Times New Roman" w:hAnsi="Times New Roman" w:eastAsia="宋体" w:cs="Times New Roman"/>
                <w:b w:val="0"/>
                <w:bCs/>
                <w:sz w:val="24"/>
                <w:szCs w:val="24"/>
              </w:rPr>
              <w:t>签订的</w:t>
            </w:r>
            <w:r>
              <w:rPr>
                <w:rFonts w:hint="default" w:ascii="Times New Roman" w:hAnsi="Times New Roman" w:eastAsia="宋体" w:cs="Times New Roman"/>
                <w:b w:val="0"/>
                <w:bCs/>
                <w:sz w:val="24"/>
                <w:szCs w:val="24"/>
                <w:lang w:val="en-US" w:eastAsia="zh-CN"/>
              </w:rPr>
              <w:t>投标货物</w:t>
            </w:r>
            <w:r>
              <w:rPr>
                <w:rFonts w:hint="default" w:ascii="Times New Roman" w:hAnsi="Times New Roman" w:eastAsia="宋体" w:cs="Times New Roman"/>
                <w:b w:val="0"/>
                <w:bCs/>
                <w:sz w:val="24"/>
                <w:szCs w:val="24"/>
              </w:rPr>
              <w:t>（CT或MRI）销售合同复印件、投标人和</w:t>
            </w:r>
            <w:r>
              <w:rPr>
                <w:rFonts w:hint="default" w:ascii="Times New Roman" w:hAnsi="Times New Roman" w:eastAsia="宋体" w:cs="Times New Roman"/>
                <w:b w:val="0"/>
                <w:bCs/>
                <w:sz w:val="24"/>
                <w:szCs w:val="24"/>
                <w:lang w:val="en-US" w:eastAsia="zh-CN"/>
              </w:rPr>
              <w:t>最终</w:t>
            </w:r>
            <w:r>
              <w:rPr>
                <w:rFonts w:hint="default" w:ascii="Times New Roman" w:hAnsi="Times New Roman" w:eastAsia="宋体" w:cs="Times New Roman"/>
                <w:b w:val="0"/>
                <w:bCs/>
                <w:sz w:val="24"/>
                <w:szCs w:val="24"/>
              </w:rPr>
              <w:t>用户</w:t>
            </w:r>
            <w:r>
              <w:rPr>
                <w:rFonts w:hint="default" w:ascii="Times New Roman" w:hAnsi="Times New Roman" w:eastAsia="宋体" w:cs="Times New Roman"/>
                <w:b w:val="0"/>
                <w:bCs/>
                <w:sz w:val="24"/>
                <w:szCs w:val="24"/>
                <w:lang w:val="en-US" w:eastAsia="zh-CN"/>
              </w:rPr>
              <w:t>双方</w:t>
            </w:r>
            <w:r>
              <w:rPr>
                <w:rFonts w:hint="default" w:ascii="Times New Roman" w:hAnsi="Times New Roman" w:eastAsia="宋体" w:cs="Times New Roman"/>
                <w:b w:val="0"/>
                <w:bCs/>
                <w:sz w:val="24"/>
                <w:szCs w:val="24"/>
              </w:rPr>
              <w:t>签署的安装验收报告复印件。以联合体形式投标的，联合体任何一方</w:t>
            </w:r>
            <w:r>
              <w:rPr>
                <w:rFonts w:hint="default" w:ascii="Times New Roman" w:hAnsi="Times New Roman" w:eastAsia="宋体" w:cs="Times New Roman"/>
                <w:b w:val="0"/>
                <w:bCs/>
                <w:sz w:val="24"/>
                <w:szCs w:val="24"/>
                <w:lang w:val="en-US" w:eastAsia="zh-CN"/>
              </w:rPr>
              <w:t>提供的业绩证明材料</w:t>
            </w:r>
            <w:r>
              <w:rPr>
                <w:rFonts w:hint="default" w:ascii="Times New Roman" w:hAnsi="Times New Roman" w:eastAsia="宋体" w:cs="Times New Roman"/>
                <w:b w:val="0"/>
                <w:bCs/>
                <w:sz w:val="24"/>
                <w:szCs w:val="24"/>
              </w:rPr>
              <w:t>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sz w:val="24"/>
                <w:szCs w:val="24"/>
                <w:lang w:val="en-US" w:eastAsia="zh-CN"/>
              </w:rPr>
              <w:t>7</w:t>
            </w: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投标文件组成“商务技术文件”中第10条</w:t>
            </w: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投标人最近两年（投标截止日期前两年内）内投标货物(CT或MRI)的销售合同个数，提供最终用户为医疗机构合同复印件，以联合体形式投标的，联合体各方的销售合同均可</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投标人两年（投标截止日期前两年内）内同类业绩。每个业绩证明材料须同时提供投标人和最终用户双方签订的投标货物（CT或MRI）销售合同复印件、投标人和最终用户双方签署的安装验收报告复印件。以联合体形式投标的，联合体任何一方提供的业绩证明材料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sz w:val="24"/>
                <w:szCs w:val="24"/>
                <w:lang w:val="en-US" w:eastAsia="zh-CN"/>
              </w:rPr>
              <w:t>8</w:t>
            </w: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提交投标文件截止时间</w:t>
            </w: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202</w:t>
            </w:r>
            <w:r>
              <w:rPr>
                <w:rFonts w:hint="eastAsia"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年</w:t>
            </w:r>
            <w:r>
              <w:rPr>
                <w:rFonts w:hint="eastAsia" w:ascii="Times New Roman" w:hAnsi="Times New Roman" w:eastAsia="宋体" w:cs="Times New Roman"/>
                <w:b w:val="0"/>
                <w:bCs/>
                <w:sz w:val="24"/>
                <w:szCs w:val="24"/>
                <w:lang w:val="en-US" w:eastAsia="zh-CN"/>
              </w:rPr>
              <w:t>8</w:t>
            </w:r>
            <w:r>
              <w:rPr>
                <w:rFonts w:hint="default" w:ascii="Times New Roman" w:hAnsi="Times New Roman" w:eastAsia="宋体" w:cs="Times New Roman"/>
                <w:b w:val="0"/>
                <w:bCs/>
                <w:sz w:val="24"/>
                <w:szCs w:val="24"/>
                <w:lang w:val="en-US" w:eastAsia="zh-CN"/>
              </w:rPr>
              <w:t>月</w:t>
            </w:r>
            <w:r>
              <w:rPr>
                <w:rFonts w:hint="eastAsia" w:ascii="Times New Roman" w:hAnsi="Times New Roman" w:eastAsia="宋体" w:cs="Times New Roman"/>
                <w:b w:val="0"/>
                <w:bCs/>
                <w:sz w:val="24"/>
                <w:szCs w:val="24"/>
                <w:lang w:val="en-US" w:eastAsia="zh-CN"/>
              </w:rPr>
              <w:t>26</w:t>
            </w:r>
            <w:r>
              <w:rPr>
                <w:rFonts w:hint="default" w:ascii="Times New Roman" w:hAnsi="Times New Roman" w:eastAsia="宋体" w:cs="Times New Roman"/>
                <w:b w:val="0"/>
                <w:bCs/>
                <w:sz w:val="24"/>
                <w:szCs w:val="24"/>
                <w:lang w:val="en-US" w:eastAsia="zh-CN"/>
              </w:rPr>
              <w:t>日</w:t>
            </w:r>
            <w:r>
              <w:rPr>
                <w:rFonts w:hint="eastAsia" w:ascii="Times New Roman" w:hAnsi="Times New Roman" w:eastAsia="宋体" w:cs="Times New Roman"/>
                <w:b w:val="0"/>
                <w:bCs/>
                <w:sz w:val="24"/>
                <w:szCs w:val="24"/>
                <w:lang w:val="en-US" w:eastAsia="zh-CN"/>
              </w:rPr>
              <w:t>09:00</w:t>
            </w:r>
            <w:r>
              <w:rPr>
                <w:rFonts w:hint="default" w:ascii="Times New Roman" w:hAnsi="Times New Roman" w:eastAsia="宋体" w:cs="Times New Roman"/>
                <w:b w:val="0"/>
                <w:bCs/>
                <w:sz w:val="24"/>
                <w:szCs w:val="24"/>
                <w:lang w:val="en-US" w:eastAsia="zh-CN"/>
              </w:rPr>
              <w:t>（北京时间）</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202</w:t>
            </w:r>
            <w:r>
              <w:rPr>
                <w:rFonts w:hint="eastAsia"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年</w:t>
            </w:r>
            <w:r>
              <w:rPr>
                <w:rFonts w:hint="eastAsia"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lang w:val="en-US" w:eastAsia="zh-CN"/>
              </w:rPr>
              <w:t>月</w:t>
            </w:r>
            <w:r>
              <w:rPr>
                <w:rFonts w:hint="eastAsia"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lang w:val="en-US" w:eastAsia="zh-CN"/>
              </w:rPr>
              <w:t>日</w:t>
            </w:r>
            <w:r>
              <w:rPr>
                <w:rFonts w:hint="eastAsia" w:ascii="Times New Roman" w:hAnsi="Times New Roman" w:eastAsia="宋体" w:cs="Times New Roman"/>
                <w:b w:val="0"/>
                <w:bCs/>
                <w:sz w:val="24"/>
                <w:szCs w:val="24"/>
                <w:lang w:val="en-US" w:eastAsia="zh-CN"/>
              </w:rPr>
              <w:t>09:00</w:t>
            </w:r>
            <w:r>
              <w:rPr>
                <w:rFonts w:hint="default" w:ascii="Times New Roman" w:hAnsi="Times New Roman" w:eastAsia="宋体" w:cs="Times New Roman"/>
                <w:b w:val="0"/>
                <w:bCs/>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spacing w:line="240" w:lineRule="auto"/>
              <w:jc w:val="both"/>
              <w:rPr>
                <w:rFonts w:hint="default" w:ascii="Times New Roman" w:hAnsi="Times New Roman" w:eastAsia="宋体" w:cs="Times New Roman"/>
                <w:b w:val="0"/>
                <w:bCs/>
                <w:sz w:val="24"/>
                <w:szCs w:val="24"/>
                <w:lang w:val="en-US" w:eastAsia="zh-CN"/>
              </w:rPr>
            </w:pPr>
          </w:p>
        </w:tc>
        <w:tc>
          <w:tcPr>
            <w:tcW w:w="2246" w:type="dxa"/>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开标时间</w:t>
            </w:r>
          </w:p>
          <w:p>
            <w:pPr>
              <w:spacing w:line="240" w:lineRule="auto"/>
              <w:jc w:val="both"/>
              <w:rPr>
                <w:rFonts w:hint="default" w:ascii="Times New Roman" w:hAnsi="Times New Roman" w:eastAsia="宋体" w:cs="Times New Roman"/>
                <w:b w:val="0"/>
                <w:bCs/>
                <w:sz w:val="24"/>
                <w:szCs w:val="24"/>
                <w:lang w:val="en-US" w:eastAsia="zh-CN"/>
              </w:rPr>
            </w:pPr>
          </w:p>
        </w:tc>
        <w:tc>
          <w:tcPr>
            <w:tcW w:w="2822"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202</w:t>
            </w:r>
            <w:r>
              <w:rPr>
                <w:rFonts w:hint="eastAsia"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年</w:t>
            </w:r>
            <w:r>
              <w:rPr>
                <w:rFonts w:hint="eastAsia" w:ascii="Times New Roman" w:hAnsi="Times New Roman" w:eastAsia="宋体" w:cs="Times New Roman"/>
                <w:b w:val="0"/>
                <w:bCs/>
                <w:sz w:val="24"/>
                <w:szCs w:val="24"/>
                <w:lang w:val="en-US" w:eastAsia="zh-CN"/>
              </w:rPr>
              <w:t>8</w:t>
            </w:r>
            <w:r>
              <w:rPr>
                <w:rFonts w:hint="default" w:ascii="Times New Roman" w:hAnsi="Times New Roman" w:eastAsia="宋体" w:cs="Times New Roman"/>
                <w:b w:val="0"/>
                <w:bCs/>
                <w:sz w:val="24"/>
                <w:szCs w:val="24"/>
                <w:lang w:val="en-US" w:eastAsia="zh-CN"/>
              </w:rPr>
              <w:t>月</w:t>
            </w:r>
            <w:r>
              <w:rPr>
                <w:rFonts w:hint="eastAsia" w:ascii="Times New Roman" w:hAnsi="Times New Roman" w:eastAsia="宋体" w:cs="Times New Roman"/>
                <w:b w:val="0"/>
                <w:bCs/>
                <w:sz w:val="24"/>
                <w:szCs w:val="24"/>
                <w:lang w:val="en-US" w:eastAsia="zh-CN"/>
              </w:rPr>
              <w:t>26</w:t>
            </w:r>
            <w:r>
              <w:rPr>
                <w:rFonts w:hint="default" w:ascii="Times New Roman" w:hAnsi="Times New Roman" w:eastAsia="宋体" w:cs="Times New Roman"/>
                <w:b w:val="0"/>
                <w:bCs/>
                <w:sz w:val="24"/>
                <w:szCs w:val="24"/>
                <w:lang w:val="en-US" w:eastAsia="zh-CN"/>
              </w:rPr>
              <w:t>日</w:t>
            </w:r>
            <w:r>
              <w:rPr>
                <w:rFonts w:hint="eastAsia" w:ascii="Times New Roman" w:hAnsi="Times New Roman" w:eastAsia="宋体" w:cs="Times New Roman"/>
                <w:b w:val="0"/>
                <w:bCs/>
                <w:sz w:val="24"/>
                <w:szCs w:val="24"/>
                <w:lang w:val="en-US" w:eastAsia="zh-CN"/>
              </w:rPr>
              <w:t>09:00</w:t>
            </w:r>
            <w:r>
              <w:rPr>
                <w:rFonts w:hint="default" w:ascii="Times New Roman" w:hAnsi="Times New Roman" w:eastAsia="宋体" w:cs="Times New Roman"/>
                <w:b w:val="0"/>
                <w:bCs/>
                <w:sz w:val="24"/>
                <w:szCs w:val="24"/>
                <w:lang w:val="en-US" w:eastAsia="zh-CN"/>
              </w:rPr>
              <w:t>（北京时间）</w:t>
            </w:r>
          </w:p>
        </w:tc>
        <w:tc>
          <w:tcPr>
            <w:tcW w:w="2473" w:type="dxa"/>
            <w:gridSpan w:val="3"/>
            <w:vAlign w:val="center"/>
          </w:tcPr>
          <w:p>
            <w:pPr>
              <w:spacing w:line="240" w:lineRule="auto"/>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202</w:t>
            </w:r>
            <w:r>
              <w:rPr>
                <w:rFonts w:hint="eastAsia"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年</w:t>
            </w:r>
            <w:r>
              <w:rPr>
                <w:rFonts w:hint="eastAsia"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lang w:val="en-US" w:eastAsia="zh-CN"/>
              </w:rPr>
              <w:t>月</w:t>
            </w:r>
            <w:r>
              <w:rPr>
                <w:rFonts w:hint="eastAsia"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lang w:val="en-US" w:eastAsia="zh-CN"/>
              </w:rPr>
              <w:t>日</w:t>
            </w:r>
            <w:r>
              <w:rPr>
                <w:rFonts w:hint="eastAsia" w:ascii="Times New Roman" w:hAnsi="Times New Roman" w:eastAsia="宋体" w:cs="Times New Roman"/>
                <w:b w:val="0"/>
                <w:bCs/>
                <w:sz w:val="24"/>
                <w:szCs w:val="24"/>
                <w:lang w:val="en-US" w:eastAsia="zh-CN"/>
              </w:rPr>
              <w:t>09:00</w:t>
            </w:r>
            <w:r>
              <w:rPr>
                <w:rFonts w:hint="default" w:ascii="Times New Roman" w:hAnsi="Times New Roman" w:eastAsia="宋体" w:cs="Times New Roman"/>
                <w:b w:val="0"/>
                <w:bCs/>
                <w:sz w:val="24"/>
                <w:szCs w:val="24"/>
                <w:lang w:val="en-US" w:eastAsia="zh-CN"/>
              </w:rPr>
              <w:t>（北京时间）</w:t>
            </w:r>
          </w:p>
        </w:tc>
      </w:tr>
    </w:tbl>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联系人：沈夏奇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联系电话：0571-81061815</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浙江国际招（投）标公司</w:t>
      </w: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2021年8月2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25DE4"/>
    <w:rsid w:val="0F86642B"/>
    <w:rsid w:val="31125DE4"/>
    <w:rsid w:val="47290597"/>
    <w:rsid w:val="7461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
    <w:basedOn w:val="3"/>
    <w:next w:val="1"/>
    <w:qFormat/>
    <w:uiPriority w:val="0"/>
    <w:pPr>
      <w:snapToGrid w:val="0"/>
      <w:spacing w:line="360" w:lineRule="auto"/>
      <w:ind w:firstLine="42" w:firstLineChars="21"/>
    </w:pPr>
    <w:rPr>
      <w:szCs w:val="20"/>
    </w:rPr>
  </w:style>
  <w:style w:type="paragraph" w:customStyle="1" w:styleId="3">
    <w:name w:val="表头"/>
    <w:basedOn w:val="4"/>
    <w:qFormat/>
    <w:uiPriority w:val="0"/>
    <w:pPr>
      <w:spacing w:line="320" w:lineRule="exact"/>
      <w:ind w:firstLine="420"/>
    </w:pPr>
    <w:rPr>
      <w:rFonts w:ascii="宋体" w:hAnsi="宋体"/>
      <w:bCs/>
      <w:szCs w:val="18"/>
    </w:rPr>
  </w:style>
  <w:style w:type="paragraph" w:customStyle="1" w:styleId="4">
    <w:name w:val="No Spacing"/>
    <w:basedOn w:val="1"/>
    <w:qFormat/>
    <w:uiPriority w:val="0"/>
    <w:pPr>
      <w:widowControl/>
      <w:jc w:val="left"/>
    </w:pPr>
    <w:rPr>
      <w:rFonts w:ascii="Calibri" w:hAnsi="Calibri"/>
      <w:kern w:val="0"/>
      <w:sz w:val="20"/>
      <w:lang w:eastAsia="en-US" w:bidi="en-U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无间隔1"/>
    <w:basedOn w:val="1"/>
    <w:qFormat/>
    <w:uiPriority w:val="0"/>
    <w:pPr>
      <w:widowControl/>
      <w:jc w:val="left"/>
    </w:pPr>
    <w:rPr>
      <w:rFonts w:ascii="Calibri" w:hAnsi="Calibri"/>
      <w:kern w:val="0"/>
      <w:sz w:val="2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2021-08-24T04:46:00Z</dcterms:created>
  <dc:creator>lenovo</dc:creator>
  <cp:lastModifiedBy>lenovo</cp:lastModifiedBy>
  <dcterms:modified xsi:type="dcterms:W3CDTF">2021-08-25T09:00:12Z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