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rPr>
          <w:rFonts w:ascii="宋体" w:hAnsi="宋体" w:cs="宋体"/>
          <w:b/>
          <w:bCs/>
          <w:color w:val="auto"/>
          <w:sz w:val="44"/>
          <w:szCs w:val="44"/>
        </w:rPr>
      </w:pPr>
    </w:p>
    <w:p>
      <w:pPr>
        <w:bidi w:val="0"/>
        <w:jc w:val="center"/>
        <w:rPr>
          <w:rFonts w:hint="eastAsia"/>
          <w:b/>
          <w:bCs/>
          <w:color w:val="auto"/>
          <w:sz w:val="44"/>
          <w:szCs w:val="44"/>
        </w:rPr>
      </w:pPr>
      <w:r>
        <w:rPr>
          <w:rFonts w:hint="eastAsia"/>
          <w:b/>
          <w:bCs/>
          <w:color w:val="auto"/>
          <w:sz w:val="44"/>
          <w:szCs w:val="44"/>
          <w:lang w:eastAsia="zh-CN"/>
        </w:rPr>
        <w:t xml:space="preserve">2024年上虞区智慧城管信息采集项目 </w:t>
      </w:r>
    </w:p>
    <w:p>
      <w:pPr>
        <w:pStyle w:val="3"/>
        <w:rPr>
          <w:rFonts w:ascii="宋体"/>
          <w:b/>
          <w:bCs/>
          <w:color w:val="auto"/>
          <w:sz w:val="44"/>
          <w:szCs w:val="44"/>
        </w:rPr>
      </w:pPr>
    </w:p>
    <w:p>
      <w:pPr>
        <w:pStyle w:val="3"/>
        <w:rPr>
          <w:rFonts w:ascii="宋体"/>
          <w:b/>
          <w:bCs/>
          <w:color w:val="auto"/>
          <w:sz w:val="44"/>
          <w:szCs w:val="44"/>
        </w:rPr>
      </w:pPr>
    </w:p>
    <w:p>
      <w:pPr>
        <w:pStyle w:val="3"/>
        <w:rPr>
          <w:rFonts w:ascii="宋体"/>
          <w:b/>
          <w:bCs/>
          <w:color w:val="auto"/>
          <w:sz w:val="44"/>
          <w:szCs w:val="44"/>
        </w:rPr>
      </w:pPr>
    </w:p>
    <w:p>
      <w:pPr>
        <w:pStyle w:val="3"/>
        <w:rPr>
          <w:color w:val="auto"/>
        </w:rPr>
      </w:pPr>
    </w:p>
    <w:p>
      <w:pPr>
        <w:bidi w:val="0"/>
        <w:jc w:val="center"/>
        <w:rPr>
          <w:rFonts w:hint="eastAsia" w:ascii="Times New Roman" w:hAnsi="Times New Roman" w:eastAsia="宋体" w:cs="Times New Roman"/>
          <w:b/>
          <w:bCs/>
          <w:color w:val="auto"/>
          <w:sz w:val="48"/>
          <w:szCs w:val="48"/>
        </w:rPr>
      </w:pPr>
      <w:bookmarkStart w:id="0" w:name="_Toc20516"/>
      <w:r>
        <w:rPr>
          <w:rFonts w:hint="eastAsia" w:ascii="Times New Roman" w:hAnsi="Times New Roman" w:eastAsia="宋体" w:cs="Times New Roman"/>
          <w:b/>
          <w:bCs/>
          <w:color w:val="auto"/>
          <w:sz w:val="48"/>
          <w:szCs w:val="48"/>
        </w:rPr>
        <w:t>竞争性磋商文件</w:t>
      </w:r>
      <w:bookmarkEnd w:id="0"/>
    </w:p>
    <w:p>
      <w:pPr>
        <w:spacing w:line="360" w:lineRule="auto"/>
        <w:jc w:val="center"/>
        <w:rPr>
          <w:rFonts w:ascii="宋体"/>
          <w:b/>
          <w:bCs/>
          <w:color w:val="auto"/>
          <w:sz w:val="24"/>
          <w:szCs w:val="24"/>
        </w:rPr>
      </w:pPr>
    </w:p>
    <w:p>
      <w:pPr>
        <w:snapToGrid w:val="0"/>
        <w:spacing w:line="360" w:lineRule="auto"/>
        <w:ind w:firstLine="2601" w:firstLineChars="867"/>
        <w:jc w:val="left"/>
        <w:rPr>
          <w:rFonts w:hint="eastAsia" w:ascii="宋体" w:eastAsia="宋体"/>
          <w:color w:val="auto"/>
          <w:sz w:val="30"/>
          <w:szCs w:val="30"/>
          <w:u w:val="single"/>
          <w:lang w:eastAsia="zh-CN"/>
        </w:rPr>
      </w:pPr>
      <w:r>
        <w:rPr>
          <w:rFonts w:hint="eastAsia" w:ascii="宋体" w:hAnsi="宋体" w:cs="宋体"/>
          <w:color w:val="auto"/>
          <w:sz w:val="30"/>
          <w:szCs w:val="30"/>
        </w:rPr>
        <w:t>项目编号：</w:t>
      </w:r>
      <w:r>
        <w:rPr>
          <w:rFonts w:hint="eastAsia" w:ascii="宋体" w:hAnsi="宋体" w:cs="宋体"/>
          <w:color w:val="auto"/>
          <w:sz w:val="30"/>
          <w:szCs w:val="30"/>
          <w:lang w:eastAsia="zh-CN"/>
        </w:rPr>
        <w:t>ZJCTSY-2024-0410</w:t>
      </w:r>
    </w:p>
    <w:p>
      <w:pPr>
        <w:snapToGrid w:val="0"/>
        <w:spacing w:line="360" w:lineRule="auto"/>
        <w:ind w:firstLine="2301" w:firstLineChars="767"/>
        <w:jc w:val="left"/>
        <w:rPr>
          <w:rFonts w:ascii="宋体"/>
          <w:color w:val="auto"/>
          <w:sz w:val="30"/>
          <w:szCs w:val="30"/>
        </w:rPr>
      </w:pPr>
    </w:p>
    <w:p>
      <w:pPr>
        <w:spacing w:line="360" w:lineRule="auto"/>
        <w:rPr>
          <w:rFonts w:ascii="宋体"/>
          <w:color w:val="auto"/>
          <w:sz w:val="28"/>
          <w:szCs w:val="28"/>
        </w:rPr>
      </w:pPr>
    </w:p>
    <w:p>
      <w:pPr>
        <w:spacing w:line="360" w:lineRule="auto"/>
        <w:jc w:val="center"/>
        <w:rPr>
          <w:rFonts w:ascii="宋体"/>
          <w:color w:val="auto"/>
          <w:sz w:val="24"/>
          <w:szCs w:val="24"/>
        </w:rPr>
      </w:pPr>
    </w:p>
    <w:p>
      <w:pPr>
        <w:spacing w:line="360" w:lineRule="auto"/>
        <w:jc w:val="center"/>
        <w:rPr>
          <w:rFonts w:ascii="宋体"/>
          <w:color w:val="auto"/>
          <w:sz w:val="24"/>
          <w:szCs w:val="24"/>
        </w:rPr>
      </w:pPr>
    </w:p>
    <w:p>
      <w:pPr>
        <w:spacing w:line="360" w:lineRule="auto"/>
        <w:jc w:val="center"/>
        <w:rPr>
          <w:rFonts w:ascii="宋体"/>
          <w:color w:val="auto"/>
          <w:sz w:val="24"/>
          <w:szCs w:val="24"/>
        </w:rPr>
      </w:pPr>
    </w:p>
    <w:p>
      <w:pPr>
        <w:spacing w:line="360" w:lineRule="auto"/>
        <w:jc w:val="center"/>
        <w:rPr>
          <w:rFonts w:ascii="宋体"/>
          <w:color w:val="auto"/>
          <w:sz w:val="24"/>
          <w:szCs w:val="24"/>
        </w:rPr>
      </w:pPr>
    </w:p>
    <w:p>
      <w:pPr>
        <w:spacing w:line="360" w:lineRule="auto"/>
        <w:jc w:val="center"/>
        <w:rPr>
          <w:rFonts w:ascii="宋体"/>
          <w:color w:val="auto"/>
          <w:sz w:val="24"/>
          <w:szCs w:val="24"/>
        </w:rPr>
      </w:pPr>
    </w:p>
    <w:p>
      <w:pPr>
        <w:spacing w:line="360" w:lineRule="auto"/>
        <w:rPr>
          <w:rFonts w:ascii="宋体"/>
          <w:color w:val="auto"/>
          <w:sz w:val="24"/>
          <w:szCs w:val="24"/>
        </w:rPr>
      </w:pPr>
    </w:p>
    <w:p>
      <w:pPr>
        <w:snapToGrid w:val="0"/>
        <w:spacing w:line="360" w:lineRule="auto"/>
        <w:ind w:firstLine="600" w:firstLineChars="200"/>
        <w:rPr>
          <w:rFonts w:hint="eastAsia" w:ascii="宋体" w:eastAsia="宋体"/>
          <w:color w:val="auto"/>
          <w:u w:val="single"/>
          <w:lang w:eastAsia="zh-CN"/>
        </w:rPr>
      </w:pPr>
      <w:r>
        <w:rPr>
          <w:rFonts w:hint="eastAsia" w:ascii="宋体" w:hAnsi="宋体" w:cs="宋体"/>
          <w:color w:val="auto"/>
          <w:sz w:val="30"/>
          <w:szCs w:val="30"/>
        </w:rPr>
        <w:t xml:space="preserve">采 </w:t>
      </w:r>
      <w:r>
        <w:rPr>
          <w:rFonts w:hint="eastAsia" w:ascii="宋体" w:hAnsi="宋体" w:cs="宋体"/>
          <w:color w:val="auto"/>
          <w:sz w:val="30"/>
          <w:szCs w:val="30"/>
          <w:lang w:val="en-US" w:eastAsia="zh-CN"/>
        </w:rPr>
        <w:t xml:space="preserve">  </w:t>
      </w:r>
      <w:r>
        <w:rPr>
          <w:rFonts w:hint="eastAsia" w:ascii="宋体" w:hAnsi="宋体" w:cs="宋体"/>
          <w:color w:val="auto"/>
          <w:sz w:val="30"/>
          <w:szCs w:val="30"/>
        </w:rPr>
        <w:t xml:space="preserve">购 </w:t>
      </w:r>
      <w:r>
        <w:rPr>
          <w:rFonts w:hint="eastAsia" w:ascii="宋体" w:hAnsi="宋体" w:cs="宋体"/>
          <w:color w:val="auto"/>
          <w:sz w:val="30"/>
          <w:szCs w:val="30"/>
          <w:lang w:val="en-US" w:eastAsia="zh-CN"/>
        </w:rPr>
        <w:t xml:space="preserve">  </w:t>
      </w:r>
      <w:r>
        <w:rPr>
          <w:rFonts w:hint="eastAsia" w:ascii="宋体" w:hAnsi="宋体" w:cs="宋体"/>
          <w:color w:val="auto"/>
          <w:sz w:val="30"/>
          <w:szCs w:val="30"/>
        </w:rPr>
        <w:t>人：</w:t>
      </w:r>
      <w:r>
        <w:rPr>
          <w:rFonts w:hint="eastAsia" w:ascii="宋体" w:hAnsi="宋体" w:cs="宋体"/>
          <w:color w:val="auto"/>
          <w:sz w:val="30"/>
          <w:lang w:eastAsia="zh-CN"/>
        </w:rPr>
        <w:t>绍兴市上虞区综合行政执法局</w:t>
      </w:r>
    </w:p>
    <w:p>
      <w:pPr>
        <w:snapToGrid w:val="0"/>
        <w:spacing w:line="360" w:lineRule="auto"/>
        <w:ind w:firstLine="600" w:firstLineChars="200"/>
        <w:rPr>
          <w:rFonts w:hint="eastAsia" w:ascii="宋体" w:eastAsia="宋体"/>
          <w:color w:val="auto"/>
          <w:sz w:val="30"/>
          <w:szCs w:val="30"/>
          <w:lang w:eastAsia="zh-CN"/>
        </w:rPr>
      </w:pPr>
      <w:r>
        <w:rPr>
          <w:rFonts w:hint="eastAsia" w:ascii="宋体" w:hAnsi="宋体" w:cs="宋体"/>
          <w:color w:val="auto"/>
          <w:sz w:val="30"/>
          <w:szCs w:val="30"/>
        </w:rPr>
        <w:t>采购代理机构：</w:t>
      </w:r>
      <w:r>
        <w:rPr>
          <w:rFonts w:hint="eastAsia" w:ascii="宋体" w:hAnsi="宋体" w:cs="宋体"/>
          <w:color w:val="auto"/>
          <w:sz w:val="30"/>
          <w:szCs w:val="30"/>
          <w:lang w:eastAsia="zh-CN"/>
        </w:rPr>
        <w:t>浙江省成套工程有限公司</w:t>
      </w:r>
    </w:p>
    <w:p>
      <w:pPr>
        <w:ind w:firstLine="2700" w:firstLineChars="900"/>
        <w:jc w:val="both"/>
        <w:rPr>
          <w:rFonts w:ascii="宋体"/>
          <w:color w:val="auto"/>
          <w:sz w:val="30"/>
          <w:szCs w:val="30"/>
        </w:rPr>
        <w:sectPr>
          <w:footerReference r:id="rId3" w:type="default"/>
          <w:pgSz w:w="11906" w:h="16838"/>
          <w:pgMar w:top="1440" w:right="1700" w:bottom="1440" w:left="1800" w:header="851" w:footer="992" w:gutter="0"/>
          <w:cols w:space="425" w:num="1"/>
          <w:docGrid w:type="lines" w:linePitch="312" w:charSpace="0"/>
        </w:sectPr>
      </w:pPr>
      <w:r>
        <w:rPr>
          <w:rFonts w:hint="eastAsia" w:ascii="宋体" w:hAnsi="宋体" w:cs="宋体"/>
          <w:color w:val="auto"/>
          <w:sz w:val="30"/>
          <w:szCs w:val="30"/>
        </w:rPr>
        <w:t>二〇二</w:t>
      </w:r>
      <w:r>
        <w:rPr>
          <w:rFonts w:hint="eastAsia" w:ascii="宋体" w:hAnsi="宋体" w:cs="宋体"/>
          <w:color w:val="auto"/>
          <w:sz w:val="30"/>
          <w:szCs w:val="30"/>
          <w:lang w:val="en-US" w:eastAsia="zh-CN"/>
        </w:rPr>
        <w:t>四</w:t>
      </w:r>
      <w:r>
        <w:rPr>
          <w:rFonts w:hint="eastAsia" w:ascii="宋体" w:hAnsi="宋体" w:cs="宋体"/>
          <w:color w:val="auto"/>
          <w:sz w:val="30"/>
          <w:szCs w:val="30"/>
        </w:rPr>
        <w:t>年</w:t>
      </w:r>
      <w:r>
        <w:rPr>
          <w:rFonts w:hint="eastAsia" w:ascii="宋体" w:hAnsi="宋体" w:cs="宋体"/>
          <w:color w:val="auto"/>
          <w:sz w:val="30"/>
          <w:szCs w:val="30"/>
          <w:lang w:val="en-US" w:eastAsia="zh-CN"/>
        </w:rPr>
        <w:t>五</w:t>
      </w:r>
      <w:r>
        <w:rPr>
          <w:rFonts w:hint="eastAsia" w:ascii="宋体" w:hAnsi="宋体" w:cs="宋体"/>
          <w:color w:val="auto"/>
          <w:sz w:val="30"/>
          <w:szCs w:val="30"/>
        </w:rPr>
        <w:t>月</w:t>
      </w:r>
    </w:p>
    <w:p>
      <w:pPr>
        <w:spacing w:line="360" w:lineRule="auto"/>
        <w:jc w:val="center"/>
        <w:rPr>
          <w:rFonts w:ascii="宋体" w:hAnsi="宋体" w:cs="宋体"/>
          <w:b/>
          <w:bCs/>
          <w:color w:val="auto"/>
          <w:sz w:val="36"/>
          <w:szCs w:val="36"/>
        </w:rPr>
      </w:pPr>
      <w:r>
        <w:rPr>
          <w:rFonts w:hint="eastAsia" w:ascii="宋体" w:hAnsi="宋体" w:cs="宋体"/>
          <w:b/>
          <w:bCs/>
          <w:color w:val="auto"/>
          <w:sz w:val="36"/>
          <w:szCs w:val="36"/>
        </w:rPr>
        <w:t>目录</w:t>
      </w:r>
    </w:p>
    <w:sdt>
      <w:sdtPr>
        <w:rPr>
          <w:rFonts w:ascii="宋体" w:hAnsi="宋体" w:eastAsia="宋体" w:cs="Times New Roman"/>
          <w:color w:val="auto"/>
          <w:sz w:val="21"/>
          <w:lang w:val="en-US" w:eastAsia="zh-CN" w:bidi="ar-SA"/>
        </w:rPr>
        <w:id w:val="147468467"/>
        <w15:color w:val="DBDBDB"/>
        <w:docPartObj>
          <w:docPartGallery w:val="Table of Contents"/>
          <w:docPartUnique/>
        </w:docPartObj>
      </w:sdtPr>
      <w:sdtEndPr>
        <w:rPr>
          <w:rFonts w:ascii="宋体" w:hAnsi="宋体" w:eastAsia="宋体" w:cs="Times New Roman"/>
          <w:b/>
          <w:bCs/>
          <w:color w:val="auto"/>
          <w:sz w:val="24"/>
          <w:szCs w:val="28"/>
          <w:lang w:val="en-US" w:eastAsia="zh-CN" w:bidi="ar-SA"/>
        </w:rPr>
      </w:sdtEndPr>
      <w:sdtContent>
        <w:p>
          <w:pPr>
            <w:pStyle w:val="2"/>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outlineLvl w:val="9"/>
            <w:rPr>
              <w:rFonts w:ascii="宋体" w:hAnsi="宋体" w:eastAsia="宋体" w:cs="Times New Roman"/>
              <w:b/>
              <w:bCs/>
              <w:color w:val="auto"/>
              <w:sz w:val="24"/>
              <w:szCs w:val="28"/>
              <w:lang w:val="en-US" w:eastAsia="zh-CN" w:bidi="ar-SA"/>
            </w:rPr>
          </w:pPr>
          <w:r>
            <w:rPr>
              <w:rFonts w:cs="Times New Roman"/>
              <w:color w:val="auto"/>
            </w:rPr>
            <w:fldChar w:fldCharType="begin"/>
          </w:r>
          <w:r>
            <w:rPr>
              <w:rFonts w:cs="Times New Roman"/>
              <w:color w:val="auto"/>
            </w:rPr>
            <w:instrText xml:space="preserve">TOC \o "1-2" \h \u </w:instrText>
          </w:r>
          <w:r>
            <w:rPr>
              <w:rFonts w:cs="Times New Roman"/>
              <w:color w:val="auto"/>
            </w:rPr>
            <w:fldChar w:fldCharType="separate"/>
          </w:r>
        </w:p>
        <w:p>
          <w:pPr>
            <w:pStyle w:val="20"/>
            <w:tabs>
              <w:tab w:val="right" w:leader="dot" w:pos="8306"/>
            </w:tabs>
            <w:spacing w:line="360" w:lineRule="auto"/>
            <w:rPr>
              <w:color w:val="auto"/>
            </w:rPr>
          </w:pPr>
          <w:r>
            <w:rPr>
              <w:rFonts w:cs="Times New Roman"/>
              <w:color w:val="auto"/>
            </w:rPr>
            <w:fldChar w:fldCharType="begin"/>
          </w:r>
          <w:r>
            <w:rPr>
              <w:rFonts w:cs="Times New Roman"/>
              <w:color w:val="auto"/>
            </w:rPr>
            <w:instrText xml:space="preserve"> HYPERLINK \l _Toc1782 </w:instrText>
          </w:r>
          <w:r>
            <w:rPr>
              <w:rFonts w:cs="Times New Roman"/>
              <w:color w:val="auto"/>
            </w:rPr>
            <w:fldChar w:fldCharType="separate"/>
          </w:r>
          <w:r>
            <w:rPr>
              <w:rFonts w:hint="eastAsia" w:cs="宋体"/>
              <w:color w:val="auto"/>
              <w:szCs w:val="36"/>
            </w:rPr>
            <w:t>第一部分</w:t>
          </w:r>
          <w:r>
            <w:rPr>
              <w:color w:val="auto"/>
              <w:szCs w:val="36"/>
            </w:rPr>
            <w:t xml:space="preserve"> </w:t>
          </w:r>
          <w:r>
            <w:rPr>
              <w:rFonts w:hint="eastAsia" w:cs="宋体"/>
              <w:color w:val="auto"/>
              <w:szCs w:val="36"/>
            </w:rPr>
            <w:t>磋商公告</w:t>
          </w:r>
          <w:r>
            <w:rPr>
              <w:color w:val="auto"/>
            </w:rPr>
            <w:tab/>
          </w:r>
          <w:r>
            <w:rPr>
              <w:color w:val="auto"/>
            </w:rPr>
            <w:fldChar w:fldCharType="begin"/>
          </w:r>
          <w:r>
            <w:rPr>
              <w:color w:val="auto"/>
            </w:rPr>
            <w:instrText xml:space="preserve"> PAGEREF _Toc1782 \h </w:instrText>
          </w:r>
          <w:r>
            <w:rPr>
              <w:color w:val="auto"/>
            </w:rPr>
            <w:fldChar w:fldCharType="separate"/>
          </w:r>
          <w:r>
            <w:rPr>
              <w:color w:val="auto"/>
            </w:rPr>
            <w:t>1</w:t>
          </w:r>
          <w:r>
            <w:rPr>
              <w:color w:val="auto"/>
            </w:rPr>
            <w:fldChar w:fldCharType="end"/>
          </w:r>
          <w:r>
            <w:rPr>
              <w:rFonts w:cs="Times New Roman"/>
              <w:color w:val="auto"/>
            </w:rPr>
            <w:fldChar w:fldCharType="end"/>
          </w:r>
        </w:p>
        <w:p>
          <w:pPr>
            <w:pStyle w:val="20"/>
            <w:tabs>
              <w:tab w:val="right" w:leader="dot" w:pos="8306"/>
            </w:tabs>
            <w:spacing w:line="360" w:lineRule="auto"/>
            <w:rPr>
              <w:color w:val="auto"/>
            </w:rPr>
          </w:pPr>
          <w:r>
            <w:rPr>
              <w:rFonts w:cs="Times New Roman"/>
              <w:color w:val="auto"/>
            </w:rPr>
            <w:fldChar w:fldCharType="begin"/>
          </w:r>
          <w:r>
            <w:rPr>
              <w:rFonts w:cs="Times New Roman"/>
              <w:color w:val="auto"/>
            </w:rPr>
            <w:instrText xml:space="preserve"> HYPERLINK \l _Toc32101 </w:instrText>
          </w:r>
          <w:r>
            <w:rPr>
              <w:rFonts w:cs="Times New Roman"/>
              <w:color w:val="auto"/>
            </w:rPr>
            <w:fldChar w:fldCharType="separate"/>
          </w:r>
          <w:r>
            <w:rPr>
              <w:rFonts w:hint="eastAsia" w:cs="宋体"/>
              <w:color w:val="auto"/>
              <w:szCs w:val="36"/>
            </w:rPr>
            <w:t>第二部分</w:t>
          </w:r>
          <w:r>
            <w:rPr>
              <w:color w:val="auto"/>
              <w:szCs w:val="36"/>
            </w:rPr>
            <w:t xml:space="preserve"> </w:t>
          </w:r>
          <w:r>
            <w:rPr>
              <w:rFonts w:hint="eastAsia" w:cs="宋体"/>
              <w:color w:val="auto"/>
              <w:szCs w:val="36"/>
            </w:rPr>
            <w:t>供应商须知</w:t>
          </w:r>
          <w:r>
            <w:rPr>
              <w:color w:val="auto"/>
            </w:rPr>
            <w:tab/>
          </w:r>
          <w:r>
            <w:rPr>
              <w:color w:val="auto"/>
            </w:rPr>
            <w:fldChar w:fldCharType="begin"/>
          </w:r>
          <w:r>
            <w:rPr>
              <w:color w:val="auto"/>
            </w:rPr>
            <w:instrText xml:space="preserve"> PAGEREF _Toc32101 \h </w:instrText>
          </w:r>
          <w:r>
            <w:rPr>
              <w:color w:val="auto"/>
            </w:rPr>
            <w:fldChar w:fldCharType="separate"/>
          </w:r>
          <w:r>
            <w:rPr>
              <w:color w:val="auto"/>
            </w:rPr>
            <w:t>5</w:t>
          </w:r>
          <w:r>
            <w:rPr>
              <w:color w:val="auto"/>
            </w:rPr>
            <w:fldChar w:fldCharType="end"/>
          </w:r>
          <w:r>
            <w:rPr>
              <w:rFonts w:cs="Times New Roman"/>
              <w:color w:val="auto"/>
            </w:rPr>
            <w:fldChar w:fldCharType="end"/>
          </w:r>
        </w:p>
        <w:p>
          <w:pPr>
            <w:pStyle w:val="22"/>
            <w:tabs>
              <w:tab w:val="right" w:leader="dot" w:pos="8306"/>
            </w:tabs>
            <w:spacing w:line="360" w:lineRule="auto"/>
            <w:rPr>
              <w:color w:val="auto"/>
            </w:rPr>
          </w:pPr>
          <w:r>
            <w:rPr>
              <w:rFonts w:cs="Times New Roman"/>
              <w:color w:val="auto"/>
            </w:rPr>
            <w:fldChar w:fldCharType="begin"/>
          </w:r>
          <w:r>
            <w:rPr>
              <w:rFonts w:cs="Times New Roman"/>
              <w:color w:val="auto"/>
            </w:rPr>
            <w:instrText xml:space="preserve"> HYPERLINK \l _Toc16015 </w:instrText>
          </w:r>
          <w:r>
            <w:rPr>
              <w:rFonts w:cs="Times New Roman"/>
              <w:color w:val="auto"/>
            </w:rPr>
            <w:fldChar w:fldCharType="separate"/>
          </w:r>
          <w:r>
            <w:rPr>
              <w:rFonts w:hint="eastAsia" w:hAnsi="宋体" w:cs="Times New Roman"/>
              <w:color w:val="auto"/>
            </w:rPr>
            <w:t xml:space="preserve">一、 </w:t>
          </w:r>
          <w:r>
            <w:rPr>
              <w:rFonts w:hint="eastAsia" w:hAnsi="宋体"/>
              <w:color w:val="auto"/>
            </w:rPr>
            <w:t>总则</w:t>
          </w:r>
          <w:r>
            <w:rPr>
              <w:color w:val="auto"/>
            </w:rPr>
            <w:tab/>
          </w:r>
          <w:r>
            <w:rPr>
              <w:color w:val="auto"/>
            </w:rPr>
            <w:fldChar w:fldCharType="begin"/>
          </w:r>
          <w:r>
            <w:rPr>
              <w:color w:val="auto"/>
            </w:rPr>
            <w:instrText xml:space="preserve"> PAGEREF _Toc16015 \h </w:instrText>
          </w:r>
          <w:r>
            <w:rPr>
              <w:color w:val="auto"/>
            </w:rPr>
            <w:fldChar w:fldCharType="separate"/>
          </w:r>
          <w:r>
            <w:rPr>
              <w:color w:val="auto"/>
            </w:rPr>
            <w:t>9</w:t>
          </w:r>
          <w:r>
            <w:rPr>
              <w:color w:val="auto"/>
            </w:rPr>
            <w:fldChar w:fldCharType="end"/>
          </w:r>
          <w:r>
            <w:rPr>
              <w:rFonts w:cs="Times New Roman"/>
              <w:color w:val="auto"/>
            </w:rPr>
            <w:fldChar w:fldCharType="end"/>
          </w:r>
        </w:p>
        <w:p>
          <w:pPr>
            <w:pStyle w:val="22"/>
            <w:tabs>
              <w:tab w:val="right" w:leader="dot" w:pos="8306"/>
            </w:tabs>
            <w:spacing w:line="360" w:lineRule="auto"/>
            <w:rPr>
              <w:color w:val="auto"/>
            </w:rPr>
          </w:pPr>
          <w:r>
            <w:rPr>
              <w:rFonts w:cs="Times New Roman"/>
              <w:color w:val="auto"/>
            </w:rPr>
            <w:fldChar w:fldCharType="begin"/>
          </w:r>
          <w:r>
            <w:rPr>
              <w:rFonts w:cs="Times New Roman"/>
              <w:color w:val="auto"/>
            </w:rPr>
            <w:instrText xml:space="preserve"> HYPERLINK \l _Toc17386 </w:instrText>
          </w:r>
          <w:r>
            <w:rPr>
              <w:rFonts w:cs="Times New Roman"/>
              <w:color w:val="auto"/>
            </w:rPr>
            <w:fldChar w:fldCharType="separate"/>
          </w:r>
          <w:r>
            <w:rPr>
              <w:rFonts w:hint="eastAsia" w:cs="Times New Roman"/>
              <w:color w:val="auto"/>
            </w:rPr>
            <w:t xml:space="preserve">二、 </w:t>
          </w:r>
          <w:r>
            <w:rPr>
              <w:rFonts w:hint="eastAsia"/>
              <w:color w:val="auto"/>
            </w:rPr>
            <w:t>竞争性磋商文件</w:t>
          </w:r>
          <w:r>
            <w:rPr>
              <w:color w:val="auto"/>
            </w:rPr>
            <w:tab/>
          </w:r>
          <w:r>
            <w:rPr>
              <w:color w:val="auto"/>
            </w:rPr>
            <w:fldChar w:fldCharType="begin"/>
          </w:r>
          <w:r>
            <w:rPr>
              <w:color w:val="auto"/>
            </w:rPr>
            <w:instrText xml:space="preserve"> PAGEREF _Toc17386 \h </w:instrText>
          </w:r>
          <w:r>
            <w:rPr>
              <w:color w:val="auto"/>
            </w:rPr>
            <w:fldChar w:fldCharType="separate"/>
          </w:r>
          <w:r>
            <w:rPr>
              <w:color w:val="auto"/>
            </w:rPr>
            <w:t>9</w:t>
          </w:r>
          <w:r>
            <w:rPr>
              <w:color w:val="auto"/>
            </w:rPr>
            <w:fldChar w:fldCharType="end"/>
          </w:r>
          <w:r>
            <w:rPr>
              <w:rFonts w:cs="Times New Roman"/>
              <w:color w:val="auto"/>
            </w:rPr>
            <w:fldChar w:fldCharType="end"/>
          </w:r>
        </w:p>
        <w:p>
          <w:pPr>
            <w:pStyle w:val="22"/>
            <w:tabs>
              <w:tab w:val="right" w:leader="dot" w:pos="8306"/>
            </w:tabs>
            <w:spacing w:line="360" w:lineRule="auto"/>
            <w:rPr>
              <w:color w:val="auto"/>
            </w:rPr>
          </w:pPr>
          <w:r>
            <w:rPr>
              <w:rFonts w:cs="Times New Roman"/>
              <w:color w:val="auto"/>
            </w:rPr>
            <w:fldChar w:fldCharType="begin"/>
          </w:r>
          <w:r>
            <w:rPr>
              <w:rFonts w:cs="Times New Roman"/>
              <w:color w:val="auto"/>
            </w:rPr>
            <w:instrText xml:space="preserve"> HYPERLINK \l _Toc28735 </w:instrText>
          </w:r>
          <w:r>
            <w:rPr>
              <w:rFonts w:cs="Times New Roman"/>
              <w:color w:val="auto"/>
            </w:rPr>
            <w:fldChar w:fldCharType="separate"/>
          </w:r>
          <w:r>
            <w:rPr>
              <w:rFonts w:hint="eastAsia" w:cs="Times New Roman"/>
              <w:color w:val="auto"/>
            </w:rPr>
            <w:t xml:space="preserve">三、 </w:t>
          </w:r>
          <w:r>
            <w:rPr>
              <w:rFonts w:hint="eastAsia"/>
              <w:color w:val="auto"/>
            </w:rPr>
            <w:t>竞争性磋商响应文件的编写</w:t>
          </w:r>
          <w:r>
            <w:rPr>
              <w:color w:val="auto"/>
            </w:rPr>
            <w:tab/>
          </w:r>
          <w:r>
            <w:rPr>
              <w:color w:val="auto"/>
            </w:rPr>
            <w:fldChar w:fldCharType="begin"/>
          </w:r>
          <w:r>
            <w:rPr>
              <w:color w:val="auto"/>
            </w:rPr>
            <w:instrText xml:space="preserve"> PAGEREF _Toc28735 \h </w:instrText>
          </w:r>
          <w:r>
            <w:rPr>
              <w:color w:val="auto"/>
            </w:rPr>
            <w:fldChar w:fldCharType="separate"/>
          </w:r>
          <w:r>
            <w:rPr>
              <w:color w:val="auto"/>
            </w:rPr>
            <w:t>10</w:t>
          </w:r>
          <w:r>
            <w:rPr>
              <w:color w:val="auto"/>
            </w:rPr>
            <w:fldChar w:fldCharType="end"/>
          </w:r>
          <w:r>
            <w:rPr>
              <w:rFonts w:cs="Times New Roman"/>
              <w:color w:val="auto"/>
            </w:rPr>
            <w:fldChar w:fldCharType="end"/>
          </w:r>
        </w:p>
        <w:p>
          <w:pPr>
            <w:pStyle w:val="22"/>
            <w:tabs>
              <w:tab w:val="right" w:leader="dot" w:pos="8306"/>
            </w:tabs>
            <w:spacing w:line="360" w:lineRule="auto"/>
            <w:rPr>
              <w:color w:val="auto"/>
            </w:rPr>
          </w:pPr>
          <w:r>
            <w:rPr>
              <w:rFonts w:cs="Times New Roman"/>
              <w:color w:val="auto"/>
            </w:rPr>
            <w:fldChar w:fldCharType="begin"/>
          </w:r>
          <w:r>
            <w:rPr>
              <w:rFonts w:cs="Times New Roman"/>
              <w:color w:val="auto"/>
            </w:rPr>
            <w:instrText xml:space="preserve"> HYPERLINK \l _Toc12610 </w:instrText>
          </w:r>
          <w:r>
            <w:rPr>
              <w:rFonts w:cs="Times New Roman"/>
              <w:color w:val="auto"/>
            </w:rPr>
            <w:fldChar w:fldCharType="separate"/>
          </w:r>
          <w:r>
            <w:rPr>
              <w:rFonts w:hint="eastAsia" w:cs="Times New Roman"/>
              <w:color w:val="auto"/>
            </w:rPr>
            <w:t xml:space="preserve">四、 </w:t>
          </w:r>
          <w:r>
            <w:rPr>
              <w:rFonts w:hint="eastAsia"/>
              <w:color w:val="auto"/>
            </w:rPr>
            <w:t>响应文件的递交</w:t>
          </w:r>
          <w:r>
            <w:rPr>
              <w:color w:val="auto"/>
            </w:rPr>
            <w:tab/>
          </w:r>
          <w:r>
            <w:rPr>
              <w:color w:val="auto"/>
            </w:rPr>
            <w:fldChar w:fldCharType="begin"/>
          </w:r>
          <w:r>
            <w:rPr>
              <w:color w:val="auto"/>
            </w:rPr>
            <w:instrText xml:space="preserve"> PAGEREF _Toc12610 \h </w:instrText>
          </w:r>
          <w:r>
            <w:rPr>
              <w:color w:val="auto"/>
            </w:rPr>
            <w:fldChar w:fldCharType="separate"/>
          </w:r>
          <w:r>
            <w:rPr>
              <w:color w:val="auto"/>
            </w:rPr>
            <w:t>14</w:t>
          </w:r>
          <w:r>
            <w:rPr>
              <w:color w:val="auto"/>
            </w:rPr>
            <w:fldChar w:fldCharType="end"/>
          </w:r>
          <w:r>
            <w:rPr>
              <w:rFonts w:cs="Times New Roman"/>
              <w:color w:val="auto"/>
            </w:rPr>
            <w:fldChar w:fldCharType="end"/>
          </w:r>
        </w:p>
        <w:p>
          <w:pPr>
            <w:pStyle w:val="22"/>
            <w:tabs>
              <w:tab w:val="right" w:leader="dot" w:pos="8306"/>
            </w:tabs>
            <w:spacing w:line="360" w:lineRule="auto"/>
            <w:rPr>
              <w:color w:val="auto"/>
            </w:rPr>
          </w:pPr>
          <w:r>
            <w:rPr>
              <w:rFonts w:cs="Times New Roman"/>
              <w:color w:val="auto"/>
            </w:rPr>
            <w:fldChar w:fldCharType="begin"/>
          </w:r>
          <w:r>
            <w:rPr>
              <w:rFonts w:cs="Times New Roman"/>
              <w:color w:val="auto"/>
            </w:rPr>
            <w:instrText xml:space="preserve"> HYPERLINK \l _Toc27301 </w:instrText>
          </w:r>
          <w:r>
            <w:rPr>
              <w:rFonts w:cs="Times New Roman"/>
              <w:color w:val="auto"/>
            </w:rPr>
            <w:fldChar w:fldCharType="separate"/>
          </w:r>
          <w:r>
            <w:rPr>
              <w:rFonts w:hint="eastAsia" w:hAnsi="宋体" w:cs="Times New Roman"/>
              <w:color w:val="auto"/>
            </w:rPr>
            <w:t xml:space="preserve">五、 </w:t>
          </w:r>
          <w:r>
            <w:rPr>
              <w:rFonts w:hint="eastAsia"/>
              <w:color w:val="auto"/>
            </w:rPr>
            <w:t>磋商无效的情形</w:t>
          </w:r>
          <w:r>
            <w:rPr>
              <w:color w:val="auto"/>
            </w:rPr>
            <w:tab/>
          </w:r>
          <w:r>
            <w:rPr>
              <w:color w:val="auto"/>
            </w:rPr>
            <w:fldChar w:fldCharType="begin"/>
          </w:r>
          <w:r>
            <w:rPr>
              <w:color w:val="auto"/>
            </w:rPr>
            <w:instrText xml:space="preserve"> PAGEREF _Toc27301 \h </w:instrText>
          </w:r>
          <w:r>
            <w:rPr>
              <w:color w:val="auto"/>
            </w:rPr>
            <w:fldChar w:fldCharType="separate"/>
          </w:r>
          <w:r>
            <w:rPr>
              <w:color w:val="auto"/>
            </w:rPr>
            <w:t>14</w:t>
          </w:r>
          <w:r>
            <w:rPr>
              <w:color w:val="auto"/>
            </w:rPr>
            <w:fldChar w:fldCharType="end"/>
          </w:r>
          <w:r>
            <w:rPr>
              <w:rFonts w:cs="Times New Roman"/>
              <w:color w:val="auto"/>
            </w:rPr>
            <w:fldChar w:fldCharType="end"/>
          </w:r>
        </w:p>
        <w:p>
          <w:pPr>
            <w:pStyle w:val="22"/>
            <w:tabs>
              <w:tab w:val="right" w:leader="dot" w:pos="8306"/>
            </w:tabs>
            <w:spacing w:line="360" w:lineRule="auto"/>
            <w:rPr>
              <w:color w:val="auto"/>
            </w:rPr>
          </w:pPr>
          <w:r>
            <w:rPr>
              <w:rFonts w:cs="Times New Roman"/>
              <w:color w:val="auto"/>
            </w:rPr>
            <w:fldChar w:fldCharType="begin"/>
          </w:r>
          <w:r>
            <w:rPr>
              <w:rFonts w:cs="Times New Roman"/>
              <w:color w:val="auto"/>
            </w:rPr>
            <w:instrText xml:space="preserve"> HYPERLINK \l _Toc7652 </w:instrText>
          </w:r>
          <w:r>
            <w:rPr>
              <w:rFonts w:cs="Times New Roman"/>
              <w:color w:val="auto"/>
            </w:rPr>
            <w:fldChar w:fldCharType="separate"/>
          </w:r>
          <w:r>
            <w:rPr>
              <w:rFonts w:hint="eastAsia" w:cs="Times New Roman"/>
              <w:color w:val="auto"/>
            </w:rPr>
            <w:t xml:space="preserve">六、 </w:t>
          </w:r>
          <w:r>
            <w:rPr>
              <w:rFonts w:hint="eastAsia"/>
              <w:color w:val="auto"/>
            </w:rPr>
            <w:t>采购中止的情形</w:t>
          </w:r>
          <w:r>
            <w:rPr>
              <w:color w:val="auto"/>
            </w:rPr>
            <w:tab/>
          </w:r>
          <w:r>
            <w:rPr>
              <w:color w:val="auto"/>
            </w:rPr>
            <w:fldChar w:fldCharType="begin"/>
          </w:r>
          <w:r>
            <w:rPr>
              <w:color w:val="auto"/>
            </w:rPr>
            <w:instrText xml:space="preserve"> PAGEREF _Toc7652 \h </w:instrText>
          </w:r>
          <w:r>
            <w:rPr>
              <w:color w:val="auto"/>
            </w:rPr>
            <w:fldChar w:fldCharType="separate"/>
          </w:r>
          <w:r>
            <w:rPr>
              <w:color w:val="auto"/>
            </w:rPr>
            <w:t>16</w:t>
          </w:r>
          <w:r>
            <w:rPr>
              <w:color w:val="auto"/>
            </w:rPr>
            <w:fldChar w:fldCharType="end"/>
          </w:r>
          <w:r>
            <w:rPr>
              <w:rFonts w:cs="Times New Roman"/>
              <w:color w:val="auto"/>
            </w:rPr>
            <w:fldChar w:fldCharType="end"/>
          </w:r>
        </w:p>
        <w:p>
          <w:pPr>
            <w:pStyle w:val="22"/>
            <w:tabs>
              <w:tab w:val="right" w:leader="dot" w:pos="8306"/>
            </w:tabs>
            <w:spacing w:line="360" w:lineRule="auto"/>
            <w:rPr>
              <w:color w:val="auto"/>
            </w:rPr>
          </w:pPr>
          <w:r>
            <w:rPr>
              <w:rFonts w:cs="Times New Roman"/>
              <w:color w:val="auto"/>
            </w:rPr>
            <w:fldChar w:fldCharType="begin"/>
          </w:r>
          <w:r>
            <w:rPr>
              <w:rFonts w:cs="Times New Roman"/>
              <w:color w:val="auto"/>
            </w:rPr>
            <w:instrText xml:space="preserve"> HYPERLINK \l _Toc10208 </w:instrText>
          </w:r>
          <w:r>
            <w:rPr>
              <w:rFonts w:cs="Times New Roman"/>
              <w:color w:val="auto"/>
            </w:rPr>
            <w:fldChar w:fldCharType="separate"/>
          </w:r>
          <w:r>
            <w:rPr>
              <w:rFonts w:hint="eastAsia" w:cs="Times New Roman"/>
              <w:color w:val="auto"/>
            </w:rPr>
            <w:t xml:space="preserve">七、 </w:t>
          </w:r>
          <w:r>
            <w:rPr>
              <w:rFonts w:hint="eastAsia"/>
              <w:color w:val="auto"/>
            </w:rPr>
            <w:t>确定成交供应商与签订合同</w:t>
          </w:r>
          <w:r>
            <w:rPr>
              <w:color w:val="auto"/>
            </w:rPr>
            <w:tab/>
          </w:r>
          <w:r>
            <w:rPr>
              <w:color w:val="auto"/>
            </w:rPr>
            <w:fldChar w:fldCharType="begin"/>
          </w:r>
          <w:r>
            <w:rPr>
              <w:color w:val="auto"/>
            </w:rPr>
            <w:instrText xml:space="preserve"> PAGEREF _Toc10208 \h </w:instrText>
          </w:r>
          <w:r>
            <w:rPr>
              <w:color w:val="auto"/>
            </w:rPr>
            <w:fldChar w:fldCharType="separate"/>
          </w:r>
          <w:r>
            <w:rPr>
              <w:color w:val="auto"/>
            </w:rPr>
            <w:t>16</w:t>
          </w:r>
          <w:r>
            <w:rPr>
              <w:color w:val="auto"/>
            </w:rPr>
            <w:fldChar w:fldCharType="end"/>
          </w:r>
          <w:r>
            <w:rPr>
              <w:rFonts w:cs="Times New Roman"/>
              <w:color w:val="auto"/>
            </w:rPr>
            <w:fldChar w:fldCharType="end"/>
          </w:r>
        </w:p>
        <w:p>
          <w:pPr>
            <w:pStyle w:val="20"/>
            <w:tabs>
              <w:tab w:val="right" w:leader="dot" w:pos="8306"/>
            </w:tabs>
            <w:spacing w:line="360" w:lineRule="auto"/>
            <w:rPr>
              <w:color w:val="auto"/>
            </w:rPr>
          </w:pPr>
          <w:r>
            <w:rPr>
              <w:rFonts w:cs="Times New Roman"/>
              <w:color w:val="auto"/>
            </w:rPr>
            <w:fldChar w:fldCharType="begin"/>
          </w:r>
          <w:r>
            <w:rPr>
              <w:rFonts w:cs="Times New Roman"/>
              <w:color w:val="auto"/>
            </w:rPr>
            <w:instrText xml:space="preserve"> HYPERLINK \l _Toc6387 </w:instrText>
          </w:r>
          <w:r>
            <w:rPr>
              <w:rFonts w:cs="Times New Roman"/>
              <w:color w:val="auto"/>
            </w:rPr>
            <w:fldChar w:fldCharType="separate"/>
          </w:r>
          <w:r>
            <w:rPr>
              <w:rFonts w:hint="eastAsia"/>
              <w:color w:val="auto"/>
              <w:szCs w:val="36"/>
            </w:rPr>
            <w:t xml:space="preserve">第三部分 </w:t>
          </w:r>
          <w:r>
            <w:rPr>
              <w:rFonts w:hint="eastAsia" w:cs="宋体"/>
              <w:color w:val="auto"/>
              <w:szCs w:val="36"/>
            </w:rPr>
            <w:t>采购内容及要求</w:t>
          </w:r>
          <w:r>
            <w:rPr>
              <w:color w:val="auto"/>
            </w:rPr>
            <w:tab/>
          </w:r>
          <w:r>
            <w:rPr>
              <w:color w:val="auto"/>
            </w:rPr>
            <w:fldChar w:fldCharType="begin"/>
          </w:r>
          <w:r>
            <w:rPr>
              <w:color w:val="auto"/>
            </w:rPr>
            <w:instrText xml:space="preserve"> PAGEREF _Toc6387 \h </w:instrText>
          </w:r>
          <w:r>
            <w:rPr>
              <w:color w:val="auto"/>
            </w:rPr>
            <w:fldChar w:fldCharType="separate"/>
          </w:r>
          <w:r>
            <w:rPr>
              <w:color w:val="auto"/>
            </w:rPr>
            <w:t>18</w:t>
          </w:r>
          <w:r>
            <w:rPr>
              <w:color w:val="auto"/>
            </w:rPr>
            <w:fldChar w:fldCharType="end"/>
          </w:r>
          <w:r>
            <w:rPr>
              <w:rFonts w:cs="Times New Roman"/>
              <w:color w:val="auto"/>
            </w:rPr>
            <w:fldChar w:fldCharType="end"/>
          </w:r>
        </w:p>
        <w:p>
          <w:pPr>
            <w:pStyle w:val="22"/>
            <w:tabs>
              <w:tab w:val="right" w:leader="dot" w:pos="8306"/>
            </w:tabs>
            <w:spacing w:line="360" w:lineRule="auto"/>
            <w:rPr>
              <w:color w:val="auto"/>
            </w:rPr>
          </w:pPr>
          <w:r>
            <w:rPr>
              <w:rFonts w:cs="Times New Roman"/>
              <w:color w:val="auto"/>
            </w:rPr>
            <w:fldChar w:fldCharType="begin"/>
          </w:r>
          <w:r>
            <w:rPr>
              <w:rFonts w:cs="Times New Roman"/>
              <w:color w:val="auto"/>
            </w:rPr>
            <w:instrText xml:space="preserve"> HYPERLINK \l _Toc27160 </w:instrText>
          </w:r>
          <w:r>
            <w:rPr>
              <w:rFonts w:cs="Times New Roman"/>
              <w:color w:val="auto"/>
            </w:rPr>
            <w:fldChar w:fldCharType="separate"/>
          </w:r>
          <w:r>
            <w:rPr>
              <w:rFonts w:hint="eastAsia"/>
              <w:color w:val="auto"/>
              <w:szCs w:val="28"/>
            </w:rPr>
            <w:t>第</w:t>
          </w:r>
          <w:r>
            <w:rPr>
              <w:rFonts w:hint="eastAsia"/>
              <w:color w:val="auto"/>
              <w:szCs w:val="28"/>
              <w:lang w:val="en-US" w:eastAsia="zh-CN"/>
            </w:rPr>
            <w:t>一</w:t>
          </w:r>
          <w:r>
            <w:rPr>
              <w:rFonts w:hint="eastAsia"/>
              <w:color w:val="auto"/>
              <w:szCs w:val="28"/>
            </w:rPr>
            <w:t>章　采购内容及要求</w:t>
          </w:r>
          <w:r>
            <w:rPr>
              <w:color w:val="auto"/>
            </w:rPr>
            <w:tab/>
          </w:r>
          <w:r>
            <w:rPr>
              <w:color w:val="auto"/>
            </w:rPr>
            <w:fldChar w:fldCharType="begin"/>
          </w:r>
          <w:r>
            <w:rPr>
              <w:color w:val="auto"/>
            </w:rPr>
            <w:instrText xml:space="preserve"> PAGEREF _Toc27160 \h </w:instrText>
          </w:r>
          <w:r>
            <w:rPr>
              <w:color w:val="auto"/>
            </w:rPr>
            <w:fldChar w:fldCharType="separate"/>
          </w:r>
          <w:r>
            <w:rPr>
              <w:color w:val="auto"/>
            </w:rPr>
            <w:t>18</w:t>
          </w:r>
          <w:r>
            <w:rPr>
              <w:color w:val="auto"/>
            </w:rPr>
            <w:fldChar w:fldCharType="end"/>
          </w:r>
          <w:r>
            <w:rPr>
              <w:rFonts w:cs="Times New Roman"/>
              <w:color w:val="auto"/>
            </w:rPr>
            <w:fldChar w:fldCharType="end"/>
          </w:r>
        </w:p>
        <w:p>
          <w:pPr>
            <w:pStyle w:val="22"/>
            <w:tabs>
              <w:tab w:val="right" w:leader="dot" w:pos="8306"/>
            </w:tabs>
            <w:spacing w:line="360" w:lineRule="auto"/>
            <w:rPr>
              <w:color w:val="auto"/>
            </w:rPr>
          </w:pPr>
          <w:r>
            <w:rPr>
              <w:rFonts w:cs="Times New Roman"/>
              <w:color w:val="auto"/>
            </w:rPr>
            <w:fldChar w:fldCharType="begin"/>
          </w:r>
          <w:r>
            <w:rPr>
              <w:rFonts w:cs="Times New Roman"/>
              <w:color w:val="auto"/>
            </w:rPr>
            <w:instrText xml:space="preserve"> HYPERLINK \l _Toc3715 </w:instrText>
          </w:r>
          <w:r>
            <w:rPr>
              <w:rFonts w:cs="Times New Roman"/>
              <w:color w:val="auto"/>
            </w:rPr>
            <w:fldChar w:fldCharType="separate"/>
          </w:r>
          <w:r>
            <w:rPr>
              <w:rFonts w:hint="eastAsia"/>
              <w:color w:val="auto"/>
              <w:szCs w:val="28"/>
              <w:lang w:val="en-US" w:eastAsia="zh-CN"/>
            </w:rPr>
            <w:t xml:space="preserve">第二章 </w:t>
          </w:r>
          <w:r>
            <w:rPr>
              <w:rFonts w:hint="eastAsia"/>
              <w:color w:val="auto"/>
              <w:szCs w:val="28"/>
            </w:rPr>
            <w:t>付款方式及要求</w:t>
          </w:r>
          <w:r>
            <w:rPr>
              <w:color w:val="auto"/>
            </w:rPr>
            <w:tab/>
          </w:r>
          <w:r>
            <w:rPr>
              <w:color w:val="auto"/>
            </w:rPr>
            <w:fldChar w:fldCharType="begin"/>
          </w:r>
          <w:r>
            <w:rPr>
              <w:color w:val="auto"/>
            </w:rPr>
            <w:instrText xml:space="preserve"> PAGEREF _Toc3715 \h </w:instrText>
          </w:r>
          <w:r>
            <w:rPr>
              <w:color w:val="auto"/>
            </w:rPr>
            <w:fldChar w:fldCharType="separate"/>
          </w:r>
          <w:r>
            <w:rPr>
              <w:color w:val="auto"/>
            </w:rPr>
            <w:t>22</w:t>
          </w:r>
          <w:r>
            <w:rPr>
              <w:color w:val="auto"/>
            </w:rPr>
            <w:fldChar w:fldCharType="end"/>
          </w:r>
          <w:r>
            <w:rPr>
              <w:rFonts w:cs="Times New Roman"/>
              <w:color w:val="auto"/>
            </w:rPr>
            <w:fldChar w:fldCharType="end"/>
          </w:r>
        </w:p>
        <w:p>
          <w:pPr>
            <w:pStyle w:val="20"/>
            <w:tabs>
              <w:tab w:val="right" w:leader="dot" w:pos="8306"/>
            </w:tabs>
            <w:spacing w:line="360" w:lineRule="auto"/>
            <w:rPr>
              <w:color w:val="auto"/>
            </w:rPr>
          </w:pPr>
          <w:r>
            <w:rPr>
              <w:rFonts w:cs="Times New Roman"/>
              <w:color w:val="auto"/>
            </w:rPr>
            <w:fldChar w:fldCharType="begin"/>
          </w:r>
          <w:r>
            <w:rPr>
              <w:rFonts w:cs="Times New Roman"/>
              <w:color w:val="auto"/>
            </w:rPr>
            <w:instrText xml:space="preserve"> HYPERLINK \l _Toc21724 </w:instrText>
          </w:r>
          <w:r>
            <w:rPr>
              <w:rFonts w:cs="Times New Roman"/>
              <w:color w:val="auto"/>
            </w:rPr>
            <w:fldChar w:fldCharType="separate"/>
          </w:r>
          <w:r>
            <w:rPr>
              <w:rFonts w:hint="eastAsia" w:cs="宋体"/>
              <w:color w:val="auto"/>
              <w:szCs w:val="36"/>
            </w:rPr>
            <w:t>第四部分 磋商原则及磋商方法</w:t>
          </w:r>
          <w:r>
            <w:rPr>
              <w:color w:val="auto"/>
            </w:rPr>
            <w:tab/>
          </w:r>
          <w:r>
            <w:rPr>
              <w:color w:val="auto"/>
            </w:rPr>
            <w:fldChar w:fldCharType="begin"/>
          </w:r>
          <w:r>
            <w:rPr>
              <w:color w:val="auto"/>
            </w:rPr>
            <w:instrText xml:space="preserve"> PAGEREF _Toc21724 \h </w:instrText>
          </w:r>
          <w:r>
            <w:rPr>
              <w:color w:val="auto"/>
            </w:rPr>
            <w:fldChar w:fldCharType="separate"/>
          </w:r>
          <w:r>
            <w:rPr>
              <w:color w:val="auto"/>
            </w:rPr>
            <w:t>23</w:t>
          </w:r>
          <w:r>
            <w:rPr>
              <w:color w:val="auto"/>
            </w:rPr>
            <w:fldChar w:fldCharType="end"/>
          </w:r>
          <w:r>
            <w:rPr>
              <w:rFonts w:cs="Times New Roman"/>
              <w:color w:val="auto"/>
            </w:rPr>
            <w:fldChar w:fldCharType="end"/>
          </w:r>
        </w:p>
        <w:p>
          <w:pPr>
            <w:pStyle w:val="22"/>
            <w:tabs>
              <w:tab w:val="right" w:leader="dot" w:pos="8306"/>
            </w:tabs>
            <w:spacing w:line="360" w:lineRule="auto"/>
            <w:rPr>
              <w:color w:val="auto"/>
            </w:rPr>
          </w:pPr>
          <w:r>
            <w:rPr>
              <w:rFonts w:cs="Times New Roman"/>
              <w:color w:val="auto"/>
            </w:rPr>
            <w:fldChar w:fldCharType="begin"/>
          </w:r>
          <w:r>
            <w:rPr>
              <w:rFonts w:cs="Times New Roman"/>
              <w:color w:val="auto"/>
            </w:rPr>
            <w:instrText xml:space="preserve"> HYPERLINK \l _Toc24094 </w:instrText>
          </w:r>
          <w:r>
            <w:rPr>
              <w:rFonts w:cs="Times New Roman"/>
              <w:color w:val="auto"/>
            </w:rPr>
            <w:fldChar w:fldCharType="separate"/>
          </w:r>
          <w:r>
            <w:rPr>
              <w:rFonts w:hint="eastAsia" w:cs="Times New Roman"/>
              <w:color w:val="auto"/>
            </w:rPr>
            <w:t xml:space="preserve">一、 </w:t>
          </w:r>
          <w:r>
            <w:rPr>
              <w:rFonts w:hint="eastAsia"/>
              <w:color w:val="auto"/>
            </w:rPr>
            <w:t>磋商原则</w:t>
          </w:r>
          <w:r>
            <w:rPr>
              <w:color w:val="auto"/>
            </w:rPr>
            <w:tab/>
          </w:r>
          <w:r>
            <w:rPr>
              <w:color w:val="auto"/>
            </w:rPr>
            <w:fldChar w:fldCharType="begin"/>
          </w:r>
          <w:r>
            <w:rPr>
              <w:color w:val="auto"/>
            </w:rPr>
            <w:instrText xml:space="preserve"> PAGEREF _Toc24094 \h </w:instrText>
          </w:r>
          <w:r>
            <w:rPr>
              <w:color w:val="auto"/>
            </w:rPr>
            <w:fldChar w:fldCharType="separate"/>
          </w:r>
          <w:r>
            <w:rPr>
              <w:color w:val="auto"/>
            </w:rPr>
            <w:t>23</w:t>
          </w:r>
          <w:r>
            <w:rPr>
              <w:color w:val="auto"/>
            </w:rPr>
            <w:fldChar w:fldCharType="end"/>
          </w:r>
          <w:r>
            <w:rPr>
              <w:rFonts w:cs="Times New Roman"/>
              <w:color w:val="auto"/>
            </w:rPr>
            <w:fldChar w:fldCharType="end"/>
          </w:r>
        </w:p>
        <w:p>
          <w:pPr>
            <w:pStyle w:val="22"/>
            <w:tabs>
              <w:tab w:val="right" w:leader="dot" w:pos="8306"/>
            </w:tabs>
            <w:spacing w:line="360" w:lineRule="auto"/>
            <w:rPr>
              <w:color w:val="auto"/>
            </w:rPr>
          </w:pPr>
          <w:r>
            <w:rPr>
              <w:rFonts w:cs="Times New Roman"/>
              <w:color w:val="auto"/>
            </w:rPr>
            <w:fldChar w:fldCharType="begin"/>
          </w:r>
          <w:r>
            <w:rPr>
              <w:rFonts w:cs="Times New Roman"/>
              <w:color w:val="auto"/>
            </w:rPr>
            <w:instrText xml:space="preserve"> HYPERLINK \l _Toc7206 </w:instrText>
          </w:r>
          <w:r>
            <w:rPr>
              <w:rFonts w:cs="Times New Roman"/>
              <w:color w:val="auto"/>
            </w:rPr>
            <w:fldChar w:fldCharType="separate"/>
          </w:r>
          <w:r>
            <w:rPr>
              <w:rFonts w:hint="eastAsia" w:cs="Times New Roman"/>
              <w:color w:val="auto"/>
            </w:rPr>
            <w:t xml:space="preserve">二、 </w:t>
          </w:r>
          <w:r>
            <w:rPr>
              <w:rFonts w:hint="eastAsia"/>
              <w:color w:val="auto"/>
            </w:rPr>
            <w:t>磋商程序</w:t>
          </w:r>
          <w:r>
            <w:rPr>
              <w:color w:val="auto"/>
            </w:rPr>
            <w:tab/>
          </w:r>
          <w:r>
            <w:rPr>
              <w:color w:val="auto"/>
            </w:rPr>
            <w:fldChar w:fldCharType="begin"/>
          </w:r>
          <w:r>
            <w:rPr>
              <w:color w:val="auto"/>
            </w:rPr>
            <w:instrText xml:space="preserve"> PAGEREF _Toc7206 \h </w:instrText>
          </w:r>
          <w:r>
            <w:rPr>
              <w:color w:val="auto"/>
            </w:rPr>
            <w:fldChar w:fldCharType="separate"/>
          </w:r>
          <w:r>
            <w:rPr>
              <w:color w:val="auto"/>
            </w:rPr>
            <w:t>24</w:t>
          </w:r>
          <w:r>
            <w:rPr>
              <w:color w:val="auto"/>
            </w:rPr>
            <w:fldChar w:fldCharType="end"/>
          </w:r>
          <w:r>
            <w:rPr>
              <w:rFonts w:cs="Times New Roman"/>
              <w:color w:val="auto"/>
            </w:rPr>
            <w:fldChar w:fldCharType="end"/>
          </w:r>
        </w:p>
        <w:p>
          <w:pPr>
            <w:pStyle w:val="22"/>
            <w:tabs>
              <w:tab w:val="right" w:leader="dot" w:pos="8306"/>
            </w:tabs>
            <w:spacing w:line="360" w:lineRule="auto"/>
            <w:rPr>
              <w:color w:val="auto"/>
            </w:rPr>
          </w:pPr>
          <w:r>
            <w:rPr>
              <w:rFonts w:cs="Times New Roman"/>
              <w:color w:val="auto"/>
            </w:rPr>
            <w:fldChar w:fldCharType="begin"/>
          </w:r>
          <w:r>
            <w:rPr>
              <w:rFonts w:cs="Times New Roman"/>
              <w:color w:val="auto"/>
            </w:rPr>
            <w:instrText xml:space="preserve"> HYPERLINK \l _Toc18583 </w:instrText>
          </w:r>
          <w:r>
            <w:rPr>
              <w:rFonts w:cs="Times New Roman"/>
              <w:color w:val="auto"/>
            </w:rPr>
            <w:fldChar w:fldCharType="separate"/>
          </w:r>
          <w:r>
            <w:rPr>
              <w:rFonts w:hint="eastAsia" w:cs="Times New Roman"/>
              <w:color w:val="auto"/>
            </w:rPr>
            <w:t xml:space="preserve">三、 </w:t>
          </w:r>
          <w:r>
            <w:rPr>
              <w:rFonts w:hint="eastAsia"/>
              <w:color w:val="auto"/>
            </w:rPr>
            <w:t>注意事项</w:t>
          </w:r>
          <w:r>
            <w:rPr>
              <w:color w:val="auto"/>
            </w:rPr>
            <w:tab/>
          </w:r>
          <w:r>
            <w:rPr>
              <w:color w:val="auto"/>
            </w:rPr>
            <w:fldChar w:fldCharType="begin"/>
          </w:r>
          <w:r>
            <w:rPr>
              <w:color w:val="auto"/>
            </w:rPr>
            <w:instrText xml:space="preserve"> PAGEREF _Toc18583 \h </w:instrText>
          </w:r>
          <w:r>
            <w:rPr>
              <w:color w:val="auto"/>
            </w:rPr>
            <w:fldChar w:fldCharType="separate"/>
          </w:r>
          <w:r>
            <w:rPr>
              <w:color w:val="auto"/>
            </w:rPr>
            <w:t>27</w:t>
          </w:r>
          <w:r>
            <w:rPr>
              <w:color w:val="auto"/>
            </w:rPr>
            <w:fldChar w:fldCharType="end"/>
          </w:r>
          <w:r>
            <w:rPr>
              <w:rFonts w:cs="Times New Roman"/>
              <w:color w:val="auto"/>
            </w:rPr>
            <w:fldChar w:fldCharType="end"/>
          </w:r>
        </w:p>
        <w:p>
          <w:pPr>
            <w:pStyle w:val="22"/>
            <w:tabs>
              <w:tab w:val="right" w:leader="dot" w:pos="8306"/>
            </w:tabs>
            <w:spacing w:line="360" w:lineRule="auto"/>
            <w:rPr>
              <w:color w:val="auto"/>
            </w:rPr>
          </w:pPr>
          <w:r>
            <w:rPr>
              <w:rFonts w:cs="Times New Roman"/>
              <w:color w:val="auto"/>
            </w:rPr>
            <w:fldChar w:fldCharType="begin"/>
          </w:r>
          <w:r>
            <w:rPr>
              <w:rFonts w:cs="Times New Roman"/>
              <w:color w:val="auto"/>
            </w:rPr>
            <w:instrText xml:space="preserve"> HYPERLINK \l _Toc29650 </w:instrText>
          </w:r>
          <w:r>
            <w:rPr>
              <w:rFonts w:cs="Times New Roman"/>
              <w:color w:val="auto"/>
            </w:rPr>
            <w:fldChar w:fldCharType="separate"/>
          </w:r>
          <w:r>
            <w:rPr>
              <w:rFonts w:hint="eastAsia" w:cs="Times New Roman"/>
              <w:color w:val="auto"/>
            </w:rPr>
            <w:t xml:space="preserve">四、 </w:t>
          </w:r>
          <w:r>
            <w:rPr>
              <w:rFonts w:hint="eastAsia"/>
              <w:color w:val="auto"/>
            </w:rPr>
            <w:t>评分细则</w:t>
          </w:r>
          <w:r>
            <w:rPr>
              <w:color w:val="auto"/>
            </w:rPr>
            <w:tab/>
          </w:r>
          <w:r>
            <w:rPr>
              <w:color w:val="auto"/>
            </w:rPr>
            <w:fldChar w:fldCharType="begin"/>
          </w:r>
          <w:r>
            <w:rPr>
              <w:color w:val="auto"/>
            </w:rPr>
            <w:instrText xml:space="preserve"> PAGEREF _Toc29650 \h </w:instrText>
          </w:r>
          <w:r>
            <w:rPr>
              <w:color w:val="auto"/>
            </w:rPr>
            <w:fldChar w:fldCharType="separate"/>
          </w:r>
          <w:r>
            <w:rPr>
              <w:color w:val="auto"/>
            </w:rPr>
            <w:t>27</w:t>
          </w:r>
          <w:r>
            <w:rPr>
              <w:color w:val="auto"/>
            </w:rPr>
            <w:fldChar w:fldCharType="end"/>
          </w:r>
          <w:r>
            <w:rPr>
              <w:rFonts w:cs="Times New Roman"/>
              <w:color w:val="auto"/>
            </w:rPr>
            <w:fldChar w:fldCharType="end"/>
          </w:r>
        </w:p>
        <w:p>
          <w:pPr>
            <w:pStyle w:val="20"/>
            <w:tabs>
              <w:tab w:val="right" w:leader="dot" w:pos="8306"/>
            </w:tabs>
            <w:spacing w:line="360" w:lineRule="auto"/>
            <w:rPr>
              <w:color w:val="auto"/>
            </w:rPr>
          </w:pPr>
          <w:r>
            <w:rPr>
              <w:rFonts w:cs="Times New Roman"/>
              <w:color w:val="auto"/>
            </w:rPr>
            <w:fldChar w:fldCharType="begin"/>
          </w:r>
          <w:r>
            <w:rPr>
              <w:rFonts w:cs="Times New Roman"/>
              <w:color w:val="auto"/>
            </w:rPr>
            <w:instrText xml:space="preserve"> HYPERLINK \l _Toc29701 </w:instrText>
          </w:r>
          <w:r>
            <w:rPr>
              <w:rFonts w:cs="Times New Roman"/>
              <w:color w:val="auto"/>
            </w:rPr>
            <w:fldChar w:fldCharType="separate"/>
          </w:r>
          <w:r>
            <w:rPr>
              <w:rFonts w:hint="eastAsia" w:cs="宋体"/>
              <w:color w:val="auto"/>
              <w:szCs w:val="36"/>
            </w:rPr>
            <w:t>第五部分</w:t>
          </w:r>
          <w:r>
            <w:rPr>
              <w:color w:val="auto"/>
              <w:szCs w:val="36"/>
            </w:rPr>
            <w:t xml:space="preserve"> </w:t>
          </w:r>
          <w:r>
            <w:rPr>
              <w:rFonts w:hint="eastAsia" w:cs="宋体"/>
              <w:color w:val="auto"/>
              <w:szCs w:val="36"/>
            </w:rPr>
            <w:t>采购合同</w:t>
          </w:r>
          <w:r>
            <w:rPr>
              <w:color w:val="auto"/>
            </w:rPr>
            <w:tab/>
          </w:r>
          <w:r>
            <w:rPr>
              <w:color w:val="auto"/>
            </w:rPr>
            <w:fldChar w:fldCharType="begin"/>
          </w:r>
          <w:r>
            <w:rPr>
              <w:color w:val="auto"/>
            </w:rPr>
            <w:instrText xml:space="preserve"> PAGEREF _Toc29701 \h </w:instrText>
          </w:r>
          <w:r>
            <w:rPr>
              <w:color w:val="auto"/>
            </w:rPr>
            <w:fldChar w:fldCharType="separate"/>
          </w:r>
          <w:r>
            <w:rPr>
              <w:color w:val="auto"/>
            </w:rPr>
            <w:t>31</w:t>
          </w:r>
          <w:r>
            <w:rPr>
              <w:color w:val="auto"/>
            </w:rPr>
            <w:fldChar w:fldCharType="end"/>
          </w:r>
          <w:r>
            <w:rPr>
              <w:rFonts w:cs="Times New Roman"/>
              <w:color w:val="auto"/>
            </w:rPr>
            <w:fldChar w:fldCharType="end"/>
          </w:r>
        </w:p>
        <w:p>
          <w:pPr>
            <w:pStyle w:val="20"/>
            <w:tabs>
              <w:tab w:val="right" w:leader="dot" w:pos="8306"/>
            </w:tabs>
            <w:spacing w:line="360" w:lineRule="auto"/>
            <w:rPr>
              <w:color w:val="auto"/>
            </w:rPr>
          </w:pPr>
          <w:r>
            <w:rPr>
              <w:rFonts w:cs="Times New Roman"/>
              <w:color w:val="auto"/>
            </w:rPr>
            <w:fldChar w:fldCharType="begin"/>
          </w:r>
          <w:r>
            <w:rPr>
              <w:rFonts w:cs="Times New Roman"/>
              <w:color w:val="auto"/>
            </w:rPr>
            <w:instrText xml:space="preserve"> HYPERLINK \l _Toc21169 </w:instrText>
          </w:r>
          <w:r>
            <w:rPr>
              <w:rFonts w:cs="Times New Roman"/>
              <w:color w:val="auto"/>
            </w:rPr>
            <w:fldChar w:fldCharType="separate"/>
          </w:r>
          <w:r>
            <w:rPr>
              <w:rFonts w:hint="eastAsia" w:cs="宋体"/>
              <w:color w:val="auto"/>
              <w:szCs w:val="36"/>
            </w:rPr>
            <w:t>第六部分</w:t>
          </w:r>
          <w:r>
            <w:rPr>
              <w:color w:val="auto"/>
              <w:szCs w:val="36"/>
            </w:rPr>
            <w:t xml:space="preserve"> </w:t>
          </w:r>
          <w:r>
            <w:rPr>
              <w:rFonts w:hint="eastAsia" w:cs="宋体"/>
              <w:color w:val="auto"/>
              <w:szCs w:val="36"/>
            </w:rPr>
            <w:t>应提交的有关格式范例</w:t>
          </w:r>
          <w:r>
            <w:rPr>
              <w:color w:val="auto"/>
            </w:rPr>
            <w:tab/>
          </w:r>
          <w:r>
            <w:rPr>
              <w:color w:val="auto"/>
            </w:rPr>
            <w:fldChar w:fldCharType="begin"/>
          </w:r>
          <w:r>
            <w:rPr>
              <w:color w:val="auto"/>
            </w:rPr>
            <w:instrText xml:space="preserve"> PAGEREF _Toc21169 \h </w:instrText>
          </w:r>
          <w:r>
            <w:rPr>
              <w:color w:val="auto"/>
            </w:rPr>
            <w:fldChar w:fldCharType="separate"/>
          </w:r>
          <w:r>
            <w:rPr>
              <w:color w:val="auto"/>
            </w:rPr>
            <w:t>38</w:t>
          </w:r>
          <w:r>
            <w:rPr>
              <w:color w:val="auto"/>
            </w:rPr>
            <w:fldChar w:fldCharType="end"/>
          </w:r>
          <w:r>
            <w:rPr>
              <w:rFonts w:cs="Times New Roman"/>
              <w:color w:val="auto"/>
            </w:rPr>
            <w:fldChar w:fldCharType="end"/>
          </w:r>
        </w:p>
        <w:p>
          <w:pPr>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cs="Times New Roman"/>
              <w:color w:val="auto"/>
            </w:rPr>
          </w:pPr>
          <w:r>
            <w:rPr>
              <w:rFonts w:cs="Times New Roman"/>
              <w:b/>
              <w:color w:val="auto"/>
            </w:rPr>
            <w:fldChar w:fldCharType="end"/>
          </w:r>
        </w:p>
      </w:sdtContent>
    </w:sdt>
    <w:p>
      <w:pPr>
        <w:keepLines w:val="0"/>
        <w:pageBreakBefore w:val="0"/>
        <w:kinsoku/>
        <w:wordWrap/>
        <w:overflowPunct/>
        <w:topLinePunct w:val="0"/>
        <w:autoSpaceDE/>
        <w:autoSpaceDN/>
        <w:bidi w:val="0"/>
        <w:adjustRightInd/>
        <w:snapToGrid/>
        <w:spacing w:line="360" w:lineRule="auto"/>
        <w:textAlignment w:val="auto"/>
        <w:rPr>
          <w:color w:val="auto"/>
        </w:rPr>
      </w:pPr>
    </w:p>
    <w:p>
      <w:pPr>
        <w:keepLines w:val="0"/>
        <w:pageBreakBefore w:val="0"/>
        <w:kinsoku/>
        <w:wordWrap/>
        <w:overflowPunct/>
        <w:topLinePunct w:val="0"/>
        <w:autoSpaceDE/>
        <w:autoSpaceDN/>
        <w:bidi w:val="0"/>
        <w:adjustRightInd/>
        <w:snapToGrid/>
        <w:spacing w:line="360" w:lineRule="auto"/>
        <w:textAlignment w:val="auto"/>
        <w:rPr>
          <w:color w:val="auto"/>
        </w:rPr>
      </w:pPr>
    </w:p>
    <w:p>
      <w:pPr>
        <w:keepLines w:val="0"/>
        <w:pageBreakBefore w:val="0"/>
        <w:kinsoku/>
        <w:wordWrap/>
        <w:overflowPunct/>
        <w:topLinePunct w:val="0"/>
        <w:autoSpaceDE/>
        <w:autoSpaceDN/>
        <w:bidi w:val="0"/>
        <w:adjustRightInd/>
        <w:snapToGrid/>
        <w:spacing w:line="360" w:lineRule="auto"/>
        <w:textAlignment w:val="auto"/>
        <w:rPr>
          <w:color w:val="auto"/>
        </w:rPr>
      </w:pPr>
    </w:p>
    <w:p>
      <w:pPr>
        <w:rPr>
          <w:color w:val="auto"/>
        </w:rPr>
      </w:pPr>
    </w:p>
    <w:p>
      <w:pPr>
        <w:tabs>
          <w:tab w:val="left" w:pos="3148"/>
        </w:tabs>
        <w:jc w:val="left"/>
        <w:rPr>
          <w:color w:val="auto"/>
        </w:rPr>
        <w:sectPr>
          <w:footerReference r:id="rId4" w:type="default"/>
          <w:pgSz w:w="11906" w:h="16838"/>
          <w:pgMar w:top="1440" w:right="1800" w:bottom="1440" w:left="1800" w:header="851" w:footer="992" w:gutter="0"/>
          <w:pgNumType w:start="1"/>
          <w:cols w:space="425" w:num="1"/>
          <w:docGrid w:type="lines" w:linePitch="312" w:charSpace="0"/>
        </w:sectPr>
      </w:pPr>
    </w:p>
    <w:p>
      <w:pPr>
        <w:pStyle w:val="5"/>
        <w:jc w:val="center"/>
        <w:rPr>
          <w:rFonts w:ascii="宋体" w:cs="Times New Roman"/>
          <w:color w:val="auto"/>
        </w:rPr>
      </w:pPr>
      <w:bookmarkStart w:id="1" w:name="_Toc31034"/>
      <w:bookmarkStart w:id="2" w:name="_Toc32199"/>
      <w:bookmarkStart w:id="3" w:name="_Toc1782"/>
      <w:bookmarkStart w:id="4" w:name="_Toc13178"/>
      <w:bookmarkStart w:id="5" w:name="第二部分"/>
      <w:bookmarkStart w:id="6" w:name="_Toc91899870"/>
      <w:r>
        <w:rPr>
          <w:rFonts w:hint="eastAsia" w:cs="宋体"/>
          <w:color w:val="auto"/>
          <w:sz w:val="36"/>
          <w:szCs w:val="36"/>
        </w:rPr>
        <w:t>第一部分</w:t>
      </w:r>
      <w:r>
        <w:rPr>
          <w:color w:val="auto"/>
          <w:sz w:val="36"/>
          <w:szCs w:val="36"/>
        </w:rPr>
        <w:t xml:space="preserve"> </w:t>
      </w:r>
      <w:r>
        <w:rPr>
          <w:rFonts w:hint="eastAsia" w:cs="宋体"/>
          <w:color w:val="auto"/>
          <w:sz w:val="36"/>
          <w:szCs w:val="36"/>
        </w:rPr>
        <w:t>磋商公告</w:t>
      </w:r>
      <w:bookmarkEnd w:id="1"/>
      <w:bookmarkEnd w:id="2"/>
      <w:bookmarkEnd w:id="3"/>
      <w:bookmarkEnd w:id="4"/>
    </w:p>
    <w:p>
      <w:pPr>
        <w:adjustRightInd w:val="0"/>
        <w:spacing w:line="360" w:lineRule="auto"/>
        <w:jc w:val="center"/>
        <w:rPr>
          <w:rFonts w:ascii="宋体"/>
          <w:color w:val="auto"/>
          <w:sz w:val="28"/>
          <w:szCs w:val="28"/>
        </w:rPr>
      </w:pPr>
      <w:r>
        <w:rPr>
          <w:rFonts w:hint="eastAsia" w:ascii="宋体" w:hAnsi="宋体" w:cs="宋体"/>
          <w:color w:val="auto"/>
          <w:sz w:val="28"/>
          <w:szCs w:val="28"/>
          <w:lang w:eastAsia="zh-CN"/>
        </w:rPr>
        <w:t>浙江省成套工程有限公司</w:t>
      </w:r>
      <w:r>
        <w:rPr>
          <w:rFonts w:hint="eastAsia" w:ascii="宋体" w:hAnsi="宋体" w:cs="宋体"/>
          <w:color w:val="auto"/>
          <w:sz w:val="28"/>
          <w:szCs w:val="28"/>
        </w:rPr>
        <w:t>关于</w:t>
      </w:r>
      <w:r>
        <w:rPr>
          <w:rFonts w:hint="eastAsia" w:ascii="宋体" w:hAnsi="宋体" w:cs="宋体"/>
          <w:color w:val="auto"/>
          <w:sz w:val="28"/>
          <w:szCs w:val="28"/>
          <w:lang w:eastAsia="zh-CN"/>
        </w:rPr>
        <w:t>绍兴市上虞区综合行政执法局2024年上虞区智慧城管信息采集项目</w:t>
      </w:r>
      <w:r>
        <w:rPr>
          <w:rFonts w:hint="eastAsia" w:ascii="宋体" w:hAnsi="宋体" w:cs="宋体"/>
          <w:color w:val="auto"/>
          <w:sz w:val="28"/>
          <w:szCs w:val="28"/>
        </w:rPr>
        <w:t>的竞争性磋商公告</w:t>
      </w:r>
    </w:p>
    <w:p>
      <w:pPr>
        <w:adjustRightInd w:val="0"/>
        <w:spacing w:line="360" w:lineRule="auto"/>
        <w:jc w:val="center"/>
        <w:rPr>
          <w:rFonts w:ascii="宋体"/>
          <w:color w:val="auto"/>
          <w:sz w:val="28"/>
          <w:szCs w:val="28"/>
        </w:rPr>
      </w:pPr>
      <w:r>
        <w:rPr>
          <w:rFonts w:hint="eastAsia" w:ascii="宋体" w:hAnsi="宋体" w:cs="宋体"/>
          <w:color w:val="auto"/>
          <w:sz w:val="28"/>
          <w:szCs w:val="28"/>
        </w:rPr>
        <w:t>公告日期：</w:t>
      </w:r>
      <w:r>
        <w:rPr>
          <w:rFonts w:ascii="宋体" w:hAnsi="宋体" w:cs="宋体"/>
          <w:color w:val="auto"/>
          <w:sz w:val="28"/>
          <w:szCs w:val="28"/>
        </w:rPr>
        <w:t>20</w:t>
      </w:r>
      <w:r>
        <w:rPr>
          <w:rFonts w:hint="eastAsia" w:ascii="宋体" w:hAnsi="宋体" w:cs="宋体"/>
          <w:color w:val="auto"/>
          <w:sz w:val="28"/>
          <w:szCs w:val="28"/>
        </w:rPr>
        <w:t>2</w:t>
      </w:r>
      <w:r>
        <w:rPr>
          <w:rFonts w:hint="eastAsia" w:ascii="宋体" w:hAnsi="宋体" w:cs="宋体"/>
          <w:color w:val="auto"/>
          <w:sz w:val="28"/>
          <w:szCs w:val="28"/>
          <w:lang w:val="en-US" w:eastAsia="zh-CN"/>
        </w:rPr>
        <w:t>4</w:t>
      </w:r>
      <w:r>
        <w:rPr>
          <w:rFonts w:hint="eastAsia" w:ascii="宋体" w:hAnsi="宋体" w:cs="宋体"/>
          <w:color w:val="auto"/>
          <w:sz w:val="28"/>
          <w:szCs w:val="28"/>
        </w:rPr>
        <w:t>年</w:t>
      </w:r>
      <w:r>
        <w:rPr>
          <w:rFonts w:hint="eastAsia" w:ascii="宋体" w:hAnsi="宋体" w:cs="宋体"/>
          <w:color w:val="auto"/>
          <w:sz w:val="28"/>
          <w:szCs w:val="28"/>
          <w:lang w:val="en-US" w:eastAsia="zh-CN"/>
        </w:rPr>
        <w:t>5</w:t>
      </w:r>
      <w:r>
        <w:rPr>
          <w:rFonts w:hint="eastAsia" w:ascii="宋体" w:hAnsi="宋体" w:cs="宋体"/>
          <w:color w:val="auto"/>
          <w:sz w:val="28"/>
          <w:szCs w:val="28"/>
        </w:rPr>
        <w:t>月</w:t>
      </w:r>
      <w:r>
        <w:rPr>
          <w:rFonts w:hint="eastAsia" w:ascii="宋体" w:hAnsi="宋体" w:cs="宋体"/>
          <w:color w:val="auto"/>
          <w:sz w:val="28"/>
          <w:szCs w:val="28"/>
          <w:lang w:val="en-US" w:eastAsia="zh-CN"/>
        </w:rPr>
        <w:t>8</w:t>
      </w:r>
      <w:r>
        <w:rPr>
          <w:rFonts w:hint="eastAsia" w:ascii="宋体" w:hAnsi="宋体" w:cs="宋体"/>
          <w:color w:val="auto"/>
          <w:sz w:val="28"/>
          <w:szCs w:val="28"/>
        </w:rPr>
        <w:t>日</w:t>
      </w:r>
    </w:p>
    <w:p>
      <w:pPr>
        <w:adjustRightInd w:val="0"/>
        <w:spacing w:line="360" w:lineRule="auto"/>
        <w:ind w:firstLine="480" w:firstLineChars="200"/>
        <w:rPr>
          <w:rFonts w:ascii="宋体"/>
          <w:color w:val="auto"/>
          <w:sz w:val="24"/>
          <w:szCs w:val="24"/>
        </w:rPr>
      </w:pPr>
      <w:r>
        <w:rPr>
          <w:rFonts w:hint="eastAsia" w:ascii="宋体" w:hAnsi="宋体" w:cs="宋体"/>
          <w:color w:val="auto"/>
          <w:sz w:val="24"/>
          <w:szCs w:val="24"/>
        </w:rPr>
        <w:t>根据《中华人民共和国政府采购法》等有关规定，</w:t>
      </w:r>
      <w:r>
        <w:rPr>
          <w:rFonts w:hint="eastAsia" w:ascii="宋体" w:hAnsi="宋体" w:cs="宋体"/>
          <w:color w:val="auto"/>
          <w:sz w:val="24"/>
          <w:szCs w:val="24"/>
          <w:u w:val="single"/>
          <w:lang w:eastAsia="zh-CN"/>
        </w:rPr>
        <w:t>浙江省成套工程有限公司</w:t>
      </w:r>
      <w:r>
        <w:rPr>
          <w:rFonts w:hint="eastAsia" w:ascii="宋体" w:hAnsi="宋体" w:cs="宋体"/>
          <w:color w:val="auto"/>
          <w:sz w:val="24"/>
          <w:szCs w:val="24"/>
        </w:rPr>
        <w:t>受</w:t>
      </w:r>
      <w:r>
        <w:rPr>
          <w:rFonts w:hint="eastAsia" w:ascii="宋体" w:hAnsi="宋体" w:cs="宋体"/>
          <w:color w:val="auto"/>
          <w:sz w:val="24"/>
          <w:szCs w:val="24"/>
          <w:u w:val="single"/>
          <w:lang w:eastAsia="zh-CN"/>
        </w:rPr>
        <w:t>绍兴市上虞区综合行政执法局</w:t>
      </w:r>
      <w:r>
        <w:rPr>
          <w:rFonts w:hint="eastAsia" w:ascii="宋体" w:hAnsi="宋体" w:cs="宋体"/>
          <w:color w:val="auto"/>
          <w:sz w:val="24"/>
          <w:szCs w:val="24"/>
        </w:rPr>
        <w:t>委托，现就</w:t>
      </w:r>
      <w:r>
        <w:rPr>
          <w:rFonts w:hint="eastAsia" w:ascii="宋体" w:hAnsi="宋体" w:cs="宋体"/>
          <w:color w:val="auto"/>
          <w:sz w:val="24"/>
          <w:szCs w:val="24"/>
          <w:u w:val="single"/>
          <w:lang w:eastAsia="zh-CN"/>
        </w:rPr>
        <w:t xml:space="preserve">2024年上虞区智慧城管信息采集项目 </w:t>
      </w:r>
      <w:r>
        <w:rPr>
          <w:rFonts w:hint="eastAsia" w:ascii="宋体" w:hAnsi="宋体" w:cs="宋体"/>
          <w:color w:val="auto"/>
          <w:sz w:val="24"/>
          <w:szCs w:val="24"/>
        </w:rPr>
        <w:t>进行竞争性磋商采购，欢迎国内合格的供应商参加本次采购活动。</w:t>
      </w:r>
    </w:p>
    <w:p>
      <w:pPr>
        <w:numPr>
          <w:ilvl w:val="0"/>
          <w:numId w:val="2"/>
        </w:numPr>
        <w:adjustRightInd w:val="0"/>
        <w:spacing w:line="360" w:lineRule="auto"/>
        <w:ind w:firstLine="480" w:firstLineChars="200"/>
        <w:outlineLvl w:val="1"/>
        <w:rPr>
          <w:rFonts w:hint="eastAsia" w:ascii="宋体"/>
          <w:color w:val="auto"/>
          <w:sz w:val="24"/>
          <w:szCs w:val="24"/>
          <w:u w:val="single"/>
        </w:rPr>
      </w:pPr>
      <w:bookmarkStart w:id="7" w:name="_Toc13882"/>
      <w:bookmarkStart w:id="8" w:name="_Toc1362"/>
      <w:r>
        <w:rPr>
          <w:rFonts w:hint="eastAsia" w:ascii="宋体" w:hAnsi="宋体" w:cs="宋体"/>
          <w:color w:val="auto"/>
          <w:sz w:val="24"/>
          <w:szCs w:val="24"/>
        </w:rPr>
        <w:t>磋商项目编号：</w:t>
      </w:r>
      <w:bookmarkEnd w:id="7"/>
      <w:bookmarkEnd w:id="8"/>
      <w:r>
        <w:rPr>
          <w:rFonts w:hint="eastAsia" w:ascii="宋体"/>
          <w:color w:val="auto"/>
          <w:sz w:val="24"/>
          <w:szCs w:val="24"/>
          <w:u w:val="single"/>
          <w:lang w:eastAsia="zh-CN"/>
        </w:rPr>
        <w:t>ZJCTSY-2024-0410</w:t>
      </w:r>
    </w:p>
    <w:p>
      <w:pPr>
        <w:numPr>
          <w:ilvl w:val="0"/>
          <w:numId w:val="2"/>
        </w:numPr>
        <w:adjustRightInd w:val="0"/>
        <w:spacing w:line="360" w:lineRule="auto"/>
        <w:ind w:firstLine="480" w:firstLineChars="200"/>
        <w:outlineLvl w:val="1"/>
        <w:rPr>
          <w:rFonts w:ascii="宋体"/>
          <w:color w:val="auto"/>
          <w:sz w:val="24"/>
          <w:szCs w:val="24"/>
        </w:rPr>
      </w:pPr>
      <w:r>
        <w:rPr>
          <w:rFonts w:hint="eastAsia" w:ascii="宋体" w:hAnsi="宋体" w:cs="宋体"/>
          <w:color w:val="auto"/>
          <w:sz w:val="24"/>
          <w:szCs w:val="24"/>
        </w:rPr>
        <w:t>采购组织类型：</w:t>
      </w:r>
      <w:r>
        <w:rPr>
          <w:rFonts w:ascii="宋体" w:hAnsi="宋体" w:cs="宋体"/>
          <w:color w:val="auto"/>
          <w:sz w:val="24"/>
          <w:szCs w:val="24"/>
          <w:u w:val="single"/>
        </w:rPr>
        <w:t xml:space="preserve"> </w:t>
      </w:r>
      <w:r>
        <w:rPr>
          <w:rFonts w:hint="eastAsia" w:ascii="宋体" w:hAnsi="宋体" w:cs="宋体"/>
          <w:color w:val="auto"/>
          <w:sz w:val="24"/>
          <w:szCs w:val="24"/>
          <w:u w:val="single"/>
        </w:rPr>
        <w:t>分散采购（中介代理）</w:t>
      </w:r>
      <w:r>
        <w:rPr>
          <w:rFonts w:ascii="宋体" w:hAnsi="宋体" w:cs="宋体"/>
          <w:color w:val="auto"/>
          <w:sz w:val="24"/>
          <w:szCs w:val="24"/>
          <w:u w:val="single"/>
        </w:rPr>
        <w:t xml:space="preserve"> </w:t>
      </w:r>
      <w:r>
        <w:rPr>
          <w:rFonts w:ascii="宋体" w:hAnsi="宋体" w:cs="宋体"/>
          <w:color w:val="auto"/>
          <w:sz w:val="24"/>
          <w:szCs w:val="24"/>
        </w:rPr>
        <w:t xml:space="preserve"> </w:t>
      </w:r>
    </w:p>
    <w:p>
      <w:pPr>
        <w:adjustRightIn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w:t>
      </w:r>
      <w:r>
        <w:rPr>
          <w:rFonts w:ascii="宋体" w:hAnsi="宋体" w:cs="宋体"/>
          <w:color w:val="auto"/>
          <w:sz w:val="24"/>
          <w:szCs w:val="24"/>
        </w:rPr>
        <w:t xml:space="preserve"> </w:t>
      </w:r>
      <w:r>
        <w:rPr>
          <w:rFonts w:hint="eastAsia" w:ascii="宋体" w:hAnsi="宋体" w:cs="宋体"/>
          <w:color w:val="auto"/>
          <w:sz w:val="24"/>
          <w:szCs w:val="24"/>
        </w:rPr>
        <w:t>磋商项目概况</w:t>
      </w:r>
      <w:r>
        <w:rPr>
          <w:rFonts w:ascii="宋体" w:hAnsi="宋体" w:cs="宋体"/>
          <w:color w:val="auto"/>
          <w:sz w:val="24"/>
          <w:szCs w:val="24"/>
        </w:rPr>
        <w:t>:</w:t>
      </w:r>
    </w:p>
    <w:tbl>
      <w:tblPr>
        <w:tblStyle w:val="25"/>
        <w:tblW w:w="9706"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558"/>
        <w:gridCol w:w="2203"/>
        <w:gridCol w:w="810"/>
        <w:gridCol w:w="705"/>
        <w:gridCol w:w="1244"/>
        <w:gridCol w:w="2296"/>
        <w:gridCol w:w="1423"/>
        <w:gridCol w:w="467"/>
      </w:tblGrid>
      <w:tr>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977" w:hRule="atLeast"/>
          <w:jc w:val="center"/>
        </w:trPr>
        <w:tc>
          <w:tcPr>
            <w:tcW w:w="558" w:type="dxa"/>
            <w:tcBorders>
              <w:top w:val="single" w:color="000000" w:sz="4" w:space="0"/>
            </w:tcBorders>
            <w:vAlign w:val="center"/>
          </w:tcPr>
          <w:p>
            <w:pPr>
              <w:adjustRightInd w:val="0"/>
              <w:spacing w:line="360" w:lineRule="auto"/>
              <w:jc w:val="center"/>
              <w:rPr>
                <w:rFonts w:ascii="宋体"/>
                <w:color w:val="auto"/>
                <w:sz w:val="24"/>
                <w:szCs w:val="24"/>
              </w:rPr>
            </w:pPr>
            <w:r>
              <w:rPr>
                <w:rFonts w:hint="eastAsia" w:ascii="宋体" w:hAnsi="宋体" w:cs="宋体"/>
                <w:color w:val="auto"/>
                <w:sz w:val="24"/>
                <w:szCs w:val="24"/>
              </w:rPr>
              <w:t>序号</w:t>
            </w:r>
          </w:p>
        </w:tc>
        <w:tc>
          <w:tcPr>
            <w:tcW w:w="2203" w:type="dxa"/>
            <w:tcBorders>
              <w:top w:val="single" w:color="000000" w:sz="4" w:space="0"/>
            </w:tcBorders>
            <w:vAlign w:val="center"/>
          </w:tcPr>
          <w:p>
            <w:pPr>
              <w:adjustRightInd w:val="0"/>
              <w:spacing w:line="360" w:lineRule="auto"/>
              <w:jc w:val="center"/>
              <w:rPr>
                <w:rFonts w:ascii="宋体"/>
                <w:color w:val="auto"/>
                <w:sz w:val="24"/>
                <w:szCs w:val="24"/>
              </w:rPr>
            </w:pPr>
            <w:r>
              <w:rPr>
                <w:rFonts w:hint="eastAsia" w:ascii="宋体" w:hAnsi="宋体" w:cs="宋体"/>
                <w:color w:val="auto"/>
                <w:sz w:val="24"/>
                <w:szCs w:val="24"/>
              </w:rPr>
              <w:t>项目名称</w:t>
            </w:r>
          </w:p>
        </w:tc>
        <w:tc>
          <w:tcPr>
            <w:tcW w:w="810" w:type="dxa"/>
            <w:tcBorders>
              <w:top w:val="single" w:color="000000" w:sz="4" w:space="0"/>
            </w:tcBorders>
            <w:vAlign w:val="center"/>
          </w:tcPr>
          <w:p>
            <w:pPr>
              <w:adjustRightInd w:val="0"/>
              <w:spacing w:line="360" w:lineRule="auto"/>
              <w:jc w:val="center"/>
              <w:rPr>
                <w:rFonts w:ascii="宋体"/>
                <w:color w:val="auto"/>
                <w:sz w:val="24"/>
                <w:szCs w:val="24"/>
              </w:rPr>
            </w:pPr>
            <w:r>
              <w:rPr>
                <w:rFonts w:hint="eastAsia" w:ascii="宋体" w:hAnsi="宋体" w:cs="宋体"/>
                <w:color w:val="auto"/>
                <w:sz w:val="24"/>
                <w:szCs w:val="24"/>
              </w:rPr>
              <w:t>数量</w:t>
            </w:r>
          </w:p>
        </w:tc>
        <w:tc>
          <w:tcPr>
            <w:tcW w:w="705" w:type="dxa"/>
            <w:tcBorders>
              <w:top w:val="single" w:color="000000" w:sz="4" w:space="0"/>
            </w:tcBorders>
            <w:vAlign w:val="center"/>
          </w:tcPr>
          <w:p>
            <w:pPr>
              <w:adjustRightInd w:val="0"/>
              <w:spacing w:line="360" w:lineRule="auto"/>
              <w:jc w:val="center"/>
              <w:rPr>
                <w:rFonts w:ascii="宋体"/>
                <w:color w:val="auto"/>
                <w:sz w:val="24"/>
                <w:szCs w:val="24"/>
              </w:rPr>
            </w:pPr>
            <w:r>
              <w:rPr>
                <w:rFonts w:hint="eastAsia" w:ascii="宋体" w:hAnsi="宋体" w:cs="宋体"/>
                <w:color w:val="auto"/>
                <w:sz w:val="24"/>
                <w:szCs w:val="24"/>
              </w:rPr>
              <w:t>单位</w:t>
            </w:r>
          </w:p>
        </w:tc>
        <w:tc>
          <w:tcPr>
            <w:tcW w:w="1244" w:type="dxa"/>
            <w:tcBorders>
              <w:top w:val="single" w:color="000000" w:sz="4" w:space="0"/>
            </w:tcBorders>
            <w:vAlign w:val="center"/>
          </w:tcPr>
          <w:p>
            <w:pPr>
              <w:adjustRightInd w:val="0"/>
              <w:spacing w:line="360" w:lineRule="auto"/>
              <w:jc w:val="center"/>
              <w:rPr>
                <w:rFonts w:ascii="宋体"/>
                <w:color w:val="auto"/>
                <w:sz w:val="24"/>
                <w:szCs w:val="24"/>
              </w:rPr>
            </w:pPr>
            <w:r>
              <w:rPr>
                <w:rFonts w:hint="eastAsia" w:ascii="宋体" w:hAnsi="宋体" w:cs="宋体"/>
                <w:color w:val="auto"/>
                <w:sz w:val="24"/>
                <w:szCs w:val="24"/>
              </w:rPr>
              <w:t>预算金额</w:t>
            </w:r>
            <w:r>
              <w:rPr>
                <w:rFonts w:ascii="宋体" w:hAnsi="宋体" w:cs="宋体"/>
                <w:color w:val="auto"/>
                <w:sz w:val="24"/>
                <w:szCs w:val="24"/>
              </w:rPr>
              <w:t>(</w:t>
            </w:r>
            <w:r>
              <w:rPr>
                <w:rFonts w:hint="eastAsia" w:ascii="宋体" w:hAnsi="宋体" w:cs="宋体"/>
                <w:color w:val="auto"/>
                <w:sz w:val="24"/>
                <w:szCs w:val="24"/>
              </w:rPr>
              <w:t>万元</w:t>
            </w:r>
            <w:r>
              <w:rPr>
                <w:rFonts w:ascii="宋体" w:hAnsi="宋体" w:cs="宋体"/>
                <w:color w:val="auto"/>
                <w:sz w:val="24"/>
                <w:szCs w:val="24"/>
              </w:rPr>
              <w:t>)</w:t>
            </w:r>
          </w:p>
        </w:tc>
        <w:tc>
          <w:tcPr>
            <w:tcW w:w="2296" w:type="dxa"/>
            <w:tcBorders>
              <w:top w:val="single" w:color="000000" w:sz="4" w:space="0"/>
            </w:tcBorders>
            <w:vAlign w:val="center"/>
          </w:tcPr>
          <w:p>
            <w:pPr>
              <w:adjustRightInd w:val="0"/>
              <w:spacing w:line="360" w:lineRule="auto"/>
              <w:jc w:val="center"/>
              <w:rPr>
                <w:rFonts w:ascii="宋体"/>
                <w:color w:val="auto"/>
                <w:sz w:val="24"/>
                <w:szCs w:val="24"/>
              </w:rPr>
            </w:pPr>
            <w:r>
              <w:rPr>
                <w:rFonts w:hint="eastAsia" w:ascii="宋体" w:hAnsi="宋体" w:cs="宋体"/>
                <w:color w:val="auto"/>
                <w:sz w:val="24"/>
                <w:szCs w:val="24"/>
              </w:rPr>
              <w:t>简要规格描述或标项基本概况介绍</w:t>
            </w:r>
          </w:p>
        </w:tc>
        <w:tc>
          <w:tcPr>
            <w:tcW w:w="1423" w:type="dxa"/>
            <w:tcBorders>
              <w:top w:val="single" w:color="000000" w:sz="4" w:space="0"/>
            </w:tcBorders>
            <w:vAlign w:val="center"/>
          </w:tcPr>
          <w:p>
            <w:pPr>
              <w:adjustRightInd w:val="0"/>
              <w:spacing w:line="360" w:lineRule="auto"/>
              <w:jc w:val="center"/>
              <w:rPr>
                <w:rFonts w:ascii="宋体"/>
                <w:color w:val="auto"/>
                <w:sz w:val="24"/>
                <w:szCs w:val="24"/>
              </w:rPr>
            </w:pPr>
            <w:r>
              <w:rPr>
                <w:rFonts w:hint="eastAsia" w:ascii="宋体" w:hAnsi="宋体" w:cs="宋体"/>
                <w:color w:val="auto"/>
                <w:sz w:val="24"/>
                <w:szCs w:val="24"/>
              </w:rPr>
              <w:t>最高限价</w:t>
            </w:r>
            <w:r>
              <w:rPr>
                <w:rFonts w:ascii="宋体" w:hAnsi="宋体" w:cs="宋体"/>
                <w:color w:val="auto"/>
                <w:sz w:val="24"/>
                <w:szCs w:val="24"/>
              </w:rPr>
              <w:t>(</w:t>
            </w:r>
            <w:r>
              <w:rPr>
                <w:rFonts w:hint="eastAsia" w:ascii="宋体" w:hAnsi="宋体" w:cs="宋体"/>
                <w:color w:val="auto"/>
                <w:sz w:val="24"/>
                <w:szCs w:val="24"/>
              </w:rPr>
              <w:t>万元</w:t>
            </w:r>
            <w:r>
              <w:rPr>
                <w:rFonts w:ascii="宋体" w:hAnsi="宋体" w:cs="宋体"/>
                <w:color w:val="auto"/>
                <w:sz w:val="24"/>
                <w:szCs w:val="24"/>
              </w:rPr>
              <w:t>)</w:t>
            </w:r>
          </w:p>
        </w:tc>
        <w:tc>
          <w:tcPr>
            <w:tcW w:w="467" w:type="dxa"/>
            <w:tcBorders>
              <w:top w:val="single" w:color="000000" w:sz="4" w:space="0"/>
            </w:tcBorders>
            <w:vAlign w:val="center"/>
          </w:tcPr>
          <w:p>
            <w:pPr>
              <w:adjustRightInd w:val="0"/>
              <w:spacing w:line="360" w:lineRule="auto"/>
              <w:jc w:val="center"/>
              <w:rPr>
                <w:rFonts w:ascii="宋体"/>
                <w:color w:val="auto"/>
                <w:sz w:val="24"/>
                <w:szCs w:val="24"/>
              </w:rPr>
            </w:pPr>
            <w:r>
              <w:rPr>
                <w:rFonts w:hint="eastAsia" w:ascii="宋体"/>
                <w:color w:val="auto"/>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jc w:val="center"/>
        </w:trPr>
        <w:tc>
          <w:tcPr>
            <w:tcW w:w="558" w:type="dxa"/>
            <w:tcBorders>
              <w:bottom w:val="single" w:color="000000" w:sz="4" w:space="0"/>
            </w:tcBorders>
            <w:vAlign w:val="center"/>
          </w:tcPr>
          <w:p>
            <w:pPr>
              <w:adjustRightInd w:val="0"/>
              <w:spacing w:line="360" w:lineRule="auto"/>
              <w:jc w:val="center"/>
              <w:rPr>
                <w:rFonts w:ascii="宋体"/>
                <w:color w:val="auto"/>
                <w:sz w:val="24"/>
                <w:szCs w:val="24"/>
              </w:rPr>
            </w:pPr>
            <w:r>
              <w:rPr>
                <w:rFonts w:ascii="宋体" w:hAnsi="宋体" w:cs="宋体"/>
                <w:color w:val="auto"/>
                <w:sz w:val="24"/>
                <w:szCs w:val="24"/>
              </w:rPr>
              <w:t>1</w:t>
            </w:r>
          </w:p>
        </w:tc>
        <w:tc>
          <w:tcPr>
            <w:tcW w:w="2203" w:type="dxa"/>
            <w:tcBorders>
              <w:bottom w:val="single" w:color="000000" w:sz="4" w:space="0"/>
            </w:tcBorders>
            <w:vAlign w:val="center"/>
          </w:tcPr>
          <w:p>
            <w:pPr>
              <w:adjustRightInd w:val="0"/>
              <w:spacing w:line="360" w:lineRule="auto"/>
              <w:jc w:val="center"/>
              <w:rPr>
                <w:rFonts w:hint="eastAsia" w:ascii="宋体" w:eastAsia="宋体"/>
                <w:color w:val="auto"/>
                <w:sz w:val="24"/>
                <w:szCs w:val="24"/>
                <w:lang w:eastAsia="zh-CN"/>
              </w:rPr>
            </w:pPr>
            <w:r>
              <w:rPr>
                <w:rFonts w:hint="eastAsia" w:ascii="宋体" w:hAnsi="宋体" w:cs="宋体"/>
                <w:color w:val="auto"/>
                <w:sz w:val="24"/>
                <w:szCs w:val="24"/>
                <w:lang w:eastAsia="zh-CN"/>
              </w:rPr>
              <w:t>2024年上虞区智慧城管信息采集项目</w:t>
            </w:r>
          </w:p>
        </w:tc>
        <w:tc>
          <w:tcPr>
            <w:tcW w:w="810" w:type="dxa"/>
            <w:tcBorders>
              <w:bottom w:val="single" w:color="000000" w:sz="4" w:space="0"/>
            </w:tcBorders>
            <w:vAlign w:val="center"/>
          </w:tcPr>
          <w:p>
            <w:pPr>
              <w:adjustRightInd w:val="0"/>
              <w:spacing w:line="360" w:lineRule="auto"/>
              <w:jc w:val="center"/>
              <w:rPr>
                <w:rFonts w:hint="eastAsia" w:ascii="宋体" w:eastAsia="宋体"/>
                <w:color w:val="auto"/>
                <w:sz w:val="24"/>
                <w:szCs w:val="24"/>
                <w:lang w:eastAsia="zh-CN"/>
              </w:rPr>
            </w:pPr>
            <w:r>
              <w:rPr>
                <w:rFonts w:hint="eastAsia" w:ascii="宋体" w:hAnsi="宋体" w:cs="宋体"/>
                <w:color w:val="auto"/>
                <w:sz w:val="24"/>
                <w:szCs w:val="24"/>
                <w:lang w:val="en-US" w:eastAsia="zh-CN"/>
              </w:rPr>
              <w:t>1</w:t>
            </w:r>
          </w:p>
        </w:tc>
        <w:tc>
          <w:tcPr>
            <w:tcW w:w="705" w:type="dxa"/>
            <w:tcBorders>
              <w:bottom w:val="single" w:color="000000" w:sz="4" w:space="0"/>
            </w:tcBorders>
            <w:vAlign w:val="center"/>
          </w:tcPr>
          <w:p>
            <w:pPr>
              <w:adjustRightInd w:val="0"/>
              <w:spacing w:line="360" w:lineRule="auto"/>
              <w:jc w:val="center"/>
              <w:rPr>
                <w:rFonts w:hint="eastAsia" w:ascii="宋体" w:eastAsia="宋体"/>
                <w:color w:val="auto"/>
                <w:sz w:val="24"/>
                <w:szCs w:val="24"/>
                <w:lang w:eastAsia="zh-CN"/>
              </w:rPr>
            </w:pPr>
            <w:r>
              <w:rPr>
                <w:rFonts w:hint="eastAsia" w:ascii="宋体" w:hAnsi="宋体" w:cs="宋体"/>
                <w:color w:val="auto"/>
                <w:sz w:val="24"/>
                <w:szCs w:val="24"/>
                <w:lang w:eastAsia="zh-CN"/>
              </w:rPr>
              <w:t>项</w:t>
            </w:r>
          </w:p>
        </w:tc>
        <w:tc>
          <w:tcPr>
            <w:tcW w:w="1244" w:type="dxa"/>
            <w:tcBorders>
              <w:bottom w:val="single" w:color="000000" w:sz="4" w:space="0"/>
            </w:tcBorders>
            <w:vAlign w:val="center"/>
          </w:tcPr>
          <w:p>
            <w:pPr>
              <w:widowControl/>
              <w:spacing w:before="100" w:after="100" w:line="312" w:lineRule="auto"/>
              <w:jc w:val="center"/>
              <w:rPr>
                <w:rFonts w:hint="default" w:ascii="宋体" w:eastAsia="仿宋"/>
                <w:color w:val="auto"/>
                <w:sz w:val="24"/>
                <w:szCs w:val="24"/>
                <w:lang w:val="en-US" w:eastAsia="zh-CN"/>
              </w:rPr>
            </w:pPr>
            <w:r>
              <w:rPr>
                <w:rFonts w:hint="eastAsia" w:cs="Times New Roman"/>
                <w:color w:val="auto"/>
                <w:sz w:val="24"/>
                <w:szCs w:val="24"/>
                <w:lang w:val="en-US" w:eastAsia="zh-CN"/>
              </w:rPr>
              <w:t>80</w:t>
            </w:r>
          </w:p>
        </w:tc>
        <w:tc>
          <w:tcPr>
            <w:tcW w:w="2296" w:type="dxa"/>
            <w:tcBorders>
              <w:bottom w:val="single" w:color="000000" w:sz="4" w:space="0"/>
            </w:tcBorders>
            <w:vAlign w:val="center"/>
          </w:tcPr>
          <w:p>
            <w:pPr>
              <w:pStyle w:val="15"/>
              <w:snapToGrid w:val="0"/>
              <w:spacing w:before="120" w:after="120"/>
              <w:jc w:val="center"/>
              <w:rPr>
                <w:rFonts w:hAnsi="宋体" w:cs="Times New Roman"/>
                <w:color w:val="auto"/>
                <w:sz w:val="24"/>
                <w:szCs w:val="24"/>
              </w:rPr>
            </w:pPr>
            <w:r>
              <w:rPr>
                <w:rFonts w:hint="eastAsia" w:hAnsi="宋体" w:cs="Times New Roman"/>
                <w:color w:val="auto"/>
                <w:sz w:val="24"/>
                <w:szCs w:val="24"/>
              </w:rPr>
              <w:t>详见采购需求</w:t>
            </w:r>
          </w:p>
        </w:tc>
        <w:tc>
          <w:tcPr>
            <w:tcW w:w="1423" w:type="dxa"/>
            <w:tcBorders>
              <w:bottom w:val="single" w:color="000000" w:sz="4" w:space="0"/>
            </w:tcBorders>
            <w:vAlign w:val="center"/>
          </w:tcPr>
          <w:p>
            <w:pPr>
              <w:adjustRightInd w:val="0"/>
              <w:spacing w:line="360" w:lineRule="auto"/>
              <w:jc w:val="center"/>
              <w:rPr>
                <w:rFonts w:hint="default" w:ascii="宋体" w:eastAsia="仿宋"/>
                <w:color w:val="auto"/>
                <w:sz w:val="24"/>
                <w:szCs w:val="24"/>
                <w:lang w:val="en-US" w:eastAsia="zh-CN"/>
              </w:rPr>
            </w:pPr>
            <w:r>
              <w:rPr>
                <w:rFonts w:hint="eastAsia" w:cs="Times New Roman"/>
                <w:color w:val="auto"/>
                <w:sz w:val="24"/>
                <w:szCs w:val="24"/>
                <w:lang w:val="en-US" w:eastAsia="zh-CN"/>
              </w:rPr>
              <w:t>80</w:t>
            </w:r>
          </w:p>
        </w:tc>
        <w:tc>
          <w:tcPr>
            <w:tcW w:w="467" w:type="dxa"/>
            <w:tcBorders>
              <w:bottom w:val="single" w:color="000000" w:sz="4" w:space="0"/>
            </w:tcBorders>
            <w:vAlign w:val="center"/>
          </w:tcPr>
          <w:p>
            <w:pPr>
              <w:adjustRightInd w:val="0"/>
              <w:spacing w:line="360" w:lineRule="auto"/>
              <w:jc w:val="center"/>
              <w:rPr>
                <w:rFonts w:ascii="宋体"/>
                <w:color w:val="auto"/>
                <w:sz w:val="24"/>
                <w:szCs w:val="24"/>
              </w:rPr>
            </w:pPr>
          </w:p>
        </w:tc>
      </w:tr>
    </w:tbl>
    <w:p>
      <w:pPr>
        <w:rPr>
          <w:color w:val="auto"/>
        </w:rPr>
      </w:pPr>
    </w:p>
    <w:p>
      <w:pPr>
        <w:adjustRightInd w:val="0"/>
        <w:spacing w:line="360" w:lineRule="auto"/>
        <w:ind w:firstLine="480" w:firstLineChars="200"/>
        <w:rPr>
          <w:rFonts w:ascii="宋体"/>
          <w:color w:val="auto"/>
          <w:sz w:val="24"/>
          <w:szCs w:val="24"/>
        </w:rPr>
      </w:pPr>
      <w:r>
        <w:rPr>
          <w:rFonts w:hint="eastAsia" w:ascii="宋体" w:hAnsi="宋体" w:cs="宋体"/>
          <w:color w:val="auto"/>
          <w:sz w:val="24"/>
          <w:szCs w:val="24"/>
        </w:rPr>
        <w:t>四．</w:t>
      </w:r>
      <w:r>
        <w:rPr>
          <w:rFonts w:ascii="宋体" w:hAnsi="宋体" w:cs="宋体"/>
          <w:color w:val="auto"/>
          <w:sz w:val="24"/>
          <w:szCs w:val="24"/>
        </w:rPr>
        <w:t xml:space="preserve"> </w:t>
      </w:r>
      <w:r>
        <w:rPr>
          <w:rFonts w:hint="eastAsia" w:ascii="宋体" w:hAnsi="宋体" w:cs="宋体"/>
          <w:color w:val="auto"/>
          <w:sz w:val="24"/>
          <w:szCs w:val="24"/>
        </w:rPr>
        <w:t>合格供应商资格要求</w:t>
      </w:r>
      <w:r>
        <w:rPr>
          <w:rFonts w:ascii="宋体" w:hAnsi="宋体" w:cs="宋体"/>
          <w:color w:val="auto"/>
          <w:sz w:val="24"/>
          <w:szCs w:val="24"/>
        </w:rPr>
        <w:t>:</w:t>
      </w:r>
    </w:p>
    <w:p>
      <w:pPr>
        <w:numPr>
          <w:ilvl w:val="0"/>
          <w:numId w:val="3"/>
        </w:numPr>
        <w:wordWrap w:val="0"/>
        <w:adjustRightIn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符合政府采购法第二十二条，且未被“信用中国”（</w:t>
      </w:r>
      <w:r>
        <w:rPr>
          <w:rFonts w:ascii="宋体" w:hAnsi="宋体" w:cs="宋体"/>
          <w:color w:val="auto"/>
          <w:sz w:val="24"/>
          <w:szCs w:val="24"/>
        </w:rPr>
        <w:t>www.creditchina.gov.cn</w:t>
      </w:r>
      <w:r>
        <w:rPr>
          <w:rFonts w:hint="eastAsia" w:ascii="宋体" w:hAnsi="宋体" w:cs="宋体"/>
          <w:color w:val="auto"/>
          <w:sz w:val="24"/>
          <w:szCs w:val="24"/>
        </w:rPr>
        <w:t>）、中国政府采购网（</w:t>
      </w:r>
      <w:r>
        <w:rPr>
          <w:rFonts w:ascii="宋体" w:hAnsi="宋体" w:cs="宋体"/>
          <w:color w:val="auto"/>
          <w:sz w:val="24"/>
          <w:szCs w:val="24"/>
        </w:rPr>
        <w:t>www.ccgp.gov.cn</w:t>
      </w:r>
      <w:r>
        <w:rPr>
          <w:rFonts w:hint="eastAsia" w:ascii="宋体" w:hAnsi="宋体" w:cs="宋体"/>
          <w:color w:val="auto"/>
          <w:sz w:val="24"/>
          <w:szCs w:val="24"/>
        </w:rPr>
        <w:t>）列入失信被执行人、重大税收违法案件当事人名单、政府采购严重违法失信行为记录名单。</w:t>
      </w:r>
    </w:p>
    <w:p>
      <w:pPr>
        <w:numPr>
          <w:ilvl w:val="0"/>
          <w:numId w:val="3"/>
        </w:numP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落实政府采购政策需满足的资格要求：</w:t>
      </w:r>
      <w:r>
        <w:rPr>
          <w:rFonts w:hint="eastAsia" w:ascii="宋体" w:hAnsi="宋体" w:cs="宋体"/>
          <w:color w:val="auto"/>
          <w:sz w:val="24"/>
          <w:highlight w:val="none"/>
        </w:rPr>
        <w:t>供应商为中小企业/小微企业</w:t>
      </w:r>
      <w:r>
        <w:rPr>
          <w:rFonts w:hint="eastAsia" w:ascii="宋体" w:hAnsi="宋体" w:cs="宋体"/>
          <w:color w:val="auto"/>
          <w:sz w:val="24"/>
          <w:szCs w:val="24"/>
          <w:highlight w:val="none"/>
        </w:rPr>
        <w:t>。</w:t>
      </w:r>
    </w:p>
    <w:p>
      <w:pPr>
        <w:numPr>
          <w:ilvl w:val="0"/>
          <w:numId w:val="3"/>
        </w:numPr>
        <w:adjustRightIn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本项目不接受联合体参加磋商。</w:t>
      </w:r>
    </w:p>
    <w:p>
      <w:pPr>
        <w:numPr>
          <w:ilvl w:val="0"/>
          <w:numId w:val="3"/>
        </w:numPr>
        <w:adjustRightIn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本项目采用资格后审的审查方式，由磋商小组负责审查。</w:t>
      </w:r>
    </w:p>
    <w:p>
      <w:pPr>
        <w:adjustRightInd w:val="0"/>
        <w:spacing w:line="360" w:lineRule="auto"/>
        <w:ind w:firstLine="480" w:firstLineChars="200"/>
        <w:outlineLvl w:val="1"/>
        <w:rPr>
          <w:rFonts w:ascii="宋体"/>
          <w:color w:val="auto"/>
          <w:sz w:val="24"/>
          <w:szCs w:val="24"/>
        </w:rPr>
      </w:pPr>
      <w:bookmarkStart w:id="9" w:name="_Toc16269"/>
      <w:bookmarkStart w:id="10" w:name="_Toc20115"/>
      <w:r>
        <w:rPr>
          <w:rFonts w:hint="eastAsia" w:ascii="宋体" w:hAnsi="宋体" w:cs="宋体"/>
          <w:color w:val="auto"/>
          <w:sz w:val="24"/>
          <w:szCs w:val="24"/>
        </w:rPr>
        <w:t>五．获取磋商文件</w:t>
      </w:r>
      <w:bookmarkEnd w:id="9"/>
      <w:bookmarkEnd w:id="10"/>
    </w:p>
    <w:p>
      <w:pPr>
        <w:numPr>
          <w:ilvl w:val="0"/>
          <w:numId w:val="4"/>
        </w:numPr>
        <w:adjustRightInd w:val="0"/>
        <w:spacing w:line="360" w:lineRule="auto"/>
        <w:ind w:firstLine="480" w:firstLineChars="200"/>
        <w:rPr>
          <w:rFonts w:ascii="宋体"/>
          <w:color w:val="auto"/>
          <w:sz w:val="24"/>
          <w:szCs w:val="24"/>
        </w:rPr>
      </w:pPr>
      <w:bookmarkStart w:id="11" w:name="报名开始时间1"/>
      <w:r>
        <w:rPr>
          <w:rFonts w:hint="eastAsia" w:ascii="宋体" w:hAnsi="宋体" w:cs="宋体"/>
          <w:color w:val="auto"/>
          <w:sz w:val="24"/>
          <w:szCs w:val="24"/>
        </w:rPr>
        <w:t>获取磋商文件时间</w:t>
      </w:r>
      <w:r>
        <w:rPr>
          <w:rFonts w:ascii="宋体" w:hAnsi="宋体" w:cs="宋体"/>
          <w:color w:val="auto"/>
          <w:sz w:val="24"/>
          <w:szCs w:val="24"/>
        </w:rPr>
        <w:t>:</w:t>
      </w:r>
      <w:bookmarkEnd w:id="11"/>
      <w:r>
        <w:rPr>
          <w:rFonts w:ascii="宋体" w:hAnsi="宋体" w:cs="宋体"/>
          <w:color w:val="auto"/>
          <w:sz w:val="24"/>
          <w:szCs w:val="24"/>
          <w:u w:val="single"/>
        </w:rPr>
        <w:t>20</w:t>
      </w:r>
      <w:r>
        <w:rPr>
          <w:rFonts w:hint="eastAsia" w:ascii="宋体" w:hAnsi="宋体" w:cs="宋体"/>
          <w:color w:val="auto"/>
          <w:sz w:val="24"/>
          <w:szCs w:val="24"/>
          <w:u w:val="single"/>
        </w:rPr>
        <w:t>2</w:t>
      </w:r>
      <w:r>
        <w:rPr>
          <w:rFonts w:hint="eastAsia" w:ascii="宋体" w:hAnsi="宋体" w:cs="宋体"/>
          <w:color w:val="auto"/>
          <w:sz w:val="24"/>
          <w:szCs w:val="24"/>
          <w:u w:val="single"/>
          <w:lang w:val="en-US" w:eastAsia="zh-CN"/>
        </w:rPr>
        <w:t>4</w:t>
      </w:r>
      <w:r>
        <w:rPr>
          <w:rFonts w:hint="eastAsia" w:ascii="宋体" w:hAnsi="宋体" w:cs="宋体"/>
          <w:color w:val="auto"/>
          <w:sz w:val="24"/>
          <w:szCs w:val="24"/>
          <w:u w:val="single"/>
        </w:rPr>
        <w:t>年</w:t>
      </w:r>
      <w:r>
        <w:rPr>
          <w:rFonts w:hint="eastAsia" w:ascii="宋体" w:hAnsi="宋体" w:cs="宋体"/>
          <w:color w:val="auto"/>
          <w:sz w:val="24"/>
          <w:szCs w:val="24"/>
          <w:u w:val="single"/>
          <w:lang w:val="en-US" w:eastAsia="zh-CN"/>
        </w:rPr>
        <w:t>5</w:t>
      </w:r>
      <w:r>
        <w:rPr>
          <w:rFonts w:hint="eastAsia" w:ascii="宋体" w:hAnsi="宋体" w:cs="宋体"/>
          <w:color w:val="auto"/>
          <w:sz w:val="24"/>
          <w:szCs w:val="24"/>
          <w:u w:val="single"/>
        </w:rPr>
        <w:t>月</w:t>
      </w:r>
      <w:r>
        <w:rPr>
          <w:rFonts w:hint="eastAsia" w:ascii="宋体" w:hAnsi="宋体" w:cs="宋体"/>
          <w:color w:val="auto"/>
          <w:sz w:val="24"/>
          <w:szCs w:val="24"/>
          <w:u w:val="single"/>
          <w:lang w:val="en-US" w:eastAsia="zh-CN"/>
        </w:rPr>
        <w:t>20</w:t>
      </w:r>
      <w:r>
        <w:rPr>
          <w:rFonts w:hint="eastAsia" w:ascii="宋体" w:hAnsi="宋体" w:cs="宋体"/>
          <w:color w:val="auto"/>
          <w:sz w:val="24"/>
          <w:szCs w:val="24"/>
          <w:u w:val="single"/>
        </w:rPr>
        <w:t>日</w:t>
      </w:r>
      <w:r>
        <w:rPr>
          <w:rFonts w:hint="eastAsia" w:ascii="宋体" w:hAnsi="宋体" w:cs="宋体"/>
          <w:color w:val="auto"/>
          <w:sz w:val="24"/>
          <w:szCs w:val="24"/>
          <w:u w:val="single"/>
          <w:lang w:val="en-US" w:eastAsia="zh-CN"/>
        </w:rPr>
        <w:t xml:space="preserve"> 上</w:t>
      </w:r>
      <w:r>
        <w:rPr>
          <w:rFonts w:hint="eastAsia" w:ascii="宋体" w:hAnsi="宋体" w:cs="宋体"/>
          <w:color w:val="auto"/>
          <w:sz w:val="24"/>
          <w:szCs w:val="24"/>
          <w:u w:val="single"/>
        </w:rPr>
        <w:t>午</w:t>
      </w:r>
      <w:r>
        <w:rPr>
          <w:rFonts w:hint="eastAsia" w:ascii="宋体" w:hAnsi="宋体" w:cs="宋体"/>
          <w:color w:val="auto"/>
          <w:sz w:val="24"/>
          <w:szCs w:val="24"/>
          <w:u w:val="single"/>
          <w:lang w:val="en-US" w:eastAsia="zh-CN"/>
        </w:rPr>
        <w:t>09</w:t>
      </w:r>
      <w:r>
        <w:rPr>
          <w:rFonts w:ascii="宋体" w:hAnsi="宋体" w:cs="宋体"/>
          <w:color w:val="auto"/>
          <w:sz w:val="24"/>
          <w:szCs w:val="24"/>
          <w:u w:val="single"/>
        </w:rPr>
        <w:t>:</w:t>
      </w:r>
      <w:r>
        <w:rPr>
          <w:rFonts w:hint="eastAsia" w:ascii="宋体" w:hAnsi="宋体" w:cs="宋体"/>
          <w:color w:val="auto"/>
          <w:sz w:val="24"/>
          <w:szCs w:val="24"/>
          <w:u w:val="single"/>
          <w:lang w:val="en-US" w:eastAsia="zh-CN"/>
        </w:rPr>
        <w:t>3</w:t>
      </w:r>
      <w:r>
        <w:rPr>
          <w:rFonts w:ascii="宋体" w:hAnsi="宋体" w:cs="宋体"/>
          <w:color w:val="auto"/>
          <w:sz w:val="24"/>
          <w:szCs w:val="24"/>
          <w:u w:val="single"/>
        </w:rPr>
        <w:t>0</w:t>
      </w:r>
      <w:r>
        <w:rPr>
          <w:rFonts w:hint="eastAsia" w:ascii="宋体" w:hAnsi="宋体" w:cs="宋体"/>
          <w:color w:val="auto"/>
          <w:sz w:val="24"/>
          <w:szCs w:val="24"/>
        </w:rPr>
        <w:t>之前获取。</w:t>
      </w:r>
    </w:p>
    <w:p>
      <w:pPr>
        <w:numPr>
          <w:ilvl w:val="0"/>
          <w:numId w:val="4"/>
        </w:numPr>
        <w:adjustRightInd w:val="0"/>
        <w:spacing w:line="360" w:lineRule="auto"/>
        <w:ind w:firstLine="480" w:firstLineChars="200"/>
        <w:rPr>
          <w:rFonts w:ascii="宋体"/>
          <w:color w:val="auto"/>
          <w:sz w:val="24"/>
          <w:szCs w:val="24"/>
        </w:rPr>
      </w:pPr>
      <w:r>
        <w:rPr>
          <w:rFonts w:hint="eastAsia" w:ascii="宋体" w:hAnsi="宋体" w:cs="宋体"/>
          <w:color w:val="auto"/>
          <w:sz w:val="24"/>
          <w:szCs w:val="24"/>
        </w:rPr>
        <w:t>获取磋商文件方式：供应商登陆政采云平台</w:t>
      </w:r>
      <w:r>
        <w:rPr>
          <w:rFonts w:ascii="宋体" w:hAnsi="宋体" w:cs="宋体"/>
          <w:color w:val="auto"/>
          <w:sz w:val="24"/>
          <w:szCs w:val="24"/>
        </w:rPr>
        <w:t>http://www.zcygov.cn/</w:t>
      </w:r>
      <w:r>
        <w:rPr>
          <w:rFonts w:hint="eastAsia" w:ascii="宋体" w:hAnsi="宋体" w:cs="宋体"/>
          <w:color w:val="auto"/>
          <w:sz w:val="24"/>
          <w:szCs w:val="24"/>
        </w:rPr>
        <w:t>，在线申请获取磋商文件（进入“项目采购”应用，在获取采购文件菜单中选择项目，申请获取采购文件）。</w:t>
      </w:r>
    </w:p>
    <w:p>
      <w:pPr>
        <w:numPr>
          <w:ilvl w:val="0"/>
          <w:numId w:val="4"/>
        </w:numPr>
        <w:adjustRightInd w:val="0"/>
        <w:spacing w:line="360" w:lineRule="auto"/>
        <w:ind w:firstLine="480" w:firstLineChars="200"/>
        <w:rPr>
          <w:rFonts w:ascii="宋体"/>
          <w:color w:val="auto"/>
          <w:sz w:val="24"/>
          <w:szCs w:val="24"/>
        </w:rPr>
      </w:pPr>
      <w:r>
        <w:rPr>
          <w:rFonts w:hint="eastAsia" w:ascii="宋体" w:hAnsi="宋体" w:cs="宋体"/>
          <w:color w:val="auto"/>
          <w:sz w:val="24"/>
          <w:szCs w:val="24"/>
        </w:rPr>
        <w:t>提示：</w:t>
      </w:r>
    </w:p>
    <w:p>
      <w:pPr>
        <w:numPr>
          <w:ilvl w:val="0"/>
          <w:numId w:val="5"/>
        </w:numPr>
        <w:adjustRightInd w:val="0"/>
        <w:spacing w:line="360" w:lineRule="auto"/>
        <w:ind w:firstLine="480" w:firstLineChars="200"/>
        <w:rPr>
          <w:rFonts w:ascii="宋体"/>
          <w:color w:val="auto"/>
          <w:sz w:val="24"/>
          <w:szCs w:val="24"/>
        </w:rPr>
      </w:pPr>
      <w:r>
        <w:rPr>
          <w:rFonts w:hint="eastAsia" w:ascii="宋体" w:hAnsi="宋体" w:cs="宋体"/>
          <w:color w:val="auto"/>
          <w:sz w:val="24"/>
          <w:szCs w:val="24"/>
        </w:rPr>
        <w:t>将拒绝接受未获取磋商文件供应商的响应文件。</w:t>
      </w:r>
    </w:p>
    <w:p>
      <w:pPr>
        <w:numPr>
          <w:ilvl w:val="0"/>
          <w:numId w:val="5"/>
        </w:numPr>
        <w:adjustRightInd w:val="0"/>
        <w:spacing w:line="360" w:lineRule="auto"/>
        <w:ind w:firstLine="480" w:firstLineChars="200"/>
        <w:rPr>
          <w:rFonts w:ascii="宋体"/>
          <w:color w:val="auto"/>
          <w:sz w:val="24"/>
          <w:szCs w:val="24"/>
        </w:rPr>
      </w:pPr>
      <w:r>
        <w:rPr>
          <w:rFonts w:hint="eastAsia" w:ascii="宋体" w:hAnsi="宋体" w:cs="宋体"/>
          <w:color w:val="auto"/>
          <w:sz w:val="24"/>
          <w:szCs w:val="24"/>
        </w:rPr>
        <w:t>磋商文件及更正补充公告请自行登录浙江政府采购网或绍兴市上虞区公共资源交易中心网站，在采购公告页面中下载。</w:t>
      </w:r>
    </w:p>
    <w:p>
      <w:pPr>
        <w:adjustRightInd w:val="0"/>
        <w:spacing w:line="360" w:lineRule="auto"/>
        <w:ind w:firstLine="480" w:firstLineChars="200"/>
        <w:outlineLvl w:val="1"/>
        <w:rPr>
          <w:rFonts w:ascii="宋体" w:hAnsi="宋体" w:cs="宋体"/>
          <w:color w:val="auto"/>
          <w:sz w:val="24"/>
          <w:szCs w:val="24"/>
        </w:rPr>
      </w:pPr>
      <w:bookmarkStart w:id="12" w:name="_Toc22437"/>
      <w:bookmarkStart w:id="13" w:name="_Toc28422"/>
      <w:r>
        <w:rPr>
          <w:rFonts w:hint="eastAsia" w:ascii="宋体" w:hAnsi="宋体" w:cs="宋体"/>
          <w:color w:val="auto"/>
          <w:sz w:val="24"/>
          <w:szCs w:val="24"/>
        </w:rPr>
        <w:t>六、投标与开标注意事项：</w:t>
      </w:r>
      <w:bookmarkEnd w:id="12"/>
      <w:bookmarkEnd w:id="13"/>
    </w:p>
    <w:p>
      <w:pPr>
        <w:numPr>
          <w:ilvl w:val="0"/>
          <w:numId w:val="6"/>
        </w:numPr>
        <w:adjustRightIn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本项目实行</w:t>
      </w:r>
      <w:r>
        <w:rPr>
          <w:rFonts w:hint="eastAsia" w:ascii="宋体" w:hAnsi="宋体" w:cs="宋体"/>
          <w:b/>
          <w:bCs/>
          <w:color w:val="auto"/>
          <w:sz w:val="24"/>
          <w:szCs w:val="24"/>
        </w:rPr>
        <w:t>网上投标</w:t>
      </w:r>
      <w:r>
        <w:rPr>
          <w:rFonts w:hint="eastAsia" w:ascii="宋体" w:hAnsi="宋体" w:cs="宋体"/>
          <w:color w:val="auto"/>
          <w:sz w:val="24"/>
          <w:szCs w:val="24"/>
        </w:rPr>
        <w:t>，采用电子投标文件，若供应商参与投标，自行承担投标一切费用。</w:t>
      </w:r>
    </w:p>
    <w:p>
      <w:pPr>
        <w:numPr>
          <w:ilvl w:val="0"/>
          <w:numId w:val="6"/>
        </w:numPr>
        <w:wordWrap w:val="0"/>
        <w:adjustRightIn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标前准备：各供应商应在开标前确保成为浙江省政府采购网正式注册入库供应商，并完成CA数字证书办理。因未注册入库、未办理CA数字证书等原因造成无法投标或投标失败等后果由供应商自行承担。</w:t>
      </w:r>
    </w:p>
    <w:p>
      <w:pPr>
        <w:autoSpaceDE w:val="0"/>
        <w:autoSpaceDN w:val="0"/>
        <w:spacing w:line="360" w:lineRule="auto"/>
        <w:ind w:firstLine="480" w:firstLineChars="200"/>
        <w:textAlignment w:val="bottom"/>
        <w:rPr>
          <w:rFonts w:ascii="宋体" w:hAnsi="宋体" w:cs="宋体"/>
          <w:color w:val="auto"/>
          <w:sz w:val="24"/>
        </w:rPr>
      </w:pPr>
      <w:r>
        <w:rPr>
          <w:rFonts w:hint="eastAsia" w:ascii="宋体" w:hAnsi="宋体" w:cs="宋体"/>
          <w:color w:val="auto"/>
          <w:sz w:val="24"/>
        </w:rPr>
        <w:t>供应商将政采云电子交易客户端下载、安装完成后，可通过账号密码或CA登录客户端进行投标文件制作。在使用政采云投标客户端时，建议使用WIN7及以上操作系统。</w:t>
      </w:r>
    </w:p>
    <w:p>
      <w:pPr>
        <w:autoSpaceDE w:val="0"/>
        <w:autoSpaceDN w:val="0"/>
        <w:spacing w:line="360" w:lineRule="auto"/>
        <w:ind w:firstLine="480" w:firstLineChars="200"/>
        <w:textAlignment w:val="bottom"/>
        <w:rPr>
          <w:rFonts w:ascii="宋体" w:hAnsi="宋体" w:cs="宋体"/>
          <w:color w:val="auto"/>
          <w:sz w:val="24"/>
        </w:rPr>
      </w:pPr>
      <w:r>
        <w:rPr>
          <w:rFonts w:hint="eastAsia" w:ascii="宋体" w:hAnsi="宋体" w:cs="宋体"/>
          <w:color w:val="auto"/>
          <w:sz w:val="24"/>
        </w:rPr>
        <w:t>注：供应商先要申领CA，取得CA后需要在政采云平台进行绑定，CA相关操作可参考《CA管理学习专题》。完成CA数字证书办理在资料齐全的情况下预计7个工作日左右，建议供应商获取招标文件后立即办理。</w:t>
      </w:r>
    </w:p>
    <w:p>
      <w:pPr>
        <w:adjustRightInd w:val="0"/>
        <w:spacing w:line="360" w:lineRule="auto"/>
        <w:ind w:left="400" w:leftChars="200"/>
        <w:rPr>
          <w:rFonts w:ascii="宋体" w:hAnsi="宋体" w:cs="宋体"/>
          <w:color w:val="auto"/>
          <w:sz w:val="24"/>
        </w:rPr>
      </w:pPr>
      <w:r>
        <w:rPr>
          <w:rFonts w:hint="eastAsia" w:ascii="宋体" w:hAnsi="宋体" w:cs="宋体"/>
          <w:color w:val="auto"/>
          <w:sz w:val="24"/>
        </w:rPr>
        <w:t>《CA管理学习专题》：</w:t>
      </w:r>
    </w:p>
    <w:p>
      <w:pPr>
        <w:adjustRightInd w:val="0"/>
        <w:spacing w:line="360" w:lineRule="auto"/>
        <w:ind w:left="400" w:leftChars="200"/>
        <w:rPr>
          <w:rFonts w:ascii="宋体" w:hAnsi="宋体" w:cs="宋体"/>
          <w:color w:val="auto"/>
          <w:sz w:val="24"/>
        </w:rPr>
      </w:pPr>
      <w:r>
        <w:rPr>
          <w:rFonts w:hint="eastAsia" w:ascii="宋体" w:hAnsi="宋体" w:cs="宋体"/>
          <w:color w:val="auto"/>
          <w:sz w:val="24"/>
        </w:rPr>
        <w:t>https://edu.zcygov.cn/luban/ca?utm=web-government-front.380aac0a.0.0.fc2b6aa0b6e211ebbdb0dd007730dd44</w:t>
      </w:r>
    </w:p>
    <w:p>
      <w:pPr>
        <w:adjustRightInd w:val="0"/>
        <w:spacing w:line="360" w:lineRule="auto"/>
        <w:ind w:left="400" w:leftChars="200"/>
        <w:rPr>
          <w:rFonts w:ascii="宋体" w:hAnsi="宋体" w:cs="宋体"/>
          <w:color w:val="auto"/>
          <w:sz w:val="24"/>
        </w:rPr>
      </w:pPr>
      <w:r>
        <w:rPr>
          <w:rFonts w:hint="eastAsia" w:ascii="宋体" w:hAnsi="宋体" w:cs="宋体"/>
          <w:color w:val="auto"/>
          <w:sz w:val="24"/>
        </w:rPr>
        <w:t>《CA驱动和申领流程》:</w:t>
      </w:r>
    </w:p>
    <w:p>
      <w:pPr>
        <w:adjustRightInd w:val="0"/>
        <w:spacing w:line="360" w:lineRule="auto"/>
        <w:ind w:left="400" w:leftChars="200"/>
        <w:rPr>
          <w:rFonts w:ascii="宋体" w:hAnsi="宋体" w:cs="宋体"/>
          <w:color w:val="auto"/>
          <w:sz w:val="24"/>
          <w:szCs w:val="24"/>
        </w:rPr>
      </w:pPr>
      <w:r>
        <w:rPr>
          <w:color w:val="auto"/>
        </w:rPr>
        <w:fldChar w:fldCharType="begin"/>
      </w:r>
      <w:r>
        <w:rPr>
          <w:color w:val="auto"/>
        </w:rPr>
        <w:instrText xml:space="preserve"> HYPERLINK "http://zfcg.czt.zj.gov.cn/bidClientTemplate/2019-05-27/12945.html" </w:instrText>
      </w:r>
      <w:r>
        <w:rPr>
          <w:color w:val="auto"/>
        </w:rPr>
        <w:fldChar w:fldCharType="separate"/>
      </w:r>
      <w:r>
        <w:rPr>
          <w:rFonts w:hint="eastAsia" w:ascii="宋体" w:hAnsi="宋体" w:cs="宋体"/>
          <w:color w:val="auto"/>
          <w:sz w:val="24"/>
        </w:rPr>
        <w:t>http://zfcg.czt.zj.gov.cn/bidClientTemplate/2019-05-27/12945.html</w:t>
      </w:r>
      <w:r>
        <w:rPr>
          <w:rFonts w:hint="eastAsia" w:ascii="宋体" w:hAnsi="宋体" w:cs="宋体"/>
          <w:color w:val="auto"/>
          <w:sz w:val="24"/>
        </w:rPr>
        <w:fldChar w:fldCharType="end"/>
      </w:r>
    </w:p>
    <w:p>
      <w:pPr>
        <w:numPr>
          <w:ilvl w:val="0"/>
          <w:numId w:val="6"/>
        </w:numPr>
        <w:adjustRightIn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投标文件制作：</w:t>
      </w:r>
    </w:p>
    <w:p>
      <w:pPr>
        <w:numPr>
          <w:ilvl w:val="0"/>
          <w:numId w:val="7"/>
        </w:numPr>
        <w:adjustRightIn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应按照本项目招标文件和政采云平台的要求编制、加密并递交投标文件。供应商在使用系统进行投标的过程中遇到涉及平台使用的任何问题，可致电政采云平台技术支持热线咨询，联系方式：</w:t>
      </w:r>
      <w:r>
        <w:rPr>
          <w:rFonts w:ascii="仿宋" w:hAnsi="仿宋" w:eastAsia="仿宋" w:cs="仿宋"/>
          <w:i w:val="0"/>
          <w:iCs w:val="0"/>
          <w:caps w:val="0"/>
          <w:color w:val="auto"/>
          <w:spacing w:val="0"/>
          <w:sz w:val="27"/>
          <w:szCs w:val="27"/>
          <w:shd w:val="clear" w:fill="FFFFFF"/>
        </w:rPr>
        <w:t>95763</w:t>
      </w:r>
      <w:r>
        <w:rPr>
          <w:rFonts w:hint="eastAsia" w:ascii="宋体" w:hAnsi="宋体" w:cs="宋体"/>
          <w:color w:val="auto"/>
          <w:sz w:val="24"/>
          <w:szCs w:val="24"/>
        </w:rPr>
        <w:t>。</w:t>
      </w:r>
    </w:p>
    <w:p>
      <w:pPr>
        <w:numPr>
          <w:ilvl w:val="0"/>
          <w:numId w:val="7"/>
        </w:numPr>
        <w:wordWrap w:val="0"/>
        <w:adjustRightIn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投标人通过“政采云”平台电子投标工具制作投标文件。</w:t>
      </w:r>
    </w:p>
    <w:p>
      <w:pPr>
        <w:adjustRightIn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《电子投标工具》：</w:t>
      </w:r>
    </w:p>
    <w:p>
      <w:pPr>
        <w:adjustRightInd w:val="0"/>
        <w:spacing w:line="360" w:lineRule="auto"/>
        <w:ind w:firstLine="400" w:firstLineChars="200"/>
        <w:jc w:val="left"/>
        <w:rPr>
          <w:rFonts w:ascii="宋体" w:hAnsi="宋体" w:cs="宋体"/>
          <w:color w:val="auto"/>
          <w:sz w:val="24"/>
          <w:szCs w:val="24"/>
        </w:rPr>
      </w:pPr>
      <w:r>
        <w:rPr>
          <w:color w:val="auto"/>
        </w:rPr>
        <w:fldChar w:fldCharType="begin"/>
      </w:r>
      <w:r>
        <w:rPr>
          <w:color w:val="auto"/>
        </w:rPr>
        <w:instrText xml:space="preserve"> HYPERLINK "http://zfcg.czt.zj.gov.cn/bidClientTemplate/2019-09-24/12975.html" </w:instrText>
      </w:r>
      <w:r>
        <w:rPr>
          <w:color w:val="auto"/>
        </w:rPr>
        <w:fldChar w:fldCharType="separate"/>
      </w:r>
      <w:r>
        <w:rPr>
          <w:rFonts w:hint="eastAsia" w:ascii="宋体" w:hAnsi="宋体" w:cs="宋体"/>
          <w:color w:val="auto"/>
          <w:sz w:val="24"/>
          <w:szCs w:val="24"/>
        </w:rPr>
        <w:t>http://zfcg.czt.zj.gov.cn/bidClientTemplate/2019-09-24/12975.html</w:t>
      </w:r>
      <w:r>
        <w:rPr>
          <w:rFonts w:hint="eastAsia" w:ascii="宋体" w:hAnsi="宋体" w:cs="宋体"/>
          <w:color w:val="auto"/>
          <w:sz w:val="24"/>
          <w:szCs w:val="24"/>
        </w:rPr>
        <w:fldChar w:fldCharType="end"/>
      </w:r>
    </w:p>
    <w:p>
      <w:pPr>
        <w:adjustRightIn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《供应商-政府采购项目电子交易操作指南》：(需登录账号后查看)</w:t>
      </w:r>
    </w:p>
    <w:p>
      <w:pPr>
        <w:adjustRightInd w:val="0"/>
        <w:spacing w:line="360" w:lineRule="auto"/>
        <w:ind w:firstLine="400" w:firstLineChars="200"/>
        <w:jc w:val="left"/>
        <w:rPr>
          <w:rFonts w:ascii="宋体" w:hAnsi="宋体" w:cs="宋体"/>
          <w:color w:val="auto"/>
          <w:sz w:val="24"/>
          <w:szCs w:val="24"/>
        </w:rPr>
      </w:pPr>
      <w:r>
        <w:rPr>
          <w:color w:val="auto"/>
        </w:rPr>
        <w:fldChar w:fldCharType="begin"/>
      </w:r>
      <w:r>
        <w:rPr>
          <w:color w:val="auto"/>
        </w:rPr>
        <w:instrText xml:space="preserve"> HYPERLINK "https://service.zcygov.cn/" \l "/knowledges/tree?tag=AG1DtGwBFdiHxlNdhY0r" </w:instrText>
      </w:r>
      <w:r>
        <w:rPr>
          <w:color w:val="auto"/>
        </w:rPr>
        <w:fldChar w:fldCharType="separate"/>
      </w:r>
      <w:r>
        <w:rPr>
          <w:rFonts w:hint="eastAsia" w:ascii="宋体" w:hAnsi="宋体" w:cs="宋体"/>
          <w:color w:val="auto"/>
          <w:sz w:val="24"/>
          <w:szCs w:val="24"/>
        </w:rPr>
        <w:t>https://service.zcygov.cn/#/knowledges/tree?tag=AG1DtGwBFdiHxlNdhY0r</w:t>
      </w:r>
      <w:r>
        <w:rPr>
          <w:rFonts w:hint="eastAsia" w:ascii="宋体" w:hAnsi="宋体" w:cs="宋体"/>
          <w:color w:val="auto"/>
          <w:sz w:val="24"/>
          <w:szCs w:val="24"/>
        </w:rPr>
        <w:fldChar w:fldCharType="end"/>
      </w:r>
    </w:p>
    <w:p>
      <w:pPr>
        <w:adjustRightIn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4.供应商在法定质疑期内应一次性提出针对同一采购程序环节的质疑。否则质疑将不予受理。</w:t>
      </w:r>
    </w:p>
    <w:p>
      <w:pPr>
        <w:adjustRightIn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5.投标人可指派授权代表递交备份文件，授权代表递交备份文件需携带法定代表人授权书原件，于投标截止时间前到达开标地点递交。</w:t>
      </w:r>
    </w:p>
    <w:p>
      <w:pPr>
        <w:adjustRightInd w:val="0"/>
        <w:spacing w:line="360" w:lineRule="auto"/>
        <w:ind w:left="400" w:leftChars="200"/>
        <w:rPr>
          <w:rFonts w:ascii="宋体" w:hAnsi="宋体" w:cs="宋体"/>
          <w:color w:val="auto"/>
          <w:sz w:val="24"/>
          <w:szCs w:val="24"/>
        </w:rPr>
      </w:pPr>
      <w:r>
        <w:rPr>
          <w:rFonts w:hint="eastAsia" w:ascii="宋体" w:hAnsi="宋体" w:cs="宋体"/>
          <w:color w:val="auto"/>
          <w:sz w:val="24"/>
          <w:szCs w:val="24"/>
        </w:rPr>
        <w:t>6.特别提醒</w:t>
      </w:r>
    </w:p>
    <w:p>
      <w:pPr>
        <w:wordWrap w:val="0"/>
        <w:adjustRightInd w:val="0"/>
        <w:spacing w:line="360" w:lineRule="auto"/>
        <w:rPr>
          <w:rFonts w:ascii="宋体" w:hAnsi="宋体" w:cs="宋体"/>
          <w:color w:val="auto"/>
          <w:sz w:val="24"/>
          <w:szCs w:val="24"/>
        </w:rPr>
      </w:pPr>
      <w:r>
        <w:rPr>
          <w:rFonts w:hint="eastAsia" w:ascii="宋体" w:hAnsi="宋体" w:cs="宋体"/>
          <w:color w:val="auto"/>
          <w:sz w:val="24"/>
          <w:szCs w:val="24"/>
        </w:rPr>
        <w:t xml:space="preserve">    单位负责人为同一人或者存在直接控股、管理关系的不同供应商，不得参加同一合同项下的政府采购活动。</w:t>
      </w:r>
    </w:p>
    <w:p>
      <w:pPr>
        <w:adjustRightIn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除单一来源采购项目外，为采购项目提供整体设计、规范编制或者项目管理、监理、检测等服务的供应商，不得再参加该采购项目的其他采购活动。</w:t>
      </w:r>
    </w:p>
    <w:p>
      <w:pPr>
        <w:adjustRightInd w:val="0"/>
        <w:spacing w:line="360" w:lineRule="auto"/>
        <w:ind w:firstLine="482" w:firstLineChars="200"/>
        <w:jc w:val="left"/>
        <w:rPr>
          <w:rFonts w:ascii="宋体"/>
          <w:color w:val="auto"/>
          <w:sz w:val="24"/>
          <w:szCs w:val="24"/>
        </w:rPr>
      </w:pPr>
      <w:r>
        <w:rPr>
          <w:rFonts w:hint="eastAsia" w:ascii="宋体" w:hAnsi="宋体" w:cs="宋体"/>
          <w:b/>
          <w:bCs/>
          <w:color w:val="auto"/>
          <w:sz w:val="24"/>
          <w:szCs w:val="24"/>
        </w:rPr>
        <w:t>七．磋商响应截止时间及要求：</w:t>
      </w:r>
      <w:r>
        <w:rPr>
          <w:rFonts w:ascii="宋体" w:hAnsi="宋体" w:cs="宋体"/>
          <w:color w:val="auto"/>
          <w:sz w:val="24"/>
          <w:szCs w:val="24"/>
          <w:u w:val="single"/>
        </w:rPr>
        <w:t xml:space="preserve"> </w:t>
      </w:r>
      <w:r>
        <w:rPr>
          <w:rFonts w:hint="eastAsia" w:ascii="宋体" w:hAnsi="宋体" w:cs="宋体"/>
          <w:color w:val="auto"/>
          <w:sz w:val="24"/>
          <w:szCs w:val="24"/>
          <w:u w:val="single"/>
          <w:lang w:eastAsia="zh-CN"/>
        </w:rPr>
        <w:t>202</w:t>
      </w:r>
      <w:r>
        <w:rPr>
          <w:rFonts w:hint="eastAsia" w:ascii="宋体" w:hAnsi="宋体" w:cs="宋体"/>
          <w:color w:val="auto"/>
          <w:sz w:val="24"/>
          <w:szCs w:val="24"/>
          <w:u w:val="single"/>
          <w:lang w:val="en-US" w:eastAsia="zh-CN"/>
        </w:rPr>
        <w:t>4</w:t>
      </w:r>
      <w:r>
        <w:rPr>
          <w:rFonts w:hint="eastAsia" w:ascii="宋体" w:hAnsi="宋体" w:cs="宋体"/>
          <w:color w:val="auto"/>
          <w:sz w:val="24"/>
          <w:szCs w:val="24"/>
        </w:rPr>
        <w:t>年</w:t>
      </w:r>
      <w:r>
        <w:rPr>
          <w:rFonts w:ascii="宋体" w:hAnsi="宋体" w:cs="宋体"/>
          <w:color w:val="auto"/>
          <w:sz w:val="24"/>
          <w:szCs w:val="24"/>
          <w:u w:val="single"/>
        </w:rPr>
        <w:t xml:space="preserve"> </w:t>
      </w:r>
      <w:r>
        <w:rPr>
          <w:rFonts w:hint="eastAsia" w:ascii="宋体" w:hAnsi="宋体" w:cs="宋体"/>
          <w:color w:val="auto"/>
          <w:sz w:val="24"/>
          <w:szCs w:val="24"/>
          <w:u w:val="single"/>
          <w:lang w:val="en-US" w:eastAsia="zh-CN"/>
        </w:rPr>
        <w:t>5</w:t>
      </w:r>
      <w:r>
        <w:rPr>
          <w:rFonts w:hint="eastAsia" w:ascii="宋体" w:hAnsi="宋体" w:cs="宋体"/>
          <w:color w:val="auto"/>
          <w:sz w:val="24"/>
          <w:szCs w:val="24"/>
        </w:rPr>
        <w:t>月</w:t>
      </w:r>
      <w:r>
        <w:rPr>
          <w:rFonts w:hint="eastAsia" w:ascii="宋体" w:hAnsi="宋体" w:cs="宋体"/>
          <w:color w:val="auto"/>
          <w:sz w:val="24"/>
          <w:szCs w:val="24"/>
          <w:u w:val="single"/>
          <w:lang w:val="en-US" w:eastAsia="zh-CN"/>
        </w:rPr>
        <w:t>20</w:t>
      </w:r>
      <w:r>
        <w:rPr>
          <w:rFonts w:hint="eastAsia" w:ascii="宋体" w:hAnsi="宋体" w:cs="宋体"/>
          <w:color w:val="auto"/>
          <w:sz w:val="24"/>
          <w:szCs w:val="24"/>
        </w:rPr>
        <w:t>日</w:t>
      </w:r>
      <w:r>
        <w:rPr>
          <w:rFonts w:hint="eastAsia" w:ascii="宋体" w:hAnsi="宋体" w:cs="宋体"/>
          <w:color w:val="auto"/>
          <w:sz w:val="24"/>
          <w:szCs w:val="24"/>
          <w:lang w:val="en-US" w:eastAsia="zh-CN"/>
        </w:rPr>
        <w:t xml:space="preserve"> 上</w:t>
      </w:r>
      <w:r>
        <w:rPr>
          <w:rFonts w:hint="eastAsia" w:ascii="宋体" w:hAnsi="宋体" w:cs="宋体"/>
          <w:color w:val="auto"/>
          <w:sz w:val="24"/>
          <w:szCs w:val="24"/>
        </w:rPr>
        <w:t>午</w:t>
      </w:r>
      <w:r>
        <w:rPr>
          <w:rFonts w:ascii="宋体" w:hAnsi="宋体" w:cs="宋体"/>
          <w:color w:val="auto"/>
          <w:sz w:val="24"/>
          <w:szCs w:val="24"/>
          <w:u w:val="single"/>
        </w:rPr>
        <w:t xml:space="preserve"> </w:t>
      </w:r>
      <w:r>
        <w:rPr>
          <w:rFonts w:hint="eastAsia" w:ascii="宋体" w:hAnsi="宋体" w:cs="宋体"/>
          <w:color w:val="auto"/>
          <w:sz w:val="24"/>
          <w:szCs w:val="24"/>
          <w:u w:val="single"/>
          <w:lang w:val="en-US" w:eastAsia="zh-CN"/>
        </w:rPr>
        <w:t>9</w:t>
      </w:r>
      <w:r>
        <w:rPr>
          <w:rFonts w:ascii="宋体" w:hAnsi="宋体" w:cs="宋体"/>
          <w:color w:val="auto"/>
          <w:sz w:val="24"/>
          <w:szCs w:val="24"/>
          <w:u w:val="single"/>
        </w:rPr>
        <w:t xml:space="preserve"> </w:t>
      </w:r>
      <w:r>
        <w:rPr>
          <w:rFonts w:hint="eastAsia" w:ascii="宋体" w:hAnsi="宋体" w:cs="宋体"/>
          <w:color w:val="auto"/>
          <w:sz w:val="24"/>
          <w:szCs w:val="24"/>
        </w:rPr>
        <w:t>时</w:t>
      </w:r>
      <w:r>
        <w:rPr>
          <w:rFonts w:ascii="宋体" w:hAnsi="宋体" w:cs="宋体"/>
          <w:color w:val="auto"/>
          <w:sz w:val="24"/>
          <w:szCs w:val="24"/>
          <w:u w:val="single"/>
        </w:rPr>
        <w:t xml:space="preserve"> </w:t>
      </w:r>
      <w:r>
        <w:rPr>
          <w:rFonts w:hint="eastAsia" w:ascii="宋体" w:hAnsi="宋体" w:cs="宋体"/>
          <w:color w:val="auto"/>
          <w:sz w:val="24"/>
          <w:szCs w:val="24"/>
          <w:u w:val="single"/>
          <w:lang w:val="en-US" w:eastAsia="zh-CN"/>
        </w:rPr>
        <w:t>3</w:t>
      </w:r>
      <w:r>
        <w:rPr>
          <w:rFonts w:ascii="宋体" w:hAnsi="宋体" w:cs="宋体"/>
          <w:color w:val="auto"/>
          <w:sz w:val="24"/>
          <w:szCs w:val="24"/>
          <w:u w:val="single"/>
        </w:rPr>
        <w:t xml:space="preserve">0 </w:t>
      </w:r>
      <w:r>
        <w:rPr>
          <w:rFonts w:hint="eastAsia" w:ascii="宋体" w:hAnsi="宋体" w:cs="宋体"/>
          <w:color w:val="auto"/>
          <w:sz w:val="24"/>
          <w:szCs w:val="24"/>
        </w:rPr>
        <w:t>分整之前将电子磋商响应文件上传到“政采云”平台。</w:t>
      </w:r>
    </w:p>
    <w:p>
      <w:pPr>
        <w:adjustRightInd w:val="0"/>
        <w:spacing w:line="360" w:lineRule="auto"/>
        <w:ind w:firstLine="482" w:firstLineChars="200"/>
        <w:jc w:val="left"/>
        <w:rPr>
          <w:rFonts w:ascii="宋体"/>
          <w:color w:val="auto"/>
          <w:sz w:val="24"/>
          <w:szCs w:val="24"/>
        </w:rPr>
      </w:pPr>
      <w:r>
        <w:rPr>
          <w:rFonts w:hint="eastAsia" w:ascii="宋体" w:hAnsi="宋体" w:cs="宋体"/>
          <w:b/>
          <w:bCs/>
          <w:color w:val="auto"/>
          <w:sz w:val="24"/>
          <w:szCs w:val="24"/>
        </w:rPr>
        <w:t>八．递交首次响应文件时间及地点：</w:t>
      </w:r>
      <w:r>
        <w:rPr>
          <w:rFonts w:ascii="宋体" w:hAnsi="宋体" w:cs="宋体"/>
          <w:color w:val="auto"/>
          <w:sz w:val="24"/>
          <w:szCs w:val="24"/>
          <w:u w:val="single"/>
        </w:rPr>
        <w:t xml:space="preserve"> </w:t>
      </w:r>
      <w:r>
        <w:rPr>
          <w:rFonts w:hint="eastAsia" w:ascii="宋体" w:hAnsi="宋体" w:cs="宋体"/>
          <w:color w:val="auto"/>
          <w:sz w:val="24"/>
          <w:szCs w:val="24"/>
          <w:u w:val="single"/>
          <w:lang w:eastAsia="zh-CN"/>
        </w:rPr>
        <w:t>202</w:t>
      </w:r>
      <w:r>
        <w:rPr>
          <w:rFonts w:hint="eastAsia" w:ascii="宋体" w:hAnsi="宋体" w:cs="宋体"/>
          <w:color w:val="auto"/>
          <w:sz w:val="24"/>
          <w:szCs w:val="24"/>
          <w:u w:val="single"/>
          <w:lang w:val="en-US" w:eastAsia="zh-CN"/>
        </w:rPr>
        <w:t>4</w:t>
      </w:r>
      <w:r>
        <w:rPr>
          <w:rFonts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lang w:val="en-US" w:eastAsia="zh-CN"/>
        </w:rPr>
        <w:t>5</w:t>
      </w:r>
      <w:r>
        <w:rPr>
          <w:rFonts w:hint="eastAsia" w:ascii="宋体" w:hAnsi="宋体" w:cs="宋体"/>
          <w:color w:val="auto"/>
          <w:sz w:val="24"/>
          <w:szCs w:val="24"/>
        </w:rPr>
        <w:t>月</w:t>
      </w:r>
      <w:r>
        <w:rPr>
          <w:rFonts w:hint="eastAsia" w:ascii="宋体" w:hAnsi="宋体" w:cs="宋体"/>
          <w:color w:val="auto"/>
          <w:sz w:val="24"/>
          <w:szCs w:val="24"/>
          <w:u w:val="single"/>
          <w:lang w:val="en-US" w:eastAsia="zh-CN"/>
        </w:rPr>
        <w:t>20</w:t>
      </w:r>
      <w:r>
        <w:rPr>
          <w:rFonts w:hint="eastAsia" w:ascii="宋体" w:hAnsi="宋体" w:cs="宋体"/>
          <w:color w:val="auto"/>
          <w:sz w:val="24"/>
          <w:szCs w:val="24"/>
        </w:rPr>
        <w:t>日</w:t>
      </w:r>
      <w:r>
        <w:rPr>
          <w:rFonts w:hint="eastAsia" w:ascii="宋体" w:hAnsi="宋体" w:cs="宋体"/>
          <w:color w:val="auto"/>
          <w:sz w:val="24"/>
          <w:szCs w:val="24"/>
          <w:lang w:val="en-US" w:eastAsia="zh-CN"/>
        </w:rPr>
        <w:t xml:space="preserve"> 上</w:t>
      </w:r>
      <w:r>
        <w:rPr>
          <w:rFonts w:hint="eastAsia" w:ascii="宋体" w:hAnsi="宋体" w:cs="宋体"/>
          <w:color w:val="auto"/>
          <w:sz w:val="24"/>
          <w:szCs w:val="24"/>
        </w:rPr>
        <w:t>午</w:t>
      </w:r>
      <w:r>
        <w:rPr>
          <w:rFonts w:ascii="宋体" w:hAnsi="宋体" w:cs="宋体"/>
          <w:color w:val="auto"/>
          <w:sz w:val="24"/>
          <w:szCs w:val="24"/>
          <w:u w:val="single"/>
        </w:rPr>
        <w:t xml:space="preserve"> </w:t>
      </w:r>
      <w:r>
        <w:rPr>
          <w:rFonts w:hint="eastAsia" w:ascii="宋体" w:hAnsi="宋体" w:cs="宋体"/>
          <w:color w:val="auto"/>
          <w:sz w:val="24"/>
          <w:szCs w:val="24"/>
          <w:u w:val="single"/>
          <w:lang w:val="en-US" w:eastAsia="zh-CN"/>
        </w:rPr>
        <w:t>9</w:t>
      </w:r>
      <w:r>
        <w:rPr>
          <w:rFonts w:hint="eastAsia" w:ascii="宋体" w:hAnsi="宋体" w:cs="宋体"/>
          <w:color w:val="auto"/>
          <w:sz w:val="24"/>
          <w:szCs w:val="24"/>
        </w:rPr>
        <w:t>时</w:t>
      </w:r>
      <w:r>
        <w:rPr>
          <w:rFonts w:ascii="宋体" w:hAnsi="宋体" w:cs="宋体"/>
          <w:color w:val="auto"/>
          <w:sz w:val="24"/>
          <w:szCs w:val="24"/>
          <w:u w:val="single"/>
        </w:rPr>
        <w:t xml:space="preserve"> </w:t>
      </w:r>
      <w:r>
        <w:rPr>
          <w:rFonts w:hint="eastAsia" w:ascii="宋体" w:hAnsi="宋体" w:cs="宋体"/>
          <w:color w:val="auto"/>
          <w:sz w:val="24"/>
          <w:szCs w:val="24"/>
          <w:u w:val="single"/>
          <w:lang w:val="en-US" w:eastAsia="zh-CN"/>
        </w:rPr>
        <w:t>3</w:t>
      </w:r>
      <w:r>
        <w:rPr>
          <w:rFonts w:ascii="宋体" w:hAnsi="宋体" w:cs="宋体"/>
          <w:color w:val="auto"/>
          <w:sz w:val="24"/>
          <w:szCs w:val="24"/>
          <w:u w:val="single"/>
        </w:rPr>
        <w:t xml:space="preserve">0  </w:t>
      </w:r>
      <w:r>
        <w:rPr>
          <w:rFonts w:hint="eastAsia" w:ascii="宋体" w:hAnsi="宋体" w:cs="宋体"/>
          <w:color w:val="auto"/>
          <w:sz w:val="24"/>
          <w:szCs w:val="24"/>
        </w:rPr>
        <w:t>分</w:t>
      </w:r>
      <w:bookmarkStart w:id="14" w:name="B30_开标地点"/>
      <w:r>
        <w:rPr>
          <w:rFonts w:hint="eastAsia" w:ascii="宋体" w:hAnsi="宋体" w:cs="宋体"/>
          <w:color w:val="auto"/>
          <w:sz w:val="24"/>
          <w:szCs w:val="24"/>
        </w:rPr>
        <w:t>整在</w:t>
      </w:r>
      <w:r>
        <w:rPr>
          <w:rFonts w:hint="eastAsia" w:ascii="宋体" w:hAnsi="宋体" w:cs="宋体"/>
          <w:color w:val="auto"/>
          <w:sz w:val="24"/>
          <w:szCs w:val="24"/>
          <w:lang w:val="en-US" w:eastAsia="zh-CN"/>
        </w:rPr>
        <w:t>浙江省成套工程有限公司（</w:t>
      </w:r>
      <w:r>
        <w:rPr>
          <w:rFonts w:hint="eastAsia" w:ascii="宋体" w:hAnsi="宋体" w:cs="宋体"/>
          <w:color w:val="auto"/>
          <w:sz w:val="24"/>
          <w:szCs w:val="24"/>
        </w:rPr>
        <w:t>绍兴市上虞区百官街道江财富广场6号楼902室</w:t>
      </w:r>
      <w:r>
        <w:rPr>
          <w:rFonts w:hint="eastAsia" w:ascii="宋体" w:hAnsi="宋体" w:cs="宋体"/>
          <w:color w:val="auto"/>
          <w:sz w:val="24"/>
          <w:szCs w:val="24"/>
          <w:lang w:val="en-US" w:eastAsia="zh-CN"/>
        </w:rPr>
        <w:t>）</w:t>
      </w:r>
      <w:r>
        <w:rPr>
          <w:rFonts w:hint="eastAsia" w:ascii="宋体" w:hAnsi="宋体" w:cs="宋体"/>
          <w:color w:val="auto"/>
          <w:sz w:val="24"/>
          <w:szCs w:val="24"/>
        </w:rPr>
        <w:t>开标室开标。</w:t>
      </w:r>
      <w:bookmarkEnd w:id="14"/>
    </w:p>
    <w:p>
      <w:pPr>
        <w:adjustRightInd w:val="0"/>
        <w:spacing w:line="360" w:lineRule="auto"/>
        <w:ind w:firstLine="480" w:firstLineChars="200"/>
        <w:rPr>
          <w:rFonts w:ascii="宋体"/>
          <w:color w:val="auto"/>
          <w:sz w:val="24"/>
          <w:szCs w:val="24"/>
        </w:rPr>
      </w:pPr>
      <w:r>
        <w:rPr>
          <w:rFonts w:hint="eastAsia" w:ascii="宋体" w:hAnsi="宋体" w:cs="宋体"/>
          <w:color w:val="auto"/>
          <w:sz w:val="24"/>
          <w:szCs w:val="24"/>
        </w:rPr>
        <w:t>开标时间后</w:t>
      </w:r>
      <w:r>
        <w:rPr>
          <w:rFonts w:ascii="宋体" w:hAnsi="宋体" w:cs="宋体"/>
          <w:color w:val="auto"/>
          <w:sz w:val="24"/>
          <w:szCs w:val="24"/>
        </w:rPr>
        <w:t>30</w:t>
      </w:r>
      <w:r>
        <w:rPr>
          <w:rFonts w:hint="eastAsia" w:ascii="宋体" w:hAnsi="宋体" w:cs="宋体"/>
          <w:color w:val="auto"/>
          <w:sz w:val="24"/>
          <w:szCs w:val="24"/>
        </w:rPr>
        <w:t>分钟内（当日</w:t>
      </w:r>
      <w:r>
        <w:rPr>
          <w:rFonts w:ascii="宋体" w:hAnsi="宋体" w:cs="宋体"/>
          <w:color w:val="auto"/>
          <w:sz w:val="24"/>
          <w:szCs w:val="24"/>
        </w:rPr>
        <w:t xml:space="preserve"> </w:t>
      </w:r>
      <w:r>
        <w:rPr>
          <w:rFonts w:hint="eastAsia" w:ascii="宋体" w:hAnsi="宋体" w:cs="宋体"/>
          <w:color w:val="auto"/>
          <w:sz w:val="24"/>
          <w:szCs w:val="24"/>
        </w:rPr>
        <w:t>1</w:t>
      </w:r>
      <w:r>
        <w:rPr>
          <w:rFonts w:hint="eastAsia" w:ascii="宋体" w:hAnsi="宋体" w:cs="宋体"/>
          <w:color w:val="auto"/>
          <w:sz w:val="24"/>
          <w:szCs w:val="24"/>
          <w:lang w:val="en-US" w:eastAsia="zh-CN"/>
        </w:rPr>
        <w:t>0</w:t>
      </w:r>
      <w:r>
        <w:rPr>
          <w:rFonts w:ascii="宋体" w:hAnsi="宋体" w:cs="宋体"/>
          <w:color w:val="auto"/>
          <w:sz w:val="24"/>
          <w:szCs w:val="24"/>
        </w:rPr>
        <w:t xml:space="preserve"> : </w:t>
      </w:r>
      <w:r>
        <w:rPr>
          <w:rFonts w:hint="eastAsia" w:ascii="宋体" w:hAnsi="宋体" w:cs="宋体"/>
          <w:color w:val="auto"/>
          <w:sz w:val="24"/>
          <w:szCs w:val="24"/>
          <w:lang w:val="en-US" w:eastAsia="zh-CN"/>
        </w:rPr>
        <w:t>0</w:t>
      </w:r>
      <w:r>
        <w:rPr>
          <w:rFonts w:ascii="宋体" w:hAnsi="宋体" w:cs="宋体"/>
          <w:color w:val="auto"/>
          <w:sz w:val="24"/>
          <w:szCs w:val="24"/>
        </w:rPr>
        <w:t xml:space="preserve">0 </w:t>
      </w:r>
      <w:r>
        <w:rPr>
          <w:rFonts w:hint="eastAsia" w:ascii="宋体" w:hAnsi="宋体" w:cs="宋体"/>
          <w:color w:val="auto"/>
          <w:sz w:val="24"/>
          <w:szCs w:val="24"/>
        </w:rPr>
        <w:t>前）供应商可以登录“政采云”平台，用“项目采购</w:t>
      </w:r>
      <w:r>
        <w:rPr>
          <w:rFonts w:ascii="宋体" w:cs="宋体"/>
          <w:color w:val="auto"/>
          <w:sz w:val="24"/>
          <w:szCs w:val="24"/>
        </w:rPr>
        <w:t>-</w:t>
      </w:r>
      <w:r>
        <w:rPr>
          <w:rFonts w:hint="eastAsia" w:ascii="宋体" w:hAnsi="宋体" w:cs="宋体"/>
          <w:color w:val="auto"/>
          <w:sz w:val="24"/>
          <w:szCs w:val="24"/>
        </w:rPr>
        <w:t>开标评标”功能进行解密响应文件。若供应商在规定时间内（当日</w:t>
      </w:r>
      <w:r>
        <w:rPr>
          <w:rFonts w:ascii="宋体" w:hAnsi="宋体" w:cs="宋体"/>
          <w:color w:val="auto"/>
          <w:sz w:val="24"/>
          <w:szCs w:val="24"/>
        </w:rPr>
        <w:t xml:space="preserve"> </w:t>
      </w:r>
      <w:r>
        <w:rPr>
          <w:rFonts w:hint="eastAsia" w:ascii="宋体" w:hAnsi="宋体" w:cs="宋体"/>
          <w:color w:val="auto"/>
          <w:sz w:val="24"/>
          <w:szCs w:val="24"/>
        </w:rPr>
        <w:t>1</w:t>
      </w:r>
      <w:r>
        <w:rPr>
          <w:rFonts w:hint="eastAsia" w:ascii="宋体" w:hAnsi="宋体" w:cs="宋体"/>
          <w:color w:val="auto"/>
          <w:sz w:val="24"/>
          <w:szCs w:val="24"/>
          <w:lang w:val="en-US" w:eastAsia="zh-CN"/>
        </w:rPr>
        <w:t>0</w:t>
      </w:r>
      <w:r>
        <w:rPr>
          <w:rFonts w:ascii="宋体" w:hAnsi="宋体" w:cs="宋体"/>
          <w:color w:val="auto"/>
          <w:sz w:val="24"/>
          <w:szCs w:val="24"/>
        </w:rPr>
        <w:t xml:space="preserve">: </w:t>
      </w:r>
      <w:r>
        <w:rPr>
          <w:rFonts w:hint="eastAsia" w:ascii="宋体" w:hAnsi="宋体" w:cs="宋体"/>
          <w:color w:val="auto"/>
          <w:sz w:val="24"/>
          <w:szCs w:val="24"/>
          <w:lang w:val="en-US" w:eastAsia="zh-CN"/>
        </w:rPr>
        <w:t>0</w:t>
      </w:r>
      <w:r>
        <w:rPr>
          <w:rFonts w:ascii="宋体" w:hAnsi="宋体" w:cs="宋体"/>
          <w:color w:val="auto"/>
          <w:sz w:val="24"/>
          <w:szCs w:val="24"/>
        </w:rPr>
        <w:t xml:space="preserve">0 </w:t>
      </w:r>
      <w:r>
        <w:rPr>
          <w:rFonts w:hint="eastAsia" w:ascii="宋体" w:hAnsi="宋体" w:cs="宋体"/>
          <w:color w:val="auto"/>
          <w:sz w:val="24"/>
          <w:szCs w:val="24"/>
        </w:rPr>
        <w:t>前）解密失败，则由采购代理机构工作人员上传供应商提供的备份文件。备份文件（后缀名为</w:t>
      </w:r>
      <w:r>
        <w:rPr>
          <w:rFonts w:ascii="宋体" w:hAnsi="宋体" w:cs="宋体"/>
          <w:color w:val="auto"/>
          <w:sz w:val="24"/>
          <w:szCs w:val="24"/>
        </w:rPr>
        <w:t>.bfbs</w:t>
      </w:r>
      <w:r>
        <w:rPr>
          <w:rFonts w:hint="eastAsia" w:ascii="宋体" w:hAnsi="宋体" w:cs="宋体"/>
          <w:color w:val="auto"/>
          <w:sz w:val="24"/>
          <w:szCs w:val="24"/>
        </w:rPr>
        <w:t>）须存储在</w:t>
      </w:r>
      <w:r>
        <w:rPr>
          <w:rFonts w:ascii="宋体" w:hAnsi="宋体" w:cs="宋体"/>
          <w:color w:val="auto"/>
          <w:sz w:val="24"/>
          <w:szCs w:val="24"/>
        </w:rPr>
        <w:t>U</w:t>
      </w:r>
      <w:r>
        <w:rPr>
          <w:rFonts w:hint="eastAsia" w:ascii="宋体" w:hAnsi="宋体" w:cs="宋体"/>
          <w:color w:val="auto"/>
          <w:sz w:val="24"/>
          <w:szCs w:val="24"/>
        </w:rPr>
        <w:t>盘中，与上传的电子磋商响应文件一致，用信封进行密封并盖章</w:t>
      </w:r>
      <w:r>
        <w:rPr>
          <w:rFonts w:hint="eastAsia" w:ascii="宋体" w:hAnsi="宋体" w:cs="宋体"/>
          <w:b/>
          <w:bCs/>
          <w:color w:val="auto"/>
          <w:sz w:val="24"/>
          <w:szCs w:val="24"/>
        </w:rPr>
        <w:t>（信封内仅需放入存储备份文件的</w:t>
      </w:r>
      <w:r>
        <w:rPr>
          <w:rFonts w:ascii="宋体" w:hAnsi="宋体" w:cs="宋体"/>
          <w:b/>
          <w:bCs/>
          <w:color w:val="auto"/>
          <w:sz w:val="24"/>
          <w:szCs w:val="24"/>
        </w:rPr>
        <w:t>U</w:t>
      </w:r>
      <w:r>
        <w:rPr>
          <w:rFonts w:hint="eastAsia" w:ascii="宋体" w:hAnsi="宋体" w:cs="宋体"/>
          <w:b/>
          <w:bCs/>
          <w:color w:val="auto"/>
          <w:sz w:val="24"/>
          <w:szCs w:val="24"/>
        </w:rPr>
        <w:t>盘）</w:t>
      </w:r>
      <w:r>
        <w:rPr>
          <w:rFonts w:hint="eastAsia" w:ascii="宋体" w:hAnsi="宋体" w:cs="宋体"/>
          <w:color w:val="auto"/>
          <w:sz w:val="24"/>
          <w:szCs w:val="24"/>
        </w:rPr>
        <w:t>，由授权代表在磋商响应截止时间前递交至开标地点。若电子磋商响应文件正常解锁，则</w:t>
      </w:r>
      <w:r>
        <w:rPr>
          <w:rFonts w:ascii="宋体" w:hAnsi="宋体" w:cs="宋体"/>
          <w:color w:val="auto"/>
          <w:sz w:val="24"/>
          <w:szCs w:val="24"/>
        </w:rPr>
        <w:t>U</w:t>
      </w:r>
      <w:r>
        <w:rPr>
          <w:rFonts w:hint="eastAsia" w:ascii="宋体" w:hAnsi="宋体" w:cs="宋体"/>
          <w:color w:val="auto"/>
          <w:sz w:val="24"/>
          <w:szCs w:val="24"/>
        </w:rPr>
        <w:t>盘退还给供应商；若解锁失败，则由采购代理机构将</w:t>
      </w:r>
      <w:r>
        <w:rPr>
          <w:rFonts w:ascii="宋体" w:hAnsi="宋体" w:cs="宋体"/>
          <w:color w:val="auto"/>
          <w:sz w:val="24"/>
          <w:szCs w:val="24"/>
        </w:rPr>
        <w:t>U</w:t>
      </w:r>
      <w:r>
        <w:rPr>
          <w:rFonts w:hint="eastAsia" w:ascii="宋体" w:hAnsi="宋体" w:cs="宋体"/>
          <w:color w:val="auto"/>
          <w:sz w:val="24"/>
          <w:szCs w:val="24"/>
        </w:rPr>
        <w:t>盘中的备份文件上传，该</w:t>
      </w:r>
      <w:r>
        <w:rPr>
          <w:rFonts w:ascii="宋体" w:hAnsi="宋体" w:cs="宋体"/>
          <w:color w:val="auto"/>
          <w:sz w:val="24"/>
          <w:szCs w:val="24"/>
        </w:rPr>
        <w:t>U</w:t>
      </w:r>
      <w:r>
        <w:rPr>
          <w:rFonts w:hint="eastAsia" w:ascii="宋体" w:hAnsi="宋体" w:cs="宋体"/>
          <w:color w:val="auto"/>
          <w:sz w:val="24"/>
          <w:szCs w:val="24"/>
        </w:rPr>
        <w:t>盘将由采购代理机构保存。</w:t>
      </w:r>
    </w:p>
    <w:p>
      <w:pPr>
        <w:adjustRightInd w:val="0"/>
        <w:spacing w:line="360" w:lineRule="auto"/>
        <w:ind w:firstLine="480" w:firstLineChars="200"/>
        <w:rPr>
          <w:rFonts w:ascii="宋体"/>
          <w:color w:val="auto"/>
          <w:sz w:val="24"/>
          <w:szCs w:val="24"/>
        </w:rPr>
      </w:pPr>
      <w:r>
        <w:rPr>
          <w:rFonts w:hint="eastAsia" w:ascii="宋体" w:hAnsi="宋体" w:cs="宋体"/>
          <w:color w:val="auto"/>
          <w:sz w:val="24"/>
          <w:szCs w:val="24"/>
        </w:rPr>
        <w:t>本次开标不提供现场</w:t>
      </w:r>
      <w:r>
        <w:rPr>
          <w:rFonts w:hint="eastAsia" w:ascii="宋体" w:hAnsi="宋体" w:cs="宋体"/>
          <w:color w:val="auto"/>
          <w:sz w:val="24"/>
        </w:rPr>
        <w:t>演示</w:t>
      </w:r>
      <w:r>
        <w:rPr>
          <w:rFonts w:hint="eastAsia" w:ascii="宋体" w:hAnsi="宋体" w:cs="宋体"/>
          <w:color w:val="auto"/>
          <w:sz w:val="24"/>
          <w:szCs w:val="24"/>
        </w:rPr>
        <w:t>。</w:t>
      </w:r>
    </w:p>
    <w:p>
      <w:pPr>
        <w:adjustRightInd w:val="0"/>
        <w:spacing w:line="360" w:lineRule="auto"/>
        <w:ind w:firstLine="480" w:firstLineChars="200"/>
        <w:rPr>
          <w:rFonts w:ascii="宋体"/>
          <w:color w:val="auto"/>
          <w:sz w:val="24"/>
          <w:szCs w:val="24"/>
        </w:rPr>
      </w:pPr>
      <w:r>
        <w:rPr>
          <w:rFonts w:hint="eastAsia" w:ascii="宋体" w:hAnsi="宋体" w:cs="宋体"/>
          <w:color w:val="auto"/>
          <w:sz w:val="24"/>
          <w:szCs w:val="24"/>
        </w:rPr>
        <w:t>九．磋商保证金：无</w:t>
      </w:r>
    </w:p>
    <w:p>
      <w:pPr>
        <w:adjustRightInd w:val="0"/>
        <w:spacing w:line="360" w:lineRule="auto"/>
        <w:ind w:firstLine="480" w:firstLineChars="200"/>
        <w:rPr>
          <w:rFonts w:ascii="宋体"/>
          <w:color w:val="auto"/>
          <w:sz w:val="24"/>
          <w:szCs w:val="24"/>
        </w:rPr>
      </w:pPr>
      <w:r>
        <w:rPr>
          <w:rFonts w:hint="eastAsia" w:ascii="宋体" w:hAnsi="宋体" w:cs="宋体"/>
          <w:color w:val="auto"/>
          <w:sz w:val="24"/>
          <w:szCs w:val="24"/>
        </w:rPr>
        <w:t>十．公告期限：3个工作日</w:t>
      </w:r>
    </w:p>
    <w:p>
      <w:pPr>
        <w:adjustRightInd w:val="0"/>
        <w:spacing w:line="360" w:lineRule="auto"/>
        <w:ind w:firstLine="480" w:firstLineChars="200"/>
        <w:rPr>
          <w:rFonts w:ascii="宋体"/>
          <w:color w:val="auto"/>
          <w:sz w:val="24"/>
          <w:szCs w:val="24"/>
        </w:rPr>
      </w:pPr>
      <w:r>
        <w:rPr>
          <w:rFonts w:hint="eastAsia" w:ascii="宋体" w:hAnsi="宋体" w:cs="宋体"/>
          <w:color w:val="auto"/>
          <w:sz w:val="24"/>
          <w:szCs w:val="24"/>
        </w:rPr>
        <w:t>十一．联系方式：</w:t>
      </w:r>
    </w:p>
    <w:p>
      <w:pPr>
        <w:adjustRightInd w:val="0"/>
        <w:spacing w:line="360" w:lineRule="auto"/>
        <w:ind w:firstLine="480" w:firstLineChars="200"/>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．采购代理机构名称：浙江省成套工程有限公司</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项建海</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13819570604</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质疑联系人：章建峰</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宋体"/>
          <w:color w:val="auto"/>
          <w:sz w:val="24"/>
          <w:szCs w:val="24"/>
        </w:rPr>
      </w:pPr>
      <w:r>
        <w:rPr>
          <w:rFonts w:hint="eastAsia" w:ascii="宋体" w:hAnsi="宋体" w:eastAsia="宋体" w:cs="宋体"/>
          <w:color w:val="auto"/>
          <w:sz w:val="24"/>
          <w:szCs w:val="24"/>
          <w:highlight w:val="none"/>
          <w:lang w:val="en-US" w:eastAsia="zh-CN"/>
        </w:rPr>
        <w:t>联系电话：13372401551</w:t>
      </w:r>
      <w:r>
        <w:rPr>
          <w:rFonts w:hint="eastAsia" w:ascii="宋体" w:hAnsi="宋体" w:cs="宋体"/>
          <w:color w:val="auto"/>
          <w:sz w:val="24"/>
          <w:szCs w:val="24"/>
        </w:rPr>
        <w:t xml:space="preserve">     </w:t>
      </w:r>
    </w:p>
    <w:p>
      <w:pPr>
        <w:adjustRightIn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地址：绍兴市上虞区百官街道江财富广场6号楼902室</w:t>
      </w:r>
    </w:p>
    <w:p>
      <w:pPr>
        <w:adjustRightInd w:val="0"/>
        <w:spacing w:line="360" w:lineRule="auto"/>
        <w:ind w:firstLine="480" w:firstLineChars="200"/>
        <w:rPr>
          <w:rFonts w:hint="eastAsia" w:ascii="宋体" w:eastAsia="宋体"/>
          <w:color w:val="auto"/>
          <w:sz w:val="24"/>
          <w:szCs w:val="24"/>
          <w:lang w:eastAsia="zh-CN"/>
        </w:rPr>
      </w:pPr>
      <w:r>
        <w:rPr>
          <w:rFonts w:ascii="宋体" w:hAnsi="宋体" w:cs="宋体"/>
          <w:color w:val="auto"/>
          <w:sz w:val="24"/>
          <w:szCs w:val="24"/>
        </w:rPr>
        <w:t>2</w:t>
      </w:r>
      <w:r>
        <w:rPr>
          <w:rFonts w:hint="eastAsia" w:ascii="宋体" w:hAnsi="宋体" w:cs="宋体"/>
          <w:color w:val="auto"/>
          <w:sz w:val="24"/>
          <w:szCs w:val="24"/>
        </w:rPr>
        <w:t>．采购人名称：</w:t>
      </w:r>
      <w:r>
        <w:rPr>
          <w:rFonts w:hint="eastAsia" w:ascii="宋体" w:hAnsi="宋体" w:cs="宋体"/>
          <w:color w:val="auto"/>
          <w:sz w:val="24"/>
          <w:lang w:eastAsia="zh-CN"/>
        </w:rPr>
        <w:t>绍兴市上虞区综合行政执法局</w:t>
      </w:r>
    </w:p>
    <w:p>
      <w:pPr>
        <w:adjustRightInd w:val="0"/>
        <w:spacing w:line="360" w:lineRule="auto"/>
        <w:ind w:firstLine="480" w:firstLineChars="200"/>
        <w:rPr>
          <w:rFonts w:hint="default" w:ascii="宋体" w:hAnsi="宋体" w:cs="宋体"/>
          <w:color w:val="auto"/>
          <w:sz w:val="24"/>
          <w:szCs w:val="24"/>
          <w:lang w:val="en-US" w:eastAsia="zh-CN"/>
        </w:rPr>
      </w:pPr>
      <w:r>
        <w:rPr>
          <w:rFonts w:hint="eastAsia" w:ascii="宋体" w:hAnsi="宋体" w:eastAsia="宋体" w:cs="宋体"/>
          <w:color w:val="auto"/>
          <w:sz w:val="24"/>
          <w:szCs w:val="24"/>
          <w:highlight w:val="none"/>
        </w:rPr>
        <w:t>项目联系人（</w:t>
      </w:r>
      <w:r>
        <w:rPr>
          <w:rFonts w:hint="eastAsia" w:ascii="宋体" w:hAnsi="宋体" w:cs="宋体"/>
          <w:color w:val="auto"/>
          <w:sz w:val="24"/>
          <w:szCs w:val="24"/>
        </w:rPr>
        <w:t>询问）：</w:t>
      </w:r>
      <w:r>
        <w:rPr>
          <w:rFonts w:hint="eastAsia" w:ascii="宋体" w:hAnsi="宋体" w:cs="宋体"/>
          <w:color w:val="auto"/>
          <w:sz w:val="24"/>
          <w:szCs w:val="24"/>
          <w:lang w:val="en-US" w:eastAsia="zh-CN"/>
        </w:rPr>
        <w:t>宋先生</w:t>
      </w:r>
    </w:p>
    <w:p>
      <w:pPr>
        <w:adjustRightInd w:val="0"/>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rPr>
        <w:t>项目联系方式（询问）：0575-82131630</w:t>
      </w:r>
    </w:p>
    <w:p>
      <w:pPr>
        <w:adjustRightInd w:val="0"/>
        <w:spacing w:line="360" w:lineRule="auto"/>
        <w:ind w:firstLine="480" w:firstLineChars="200"/>
        <w:rPr>
          <w:rFonts w:ascii="宋体" w:hAnsi="宋体" w:cs="宋体"/>
          <w:sz w:val="24"/>
        </w:rPr>
      </w:pPr>
      <w:r>
        <w:rPr>
          <w:rFonts w:hint="eastAsia" w:ascii="宋体" w:hAnsi="宋体" w:cs="宋体"/>
          <w:sz w:val="24"/>
        </w:rPr>
        <w:t>质疑联系人：</w:t>
      </w:r>
      <w:r>
        <w:rPr>
          <w:rFonts w:hint="eastAsia" w:ascii="宋体" w:hAnsi="宋体" w:cs="宋体"/>
          <w:color w:val="auto"/>
          <w:sz w:val="24"/>
          <w:szCs w:val="24"/>
          <w:highlight w:val="none"/>
          <w:lang w:val="en-US" w:eastAsia="zh-CN"/>
        </w:rPr>
        <w:t xml:space="preserve">李女士 </w:t>
      </w:r>
      <w:r>
        <w:rPr>
          <w:rFonts w:ascii="宋体" w:hAnsi="宋体" w:cs="宋体"/>
          <w:sz w:val="24"/>
        </w:rPr>
        <w:t xml:space="preserve"> </w:t>
      </w:r>
    </w:p>
    <w:p>
      <w:pPr>
        <w:adjustRightIn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sz w:val="24"/>
        </w:rPr>
        <w:t>质疑联系方式：</w:t>
      </w:r>
      <w:r>
        <w:rPr>
          <w:rFonts w:hint="eastAsia" w:ascii="宋体" w:hAnsi="宋体" w:cs="宋体"/>
          <w:color w:val="auto"/>
          <w:sz w:val="24"/>
          <w:szCs w:val="24"/>
          <w:highlight w:val="none"/>
          <w:lang w:val="en-US" w:eastAsia="zh-CN"/>
        </w:rPr>
        <w:t xml:space="preserve">0575-82917028 </w:t>
      </w:r>
    </w:p>
    <w:p>
      <w:pPr>
        <w:adjustRightInd w:val="0"/>
        <w:spacing w:line="360" w:lineRule="auto"/>
        <w:ind w:firstLine="480" w:firstLineChars="200"/>
        <w:rPr>
          <w:rFonts w:hint="eastAsia" w:ascii="宋体" w:eastAsia="宋体"/>
          <w:color w:val="auto"/>
          <w:sz w:val="24"/>
          <w:szCs w:val="24"/>
          <w:lang w:val="en-US" w:eastAsia="zh-CN"/>
        </w:rPr>
      </w:pPr>
      <w:r>
        <w:rPr>
          <w:rFonts w:hint="eastAsia" w:ascii="宋体" w:hAnsi="宋体" w:cs="宋体"/>
          <w:color w:val="auto"/>
          <w:sz w:val="24"/>
          <w:szCs w:val="24"/>
        </w:rPr>
        <w:t>地址：</w:t>
      </w:r>
      <w:r>
        <w:rPr>
          <w:rFonts w:ascii="宋体" w:hAnsi="宋体" w:cs="宋体"/>
          <w:color w:val="auto"/>
          <w:sz w:val="24"/>
        </w:rPr>
        <w:t>绍兴市上虞区</w:t>
      </w:r>
      <w:r>
        <w:rPr>
          <w:rFonts w:hint="eastAsia" w:ascii="宋体" w:hAnsi="宋体" w:cs="宋体"/>
          <w:color w:val="auto"/>
          <w:sz w:val="24"/>
          <w:lang w:eastAsia="zh-CN"/>
        </w:rPr>
        <w:t>百官街道峰山南路</w:t>
      </w:r>
    </w:p>
    <w:p>
      <w:pPr>
        <w:adjustRightInd w:val="0"/>
        <w:spacing w:line="360" w:lineRule="auto"/>
        <w:ind w:firstLine="480" w:firstLineChars="200"/>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．同级政府采购监督管理部门名称：上虞区财政局政府采购监管科</w:t>
      </w:r>
    </w:p>
    <w:p>
      <w:pPr>
        <w:adjustRightInd w:val="0"/>
        <w:spacing w:line="360" w:lineRule="auto"/>
        <w:ind w:firstLine="480" w:firstLineChars="200"/>
        <w:rPr>
          <w:rFonts w:ascii="宋体"/>
          <w:color w:val="auto"/>
          <w:sz w:val="24"/>
          <w:szCs w:val="24"/>
        </w:rPr>
      </w:pPr>
      <w:r>
        <w:rPr>
          <w:rFonts w:hint="eastAsia" w:ascii="宋体" w:hAnsi="宋体" w:cs="宋体"/>
          <w:color w:val="auto"/>
          <w:sz w:val="24"/>
          <w:szCs w:val="24"/>
        </w:rPr>
        <w:t>联系人：谷先生</w:t>
      </w:r>
    </w:p>
    <w:p>
      <w:pPr>
        <w:adjustRightInd w:val="0"/>
        <w:spacing w:line="360" w:lineRule="auto"/>
        <w:ind w:firstLine="480" w:firstLineChars="200"/>
        <w:rPr>
          <w:rFonts w:ascii="宋体"/>
          <w:color w:val="auto"/>
          <w:sz w:val="24"/>
          <w:szCs w:val="24"/>
        </w:rPr>
      </w:pPr>
      <w:r>
        <w:rPr>
          <w:rFonts w:hint="eastAsia" w:ascii="宋体" w:hAnsi="宋体" w:cs="宋体"/>
          <w:color w:val="auto"/>
          <w:sz w:val="24"/>
          <w:szCs w:val="24"/>
        </w:rPr>
        <w:t>监督投诉电话：</w:t>
      </w:r>
      <w:r>
        <w:rPr>
          <w:rFonts w:ascii="宋体" w:hAnsi="宋体" w:cs="宋体"/>
          <w:color w:val="auto"/>
          <w:sz w:val="24"/>
          <w:szCs w:val="24"/>
        </w:rPr>
        <w:t>0575-82130212</w:t>
      </w:r>
    </w:p>
    <w:p>
      <w:pPr>
        <w:adjustRightInd w:val="0"/>
        <w:spacing w:line="360" w:lineRule="auto"/>
        <w:ind w:firstLine="480" w:firstLineChars="200"/>
        <w:rPr>
          <w:rFonts w:ascii="宋体"/>
          <w:color w:val="auto"/>
          <w:sz w:val="24"/>
          <w:szCs w:val="24"/>
        </w:rPr>
      </w:pPr>
      <w:r>
        <w:rPr>
          <w:rFonts w:hint="eastAsia" w:ascii="宋体" w:hAnsi="宋体" w:cs="宋体"/>
          <w:color w:val="auto"/>
          <w:sz w:val="24"/>
          <w:szCs w:val="24"/>
        </w:rPr>
        <w:t>传真：</w:t>
      </w:r>
      <w:r>
        <w:rPr>
          <w:rFonts w:ascii="宋体" w:hAnsi="宋体" w:cs="宋体"/>
          <w:color w:val="auto"/>
          <w:sz w:val="24"/>
          <w:szCs w:val="24"/>
        </w:rPr>
        <w:t>0575-82130212</w:t>
      </w:r>
    </w:p>
    <w:p>
      <w:pPr>
        <w:adjustRightInd w:val="0"/>
        <w:spacing w:line="360" w:lineRule="auto"/>
        <w:ind w:firstLine="480" w:firstLineChars="200"/>
        <w:rPr>
          <w:rFonts w:ascii="宋体"/>
          <w:color w:val="auto"/>
          <w:sz w:val="24"/>
          <w:szCs w:val="24"/>
        </w:rPr>
      </w:pPr>
      <w:r>
        <w:rPr>
          <w:rFonts w:hint="eastAsia" w:ascii="宋体" w:hAnsi="宋体" w:cs="宋体"/>
          <w:color w:val="auto"/>
          <w:sz w:val="24"/>
          <w:szCs w:val="24"/>
        </w:rPr>
        <w:t>地址：绍兴市上虞区体育场路</w:t>
      </w:r>
      <w:r>
        <w:rPr>
          <w:rFonts w:ascii="宋体" w:hAnsi="宋体" w:cs="宋体"/>
          <w:color w:val="auto"/>
          <w:sz w:val="24"/>
          <w:szCs w:val="24"/>
        </w:rPr>
        <w:t>18</w:t>
      </w:r>
      <w:r>
        <w:rPr>
          <w:rFonts w:hint="eastAsia" w:ascii="宋体" w:hAnsi="宋体" w:cs="宋体"/>
          <w:color w:val="auto"/>
          <w:sz w:val="24"/>
          <w:szCs w:val="24"/>
        </w:rPr>
        <w:t>号</w:t>
      </w:r>
    </w:p>
    <w:p>
      <w:pPr>
        <w:spacing w:line="360" w:lineRule="auto"/>
        <w:jc w:val="center"/>
        <w:outlineLvl w:val="0"/>
        <w:rPr>
          <w:rFonts w:ascii="宋体"/>
          <w:b/>
          <w:bCs/>
          <w:color w:val="auto"/>
          <w:sz w:val="36"/>
          <w:szCs w:val="36"/>
        </w:rPr>
      </w:pPr>
      <w:r>
        <w:rPr>
          <w:rFonts w:ascii="宋体"/>
          <w:b/>
          <w:bCs/>
          <w:color w:val="auto"/>
          <w:sz w:val="36"/>
          <w:szCs w:val="36"/>
        </w:rPr>
        <w:br w:type="page"/>
      </w:r>
      <w:bookmarkStart w:id="15" w:name="_Toc546"/>
      <w:bookmarkStart w:id="16" w:name="_Toc24505"/>
      <w:bookmarkStart w:id="17" w:name="_Toc29834"/>
      <w:bookmarkStart w:id="18" w:name="_Toc32101"/>
      <w:r>
        <w:rPr>
          <w:rStyle w:val="41"/>
          <w:rFonts w:hint="eastAsia" w:cs="宋体"/>
          <w:color w:val="auto"/>
          <w:sz w:val="36"/>
          <w:szCs w:val="36"/>
        </w:rPr>
        <w:t>第二部分</w:t>
      </w:r>
      <w:bookmarkEnd w:id="5"/>
      <w:r>
        <w:rPr>
          <w:rStyle w:val="41"/>
          <w:color w:val="auto"/>
          <w:sz w:val="36"/>
          <w:szCs w:val="36"/>
        </w:rPr>
        <w:t xml:space="preserve"> </w:t>
      </w:r>
      <w:bookmarkEnd w:id="6"/>
      <w:r>
        <w:rPr>
          <w:rStyle w:val="41"/>
          <w:rFonts w:hint="eastAsia" w:cs="宋体"/>
          <w:color w:val="auto"/>
          <w:sz w:val="36"/>
          <w:szCs w:val="36"/>
        </w:rPr>
        <w:t>供应商须知</w:t>
      </w:r>
      <w:bookmarkEnd w:id="15"/>
      <w:bookmarkEnd w:id="16"/>
      <w:bookmarkEnd w:id="17"/>
      <w:bookmarkEnd w:id="18"/>
    </w:p>
    <w:p>
      <w:pPr>
        <w:widowControl/>
        <w:adjustRightInd w:val="0"/>
        <w:snapToGrid w:val="0"/>
        <w:spacing w:line="360" w:lineRule="auto"/>
        <w:jc w:val="center"/>
        <w:rPr>
          <w:rFonts w:ascii="宋体"/>
          <w:b/>
          <w:bCs/>
          <w:snapToGrid w:val="0"/>
          <w:color w:val="auto"/>
          <w:sz w:val="32"/>
          <w:szCs w:val="32"/>
        </w:rPr>
      </w:pPr>
      <w:r>
        <w:rPr>
          <w:rFonts w:hint="eastAsia" w:ascii="宋体" w:hAnsi="宋体" w:cs="宋体"/>
          <w:b/>
          <w:bCs/>
          <w:snapToGrid w:val="0"/>
          <w:color w:val="auto"/>
          <w:sz w:val="30"/>
          <w:szCs w:val="30"/>
        </w:rPr>
        <w:t>供应商须知前附表</w:t>
      </w:r>
    </w:p>
    <w:tbl>
      <w:tblPr>
        <w:tblStyle w:val="25"/>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00"/>
        <w:gridCol w:w="668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648" w:type="dxa"/>
            <w:tcBorders>
              <w:top w:val="double" w:color="auto" w:sz="4" w:space="0"/>
            </w:tcBorders>
            <w:vAlign w:val="center"/>
          </w:tcPr>
          <w:p>
            <w:pPr>
              <w:snapToGrid w:val="0"/>
              <w:jc w:val="center"/>
              <w:rPr>
                <w:rFonts w:ascii="宋体"/>
                <w:b/>
                <w:bCs/>
                <w:snapToGrid w:val="0"/>
                <w:color w:val="auto"/>
              </w:rPr>
            </w:pPr>
            <w:r>
              <w:rPr>
                <w:rFonts w:hint="eastAsia" w:ascii="宋体" w:hAnsi="宋体" w:cs="宋体"/>
                <w:b/>
                <w:bCs/>
                <w:snapToGrid w:val="0"/>
                <w:color w:val="auto"/>
              </w:rPr>
              <w:t>序号</w:t>
            </w:r>
          </w:p>
        </w:tc>
        <w:tc>
          <w:tcPr>
            <w:tcW w:w="1800" w:type="dxa"/>
            <w:tcBorders>
              <w:top w:val="double" w:color="auto" w:sz="4" w:space="0"/>
            </w:tcBorders>
            <w:vAlign w:val="center"/>
          </w:tcPr>
          <w:p>
            <w:pPr>
              <w:snapToGrid w:val="0"/>
              <w:jc w:val="center"/>
              <w:rPr>
                <w:rFonts w:ascii="宋体"/>
                <w:b/>
                <w:bCs/>
                <w:snapToGrid w:val="0"/>
                <w:color w:val="auto"/>
              </w:rPr>
            </w:pPr>
            <w:r>
              <w:rPr>
                <w:rFonts w:hint="eastAsia" w:ascii="宋体" w:hAnsi="宋体" w:cs="宋体"/>
                <w:b/>
                <w:bCs/>
                <w:snapToGrid w:val="0"/>
                <w:color w:val="auto"/>
              </w:rPr>
              <w:t>项目</w:t>
            </w:r>
          </w:p>
        </w:tc>
        <w:tc>
          <w:tcPr>
            <w:tcW w:w="6682" w:type="dxa"/>
            <w:tcBorders>
              <w:top w:val="double" w:color="auto" w:sz="4" w:space="0"/>
            </w:tcBorders>
            <w:vAlign w:val="center"/>
          </w:tcPr>
          <w:p>
            <w:pPr>
              <w:snapToGrid w:val="0"/>
              <w:jc w:val="center"/>
              <w:rPr>
                <w:rFonts w:ascii="宋体"/>
                <w:b/>
                <w:bCs/>
                <w:snapToGrid w:val="0"/>
                <w:color w:val="auto"/>
              </w:rPr>
            </w:pPr>
            <w:r>
              <w:rPr>
                <w:rFonts w:hint="eastAsia" w:ascii="宋体" w:hAnsi="宋体" w:cs="宋体"/>
                <w:b/>
                <w:bCs/>
                <w:snapToGrid w:val="0"/>
                <w:color w:val="auto"/>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648" w:type="dxa"/>
            <w:vAlign w:val="center"/>
          </w:tcPr>
          <w:p>
            <w:pPr>
              <w:snapToGrid w:val="0"/>
              <w:jc w:val="center"/>
              <w:rPr>
                <w:rFonts w:ascii="宋体"/>
                <w:snapToGrid w:val="0"/>
                <w:color w:val="auto"/>
              </w:rPr>
            </w:pPr>
            <w:r>
              <w:rPr>
                <w:rFonts w:ascii="宋体" w:hAnsi="宋体" w:cs="宋体"/>
                <w:snapToGrid w:val="0"/>
                <w:color w:val="auto"/>
              </w:rPr>
              <w:t>1</w:t>
            </w:r>
          </w:p>
        </w:tc>
        <w:tc>
          <w:tcPr>
            <w:tcW w:w="1800" w:type="dxa"/>
            <w:vAlign w:val="center"/>
          </w:tcPr>
          <w:p>
            <w:pPr>
              <w:snapToGrid w:val="0"/>
              <w:jc w:val="center"/>
              <w:rPr>
                <w:rFonts w:ascii="宋体"/>
                <w:snapToGrid w:val="0"/>
                <w:color w:val="auto"/>
              </w:rPr>
            </w:pPr>
            <w:r>
              <w:rPr>
                <w:rFonts w:hint="eastAsia" w:ascii="宋体" w:hAnsi="宋体" w:cs="宋体"/>
                <w:snapToGrid w:val="0"/>
                <w:color w:val="auto"/>
              </w:rPr>
              <w:t>项目名称</w:t>
            </w:r>
          </w:p>
        </w:tc>
        <w:tc>
          <w:tcPr>
            <w:tcW w:w="6682" w:type="dxa"/>
            <w:vAlign w:val="center"/>
          </w:tcPr>
          <w:p>
            <w:pPr>
              <w:bidi w:val="0"/>
              <w:ind w:firstLine="400" w:firstLineChars="200"/>
              <w:jc w:val="left"/>
              <w:rPr>
                <w:rFonts w:ascii="宋体"/>
                <w:snapToGrid w:val="0"/>
                <w:color w:val="auto"/>
              </w:rPr>
            </w:pPr>
            <w:r>
              <w:rPr>
                <w:rFonts w:hint="eastAsia" w:ascii="宋体" w:hAnsi="宋体" w:cs="宋体"/>
                <w:snapToGrid w:val="0"/>
                <w:color w:val="auto"/>
                <w:lang w:val="en-US" w:eastAsia="zh-CN" w:bidi="ar-SA"/>
              </w:rPr>
              <w:t xml:space="preserve">2024年上虞区智慧城管信息采集项目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648" w:type="dxa"/>
            <w:vAlign w:val="center"/>
          </w:tcPr>
          <w:p>
            <w:pPr>
              <w:snapToGrid w:val="0"/>
              <w:jc w:val="center"/>
              <w:rPr>
                <w:rFonts w:ascii="宋体"/>
                <w:snapToGrid w:val="0"/>
                <w:color w:val="auto"/>
              </w:rPr>
            </w:pPr>
            <w:r>
              <w:rPr>
                <w:rFonts w:ascii="宋体" w:hAnsi="宋体" w:cs="宋体"/>
                <w:snapToGrid w:val="0"/>
                <w:color w:val="auto"/>
              </w:rPr>
              <w:t>2</w:t>
            </w:r>
          </w:p>
        </w:tc>
        <w:tc>
          <w:tcPr>
            <w:tcW w:w="1800" w:type="dxa"/>
            <w:vAlign w:val="center"/>
          </w:tcPr>
          <w:p>
            <w:pPr>
              <w:snapToGrid w:val="0"/>
              <w:jc w:val="center"/>
              <w:rPr>
                <w:rFonts w:ascii="宋体"/>
                <w:snapToGrid w:val="0"/>
                <w:color w:val="auto"/>
              </w:rPr>
            </w:pPr>
            <w:r>
              <w:rPr>
                <w:rFonts w:hint="eastAsia" w:ascii="宋体" w:hAnsi="宋体" w:cs="宋体"/>
                <w:snapToGrid w:val="0"/>
                <w:color w:val="auto"/>
              </w:rPr>
              <w:t>项目实施时间</w:t>
            </w:r>
          </w:p>
        </w:tc>
        <w:tc>
          <w:tcPr>
            <w:tcW w:w="6682" w:type="dxa"/>
            <w:vAlign w:val="center"/>
          </w:tcPr>
          <w:p>
            <w:pPr>
              <w:ind w:firstLine="402" w:firstLineChars="200"/>
              <w:rPr>
                <w:rFonts w:ascii="宋体"/>
                <w:b/>
                <w:bCs/>
                <w:color w:val="auto"/>
              </w:rPr>
            </w:pPr>
            <w:r>
              <w:rPr>
                <w:rFonts w:hint="eastAsia" w:ascii="宋体" w:hAnsi="宋体" w:cs="宋体"/>
                <w:b/>
                <w:snapToGrid w:val="0"/>
                <w:color w:val="auto"/>
                <w:kern w:val="0"/>
                <w:szCs w:val="21"/>
              </w:rPr>
              <w:t>自合同签订之日起至合同履行完毕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648" w:type="dxa"/>
            <w:vAlign w:val="center"/>
          </w:tcPr>
          <w:p>
            <w:pPr>
              <w:snapToGrid w:val="0"/>
              <w:jc w:val="center"/>
              <w:rPr>
                <w:rFonts w:ascii="宋体"/>
                <w:snapToGrid w:val="0"/>
                <w:color w:val="auto"/>
              </w:rPr>
            </w:pPr>
            <w:r>
              <w:rPr>
                <w:rFonts w:ascii="宋体" w:hAnsi="宋体" w:cs="宋体"/>
                <w:snapToGrid w:val="0"/>
                <w:color w:val="auto"/>
              </w:rPr>
              <w:t>3</w:t>
            </w:r>
          </w:p>
        </w:tc>
        <w:tc>
          <w:tcPr>
            <w:tcW w:w="1800" w:type="dxa"/>
            <w:vAlign w:val="center"/>
          </w:tcPr>
          <w:p>
            <w:pPr>
              <w:snapToGrid w:val="0"/>
              <w:jc w:val="center"/>
              <w:rPr>
                <w:rFonts w:ascii="宋体"/>
                <w:b/>
                <w:bCs/>
                <w:snapToGrid w:val="0"/>
                <w:color w:val="auto"/>
              </w:rPr>
            </w:pPr>
            <w:r>
              <w:rPr>
                <w:rFonts w:hint="eastAsia" w:ascii="宋体" w:hAnsi="宋体" w:cs="宋体"/>
                <w:b/>
                <w:bCs/>
                <w:snapToGrid w:val="0"/>
                <w:color w:val="auto"/>
              </w:rPr>
              <w:t>最高限价</w:t>
            </w:r>
          </w:p>
        </w:tc>
        <w:tc>
          <w:tcPr>
            <w:tcW w:w="6682" w:type="dxa"/>
            <w:vAlign w:val="center"/>
          </w:tcPr>
          <w:p>
            <w:pPr>
              <w:snapToGrid w:val="0"/>
              <w:ind w:firstLine="400" w:firstLineChars="200"/>
              <w:rPr>
                <w:rFonts w:ascii="宋体"/>
                <w:b/>
                <w:bCs/>
                <w:snapToGrid w:val="0"/>
                <w:color w:val="auto"/>
              </w:rPr>
            </w:pPr>
            <w:r>
              <w:rPr>
                <w:rFonts w:hint="eastAsia" w:ascii="宋体" w:hAnsi="宋体" w:cs="宋体"/>
                <w:color w:val="auto"/>
              </w:rPr>
              <w:t>本项目最高限价人民币</w:t>
            </w:r>
            <w:r>
              <w:rPr>
                <w:rFonts w:hint="eastAsia" w:ascii="宋体" w:hAnsi="宋体" w:cs="宋体"/>
                <w:color w:val="auto"/>
                <w:u w:val="single"/>
                <w:lang w:val="en-US" w:eastAsia="zh-CN"/>
              </w:rPr>
              <w:t>80</w:t>
            </w:r>
            <w:r>
              <w:rPr>
                <w:rFonts w:hint="eastAsia" w:ascii="宋体" w:hAnsi="宋体" w:cs="宋体"/>
                <w:color w:val="auto"/>
              </w:rPr>
              <w:t xml:space="preserve">万元。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color w:val="auto"/>
              </w:rPr>
            </w:pPr>
            <w:r>
              <w:rPr>
                <w:rFonts w:ascii="宋体" w:hAnsi="宋体" w:cs="宋体"/>
                <w:snapToGrid w:val="0"/>
                <w:color w:val="auto"/>
              </w:rPr>
              <w:t xml:space="preserve">                                                                                                   4</w:t>
            </w:r>
          </w:p>
        </w:tc>
        <w:tc>
          <w:tcPr>
            <w:tcW w:w="1800" w:type="dxa"/>
            <w:vAlign w:val="center"/>
          </w:tcPr>
          <w:p>
            <w:pPr>
              <w:snapToGrid w:val="0"/>
              <w:jc w:val="center"/>
              <w:rPr>
                <w:rFonts w:ascii="宋体"/>
                <w:snapToGrid w:val="0"/>
                <w:color w:val="auto"/>
              </w:rPr>
            </w:pPr>
            <w:r>
              <w:rPr>
                <w:rFonts w:hint="eastAsia" w:ascii="宋体" w:hAnsi="宋体" w:cs="宋体"/>
                <w:snapToGrid w:val="0"/>
                <w:color w:val="auto"/>
              </w:rPr>
              <w:t>资格审查方式</w:t>
            </w:r>
          </w:p>
        </w:tc>
        <w:tc>
          <w:tcPr>
            <w:tcW w:w="6682" w:type="dxa"/>
            <w:vAlign w:val="center"/>
          </w:tcPr>
          <w:p>
            <w:pPr>
              <w:snapToGrid w:val="0"/>
              <w:ind w:firstLine="400" w:firstLineChars="200"/>
              <w:rPr>
                <w:rFonts w:ascii="宋体"/>
                <w:snapToGrid w:val="0"/>
                <w:color w:val="auto"/>
              </w:rPr>
            </w:pPr>
            <w:r>
              <w:rPr>
                <w:rFonts w:hint="eastAsia" w:ascii="宋体" w:hAnsi="宋体" w:cs="宋体"/>
                <w:snapToGrid w:val="0"/>
                <w:color w:val="auto"/>
              </w:rPr>
              <w:t>资格审查是指开标后，磋商小组将依据法律法规和磋商文件的规定对供应商的资格进行审查。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48" w:type="dxa"/>
            <w:vAlign w:val="center"/>
          </w:tcPr>
          <w:p>
            <w:pPr>
              <w:snapToGrid w:val="0"/>
              <w:jc w:val="center"/>
              <w:rPr>
                <w:rFonts w:ascii="宋体"/>
                <w:snapToGrid w:val="0"/>
                <w:color w:val="auto"/>
              </w:rPr>
            </w:pPr>
            <w:r>
              <w:rPr>
                <w:rFonts w:ascii="宋体" w:hAnsi="宋体" w:cs="宋体"/>
                <w:snapToGrid w:val="0"/>
                <w:color w:val="auto"/>
              </w:rPr>
              <w:t>5</w:t>
            </w:r>
          </w:p>
        </w:tc>
        <w:tc>
          <w:tcPr>
            <w:tcW w:w="1800" w:type="dxa"/>
            <w:vAlign w:val="center"/>
          </w:tcPr>
          <w:p>
            <w:pPr>
              <w:snapToGrid w:val="0"/>
              <w:jc w:val="center"/>
              <w:rPr>
                <w:rFonts w:ascii="宋体"/>
                <w:snapToGrid w:val="0"/>
                <w:color w:val="auto"/>
              </w:rPr>
            </w:pPr>
            <w:r>
              <w:rPr>
                <w:rFonts w:hint="eastAsia" w:ascii="宋体" w:hAnsi="宋体" w:cs="宋体"/>
                <w:snapToGrid w:val="0"/>
                <w:color w:val="auto"/>
              </w:rPr>
              <w:t>踏勘现场</w:t>
            </w:r>
          </w:p>
        </w:tc>
        <w:tc>
          <w:tcPr>
            <w:tcW w:w="6682" w:type="dxa"/>
            <w:vAlign w:val="center"/>
          </w:tcPr>
          <w:p>
            <w:pPr>
              <w:snapToGrid w:val="0"/>
              <w:ind w:firstLine="402" w:firstLineChars="200"/>
              <w:rPr>
                <w:rFonts w:ascii="宋体"/>
                <w:snapToGrid w:val="0"/>
                <w:color w:val="auto"/>
              </w:rPr>
            </w:pPr>
            <w:r>
              <w:rPr>
                <w:rFonts w:hint="eastAsia" w:ascii="宋体" w:hAnsi="宋体" w:cs="宋体"/>
                <w:b/>
                <w:bCs/>
                <w:snapToGrid w:val="0"/>
                <w:color w:val="auto"/>
              </w:rPr>
              <w:t>本项目不组织现场踏勘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color w:val="auto"/>
              </w:rPr>
            </w:pPr>
            <w:r>
              <w:rPr>
                <w:rFonts w:ascii="宋体" w:hAnsi="宋体" w:cs="宋体"/>
                <w:snapToGrid w:val="0"/>
                <w:color w:val="auto"/>
              </w:rPr>
              <w:t>6</w:t>
            </w:r>
          </w:p>
        </w:tc>
        <w:tc>
          <w:tcPr>
            <w:tcW w:w="1800" w:type="dxa"/>
            <w:vAlign w:val="center"/>
          </w:tcPr>
          <w:p>
            <w:pPr>
              <w:snapToGrid w:val="0"/>
              <w:jc w:val="center"/>
              <w:rPr>
                <w:rFonts w:ascii="宋体"/>
                <w:snapToGrid w:val="0"/>
                <w:color w:val="auto"/>
              </w:rPr>
            </w:pPr>
            <w:r>
              <w:rPr>
                <w:rFonts w:hint="eastAsia" w:ascii="宋体" w:hAnsi="宋体" w:cs="宋体"/>
                <w:snapToGrid w:val="0"/>
                <w:color w:val="auto"/>
              </w:rPr>
              <w:t>询问</w:t>
            </w:r>
          </w:p>
        </w:tc>
        <w:tc>
          <w:tcPr>
            <w:tcW w:w="6682" w:type="dxa"/>
            <w:vAlign w:val="center"/>
          </w:tcPr>
          <w:p>
            <w:pPr>
              <w:snapToGrid w:val="0"/>
              <w:ind w:firstLine="400" w:firstLineChars="200"/>
              <w:rPr>
                <w:rFonts w:ascii="宋体"/>
                <w:snapToGrid w:val="0"/>
                <w:color w:val="auto"/>
              </w:rPr>
            </w:pPr>
            <w:r>
              <w:rPr>
                <w:rFonts w:hint="eastAsia" w:ascii="宋体" w:hAnsi="宋体" w:cs="宋体"/>
                <w:snapToGrid w:val="0"/>
                <w:color w:val="auto"/>
              </w:rPr>
              <w:t>供应商对政府采购活动事项有疑问的，可以向采购机构提出询问，采购人或者招标代理机构应当在</w:t>
            </w:r>
            <w:r>
              <w:rPr>
                <w:rFonts w:ascii="宋体" w:hAnsi="宋体" w:cs="宋体"/>
                <w:snapToGrid w:val="0"/>
                <w:color w:val="auto"/>
              </w:rPr>
              <w:t>3</w:t>
            </w:r>
            <w:r>
              <w:rPr>
                <w:rFonts w:hint="eastAsia" w:ascii="宋体" w:hAnsi="宋体" w:cs="宋体"/>
                <w:snapToGrid w:val="0"/>
                <w:color w:val="auto"/>
              </w:rPr>
              <w:t>个工作日内对供应商依法提出的询问作出答复，但答复的内容不得涉及商业秘密。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color w:val="auto"/>
              </w:rPr>
            </w:pPr>
            <w:r>
              <w:rPr>
                <w:rFonts w:ascii="宋体" w:hAnsi="宋体" w:cs="宋体"/>
                <w:snapToGrid w:val="0"/>
                <w:color w:val="auto"/>
              </w:rPr>
              <w:t>7</w:t>
            </w:r>
          </w:p>
        </w:tc>
        <w:tc>
          <w:tcPr>
            <w:tcW w:w="1800" w:type="dxa"/>
            <w:vAlign w:val="center"/>
          </w:tcPr>
          <w:p>
            <w:pPr>
              <w:snapToGrid w:val="0"/>
              <w:jc w:val="center"/>
              <w:rPr>
                <w:rFonts w:ascii="宋体"/>
                <w:snapToGrid w:val="0"/>
                <w:color w:val="auto"/>
              </w:rPr>
            </w:pPr>
            <w:r>
              <w:rPr>
                <w:rFonts w:hint="eastAsia" w:ascii="宋体" w:hAnsi="宋体" w:cs="宋体"/>
                <w:snapToGrid w:val="0"/>
                <w:color w:val="auto"/>
              </w:rPr>
              <w:t>磋商文件的澄清与修改</w:t>
            </w:r>
          </w:p>
        </w:tc>
        <w:tc>
          <w:tcPr>
            <w:tcW w:w="6682" w:type="dxa"/>
            <w:vAlign w:val="center"/>
          </w:tcPr>
          <w:p>
            <w:pPr>
              <w:snapToGrid w:val="0"/>
              <w:ind w:firstLine="400" w:firstLineChars="200"/>
              <w:rPr>
                <w:rFonts w:ascii="宋体"/>
                <w:snapToGrid w:val="0"/>
                <w:color w:val="auto"/>
              </w:rPr>
            </w:pPr>
            <w:r>
              <w:rPr>
                <w:rFonts w:hint="eastAsia" w:ascii="宋体" w:hAnsi="宋体" w:cs="宋体"/>
                <w:snapToGrid w:val="0"/>
                <w:color w:val="auto"/>
              </w:rPr>
              <w:t>采购单位可以对已发出的磋商文件进行必要澄清或者修改，澄清或者修改的内容可能影响响应文件编制的，应当在提交首次响应文件截</w:t>
            </w:r>
            <w:r>
              <w:rPr>
                <w:rFonts w:hint="eastAsia" w:ascii="宋体" w:hAnsi="宋体" w:cs="宋体"/>
                <w:snapToGrid w:val="0"/>
                <w:color w:val="auto"/>
                <w:lang w:val="en-US" w:eastAsia="zh-CN"/>
              </w:rPr>
              <w:t>止</w:t>
            </w:r>
            <w:r>
              <w:rPr>
                <w:rFonts w:hint="eastAsia" w:ascii="宋体" w:hAnsi="宋体" w:cs="宋体"/>
                <w:snapToGrid w:val="0"/>
                <w:color w:val="auto"/>
              </w:rPr>
              <w:t>时间至少</w:t>
            </w:r>
            <w:r>
              <w:rPr>
                <w:rFonts w:ascii="宋体" w:hAnsi="宋体" w:cs="宋体"/>
                <w:snapToGrid w:val="0"/>
                <w:color w:val="auto"/>
              </w:rPr>
              <w:t>5</w:t>
            </w:r>
            <w:r>
              <w:rPr>
                <w:rFonts w:hint="eastAsia" w:ascii="宋体" w:hAnsi="宋体" w:cs="宋体"/>
                <w:snapToGrid w:val="0"/>
                <w:color w:val="auto"/>
              </w:rPr>
              <w:t>日前，在磋商公告发布的媒体上发布更正公告。本项目磋商文件和补充（答疑、澄清）、修改文件等请自行登录浙江政府采购网或绍兴市上虞区公共资源交易中心网站查看。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color w:val="auto"/>
              </w:rPr>
            </w:pPr>
            <w:r>
              <w:rPr>
                <w:rFonts w:ascii="宋体" w:hAnsi="宋体" w:cs="宋体"/>
                <w:snapToGrid w:val="0"/>
                <w:color w:val="auto"/>
              </w:rPr>
              <w:t>8</w:t>
            </w:r>
          </w:p>
        </w:tc>
        <w:tc>
          <w:tcPr>
            <w:tcW w:w="1800" w:type="dxa"/>
            <w:vAlign w:val="center"/>
          </w:tcPr>
          <w:p>
            <w:pPr>
              <w:snapToGrid w:val="0"/>
              <w:jc w:val="center"/>
              <w:rPr>
                <w:rFonts w:ascii="宋体"/>
                <w:snapToGrid w:val="0"/>
                <w:color w:val="auto"/>
              </w:rPr>
            </w:pPr>
            <w:r>
              <w:rPr>
                <w:rFonts w:hint="eastAsia" w:ascii="宋体" w:hAnsi="宋体" w:cs="宋体"/>
                <w:snapToGrid w:val="0"/>
                <w:color w:val="auto"/>
              </w:rPr>
              <w:t>磋商响应文件组成</w:t>
            </w:r>
          </w:p>
        </w:tc>
        <w:tc>
          <w:tcPr>
            <w:tcW w:w="6682" w:type="dxa"/>
            <w:vAlign w:val="center"/>
          </w:tcPr>
          <w:p>
            <w:pPr>
              <w:snapToGrid w:val="0"/>
              <w:ind w:firstLine="400" w:firstLineChars="200"/>
              <w:rPr>
                <w:rFonts w:ascii="宋体"/>
                <w:snapToGrid w:val="0"/>
                <w:color w:val="auto"/>
              </w:rPr>
            </w:pPr>
            <w:r>
              <w:rPr>
                <w:rFonts w:hint="eastAsia" w:ascii="宋体" w:hAnsi="宋体" w:cs="宋体"/>
                <w:snapToGrid w:val="0"/>
                <w:color w:val="auto"/>
              </w:rPr>
              <w:t>供应商向采购人递交的响应文件由资格文件、商务技术文件、报价文件三部分组成。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7" w:hRule="atLeast"/>
          <w:jc w:val="center"/>
        </w:trPr>
        <w:tc>
          <w:tcPr>
            <w:tcW w:w="648" w:type="dxa"/>
            <w:vAlign w:val="center"/>
          </w:tcPr>
          <w:p>
            <w:pPr>
              <w:snapToGrid w:val="0"/>
              <w:jc w:val="center"/>
              <w:rPr>
                <w:rFonts w:ascii="宋体"/>
                <w:snapToGrid w:val="0"/>
                <w:color w:val="auto"/>
              </w:rPr>
            </w:pPr>
            <w:r>
              <w:rPr>
                <w:rFonts w:ascii="宋体" w:hAnsi="宋体" w:cs="宋体"/>
                <w:snapToGrid w:val="0"/>
                <w:color w:val="auto"/>
              </w:rPr>
              <w:t>9</w:t>
            </w:r>
          </w:p>
        </w:tc>
        <w:tc>
          <w:tcPr>
            <w:tcW w:w="1800" w:type="dxa"/>
            <w:vAlign w:val="center"/>
          </w:tcPr>
          <w:p>
            <w:pPr>
              <w:snapToGrid w:val="0"/>
              <w:jc w:val="center"/>
              <w:rPr>
                <w:rFonts w:ascii="宋体"/>
                <w:snapToGrid w:val="0"/>
                <w:color w:val="auto"/>
              </w:rPr>
            </w:pPr>
            <w:r>
              <w:rPr>
                <w:rFonts w:hint="eastAsia" w:ascii="宋体" w:hAnsi="宋体" w:cs="宋体"/>
                <w:snapToGrid w:val="0"/>
                <w:color w:val="auto"/>
              </w:rPr>
              <w:t>评标办法</w:t>
            </w:r>
          </w:p>
        </w:tc>
        <w:tc>
          <w:tcPr>
            <w:tcW w:w="6682" w:type="dxa"/>
            <w:vAlign w:val="center"/>
          </w:tcPr>
          <w:p>
            <w:pPr>
              <w:snapToGrid w:val="0"/>
              <w:ind w:firstLine="400" w:firstLineChars="200"/>
              <w:rPr>
                <w:rFonts w:ascii="宋体"/>
                <w:snapToGrid w:val="0"/>
                <w:color w:val="auto"/>
              </w:rPr>
            </w:pPr>
            <w:r>
              <w:rPr>
                <w:rFonts w:hint="eastAsia" w:ascii="宋体" w:hAnsi="宋体" w:cs="宋体"/>
                <w:snapToGrid w:val="0"/>
                <w:color w:val="auto"/>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color w:val="auto"/>
              </w:rPr>
            </w:pPr>
            <w:r>
              <w:rPr>
                <w:rFonts w:ascii="宋体" w:hAnsi="宋体" w:cs="宋体"/>
                <w:snapToGrid w:val="0"/>
                <w:color w:val="auto"/>
              </w:rPr>
              <w:t>10</w:t>
            </w:r>
          </w:p>
        </w:tc>
        <w:tc>
          <w:tcPr>
            <w:tcW w:w="1800" w:type="dxa"/>
            <w:vAlign w:val="center"/>
          </w:tcPr>
          <w:p>
            <w:pPr>
              <w:snapToGrid w:val="0"/>
              <w:jc w:val="center"/>
              <w:rPr>
                <w:rFonts w:ascii="宋体"/>
                <w:snapToGrid w:val="0"/>
                <w:color w:val="auto"/>
              </w:rPr>
            </w:pPr>
            <w:r>
              <w:rPr>
                <w:rFonts w:hint="eastAsia" w:ascii="宋体" w:hAnsi="宋体" w:cs="宋体"/>
                <w:snapToGrid w:val="0"/>
                <w:color w:val="auto"/>
              </w:rPr>
              <w:t>磋商响应文件递交地址及截止时间</w:t>
            </w:r>
          </w:p>
        </w:tc>
        <w:tc>
          <w:tcPr>
            <w:tcW w:w="6682" w:type="dxa"/>
            <w:vAlign w:val="center"/>
          </w:tcPr>
          <w:p>
            <w:pPr>
              <w:snapToGrid w:val="0"/>
              <w:ind w:firstLine="400" w:firstLineChars="200"/>
              <w:rPr>
                <w:rFonts w:ascii="宋体"/>
                <w:color w:val="auto"/>
              </w:rPr>
            </w:pPr>
            <w:r>
              <w:rPr>
                <w:rFonts w:hint="eastAsia" w:ascii="宋体" w:hAnsi="宋体" w:cs="宋体"/>
                <w:snapToGrid w:val="0"/>
                <w:color w:val="auto"/>
              </w:rPr>
              <w:t>详见磋商公告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color w:val="auto"/>
              </w:rPr>
            </w:pPr>
            <w:r>
              <w:rPr>
                <w:rFonts w:ascii="宋体" w:hAnsi="宋体" w:cs="宋体"/>
                <w:snapToGrid w:val="0"/>
                <w:color w:val="auto"/>
              </w:rPr>
              <w:t>11</w:t>
            </w:r>
          </w:p>
        </w:tc>
        <w:tc>
          <w:tcPr>
            <w:tcW w:w="1800" w:type="dxa"/>
            <w:vAlign w:val="center"/>
          </w:tcPr>
          <w:p>
            <w:pPr>
              <w:snapToGrid w:val="0"/>
              <w:jc w:val="center"/>
              <w:rPr>
                <w:rFonts w:ascii="宋体"/>
                <w:snapToGrid w:val="0"/>
                <w:color w:val="auto"/>
              </w:rPr>
            </w:pPr>
            <w:r>
              <w:rPr>
                <w:rFonts w:hint="eastAsia" w:ascii="宋体" w:hAnsi="宋体" w:cs="宋体"/>
                <w:snapToGrid w:val="0"/>
                <w:color w:val="auto"/>
              </w:rPr>
              <w:t>开标时间、地点</w:t>
            </w:r>
          </w:p>
        </w:tc>
        <w:tc>
          <w:tcPr>
            <w:tcW w:w="6682" w:type="dxa"/>
            <w:vAlign w:val="center"/>
          </w:tcPr>
          <w:p>
            <w:pPr>
              <w:snapToGrid w:val="0"/>
              <w:ind w:firstLine="400" w:firstLineChars="200"/>
              <w:rPr>
                <w:rFonts w:ascii="宋体"/>
                <w:snapToGrid w:val="0"/>
                <w:color w:val="auto"/>
              </w:rPr>
            </w:pPr>
            <w:r>
              <w:rPr>
                <w:rFonts w:hint="eastAsia" w:ascii="宋体" w:hAnsi="宋体" w:cs="宋体"/>
                <w:snapToGrid w:val="0"/>
                <w:color w:val="auto"/>
              </w:rPr>
              <w:t>开标时间：</w:t>
            </w:r>
            <w:r>
              <w:rPr>
                <w:rFonts w:hint="eastAsia" w:ascii="宋体" w:hAnsi="宋体" w:cs="宋体"/>
                <w:color w:val="auto"/>
              </w:rPr>
              <w:t>详见磋商公告</w:t>
            </w:r>
          </w:p>
          <w:p>
            <w:pPr>
              <w:snapToGrid w:val="0"/>
              <w:ind w:firstLine="400" w:firstLineChars="200"/>
              <w:rPr>
                <w:rFonts w:ascii="宋体"/>
                <w:color w:val="auto"/>
              </w:rPr>
            </w:pPr>
            <w:r>
              <w:rPr>
                <w:rFonts w:hint="eastAsia" w:ascii="宋体" w:hAnsi="宋体" w:cs="宋体"/>
                <w:snapToGrid w:val="0"/>
                <w:color w:val="auto"/>
              </w:rPr>
              <w:t>开标地点：</w:t>
            </w:r>
            <w:r>
              <w:rPr>
                <w:rFonts w:hint="eastAsia" w:ascii="宋体" w:hAnsi="宋体" w:cs="宋体"/>
                <w:color w:val="auto"/>
              </w:rPr>
              <w:t>详见磋商公告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Align w:val="center"/>
          </w:tcPr>
          <w:p>
            <w:pPr>
              <w:snapToGrid w:val="0"/>
              <w:jc w:val="center"/>
              <w:rPr>
                <w:rFonts w:ascii="宋体"/>
                <w:snapToGrid w:val="0"/>
                <w:color w:val="auto"/>
              </w:rPr>
            </w:pPr>
            <w:r>
              <w:rPr>
                <w:rFonts w:ascii="宋体" w:hAnsi="宋体" w:cs="宋体"/>
                <w:snapToGrid w:val="0"/>
                <w:color w:val="auto"/>
              </w:rPr>
              <w:t>12</w:t>
            </w:r>
          </w:p>
        </w:tc>
        <w:tc>
          <w:tcPr>
            <w:tcW w:w="1800" w:type="dxa"/>
            <w:vAlign w:val="center"/>
          </w:tcPr>
          <w:p>
            <w:pPr>
              <w:snapToGrid w:val="0"/>
              <w:jc w:val="center"/>
              <w:rPr>
                <w:rFonts w:ascii="宋体"/>
                <w:snapToGrid w:val="0"/>
                <w:color w:val="auto"/>
              </w:rPr>
            </w:pPr>
            <w:r>
              <w:rPr>
                <w:rFonts w:hint="eastAsia" w:ascii="宋体" w:hAnsi="宋体" w:cs="宋体"/>
                <w:snapToGrid w:val="0"/>
                <w:color w:val="auto"/>
              </w:rPr>
              <w:t>磋商响应文件有效期</w:t>
            </w:r>
          </w:p>
        </w:tc>
        <w:tc>
          <w:tcPr>
            <w:tcW w:w="6682" w:type="dxa"/>
            <w:vAlign w:val="center"/>
          </w:tcPr>
          <w:p>
            <w:pPr>
              <w:snapToGrid w:val="0"/>
              <w:ind w:firstLine="400" w:firstLineChars="200"/>
              <w:rPr>
                <w:rFonts w:ascii="宋体"/>
                <w:snapToGrid w:val="0"/>
                <w:color w:val="auto"/>
              </w:rPr>
            </w:pPr>
            <w:r>
              <w:rPr>
                <w:rFonts w:hint="eastAsia" w:ascii="宋体" w:hAnsi="宋体" w:cs="宋体"/>
                <w:snapToGrid w:val="0"/>
                <w:color w:val="auto"/>
              </w:rPr>
              <w:t>响应文件有效期为从提交响应文件的截止之日起</w:t>
            </w:r>
            <w:r>
              <w:rPr>
                <w:rFonts w:ascii="宋体" w:hAnsi="宋体" w:cs="宋体"/>
                <w:snapToGrid w:val="0"/>
                <w:color w:val="auto"/>
              </w:rPr>
              <w:t>90</w:t>
            </w:r>
            <w:r>
              <w:rPr>
                <w:rFonts w:hint="eastAsia" w:ascii="宋体" w:hAnsi="宋体" w:cs="宋体"/>
                <w:snapToGrid w:val="0"/>
                <w:color w:val="auto"/>
              </w:rPr>
              <w:t>天。供应商的响应文件中承诺的响应文件有效期少于磋商文件中载明的响应文件有效期的，磋商无效。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color w:val="auto"/>
              </w:rPr>
            </w:pPr>
            <w:r>
              <w:rPr>
                <w:rFonts w:ascii="宋体" w:hAnsi="宋体" w:cs="宋体"/>
                <w:snapToGrid w:val="0"/>
                <w:color w:val="auto"/>
              </w:rPr>
              <w:t>13</w:t>
            </w:r>
          </w:p>
        </w:tc>
        <w:tc>
          <w:tcPr>
            <w:tcW w:w="1800" w:type="dxa"/>
            <w:vAlign w:val="center"/>
          </w:tcPr>
          <w:p>
            <w:pPr>
              <w:snapToGrid w:val="0"/>
              <w:jc w:val="center"/>
              <w:rPr>
                <w:rFonts w:ascii="宋体"/>
                <w:snapToGrid w:val="0"/>
                <w:color w:val="auto"/>
                <w:highlight w:val="yellow"/>
              </w:rPr>
            </w:pPr>
            <w:r>
              <w:rPr>
                <w:rFonts w:hint="eastAsia" w:ascii="宋体" w:hAnsi="宋体" w:cs="宋体"/>
                <w:snapToGrid w:val="0"/>
                <w:color w:val="auto"/>
                <w:highlight w:val="none"/>
              </w:rPr>
              <w:t>履约保证金</w:t>
            </w:r>
          </w:p>
        </w:tc>
        <w:tc>
          <w:tcPr>
            <w:tcW w:w="6682" w:type="dxa"/>
            <w:vAlign w:val="center"/>
          </w:tcPr>
          <w:p>
            <w:pPr>
              <w:pStyle w:val="15"/>
              <w:snapToGrid w:val="0"/>
              <w:ind w:firstLine="400" w:firstLineChars="200"/>
              <w:rPr>
                <w:rFonts w:hAnsi="宋体" w:cs="Times New Roman"/>
                <w:color w:val="auto"/>
                <w:highlight w:val="yellow"/>
              </w:rPr>
            </w:pPr>
            <w:r>
              <w:rPr>
                <w:rFonts w:hint="eastAsia" w:hAnsi="宋体"/>
                <w:snapToGrid w:val="0"/>
                <w:color w:val="auto"/>
                <w:highlight w:val="none"/>
                <w:lang w:val="en-US" w:eastAsia="zh-CN"/>
              </w:rPr>
              <w:t>中标单位</w:t>
            </w:r>
            <w:r>
              <w:rPr>
                <w:rFonts w:hint="eastAsia" w:hAnsi="宋体"/>
                <w:snapToGrid w:val="0"/>
                <w:color w:val="auto"/>
                <w:highlight w:val="none"/>
              </w:rPr>
              <w:t>在收到中标通知书后，需向</w:t>
            </w:r>
            <w:r>
              <w:rPr>
                <w:rFonts w:hint="eastAsia" w:hAnsi="宋体"/>
                <w:snapToGrid w:val="0"/>
                <w:color w:val="auto"/>
                <w:highlight w:val="none"/>
                <w:lang w:val="en-US" w:eastAsia="zh-CN"/>
              </w:rPr>
              <w:t>采购人</w:t>
            </w:r>
            <w:r>
              <w:rPr>
                <w:rFonts w:hint="eastAsia" w:hAnsi="宋体"/>
                <w:snapToGrid w:val="0"/>
                <w:color w:val="auto"/>
                <w:highlight w:val="none"/>
              </w:rPr>
              <w:t>提供</w:t>
            </w:r>
            <w:r>
              <w:rPr>
                <w:rFonts w:hint="eastAsia" w:hAnsi="宋体"/>
                <w:snapToGrid w:val="0"/>
                <w:color w:val="auto"/>
                <w:highlight w:val="none"/>
                <w:lang w:val="en-US" w:eastAsia="zh-CN"/>
              </w:rPr>
              <w:t>合同款</w:t>
            </w:r>
            <w:r>
              <w:rPr>
                <w:rFonts w:hint="eastAsia" w:hAnsi="宋体"/>
                <w:snapToGrid w:val="0"/>
                <w:color w:val="auto"/>
                <w:highlight w:val="none"/>
                <w:u w:val="single"/>
                <w:lang w:val="en-US" w:eastAsia="zh-CN"/>
              </w:rPr>
              <w:t xml:space="preserve">  1%  </w:t>
            </w:r>
            <w:r>
              <w:rPr>
                <w:rFonts w:hint="eastAsia" w:hAnsi="宋体"/>
                <w:snapToGrid w:val="0"/>
                <w:color w:val="auto"/>
                <w:highlight w:val="none"/>
              </w:rPr>
              <w:t>的履约保证金，在乙方与甲方签订合同前递交，合同期满后或提前终止合同后一个月内向乙方无息退还全额履约保证金。（乙方应当以支票、汇票、本票或者金融机构、保险公司、担保机构出具的保函等非现金形式提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color w:val="auto"/>
              </w:rPr>
            </w:pPr>
            <w:r>
              <w:rPr>
                <w:rFonts w:ascii="宋体" w:hAnsi="宋体" w:cs="宋体"/>
                <w:snapToGrid w:val="0"/>
                <w:color w:val="auto"/>
              </w:rPr>
              <w:t>14</w:t>
            </w:r>
          </w:p>
        </w:tc>
        <w:tc>
          <w:tcPr>
            <w:tcW w:w="1800" w:type="dxa"/>
            <w:vAlign w:val="center"/>
          </w:tcPr>
          <w:p>
            <w:pPr>
              <w:snapToGrid w:val="0"/>
              <w:jc w:val="center"/>
              <w:rPr>
                <w:rFonts w:ascii="宋体"/>
                <w:snapToGrid w:val="0"/>
                <w:color w:val="auto"/>
              </w:rPr>
            </w:pPr>
            <w:r>
              <w:rPr>
                <w:rFonts w:hint="eastAsia" w:ascii="宋体" w:hAnsi="宋体" w:cs="宋体"/>
                <w:snapToGrid w:val="0"/>
                <w:color w:val="auto"/>
              </w:rPr>
              <w:t>磋商公告及成交结果公告发布媒体</w:t>
            </w:r>
          </w:p>
        </w:tc>
        <w:tc>
          <w:tcPr>
            <w:tcW w:w="6682" w:type="dxa"/>
            <w:vAlign w:val="center"/>
          </w:tcPr>
          <w:p>
            <w:pPr>
              <w:pStyle w:val="15"/>
              <w:snapToGrid w:val="0"/>
              <w:ind w:firstLine="400" w:firstLineChars="200"/>
              <w:rPr>
                <w:rFonts w:hAnsi="宋体" w:cs="Times New Roman"/>
                <w:color w:val="auto"/>
              </w:rPr>
            </w:pPr>
            <w:r>
              <w:rPr>
                <w:rFonts w:hint="eastAsia" w:hAnsi="宋体"/>
                <w:color w:val="auto"/>
              </w:rPr>
              <w:t>浙江省政府采购网、</w:t>
            </w:r>
            <w:r>
              <w:rPr>
                <w:rFonts w:hAnsi="宋体"/>
                <w:color w:val="auto"/>
              </w:rPr>
              <w:t xml:space="preserve"> </w:t>
            </w:r>
            <w:r>
              <w:rPr>
                <w:rFonts w:hint="eastAsia" w:hAnsi="宋体"/>
                <w:color w:val="auto"/>
              </w:rPr>
              <w:t>绍兴市上虞区公共资源交易中心网站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color w:val="auto"/>
              </w:rPr>
            </w:pPr>
            <w:r>
              <w:rPr>
                <w:rFonts w:ascii="宋体" w:hAnsi="宋体" w:cs="宋体"/>
                <w:color w:val="auto"/>
              </w:rPr>
              <w:t>15</w:t>
            </w:r>
          </w:p>
        </w:tc>
        <w:tc>
          <w:tcPr>
            <w:tcW w:w="1800" w:type="dxa"/>
            <w:vAlign w:val="center"/>
          </w:tcPr>
          <w:p>
            <w:pPr>
              <w:snapToGrid w:val="0"/>
              <w:jc w:val="center"/>
              <w:rPr>
                <w:rFonts w:ascii="宋体"/>
                <w:snapToGrid w:val="0"/>
                <w:color w:val="auto"/>
              </w:rPr>
            </w:pPr>
            <w:r>
              <w:rPr>
                <w:rFonts w:hint="eastAsia" w:ascii="宋体" w:hAnsi="宋体" w:cs="宋体"/>
                <w:snapToGrid w:val="0"/>
                <w:color w:val="auto"/>
              </w:rPr>
              <w:t>质疑</w:t>
            </w:r>
          </w:p>
        </w:tc>
        <w:tc>
          <w:tcPr>
            <w:tcW w:w="6682" w:type="dxa"/>
            <w:vAlign w:val="center"/>
          </w:tcPr>
          <w:p>
            <w:pPr>
              <w:ind w:firstLine="400" w:firstLineChars="200"/>
              <w:jc w:val="left"/>
              <w:rPr>
                <w:rFonts w:ascii="宋体"/>
                <w:color w:val="auto"/>
              </w:rPr>
            </w:pPr>
            <w:r>
              <w:rPr>
                <w:rFonts w:hint="eastAsia" w:ascii="宋体" w:hAnsi="宋体" w:cs="宋体"/>
                <w:color w:val="auto"/>
              </w:rPr>
              <w:t>根据《中华人民共和国政府采购法》第五十二条、《中华人民共和国政府采购法实施条例》第五十三条、《浙江省政府采购供应商质疑处理办法》的规定：</w:t>
            </w:r>
          </w:p>
          <w:p>
            <w:pPr>
              <w:ind w:firstLine="400" w:firstLineChars="200"/>
              <w:jc w:val="left"/>
              <w:rPr>
                <w:rFonts w:ascii="宋体"/>
                <w:color w:val="auto"/>
              </w:rPr>
            </w:pPr>
            <w:r>
              <w:rPr>
                <w:rFonts w:hint="eastAsia" w:ascii="宋体" w:hAnsi="宋体" w:cs="宋体"/>
                <w:color w:val="auto"/>
              </w:rPr>
              <w:t>供应商认为磋商文件使自己的权益受到损害的，可以在磋商文件公告期限届满之日起</w:t>
            </w:r>
            <w:r>
              <w:rPr>
                <w:rFonts w:ascii="宋体" w:hAnsi="宋体" w:cs="宋体"/>
                <w:color w:val="auto"/>
              </w:rPr>
              <w:t>7</w:t>
            </w:r>
            <w:r>
              <w:rPr>
                <w:rFonts w:hint="eastAsia" w:ascii="宋体" w:hAnsi="宋体" w:cs="宋体"/>
                <w:color w:val="auto"/>
              </w:rPr>
              <w:t>个工作日内，以书面形式向采购人和采购代理机构提出质疑。供应商在法定质疑期内应一次性提出针对同一采购程序环节的质疑。否则质疑将不予受理。</w:t>
            </w:r>
          </w:p>
          <w:p>
            <w:pPr>
              <w:ind w:firstLine="400" w:firstLineChars="200"/>
              <w:jc w:val="left"/>
              <w:rPr>
                <w:rFonts w:ascii="宋体"/>
                <w:color w:val="auto"/>
              </w:rPr>
            </w:pPr>
            <w:r>
              <w:rPr>
                <w:rFonts w:hint="eastAsia" w:ascii="宋体" w:hAnsi="宋体" w:cs="宋体"/>
                <w:color w:val="auto"/>
              </w:rPr>
              <w:t>供应商如认为采购过程使自身的合法权益受到损害的，应于各采购程序环节结束之日起七个工作日内以书面形式向采购机构提出质疑；</w:t>
            </w:r>
          </w:p>
          <w:p>
            <w:pPr>
              <w:snapToGrid w:val="0"/>
              <w:ind w:firstLine="400" w:firstLineChars="200"/>
              <w:jc w:val="left"/>
              <w:rPr>
                <w:rFonts w:ascii="宋体"/>
                <w:snapToGrid w:val="0"/>
                <w:color w:val="auto"/>
              </w:rPr>
            </w:pPr>
            <w:r>
              <w:rPr>
                <w:rFonts w:hint="eastAsia" w:ascii="宋体" w:hAnsi="宋体" w:cs="宋体"/>
                <w:color w:val="auto"/>
              </w:rPr>
              <w:t>供应商如认为中标结果使自身的合法权益受到损害的，应于中标或者成交结果公告期限届满之日起七个工作日内以书面形式向采购机构提出质疑</w:t>
            </w:r>
            <w:r>
              <w:rPr>
                <w:rFonts w:hint="eastAsia" w:ascii="宋体" w:hAnsi="宋体" w:cs="宋体"/>
                <w:snapToGrid w:val="0"/>
                <w:color w:val="auto"/>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color w:val="auto"/>
              </w:rPr>
            </w:pPr>
            <w:r>
              <w:rPr>
                <w:rFonts w:ascii="宋体" w:hAnsi="宋体" w:cs="宋体"/>
                <w:snapToGrid w:val="0"/>
                <w:color w:val="auto"/>
              </w:rPr>
              <w:t>16</w:t>
            </w:r>
          </w:p>
        </w:tc>
        <w:tc>
          <w:tcPr>
            <w:tcW w:w="1800" w:type="dxa"/>
            <w:vAlign w:val="center"/>
          </w:tcPr>
          <w:p>
            <w:pPr>
              <w:snapToGrid w:val="0"/>
              <w:jc w:val="center"/>
              <w:rPr>
                <w:rFonts w:ascii="宋体"/>
                <w:snapToGrid w:val="0"/>
                <w:color w:val="auto"/>
              </w:rPr>
            </w:pPr>
            <w:r>
              <w:rPr>
                <w:rFonts w:hint="eastAsia" w:ascii="宋体" w:hAnsi="宋体" w:cs="宋体"/>
                <w:snapToGrid w:val="0"/>
                <w:color w:val="auto"/>
              </w:rPr>
              <w:t>投诉</w:t>
            </w:r>
          </w:p>
        </w:tc>
        <w:tc>
          <w:tcPr>
            <w:tcW w:w="6682" w:type="dxa"/>
            <w:vAlign w:val="center"/>
          </w:tcPr>
          <w:p>
            <w:pPr>
              <w:snapToGrid w:val="0"/>
              <w:ind w:firstLine="400" w:firstLineChars="200"/>
              <w:jc w:val="left"/>
              <w:rPr>
                <w:rFonts w:ascii="宋体"/>
                <w:snapToGrid w:val="0"/>
                <w:color w:val="auto"/>
              </w:rPr>
            </w:pPr>
            <w:r>
              <w:rPr>
                <w:rFonts w:hint="eastAsia" w:ascii="宋体" w:hAnsi="宋体" w:cs="宋体"/>
                <w:snapToGrid w:val="0"/>
                <w:color w:val="auto"/>
              </w:rPr>
              <w:t>根据《政府采购法》第五十五条的规定，质疑供应商对采购人、招标代理机构的答复不满意或者采购人、招标代理机构未在规定的时间内作出答复的，可以在答复期满后十五个工作日内向同级政府采购监督管理部门投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color w:val="auto"/>
              </w:rPr>
            </w:pPr>
            <w:r>
              <w:rPr>
                <w:rFonts w:ascii="宋体" w:hAnsi="宋体" w:cs="宋体"/>
                <w:snapToGrid w:val="0"/>
                <w:color w:val="auto"/>
              </w:rPr>
              <w:t>17</w:t>
            </w:r>
          </w:p>
        </w:tc>
        <w:tc>
          <w:tcPr>
            <w:tcW w:w="1800" w:type="dxa"/>
            <w:vAlign w:val="center"/>
          </w:tcPr>
          <w:p>
            <w:pPr>
              <w:snapToGrid w:val="0"/>
              <w:jc w:val="center"/>
              <w:rPr>
                <w:rFonts w:ascii="宋体"/>
                <w:snapToGrid w:val="0"/>
                <w:color w:val="auto"/>
              </w:rPr>
            </w:pPr>
            <w:r>
              <w:rPr>
                <w:rFonts w:hint="eastAsia" w:ascii="宋体" w:hAnsi="宋体" w:cs="宋体"/>
                <w:snapToGrid w:val="0"/>
                <w:color w:val="auto"/>
              </w:rPr>
              <w:t>特别说明</w:t>
            </w:r>
          </w:p>
        </w:tc>
        <w:tc>
          <w:tcPr>
            <w:tcW w:w="6682" w:type="dxa"/>
            <w:vAlign w:val="center"/>
          </w:tcPr>
          <w:p>
            <w:pPr>
              <w:pStyle w:val="15"/>
              <w:snapToGrid w:val="0"/>
              <w:ind w:firstLine="400" w:firstLineChars="200"/>
              <w:rPr>
                <w:rFonts w:hAnsi="宋体" w:cs="Times New Roman"/>
                <w:color w:val="auto"/>
              </w:rPr>
            </w:pPr>
            <w:r>
              <w:rPr>
                <w:rFonts w:hint="eastAsia" w:hAnsi="宋体"/>
                <w:color w:val="auto"/>
              </w:rPr>
              <w:t>供应商应无条件的、认真仔细的阅读本磋商文件及其澄清答疑、修改答复的补充文件，严格按照磋商文件及补充文件的规定和要求编制响应文件。在编制响应文件过程中，应严格遵循实事求是、诚信投标的原则，针对磋商文件中的采购需求、合同条款等各项内容进行确认，如有偏离，应如实填写响应偏离表。</w:t>
            </w:r>
          </w:p>
          <w:p>
            <w:pPr>
              <w:pStyle w:val="15"/>
              <w:snapToGrid w:val="0"/>
              <w:ind w:firstLine="400" w:firstLineChars="200"/>
              <w:rPr>
                <w:rFonts w:hAnsi="宋体" w:cs="Times New Roman"/>
                <w:color w:val="auto"/>
              </w:rPr>
            </w:pPr>
            <w:r>
              <w:rPr>
                <w:rFonts w:hint="eastAsia" w:hAnsi="宋体"/>
                <w:color w:val="auto"/>
              </w:rPr>
              <w:t>该项目结果公告期间，供应商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pPr>
              <w:pStyle w:val="15"/>
              <w:snapToGrid w:val="0"/>
              <w:ind w:firstLine="400" w:firstLineChars="200"/>
              <w:rPr>
                <w:rFonts w:hAnsi="宋体" w:cs="Times New Roman"/>
                <w:color w:val="auto"/>
              </w:rPr>
            </w:pPr>
            <w:r>
              <w:rPr>
                <w:rFonts w:hint="eastAsia" w:hAnsi="宋体"/>
                <w:color w:val="auto"/>
              </w:rPr>
              <w:t>质疑、投诉人未按前列进行质疑、投诉（申诉），均属于扰乱政府采购市场不良行为。</w:t>
            </w:r>
          </w:p>
          <w:p>
            <w:pPr>
              <w:pStyle w:val="15"/>
              <w:snapToGrid w:val="0"/>
              <w:ind w:firstLine="400" w:firstLineChars="200"/>
              <w:rPr>
                <w:rFonts w:hAnsi="宋体" w:cs="Times New Roman"/>
                <w:b/>
                <w:bCs/>
                <w:color w:val="auto"/>
              </w:rPr>
            </w:pPr>
            <w:r>
              <w:rPr>
                <w:rFonts w:hint="eastAsia" w:hAnsi="宋体"/>
                <w:color w:val="auto"/>
              </w:rPr>
              <w:t>磋商文件中凡标注“★”的条款均为实质性要求，不响应的响应文件将作无效标处理。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648" w:type="dxa"/>
            <w:vAlign w:val="center"/>
          </w:tcPr>
          <w:p>
            <w:pPr>
              <w:snapToGrid w:val="0"/>
              <w:jc w:val="center"/>
              <w:rPr>
                <w:rFonts w:ascii="宋体"/>
                <w:snapToGrid w:val="0"/>
                <w:color w:val="auto"/>
              </w:rPr>
            </w:pPr>
            <w:r>
              <w:rPr>
                <w:rFonts w:ascii="宋体" w:hAnsi="宋体" w:cs="宋体"/>
                <w:snapToGrid w:val="0"/>
                <w:color w:val="auto"/>
              </w:rPr>
              <w:t>1</w:t>
            </w:r>
            <w:r>
              <w:rPr>
                <w:rFonts w:hint="eastAsia" w:ascii="宋体" w:hAnsi="宋体" w:cs="宋体"/>
                <w:snapToGrid w:val="0"/>
                <w:color w:val="auto"/>
              </w:rPr>
              <w:t>8</w:t>
            </w:r>
          </w:p>
        </w:tc>
        <w:tc>
          <w:tcPr>
            <w:tcW w:w="1800" w:type="dxa"/>
            <w:vAlign w:val="center"/>
          </w:tcPr>
          <w:p>
            <w:pPr>
              <w:snapToGrid w:val="0"/>
              <w:jc w:val="center"/>
              <w:rPr>
                <w:rFonts w:ascii="宋体"/>
                <w:color w:val="auto"/>
              </w:rPr>
            </w:pPr>
            <w:r>
              <w:rPr>
                <w:rFonts w:hint="eastAsia" w:ascii="宋体" w:hAnsi="宋体" w:cs="宋体"/>
                <w:color w:val="auto"/>
              </w:rPr>
              <w:t>支</w:t>
            </w:r>
          </w:p>
          <w:p>
            <w:pPr>
              <w:snapToGrid w:val="0"/>
              <w:jc w:val="center"/>
              <w:rPr>
                <w:rFonts w:ascii="宋体"/>
                <w:color w:val="auto"/>
              </w:rPr>
            </w:pPr>
            <w:r>
              <w:rPr>
                <w:rFonts w:hint="eastAsia" w:ascii="宋体" w:hAnsi="宋体" w:cs="宋体"/>
                <w:color w:val="auto"/>
              </w:rPr>
              <w:t>持</w:t>
            </w:r>
          </w:p>
          <w:p>
            <w:pPr>
              <w:snapToGrid w:val="0"/>
              <w:jc w:val="center"/>
              <w:rPr>
                <w:rFonts w:ascii="宋体"/>
                <w:color w:val="auto"/>
              </w:rPr>
            </w:pPr>
            <w:r>
              <w:rPr>
                <w:rFonts w:hint="eastAsia" w:ascii="宋体" w:hAnsi="宋体" w:cs="宋体"/>
                <w:color w:val="auto"/>
              </w:rPr>
              <w:t>中</w:t>
            </w:r>
          </w:p>
          <w:p>
            <w:pPr>
              <w:snapToGrid w:val="0"/>
              <w:jc w:val="center"/>
              <w:rPr>
                <w:rFonts w:ascii="宋体"/>
                <w:color w:val="auto"/>
              </w:rPr>
            </w:pPr>
            <w:r>
              <w:rPr>
                <w:rFonts w:hint="eastAsia" w:ascii="宋体" w:hAnsi="宋体" w:cs="宋体"/>
                <w:color w:val="auto"/>
              </w:rPr>
              <w:t>小</w:t>
            </w:r>
          </w:p>
          <w:p>
            <w:pPr>
              <w:snapToGrid w:val="0"/>
              <w:jc w:val="center"/>
              <w:rPr>
                <w:rFonts w:ascii="宋体"/>
                <w:color w:val="auto"/>
              </w:rPr>
            </w:pPr>
            <w:r>
              <w:rPr>
                <w:rFonts w:hint="eastAsia" w:ascii="宋体" w:hAnsi="宋体" w:cs="宋体"/>
                <w:color w:val="auto"/>
              </w:rPr>
              <w:t>企</w:t>
            </w:r>
          </w:p>
          <w:p>
            <w:pPr>
              <w:snapToGrid w:val="0"/>
              <w:jc w:val="center"/>
              <w:rPr>
                <w:rFonts w:ascii="宋体"/>
                <w:color w:val="auto"/>
              </w:rPr>
            </w:pPr>
            <w:r>
              <w:rPr>
                <w:rFonts w:hint="eastAsia" w:ascii="宋体" w:hAnsi="宋体" w:cs="宋体"/>
                <w:color w:val="auto"/>
              </w:rPr>
              <w:t>业</w:t>
            </w:r>
          </w:p>
        </w:tc>
        <w:tc>
          <w:tcPr>
            <w:tcW w:w="6682" w:type="dxa"/>
            <w:vAlign w:val="center"/>
          </w:tcPr>
          <w:p>
            <w:pPr>
              <w:ind w:firstLine="400" w:firstLineChars="200"/>
              <w:rPr>
                <w:rFonts w:ascii="宋体" w:hAnsi="宋体" w:cs="宋体"/>
                <w:color w:val="auto"/>
              </w:rPr>
            </w:pPr>
            <w:r>
              <w:rPr>
                <w:rFonts w:hint="eastAsia" w:ascii="宋体" w:hAnsi="宋体" w:cs="宋体"/>
                <w:color w:val="auto"/>
              </w:rPr>
              <w:t>小微企业是指在中华人民共和国境内依法设立，依据国务院批准的中小企业划分标准确定的小型企业和微型企业，但与大企业的负责人为同一人，或者与大企业存在直接控股、管理关系的除外。</w:t>
            </w:r>
          </w:p>
          <w:p>
            <w:pPr>
              <w:ind w:firstLine="400" w:firstLineChars="200"/>
              <w:rPr>
                <w:rFonts w:ascii="宋体" w:hAnsi="宋体" w:cs="宋体"/>
                <w:color w:val="auto"/>
              </w:rPr>
            </w:pPr>
            <w:r>
              <w:rPr>
                <w:rFonts w:hint="eastAsia" w:ascii="宋体" w:hAnsi="宋体" w:cs="宋体"/>
                <w:color w:val="auto"/>
              </w:rPr>
              <w:t>符合中小企业划分标准的个体工商户，在政府采购活动中视同中小企业。</w:t>
            </w:r>
          </w:p>
          <w:p>
            <w:pPr>
              <w:ind w:firstLine="400" w:firstLineChars="200"/>
              <w:rPr>
                <w:rFonts w:ascii="宋体" w:hAnsi="宋体" w:cs="宋体"/>
                <w:color w:val="auto"/>
              </w:rPr>
            </w:pPr>
            <w:r>
              <w:rPr>
                <w:rFonts w:hint="eastAsia" w:ascii="宋体" w:hAnsi="宋体" w:cs="宋体"/>
                <w:color w:val="auto"/>
              </w:rPr>
              <w:t>在货物采购项目中，货物由小微企业制造，即货物由小微企业生产且使用该小微企业商号或者注册商标。供应商提供的货物既有中小企业制造货物，也有大型企业制造货物的，不享受中小企业扶持政策。</w:t>
            </w:r>
          </w:p>
          <w:p>
            <w:pPr>
              <w:ind w:firstLine="400" w:firstLineChars="200"/>
              <w:rPr>
                <w:rFonts w:ascii="宋体" w:hAnsi="宋体" w:cs="宋体"/>
                <w:color w:val="auto"/>
              </w:rPr>
            </w:pPr>
            <w:r>
              <w:rPr>
                <w:rFonts w:hint="eastAsia" w:ascii="宋体" w:hAnsi="宋体" w:cs="宋体"/>
                <w:color w:val="auto"/>
              </w:rPr>
              <w:t>在服务采购项目中，服务由小微企业承接，即提供服务的人员为小微企业依照《中华人民共和国劳动合同法》订立劳动合同的从业人员。</w:t>
            </w:r>
          </w:p>
          <w:p>
            <w:pPr>
              <w:ind w:firstLine="400" w:firstLineChars="200"/>
              <w:rPr>
                <w:rFonts w:ascii="宋体" w:hAnsi="宋体" w:cs="宋体"/>
                <w:color w:val="auto"/>
              </w:rPr>
            </w:pPr>
            <w:r>
              <w:rPr>
                <w:rFonts w:hint="eastAsia" w:ascii="宋体" w:hAnsi="宋体" w:cs="宋体"/>
                <w:color w:val="auto"/>
              </w:rPr>
              <w:t>联合体各方均为小型、微型企业的，联合体视同为小型、微型企业。</w:t>
            </w:r>
          </w:p>
          <w:p>
            <w:pPr>
              <w:ind w:firstLine="400" w:firstLineChars="200"/>
              <w:rPr>
                <w:rFonts w:ascii="宋体" w:hAnsi="宋体" w:cs="宋体"/>
                <w:color w:val="auto"/>
              </w:rPr>
            </w:pPr>
            <w:r>
              <w:rPr>
                <w:rFonts w:hint="eastAsia" w:ascii="宋体" w:hAnsi="宋体" w:cs="宋体"/>
                <w:color w:val="auto"/>
              </w:rPr>
              <w:t>符合上述条件的中小微型企业应按照招标文件的格式要求提供《中小企业声明函》。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ind w:firstLine="400" w:firstLineChars="200"/>
              <w:rPr>
                <w:rFonts w:ascii="宋体" w:hAnsi="宋体" w:cs="宋体"/>
                <w:color w:val="auto"/>
              </w:rPr>
            </w:pPr>
            <w:r>
              <w:rPr>
                <w:rFonts w:hint="eastAsia" w:ascii="宋体" w:hAnsi="宋体" w:cs="宋体"/>
                <w:color w:val="auto"/>
              </w:rPr>
              <w:t>根据</w:t>
            </w:r>
            <w:r>
              <w:rPr>
                <w:rFonts w:hint="eastAsia" w:ascii="宋体" w:hAnsi="宋体" w:cs="宋体"/>
                <w:color w:val="auto"/>
                <w:lang w:val="en-US" w:eastAsia="zh-CN"/>
              </w:rPr>
              <w:t>财政部</w:t>
            </w:r>
            <w:r>
              <w:rPr>
                <w:rFonts w:hint="eastAsia" w:ascii="宋体" w:hAnsi="宋体" w:cs="宋体"/>
                <w:color w:val="auto"/>
              </w:rPr>
              <w:t>的《关于进一步加大政府采购支持中小企业力度的通知》（</w:t>
            </w:r>
            <w:r>
              <w:rPr>
                <w:rFonts w:hint="eastAsia" w:ascii="宋体" w:hAnsi="宋体" w:cs="宋体"/>
                <w:color w:val="auto"/>
                <w:lang w:val="en-US" w:eastAsia="zh-CN"/>
              </w:rPr>
              <w:t>财库</w:t>
            </w:r>
            <w:r>
              <w:rPr>
                <w:rFonts w:hint="eastAsia" w:ascii="宋体" w:hAnsi="宋体" w:cs="宋体"/>
                <w:color w:val="auto"/>
              </w:rPr>
              <w:t>〔2022〕</w:t>
            </w:r>
            <w:r>
              <w:rPr>
                <w:rFonts w:hint="eastAsia" w:ascii="宋体" w:hAnsi="宋体" w:cs="宋体"/>
                <w:color w:val="auto"/>
                <w:lang w:val="en-US" w:eastAsia="zh-CN"/>
              </w:rPr>
              <w:t>19</w:t>
            </w:r>
            <w:r>
              <w:rPr>
                <w:rFonts w:hint="eastAsia" w:ascii="宋体" w:hAnsi="宋体" w:cs="宋体"/>
                <w:color w:val="auto"/>
              </w:rPr>
              <w:t>号）规定，货物和服务项目中未预留份额专门面向中小企业采购的，以及预留份额项目中的非预留部分采购包，采购单位、采购代理机构应结合项目实际，对符合规定的小微企业报价按</w:t>
            </w:r>
            <w:r>
              <w:rPr>
                <w:rFonts w:hint="eastAsia" w:ascii="宋体" w:hAnsi="宋体" w:cs="宋体"/>
                <w:color w:val="auto"/>
                <w:lang w:val="en-US" w:eastAsia="zh-CN"/>
              </w:rPr>
              <w:t>10%-</w:t>
            </w:r>
            <w:r>
              <w:rPr>
                <w:rFonts w:hint="eastAsia" w:ascii="宋体" w:hAnsi="宋体" w:cs="宋体"/>
                <w:color w:val="auto"/>
              </w:rPr>
              <w:t>20%给予扣除，用扣除后的价格参加评审；对于联合协议或者分包意向协议约定小微企业的合同份额占到合同总金额30%以上的，采购单位、采购代理机构应结合项目实际，对联合体或者大中型企业的报价按</w:t>
            </w:r>
            <w:r>
              <w:rPr>
                <w:rFonts w:hint="eastAsia" w:ascii="宋体" w:hAnsi="宋体" w:cs="宋体"/>
                <w:color w:val="auto"/>
                <w:lang w:val="en-US" w:eastAsia="zh-CN"/>
              </w:rPr>
              <w:t>4%—</w:t>
            </w:r>
            <w:r>
              <w:rPr>
                <w:rFonts w:hint="eastAsia" w:ascii="宋体" w:hAnsi="宋体" w:cs="宋体"/>
                <w:color w:val="auto"/>
              </w:rPr>
              <w:t>6%给予扣除，用扣除后的价格参加评审。</w:t>
            </w:r>
          </w:p>
          <w:p>
            <w:pPr>
              <w:ind w:firstLine="400" w:firstLineChars="200"/>
              <w:rPr>
                <w:rFonts w:ascii="宋体"/>
                <w:color w:val="auto"/>
              </w:rPr>
            </w:pPr>
            <w:r>
              <w:rPr>
                <w:rFonts w:hint="eastAsia" w:ascii="宋体" w:hAnsi="宋体" w:cs="宋体"/>
                <w:color w:val="auto"/>
              </w:rPr>
              <w:t>组成联合体或者接受分包的小微企业与联合体内其他企业、分包企业之间存在直接控股、管理关系的，不享受价格扣除优惠政策。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pPr>
              <w:snapToGrid w:val="0"/>
              <w:jc w:val="center"/>
              <w:rPr>
                <w:rFonts w:ascii="宋体"/>
                <w:snapToGrid w:val="0"/>
                <w:color w:val="auto"/>
              </w:rPr>
            </w:pPr>
            <w:r>
              <w:rPr>
                <w:rFonts w:hint="eastAsia" w:ascii="宋体" w:hAnsi="宋体" w:cs="宋体"/>
                <w:snapToGrid w:val="0"/>
                <w:color w:val="auto"/>
              </w:rPr>
              <w:t>19</w:t>
            </w:r>
          </w:p>
        </w:tc>
        <w:tc>
          <w:tcPr>
            <w:tcW w:w="1800" w:type="dxa"/>
            <w:vAlign w:val="center"/>
          </w:tcPr>
          <w:p>
            <w:pPr>
              <w:snapToGrid w:val="0"/>
              <w:jc w:val="center"/>
              <w:rPr>
                <w:rFonts w:ascii="宋体" w:hAnsi="宋体" w:cs="宋体"/>
                <w:color w:val="auto"/>
              </w:rPr>
            </w:pPr>
            <w:r>
              <w:rPr>
                <w:rFonts w:hint="eastAsia" w:ascii="宋体" w:hAnsi="宋体" w:cs="宋体"/>
                <w:color w:val="auto"/>
              </w:rPr>
              <w:t>招标代理服务费</w:t>
            </w:r>
          </w:p>
        </w:tc>
        <w:tc>
          <w:tcPr>
            <w:tcW w:w="6682" w:type="dxa"/>
            <w:vAlign w:val="center"/>
          </w:tcPr>
          <w:p>
            <w:pPr>
              <w:autoSpaceDN w:val="0"/>
              <w:spacing w:line="340" w:lineRule="exact"/>
              <w:rPr>
                <w:rFonts w:ascii="宋体" w:hAnsi="宋体" w:cs="宋体"/>
                <w:snapToGrid w:val="0"/>
                <w:color w:val="auto"/>
              </w:rPr>
            </w:pPr>
            <w:r>
              <w:rPr>
                <w:rFonts w:hint="eastAsia" w:ascii="宋体" w:hAnsi="宋体" w:cs="宋体"/>
                <w:snapToGrid w:val="0"/>
                <w:color w:val="auto"/>
              </w:rPr>
              <w:t>招标代理服务费由成交供应商支付，按下列服务招标计算方式计取。</w:t>
            </w:r>
          </w:p>
          <w:tbl>
            <w:tblPr>
              <w:tblStyle w:val="25"/>
              <w:tblW w:w="6116"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117"/>
              <w:gridCol w:w="1010"/>
              <w:gridCol w:w="1010"/>
              <w:gridCol w:w="97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311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rPr>
                  </w:pPr>
                  <w:r>
                    <w:rPr>
                      <w:rFonts w:hint="eastAsia" w:ascii="宋体" w:hAnsi="宋体" w:cs="宋体"/>
                      <w:color w:val="auto"/>
                    </w:rPr>
                    <w:t>服务类型 中标金额（万元）</w:t>
                  </w:r>
                </w:p>
              </w:tc>
              <w:tc>
                <w:tcPr>
                  <w:tcW w:w="1010" w:type="dxa"/>
                  <w:tcBorders>
                    <w:top w:val="outset" w:color="auto" w:sz="6" w:space="0"/>
                    <w:left w:val="outset" w:color="auto" w:sz="6" w:space="0"/>
                    <w:bottom w:val="outset" w:color="auto" w:sz="6" w:space="0"/>
                    <w:right w:val="outset" w:color="auto" w:sz="6" w:space="0"/>
                  </w:tcBorders>
                  <w:vAlign w:val="center"/>
                </w:tcPr>
                <w:p>
                  <w:pPr>
                    <w:pStyle w:val="23"/>
                    <w:jc w:val="center"/>
                    <w:rPr>
                      <w:color w:val="auto"/>
                      <w:sz w:val="21"/>
                      <w:szCs w:val="21"/>
                    </w:rPr>
                  </w:pPr>
                  <w:r>
                    <w:rPr>
                      <w:rFonts w:hint="eastAsia" w:ascii="宋体" w:hAnsi="宋体" w:eastAsia="宋体" w:cs="宋体"/>
                      <w:color w:val="auto"/>
                      <w:sz w:val="20"/>
                      <w:szCs w:val="20"/>
                      <w:lang w:val="en-US" w:eastAsia="zh-CN" w:bidi="ar-SA"/>
                    </w:rPr>
                    <w:t>货物招标</w:t>
                  </w:r>
                </w:p>
              </w:tc>
              <w:tc>
                <w:tcPr>
                  <w:tcW w:w="101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rPr>
                  </w:pPr>
                  <w:r>
                    <w:rPr>
                      <w:rFonts w:hint="eastAsia" w:ascii="宋体" w:hAnsi="宋体" w:cs="宋体"/>
                      <w:color w:val="auto"/>
                    </w:rPr>
                    <w:t>服务招标</w:t>
                  </w:r>
                </w:p>
              </w:tc>
              <w:tc>
                <w:tcPr>
                  <w:tcW w:w="979"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rPr>
                  </w:pPr>
                  <w:r>
                    <w:rPr>
                      <w:rFonts w:hint="eastAsia" w:ascii="宋体" w:hAnsi="宋体" w:cs="宋体"/>
                      <w:color w:val="auto"/>
                    </w:rPr>
                    <w:t>工程招标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rPr>
                  </w:pPr>
                  <w:r>
                    <w:rPr>
                      <w:rFonts w:hint="eastAsia" w:ascii="宋体" w:hAnsi="宋体" w:cs="宋体"/>
                      <w:color w:val="auto"/>
                    </w:rPr>
                    <w:t>100以下</w:t>
                  </w:r>
                </w:p>
              </w:tc>
              <w:tc>
                <w:tcPr>
                  <w:tcW w:w="101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rPr>
                  </w:pPr>
                  <w:r>
                    <w:rPr>
                      <w:rFonts w:hint="eastAsia" w:ascii="宋体" w:hAnsi="宋体" w:cs="宋体"/>
                      <w:color w:val="auto"/>
                    </w:rPr>
                    <w:t>1.5％</w:t>
                  </w:r>
                </w:p>
              </w:tc>
              <w:tc>
                <w:tcPr>
                  <w:tcW w:w="101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rPr>
                  </w:pPr>
                  <w:r>
                    <w:rPr>
                      <w:rFonts w:hint="eastAsia" w:ascii="宋体" w:hAnsi="宋体" w:cs="宋体"/>
                      <w:color w:val="auto"/>
                    </w:rPr>
                    <w:t>1.5％</w:t>
                  </w:r>
                </w:p>
              </w:tc>
              <w:tc>
                <w:tcPr>
                  <w:tcW w:w="979"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rPr>
                  </w:pPr>
                  <w:r>
                    <w:rPr>
                      <w:rFonts w:hint="eastAsia" w:ascii="宋体" w:hAnsi="宋体" w:cs="宋体"/>
                      <w:color w:val="auto"/>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rPr>
                  </w:pPr>
                  <w:r>
                    <w:rPr>
                      <w:rFonts w:hint="eastAsia" w:ascii="宋体" w:hAnsi="宋体" w:cs="宋体"/>
                      <w:color w:val="auto"/>
                    </w:rPr>
                    <w:t>100—500</w:t>
                  </w:r>
                </w:p>
              </w:tc>
              <w:tc>
                <w:tcPr>
                  <w:tcW w:w="101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rPr>
                  </w:pPr>
                  <w:r>
                    <w:rPr>
                      <w:rFonts w:hint="eastAsia" w:ascii="宋体" w:hAnsi="宋体" w:cs="宋体"/>
                      <w:color w:val="auto"/>
                    </w:rPr>
                    <w:t>1.1％</w:t>
                  </w:r>
                </w:p>
              </w:tc>
              <w:tc>
                <w:tcPr>
                  <w:tcW w:w="101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rPr>
                  </w:pPr>
                  <w:r>
                    <w:rPr>
                      <w:rFonts w:hint="eastAsia" w:ascii="宋体" w:hAnsi="宋体" w:cs="宋体"/>
                      <w:color w:val="auto"/>
                    </w:rPr>
                    <w:t>0.8％</w:t>
                  </w:r>
                </w:p>
              </w:tc>
              <w:tc>
                <w:tcPr>
                  <w:tcW w:w="979"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rPr>
                  </w:pPr>
                  <w:r>
                    <w:rPr>
                      <w:rFonts w:hint="eastAsia" w:ascii="宋体" w:hAnsi="宋体" w:cs="宋体"/>
                      <w:color w:val="auto"/>
                    </w:rPr>
                    <w:t>0.7％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rPr>
                  </w:pPr>
                  <w:r>
                    <w:rPr>
                      <w:rFonts w:hint="eastAsia" w:ascii="宋体" w:hAnsi="宋体" w:cs="宋体"/>
                      <w:color w:val="auto"/>
                    </w:rPr>
                    <w:t>500—1000</w:t>
                  </w:r>
                </w:p>
              </w:tc>
              <w:tc>
                <w:tcPr>
                  <w:tcW w:w="101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rPr>
                  </w:pPr>
                  <w:r>
                    <w:rPr>
                      <w:rFonts w:hint="eastAsia" w:ascii="宋体" w:hAnsi="宋体" w:cs="宋体"/>
                      <w:color w:val="auto"/>
                    </w:rPr>
                    <w:t>0.8％</w:t>
                  </w:r>
                </w:p>
              </w:tc>
              <w:tc>
                <w:tcPr>
                  <w:tcW w:w="101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rPr>
                  </w:pPr>
                  <w:r>
                    <w:rPr>
                      <w:rFonts w:hint="eastAsia" w:ascii="宋体" w:hAnsi="宋体" w:cs="宋体"/>
                      <w:color w:val="auto"/>
                    </w:rPr>
                    <w:t>0.45％</w:t>
                  </w:r>
                </w:p>
              </w:tc>
              <w:tc>
                <w:tcPr>
                  <w:tcW w:w="979"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rPr>
                  </w:pPr>
                  <w:r>
                    <w:rPr>
                      <w:rFonts w:hint="eastAsia" w:ascii="宋体" w:hAnsi="宋体" w:cs="宋体"/>
                      <w:color w:val="auto"/>
                    </w:rPr>
                    <w:t>0.55％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rPr>
                  </w:pPr>
                  <w:r>
                    <w:rPr>
                      <w:rFonts w:hint="eastAsia" w:ascii="宋体" w:hAnsi="宋体" w:cs="宋体"/>
                      <w:color w:val="auto"/>
                    </w:rPr>
                    <w:t>1000—5000</w:t>
                  </w:r>
                </w:p>
              </w:tc>
              <w:tc>
                <w:tcPr>
                  <w:tcW w:w="101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rPr>
                  </w:pPr>
                  <w:r>
                    <w:rPr>
                      <w:rFonts w:hint="eastAsia" w:ascii="宋体" w:hAnsi="宋体" w:cs="宋体"/>
                      <w:color w:val="auto"/>
                    </w:rPr>
                    <w:t>0.5％</w:t>
                  </w:r>
                </w:p>
              </w:tc>
              <w:tc>
                <w:tcPr>
                  <w:tcW w:w="101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rPr>
                  </w:pPr>
                  <w:r>
                    <w:rPr>
                      <w:rFonts w:hint="eastAsia" w:ascii="宋体" w:hAnsi="宋体" w:cs="宋体"/>
                      <w:color w:val="auto"/>
                    </w:rPr>
                    <w:t>0.25％</w:t>
                  </w:r>
                </w:p>
              </w:tc>
              <w:tc>
                <w:tcPr>
                  <w:tcW w:w="979"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rPr>
                  </w:pPr>
                  <w:r>
                    <w:rPr>
                      <w:rFonts w:hint="eastAsia" w:ascii="宋体" w:hAnsi="宋体" w:cs="宋体"/>
                      <w:color w:val="auto"/>
                    </w:rPr>
                    <w:t>0.35％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rPr>
                  </w:pPr>
                  <w:r>
                    <w:rPr>
                      <w:rFonts w:hint="eastAsia" w:ascii="宋体" w:hAnsi="宋体" w:cs="宋体"/>
                      <w:color w:val="auto"/>
                    </w:rPr>
                    <w:t>5000—10000</w:t>
                  </w:r>
                </w:p>
              </w:tc>
              <w:tc>
                <w:tcPr>
                  <w:tcW w:w="101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rPr>
                  </w:pPr>
                  <w:r>
                    <w:rPr>
                      <w:rFonts w:hint="eastAsia" w:ascii="宋体" w:hAnsi="宋体" w:cs="宋体"/>
                      <w:color w:val="auto"/>
                    </w:rPr>
                    <w:t>0.25％</w:t>
                  </w:r>
                </w:p>
              </w:tc>
              <w:tc>
                <w:tcPr>
                  <w:tcW w:w="101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rPr>
                  </w:pPr>
                  <w:r>
                    <w:rPr>
                      <w:rFonts w:hint="eastAsia" w:ascii="宋体" w:hAnsi="宋体" w:cs="宋体"/>
                      <w:color w:val="auto"/>
                    </w:rPr>
                    <w:t>0.1％</w:t>
                  </w:r>
                </w:p>
              </w:tc>
              <w:tc>
                <w:tcPr>
                  <w:tcW w:w="979"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rPr>
                  </w:pPr>
                  <w:r>
                    <w:rPr>
                      <w:rFonts w:hint="eastAsia" w:ascii="宋体" w:hAnsi="宋体" w:cs="宋体"/>
                      <w:color w:val="auto"/>
                    </w:rPr>
                    <w:t>0.2％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rPr>
                  </w:pPr>
                  <w:r>
                    <w:rPr>
                      <w:rFonts w:hint="eastAsia" w:ascii="宋体" w:hAnsi="宋体" w:cs="宋体"/>
                      <w:color w:val="auto"/>
                    </w:rPr>
                    <w:t>10000——100000</w:t>
                  </w:r>
                </w:p>
              </w:tc>
              <w:tc>
                <w:tcPr>
                  <w:tcW w:w="101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rPr>
                  </w:pPr>
                  <w:r>
                    <w:rPr>
                      <w:rFonts w:hint="eastAsia" w:ascii="宋体" w:hAnsi="宋体" w:cs="宋体"/>
                      <w:color w:val="auto"/>
                    </w:rPr>
                    <w:t>0.05％</w:t>
                  </w:r>
                </w:p>
              </w:tc>
              <w:tc>
                <w:tcPr>
                  <w:tcW w:w="101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rPr>
                  </w:pPr>
                  <w:r>
                    <w:rPr>
                      <w:rFonts w:hint="eastAsia" w:ascii="宋体" w:hAnsi="宋体" w:cs="宋体"/>
                      <w:color w:val="auto"/>
                    </w:rPr>
                    <w:t>0.05％</w:t>
                  </w:r>
                </w:p>
              </w:tc>
              <w:tc>
                <w:tcPr>
                  <w:tcW w:w="979"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rPr>
                  </w:pPr>
                  <w:r>
                    <w:rPr>
                      <w:rFonts w:hint="eastAsia" w:ascii="宋体" w:hAnsi="宋体" w:cs="宋体"/>
                      <w:color w:val="auto"/>
                    </w:rPr>
                    <w:t>0.05％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rPr>
                  </w:pPr>
                  <w:r>
                    <w:rPr>
                      <w:rFonts w:hint="eastAsia" w:ascii="宋体" w:hAnsi="宋体" w:cs="宋体"/>
                      <w:color w:val="auto"/>
                    </w:rPr>
                    <w:t>1000000以上</w:t>
                  </w:r>
                </w:p>
              </w:tc>
              <w:tc>
                <w:tcPr>
                  <w:tcW w:w="101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rPr>
                  </w:pPr>
                  <w:r>
                    <w:rPr>
                      <w:rFonts w:hint="eastAsia" w:ascii="宋体" w:hAnsi="宋体" w:cs="宋体"/>
                      <w:color w:val="auto"/>
                    </w:rPr>
                    <w:t>0.01％</w:t>
                  </w:r>
                </w:p>
              </w:tc>
              <w:tc>
                <w:tcPr>
                  <w:tcW w:w="101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rPr>
                  </w:pPr>
                  <w:r>
                    <w:rPr>
                      <w:rFonts w:hint="eastAsia" w:ascii="宋体" w:hAnsi="宋体" w:cs="宋体"/>
                      <w:color w:val="auto"/>
                    </w:rPr>
                    <w:t>0.01％</w:t>
                  </w:r>
                </w:p>
              </w:tc>
              <w:tc>
                <w:tcPr>
                  <w:tcW w:w="979"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rPr>
                  </w:pPr>
                  <w:r>
                    <w:rPr>
                      <w:rFonts w:hint="eastAsia" w:ascii="宋体" w:hAnsi="宋体" w:cs="宋体"/>
                      <w:color w:val="auto"/>
                    </w:rPr>
                    <w:t>0.01％</w:t>
                  </w:r>
                </w:p>
              </w:tc>
            </w:tr>
          </w:tbl>
          <w:p>
            <w:pPr>
              <w:spacing w:line="340" w:lineRule="exact"/>
              <w:ind w:firstLine="400" w:firstLineChars="200"/>
              <w:rPr>
                <w:rFonts w:ascii="宋体" w:hAnsi="宋体" w:cs="宋体"/>
                <w:snapToGrid w:val="0"/>
                <w:color w:val="auto"/>
              </w:rPr>
            </w:pPr>
            <w:r>
              <w:rPr>
                <w:rFonts w:hint="eastAsia" w:ascii="宋体" w:hAnsi="宋体" w:cs="宋体"/>
                <w:snapToGrid w:val="0"/>
                <w:color w:val="auto"/>
              </w:rPr>
              <w:t>结算方式及时间为：在领取</w:t>
            </w:r>
            <w:r>
              <w:rPr>
                <w:rFonts w:hint="eastAsia" w:ascii="宋体" w:hAnsi="宋体" w:cs="宋体"/>
                <w:snapToGrid w:val="0"/>
                <w:color w:val="auto"/>
                <w:lang w:eastAsia="zh-CN"/>
              </w:rPr>
              <w:t>成交</w:t>
            </w:r>
            <w:r>
              <w:rPr>
                <w:rFonts w:hint="eastAsia" w:ascii="宋体" w:hAnsi="宋体" w:cs="宋体"/>
                <w:snapToGrid w:val="0"/>
                <w:color w:val="auto"/>
              </w:rPr>
              <w:t>通知书前由成交供应商一次性向采购代理机构付清。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pPr>
              <w:snapToGrid w:val="0"/>
              <w:jc w:val="center"/>
              <w:rPr>
                <w:rFonts w:ascii="宋体" w:hAnsi="宋体" w:cs="宋体"/>
                <w:snapToGrid w:val="0"/>
                <w:color w:val="auto"/>
              </w:rPr>
            </w:pPr>
            <w:r>
              <w:rPr>
                <w:rFonts w:hint="eastAsia" w:ascii="宋体" w:hAnsi="宋体" w:cs="宋体"/>
                <w:snapToGrid w:val="0"/>
                <w:color w:val="auto"/>
              </w:rPr>
              <w:t>20</w:t>
            </w:r>
          </w:p>
        </w:tc>
        <w:tc>
          <w:tcPr>
            <w:tcW w:w="1800" w:type="dxa"/>
            <w:vAlign w:val="center"/>
          </w:tcPr>
          <w:p>
            <w:pPr>
              <w:snapToGrid w:val="0"/>
              <w:jc w:val="center"/>
              <w:rPr>
                <w:rFonts w:ascii="宋体"/>
                <w:color w:val="auto"/>
              </w:rPr>
            </w:pPr>
            <w:r>
              <w:rPr>
                <w:rFonts w:hint="eastAsia" w:ascii="宋体" w:hAnsi="宋体" w:cs="宋体"/>
                <w:color w:val="auto"/>
              </w:rPr>
              <w:t>是否允许分包</w:t>
            </w:r>
          </w:p>
        </w:tc>
        <w:tc>
          <w:tcPr>
            <w:tcW w:w="6682" w:type="dxa"/>
            <w:vAlign w:val="center"/>
          </w:tcPr>
          <w:p>
            <w:pPr>
              <w:ind w:firstLine="400" w:firstLineChars="200"/>
              <w:rPr>
                <w:rFonts w:ascii="宋体"/>
                <w:color w:val="auto"/>
              </w:rPr>
            </w:pPr>
            <w:r>
              <w:rPr>
                <w:rFonts w:hint="eastAsia" w:ascii="宋体" w:hAnsi="宋体" w:cs="宋体"/>
                <w:color w:val="auto"/>
              </w:rPr>
              <w:t>本项目</w:t>
            </w:r>
            <w:r>
              <w:rPr>
                <w:rFonts w:hint="eastAsia" w:ascii="宋体" w:hAnsi="宋体" w:cs="宋体"/>
                <w:color w:val="auto"/>
                <w:u w:val="single"/>
              </w:rPr>
              <w:t>不允许</w:t>
            </w:r>
            <w:r>
              <w:rPr>
                <w:rFonts w:hint="eastAsia" w:ascii="宋体" w:hAnsi="宋体" w:cs="宋体"/>
                <w:color w:val="auto"/>
              </w:rPr>
              <w:t>分包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Align w:val="center"/>
          </w:tcPr>
          <w:p>
            <w:pPr>
              <w:snapToGrid w:val="0"/>
              <w:jc w:val="center"/>
              <w:rPr>
                <w:rFonts w:ascii="宋体"/>
                <w:snapToGrid w:val="0"/>
                <w:color w:val="auto"/>
              </w:rPr>
            </w:pPr>
            <w:r>
              <w:rPr>
                <w:rFonts w:hint="eastAsia" w:ascii="宋体" w:hAnsi="宋体" w:cs="宋体"/>
                <w:snapToGrid w:val="0"/>
                <w:color w:val="auto"/>
              </w:rPr>
              <w:t>21</w:t>
            </w:r>
          </w:p>
        </w:tc>
        <w:tc>
          <w:tcPr>
            <w:tcW w:w="1800" w:type="dxa"/>
            <w:tcBorders>
              <w:top w:val="single" w:color="auto" w:sz="4" w:space="0"/>
            </w:tcBorders>
            <w:vAlign w:val="center"/>
          </w:tcPr>
          <w:p>
            <w:pPr>
              <w:snapToGrid w:val="0"/>
              <w:jc w:val="center"/>
              <w:rPr>
                <w:rFonts w:ascii="宋体"/>
                <w:color w:val="auto"/>
              </w:rPr>
            </w:pPr>
            <w:r>
              <w:rPr>
                <w:rFonts w:hint="eastAsia" w:ascii="宋体" w:hAnsi="宋体" w:cs="宋体"/>
                <w:color w:val="auto"/>
              </w:rPr>
              <w:t>是否提供演示</w:t>
            </w:r>
          </w:p>
        </w:tc>
        <w:tc>
          <w:tcPr>
            <w:tcW w:w="6682" w:type="dxa"/>
            <w:tcBorders>
              <w:top w:val="single" w:color="auto" w:sz="4" w:space="0"/>
            </w:tcBorders>
            <w:vAlign w:val="center"/>
          </w:tcPr>
          <w:p>
            <w:pPr>
              <w:ind w:firstLine="400" w:firstLineChars="200"/>
              <w:rPr>
                <w:rFonts w:ascii="宋体" w:hAnsi="宋体" w:cs="宋体"/>
                <w:b/>
                <w:bCs/>
                <w:color w:val="auto"/>
              </w:rPr>
            </w:pPr>
            <w:r>
              <w:rPr>
                <w:rFonts w:hint="eastAsia" w:ascii="宋体" w:hAnsi="宋体" w:cs="宋体"/>
                <w:color w:val="auto"/>
                <w:szCs w:val="21"/>
              </w:rPr>
              <w:t>本项目</w:t>
            </w:r>
            <w:r>
              <w:rPr>
                <w:rFonts w:hint="eastAsia" w:ascii="宋体" w:hAnsi="宋体" w:cs="宋体"/>
                <w:color w:val="auto"/>
                <w:szCs w:val="21"/>
                <w:u w:val="single"/>
              </w:rPr>
              <w:t xml:space="preserve"> </w:t>
            </w:r>
            <w:r>
              <w:rPr>
                <w:rFonts w:hint="eastAsia" w:ascii="宋体" w:hAnsi="宋体" w:cs="宋体"/>
                <w:b/>
                <w:bCs/>
                <w:color w:val="auto"/>
                <w:szCs w:val="21"/>
                <w:u w:val="single"/>
                <w:lang w:val="en-US" w:eastAsia="zh-CN"/>
              </w:rPr>
              <w:t>不</w:t>
            </w:r>
            <w:r>
              <w:rPr>
                <w:rFonts w:hint="eastAsia" w:ascii="宋体" w:hAnsi="宋体" w:cs="宋体"/>
                <w:b/>
                <w:bCs/>
                <w:color w:val="auto"/>
                <w:szCs w:val="21"/>
                <w:u w:val="single"/>
              </w:rPr>
              <w:t>需要</w:t>
            </w:r>
            <w:r>
              <w:rPr>
                <w:rFonts w:ascii="宋体" w:hAnsi="宋体" w:cs="宋体"/>
                <w:color w:val="auto"/>
                <w:szCs w:val="21"/>
                <w:u w:val="single"/>
              </w:rPr>
              <w:t xml:space="preserve"> </w:t>
            </w:r>
            <w:r>
              <w:rPr>
                <w:rFonts w:hint="eastAsia" w:ascii="宋体" w:hAnsi="宋体" w:cs="宋体"/>
                <w:color w:val="auto"/>
                <w:szCs w:val="21"/>
              </w:rPr>
              <w:t>提供演示。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color w:val="auto"/>
              </w:rPr>
            </w:pPr>
            <w:r>
              <w:rPr>
                <w:rFonts w:hint="eastAsia" w:ascii="宋体" w:hAnsi="宋体" w:cs="宋体"/>
                <w:snapToGrid w:val="0"/>
                <w:color w:val="auto"/>
              </w:rPr>
              <w:t>22</w:t>
            </w:r>
          </w:p>
        </w:tc>
        <w:tc>
          <w:tcPr>
            <w:tcW w:w="1800" w:type="dxa"/>
            <w:vAlign w:val="center"/>
          </w:tcPr>
          <w:p>
            <w:pPr>
              <w:snapToGrid w:val="0"/>
              <w:jc w:val="center"/>
              <w:rPr>
                <w:rFonts w:ascii="宋体"/>
                <w:color w:val="auto"/>
              </w:rPr>
            </w:pPr>
            <w:r>
              <w:rPr>
                <w:rFonts w:hint="eastAsia" w:ascii="宋体" w:hAnsi="宋体" w:cs="宋体"/>
                <w:color w:val="auto"/>
              </w:rPr>
              <w:t>供应商信用信息查询渠道及截止时点、信用信息查询记录和证据留存的具体方式、信用信息的使用规则</w:t>
            </w:r>
          </w:p>
        </w:tc>
        <w:tc>
          <w:tcPr>
            <w:tcW w:w="6682" w:type="dxa"/>
            <w:vAlign w:val="center"/>
          </w:tcPr>
          <w:p>
            <w:pPr>
              <w:ind w:firstLine="400" w:firstLineChars="200"/>
              <w:rPr>
                <w:rFonts w:ascii="宋体"/>
                <w:color w:val="auto"/>
              </w:rPr>
            </w:pPr>
            <w:r>
              <w:rPr>
                <w:rFonts w:ascii="宋体" w:hAnsi="宋体" w:cs="宋体"/>
                <w:color w:val="auto"/>
              </w:rPr>
              <w:t>1</w:t>
            </w:r>
            <w:r>
              <w:rPr>
                <w:rFonts w:hint="eastAsia" w:ascii="宋体" w:hAnsi="宋体" w:cs="宋体"/>
                <w:color w:val="auto"/>
              </w:rPr>
              <w:t>、查询渠道：信用中国（网址：</w:t>
            </w:r>
            <w:r>
              <w:rPr>
                <w:rFonts w:ascii="宋体" w:hAnsi="宋体" w:cs="宋体"/>
                <w:color w:val="auto"/>
              </w:rPr>
              <w:t>http://www.creditchina.gov.cn</w:t>
            </w:r>
            <w:r>
              <w:rPr>
                <w:rFonts w:hint="eastAsia" w:ascii="宋体" w:hAnsi="宋体" w:cs="宋体"/>
                <w:color w:val="auto"/>
              </w:rPr>
              <w:t>）、中国政府采购网</w:t>
            </w:r>
            <w:r>
              <w:rPr>
                <w:rFonts w:ascii="宋体" w:hAnsi="宋体" w:cs="宋体"/>
                <w:color w:val="auto"/>
              </w:rPr>
              <w:t>(</w:t>
            </w:r>
            <w:r>
              <w:rPr>
                <w:rFonts w:hint="eastAsia" w:ascii="宋体" w:hAnsi="宋体" w:cs="宋体"/>
                <w:color w:val="auto"/>
              </w:rPr>
              <w:t>网址：</w:t>
            </w:r>
            <w:r>
              <w:rPr>
                <w:rFonts w:ascii="宋体" w:hAnsi="宋体" w:cs="宋体"/>
                <w:color w:val="auto"/>
              </w:rPr>
              <w:t>http://www.ccgp.gov.cn</w:t>
            </w:r>
            <w:r>
              <w:rPr>
                <w:rFonts w:hint="eastAsia" w:ascii="宋体" w:hAnsi="宋体" w:cs="宋体"/>
                <w:color w:val="auto"/>
              </w:rPr>
              <w:t>）。</w:t>
            </w:r>
          </w:p>
          <w:p>
            <w:pPr>
              <w:ind w:firstLine="400" w:firstLineChars="200"/>
              <w:rPr>
                <w:rFonts w:ascii="宋体"/>
                <w:color w:val="auto"/>
              </w:rPr>
            </w:pPr>
            <w:r>
              <w:rPr>
                <w:rFonts w:ascii="宋体" w:hAnsi="宋体" w:cs="宋体"/>
                <w:color w:val="auto"/>
              </w:rPr>
              <w:t>2</w:t>
            </w:r>
            <w:r>
              <w:rPr>
                <w:rFonts w:hint="eastAsia" w:ascii="宋体" w:hAnsi="宋体" w:cs="宋体"/>
                <w:color w:val="auto"/>
              </w:rPr>
              <w:t>、截止时点：开标后评标前。</w:t>
            </w:r>
          </w:p>
          <w:p>
            <w:pPr>
              <w:ind w:firstLine="400" w:firstLineChars="200"/>
              <w:rPr>
                <w:rFonts w:ascii="宋体"/>
                <w:color w:val="auto"/>
              </w:rPr>
            </w:pPr>
            <w:r>
              <w:rPr>
                <w:rFonts w:ascii="宋体" w:hAnsi="宋体" w:cs="宋体"/>
                <w:color w:val="auto"/>
              </w:rPr>
              <w:t>3</w:t>
            </w:r>
            <w:r>
              <w:rPr>
                <w:rFonts w:hint="eastAsia" w:ascii="宋体" w:hAnsi="宋体" w:cs="宋体"/>
                <w:color w:val="auto"/>
              </w:rPr>
              <w:t>、信用信息查询记录和证据留存的具体方式：由采购组织机构在规定查询时间内打印信用信息查询记录并归入项目档案。</w:t>
            </w:r>
          </w:p>
          <w:p>
            <w:pPr>
              <w:ind w:firstLine="400" w:firstLineChars="200"/>
              <w:rPr>
                <w:rFonts w:ascii="宋体"/>
                <w:color w:val="auto"/>
              </w:rPr>
            </w:pPr>
            <w:r>
              <w:rPr>
                <w:rFonts w:ascii="宋体" w:hAnsi="宋体" w:cs="宋体"/>
                <w:color w:val="auto"/>
              </w:rPr>
              <w:t>4</w:t>
            </w:r>
            <w:r>
              <w:rPr>
                <w:rFonts w:hint="eastAsia" w:ascii="宋体" w:hAnsi="宋体" w:cs="宋体"/>
                <w:color w:val="auto"/>
              </w:rPr>
              <w:t>、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color w:val="auto"/>
              </w:rPr>
            </w:pPr>
            <w:r>
              <w:rPr>
                <w:rFonts w:hint="eastAsia" w:ascii="宋体" w:hAnsi="宋体" w:cs="宋体"/>
                <w:snapToGrid w:val="0"/>
                <w:color w:val="auto"/>
              </w:rPr>
              <w:t>23</w:t>
            </w:r>
          </w:p>
        </w:tc>
        <w:tc>
          <w:tcPr>
            <w:tcW w:w="1800" w:type="dxa"/>
            <w:vAlign w:val="center"/>
          </w:tcPr>
          <w:p>
            <w:pPr>
              <w:snapToGrid w:val="0"/>
              <w:jc w:val="center"/>
              <w:rPr>
                <w:rFonts w:ascii="宋体"/>
                <w:color w:val="auto"/>
              </w:rPr>
            </w:pPr>
            <w:r>
              <w:rPr>
                <w:rFonts w:hint="eastAsia" w:ascii="宋体" w:hAnsi="宋体" w:cs="宋体"/>
                <w:color w:val="auto"/>
              </w:rPr>
              <w:t>金融支持</w:t>
            </w:r>
          </w:p>
        </w:tc>
        <w:tc>
          <w:tcPr>
            <w:tcW w:w="6682" w:type="dxa"/>
            <w:vAlign w:val="center"/>
          </w:tcPr>
          <w:p>
            <w:pPr>
              <w:ind w:firstLine="400" w:firstLineChars="200"/>
              <w:rPr>
                <w:rFonts w:ascii="宋体"/>
                <w:color w:val="auto"/>
              </w:rPr>
            </w:pPr>
            <w:r>
              <w:rPr>
                <w:rFonts w:hint="eastAsia" w:ascii="宋体" w:hAnsi="宋体" w:cs="宋体"/>
                <w:color w:val="auto"/>
              </w:rPr>
              <w:t>为支持和促进中小企业发展，进一步发挥政府采购政策功能，浙江省财政厅出台浙财采监〔</w:t>
            </w:r>
            <w:r>
              <w:rPr>
                <w:rFonts w:ascii="宋体" w:hAnsi="宋体" w:cs="宋体"/>
                <w:color w:val="auto"/>
              </w:rPr>
              <w:t>2020</w:t>
            </w:r>
            <w:r>
              <w:rPr>
                <w:rFonts w:hint="eastAsia" w:ascii="宋体" w:hAnsi="宋体" w:cs="宋体"/>
                <w:color w:val="auto"/>
              </w:rPr>
              <w:t>〕</w:t>
            </w:r>
            <w:r>
              <w:rPr>
                <w:rFonts w:ascii="宋体" w:hAnsi="宋体" w:cs="宋体"/>
                <w:color w:val="auto"/>
              </w:rPr>
              <w:t xml:space="preserve">3 </w:t>
            </w:r>
            <w:r>
              <w:rPr>
                <w:rFonts w:hint="eastAsia" w:ascii="宋体" w:hAnsi="宋体" w:cs="宋体"/>
                <w:color w:val="auto"/>
              </w:rPr>
              <w:t>号文件，企业若有融资意向，可登陆政采云平台融资服务（</w:t>
            </w:r>
            <w:r>
              <w:rPr>
                <w:rFonts w:ascii="宋体" w:hAnsi="宋体" w:cs="宋体"/>
                <w:color w:val="auto"/>
              </w:rPr>
              <w:t>https://jinrong.zcygov.cn/</w:t>
            </w:r>
            <w:r>
              <w:rPr>
                <w:rFonts w:hint="eastAsia" w:ascii="宋体" w:hAnsi="宋体" w:cs="宋体"/>
                <w:color w:val="auto"/>
              </w:rPr>
              <w:t>），查看相应融资政策文件及各相关银行服务方案。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Merge w:val="restart"/>
            <w:vAlign w:val="center"/>
          </w:tcPr>
          <w:p>
            <w:pPr>
              <w:snapToGrid w:val="0"/>
              <w:jc w:val="center"/>
              <w:rPr>
                <w:rFonts w:hint="eastAsia" w:ascii="宋体" w:hAnsi="宋体" w:cs="宋体"/>
                <w:snapToGrid w:val="0"/>
                <w:color w:val="auto"/>
              </w:rPr>
            </w:pPr>
            <w:r>
              <w:rPr>
                <w:rFonts w:hint="eastAsia" w:ascii="宋体" w:hAnsi="宋体" w:cs="宋体"/>
                <w:snapToGrid w:val="0"/>
                <w:color w:val="auto"/>
              </w:rPr>
              <w:t>2</w:t>
            </w:r>
            <w:r>
              <w:rPr>
                <w:rFonts w:ascii="宋体" w:hAnsi="宋体" w:cs="宋体"/>
                <w:snapToGrid w:val="0"/>
                <w:color w:val="auto"/>
              </w:rPr>
              <w:t>4</w:t>
            </w:r>
          </w:p>
        </w:tc>
        <w:tc>
          <w:tcPr>
            <w:tcW w:w="1800" w:type="dxa"/>
            <w:vMerge w:val="restart"/>
            <w:vAlign w:val="center"/>
          </w:tcPr>
          <w:p>
            <w:pPr>
              <w:snapToGrid w:val="0"/>
              <w:jc w:val="center"/>
              <w:rPr>
                <w:rFonts w:hint="eastAsia" w:ascii="宋体" w:hAnsi="宋体" w:cs="宋体"/>
                <w:color w:val="auto"/>
              </w:rPr>
            </w:pPr>
            <w:r>
              <w:rPr>
                <w:rFonts w:hint="eastAsia" w:ascii="宋体" w:hAnsi="宋体" w:cs="宋体"/>
                <w:color w:val="auto"/>
              </w:rPr>
              <w:t>预付款</w:t>
            </w:r>
          </w:p>
        </w:tc>
        <w:tc>
          <w:tcPr>
            <w:tcW w:w="6682" w:type="dxa"/>
            <w:vAlign w:val="center"/>
          </w:tcPr>
          <w:p>
            <w:pPr>
              <w:ind w:firstLine="400" w:firstLineChars="200"/>
              <w:rPr>
                <w:rFonts w:hint="eastAsia" w:ascii="宋体" w:hAnsi="宋体" w:cs="宋体"/>
                <w:color w:val="auto"/>
              </w:rPr>
            </w:pPr>
            <w:r>
              <w:rPr>
                <w:rFonts w:hint="eastAsia" w:ascii="宋体" w:hAnsi="宋体" w:cs="宋体"/>
                <w:color w:val="auto"/>
                <w:highlight w:val="none"/>
                <w:lang w:val="en-US" w:eastAsia="zh-CN"/>
              </w:rPr>
              <w:t>本项目</w:t>
            </w:r>
            <w:r>
              <w:rPr>
                <w:rFonts w:hint="eastAsia"/>
                <w:color w:val="auto"/>
                <w:sz w:val="24"/>
                <w:highlight w:val="none"/>
                <w:lang w:eastAsia="zh-CN"/>
              </w:rPr>
              <w:t>☑</w:t>
            </w:r>
            <w:r>
              <w:rPr>
                <w:rFonts w:hint="eastAsia" w:ascii="宋体" w:hAnsi="宋体" w:cs="宋体"/>
                <w:color w:val="auto"/>
                <w:highlight w:val="none"/>
                <w:lang w:val="en-US" w:eastAsia="zh-CN"/>
              </w:rPr>
              <w:t xml:space="preserve">是  </w:t>
            </w:r>
            <w:r>
              <w:rPr>
                <w:rFonts w:hint="eastAsia"/>
                <w:color w:val="auto"/>
                <w:sz w:val="24"/>
                <w:highlight w:val="none"/>
                <w:lang w:eastAsia="zh-CN"/>
              </w:rPr>
              <w:t>□</w:t>
            </w:r>
            <w:r>
              <w:rPr>
                <w:rFonts w:hint="eastAsia" w:ascii="宋体" w:hAnsi="宋体" w:cs="宋体"/>
                <w:color w:val="auto"/>
                <w:highlight w:val="none"/>
                <w:lang w:val="en-US" w:eastAsia="zh-CN"/>
              </w:rPr>
              <w:t>否  涉及预付款，预付款比例为</w:t>
            </w:r>
            <w:r>
              <w:rPr>
                <w:rFonts w:hint="eastAsia" w:ascii="宋体" w:hAnsi="宋体" w:cs="宋体"/>
                <w:color w:val="auto"/>
                <w:highlight w:val="none"/>
                <w:u w:val="single"/>
                <w:lang w:val="en-US" w:eastAsia="zh-CN"/>
              </w:rPr>
              <w:t xml:space="preserve">  20  %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Merge w:val="continue"/>
            <w:vAlign w:val="center"/>
          </w:tcPr>
          <w:p>
            <w:pPr>
              <w:snapToGrid w:val="0"/>
              <w:jc w:val="center"/>
              <w:rPr>
                <w:rFonts w:hint="eastAsia" w:ascii="宋体" w:hAnsi="宋体" w:cs="宋体"/>
                <w:snapToGrid w:val="0"/>
                <w:color w:val="auto"/>
              </w:rPr>
            </w:pPr>
          </w:p>
        </w:tc>
        <w:tc>
          <w:tcPr>
            <w:tcW w:w="1800" w:type="dxa"/>
            <w:vMerge w:val="continue"/>
            <w:vAlign w:val="center"/>
          </w:tcPr>
          <w:p>
            <w:pPr>
              <w:snapToGrid w:val="0"/>
              <w:jc w:val="center"/>
              <w:rPr>
                <w:rFonts w:hint="eastAsia" w:ascii="宋体" w:hAnsi="宋体" w:cs="宋体"/>
                <w:color w:val="auto"/>
              </w:rPr>
            </w:pPr>
          </w:p>
        </w:tc>
        <w:tc>
          <w:tcPr>
            <w:tcW w:w="6682" w:type="dxa"/>
            <w:vAlign w:val="center"/>
          </w:tcPr>
          <w:p>
            <w:pPr>
              <w:ind w:firstLine="400" w:firstLineChars="200"/>
              <w:rPr>
                <w:rFonts w:hint="eastAsia" w:ascii="宋体" w:hAnsi="宋体" w:cs="宋体"/>
                <w:color w:val="auto"/>
              </w:rPr>
            </w:pPr>
            <w:r>
              <w:rPr>
                <w:rFonts w:hint="eastAsia" w:ascii="宋体" w:hAnsi="宋体" w:cs="宋体"/>
                <w:color w:val="auto"/>
              </w:rPr>
              <w:t>根据《浙江省财政厅关于进一步发挥政府采购政策功能全力推动经济稳进提质的通知》[浙财采监〔2022）3号]文件第二条第五点关于“进一步提高政府采购预付款比例”的规定：</w:t>
            </w:r>
          </w:p>
          <w:p>
            <w:pPr>
              <w:ind w:firstLine="400" w:firstLineChars="200"/>
              <w:rPr>
                <w:rFonts w:hint="eastAsia" w:ascii="宋体" w:hAnsi="宋体" w:cs="宋体"/>
                <w:color w:val="auto"/>
              </w:rPr>
            </w:pPr>
            <w:r>
              <w:rPr>
                <w:rFonts w:hint="eastAsia" w:ascii="宋体" w:hAnsi="宋体" w:cs="宋体"/>
                <w:color w:val="auto"/>
              </w:rPr>
              <w:t>1、采购单位应当在政府采购合同中约定预付款；</w:t>
            </w:r>
          </w:p>
          <w:p>
            <w:pPr>
              <w:ind w:firstLine="400" w:firstLineChars="200"/>
              <w:rPr>
                <w:rFonts w:hint="eastAsia" w:ascii="宋体" w:hAnsi="宋体" w:cs="宋体"/>
                <w:color w:val="auto"/>
              </w:rPr>
            </w:pPr>
            <w:r>
              <w:rPr>
                <w:rFonts w:hint="eastAsia" w:ascii="宋体" w:hAnsi="宋体" w:cs="宋体"/>
                <w:color w:val="auto"/>
              </w:rPr>
              <w:t>2、项目涉及中小企业合同预付款的，合同签订后，采购人可以根据项目特点、供应商诚信等因素要求中标人提交银行、保险公司等金融机构出具的预付款保函或其他担保措施，采购人在合同生效以及具备实施条件后7个工作日内向中标人支付40%-70%的合同款作为预付款（项目为分年安排预算的，预付款按年度计划支付资金额的上述比例执行）；项目如以人工投入为主，采购人在合同生效以及具备实施条件后7个工作日内向中标人支付20%-70%的合同款作为预付款。</w:t>
            </w:r>
          </w:p>
          <w:p>
            <w:pPr>
              <w:ind w:firstLine="400" w:firstLineChars="200"/>
              <w:rPr>
                <w:rFonts w:hint="eastAsia" w:ascii="宋体" w:hAnsi="宋体" w:cs="宋体"/>
                <w:color w:val="auto"/>
              </w:rPr>
            </w:pPr>
            <w:r>
              <w:rPr>
                <w:rFonts w:hint="eastAsia" w:ascii="宋体" w:hAnsi="宋体" w:cs="宋体"/>
                <w:color w:val="auto"/>
              </w:rPr>
              <w:t>3、本项目涉及投标人为大型企业，或者以人工投入为主且实行按月定期结算支付款项的，预付款可低于上述比例或者不约定预付款（相应字样应在合同中体现）。</w:t>
            </w:r>
          </w:p>
          <w:p>
            <w:pPr>
              <w:ind w:firstLine="400" w:firstLineChars="200"/>
              <w:rPr>
                <w:rFonts w:hint="eastAsia" w:ascii="宋体" w:hAnsi="宋体" w:cs="宋体"/>
                <w:color w:val="auto"/>
              </w:rPr>
            </w:pPr>
            <w:r>
              <w:rPr>
                <w:rFonts w:hint="eastAsia" w:ascii="宋体" w:hAnsi="宋体" w:cs="宋体"/>
                <w:color w:val="auto"/>
              </w:rPr>
              <w:t>4、在签订合同时，中标人明确表示无需预付款或者主动要求降低预付款比例的，应提交相应申请函经采购人确认后，可不适用前述规定。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tcBorders>
              <w:bottom w:val="double" w:color="auto" w:sz="4" w:space="0"/>
            </w:tcBorders>
            <w:vAlign w:val="center"/>
          </w:tcPr>
          <w:p>
            <w:pPr>
              <w:snapToGrid w:val="0"/>
              <w:jc w:val="center"/>
              <w:rPr>
                <w:rFonts w:ascii="宋体"/>
                <w:snapToGrid w:val="0"/>
                <w:color w:val="auto"/>
              </w:rPr>
            </w:pPr>
            <w:r>
              <w:rPr>
                <w:rFonts w:ascii="宋体" w:hAnsi="宋体" w:cs="宋体"/>
                <w:snapToGrid w:val="0"/>
                <w:color w:val="auto"/>
              </w:rPr>
              <w:t>25</w:t>
            </w:r>
          </w:p>
        </w:tc>
        <w:tc>
          <w:tcPr>
            <w:tcW w:w="1800" w:type="dxa"/>
            <w:tcBorders>
              <w:bottom w:val="double" w:color="auto" w:sz="4" w:space="0"/>
            </w:tcBorders>
            <w:vAlign w:val="center"/>
          </w:tcPr>
          <w:p>
            <w:pPr>
              <w:snapToGrid w:val="0"/>
              <w:jc w:val="center"/>
              <w:rPr>
                <w:rFonts w:ascii="宋体"/>
                <w:color w:val="auto"/>
              </w:rPr>
            </w:pPr>
            <w:r>
              <w:rPr>
                <w:rFonts w:hint="eastAsia" w:ascii="宋体" w:hAnsi="宋体" w:cs="宋体"/>
                <w:color w:val="auto"/>
              </w:rPr>
              <w:t>其他</w:t>
            </w:r>
          </w:p>
        </w:tc>
        <w:tc>
          <w:tcPr>
            <w:tcW w:w="6682" w:type="dxa"/>
            <w:tcBorders>
              <w:bottom w:val="double" w:color="auto" w:sz="4" w:space="0"/>
            </w:tcBorders>
            <w:vAlign w:val="center"/>
          </w:tcPr>
          <w:p>
            <w:pPr>
              <w:ind w:firstLine="400" w:firstLineChars="200"/>
              <w:rPr>
                <w:rFonts w:hint="eastAsia"/>
                <w:color w:val="auto"/>
              </w:rPr>
            </w:pPr>
            <w:r>
              <w:rPr>
                <w:rFonts w:hint="eastAsia"/>
                <w:color w:val="auto"/>
                <w:lang w:val="en-US" w:eastAsia="zh-CN"/>
              </w:rPr>
              <w:t>1、</w:t>
            </w:r>
            <w:r>
              <w:rPr>
                <w:rFonts w:hint="eastAsia"/>
                <w:color w:val="auto"/>
              </w:rPr>
              <w:t>本磋商文件要求提供的身份证复印件皆需提供正反面，否则按不提供处理。</w:t>
            </w:r>
          </w:p>
          <w:p>
            <w:pPr>
              <w:ind w:firstLine="402"/>
              <w:rPr>
                <w:rFonts w:hint="eastAsia"/>
                <w:b/>
                <w:bCs/>
                <w:color w:val="auto"/>
              </w:rPr>
            </w:pPr>
            <w:r>
              <w:rPr>
                <w:rFonts w:hint="eastAsia"/>
                <w:color w:val="auto"/>
                <w:lang w:val="en-US" w:eastAsia="zh-CN"/>
              </w:rPr>
              <w:t>2、本项目货物如涉及柴油动力移动源，柴油动力移动源应当符合低排放要求。</w:t>
            </w:r>
          </w:p>
        </w:tc>
      </w:tr>
    </w:tbl>
    <w:p>
      <w:pPr>
        <w:pStyle w:val="3"/>
        <w:spacing w:line="360" w:lineRule="auto"/>
        <w:rPr>
          <w:rFonts w:ascii="宋体"/>
          <w:color w:val="auto"/>
        </w:rPr>
        <w:sectPr>
          <w:footerReference r:id="rId5" w:type="default"/>
          <w:pgSz w:w="11906" w:h="16838"/>
          <w:pgMar w:top="1440" w:right="1800" w:bottom="1440" w:left="1800" w:header="851" w:footer="992" w:gutter="0"/>
          <w:pgNumType w:start="1"/>
          <w:cols w:space="425" w:num="1"/>
          <w:docGrid w:type="lines" w:linePitch="312" w:charSpace="0"/>
        </w:sectPr>
      </w:pPr>
      <w:r>
        <w:rPr>
          <w:rFonts w:hint="eastAsia" w:ascii="宋体" w:hAnsi="宋体" w:cs="宋体"/>
          <w:color w:val="auto"/>
          <w:sz w:val="24"/>
          <w:szCs w:val="24"/>
        </w:rPr>
        <w:t>注：以上内容如有变化将另行通知。如通知其中某一内容发生变化，其余未提及的将不作变动。</w:t>
      </w:r>
    </w:p>
    <w:p>
      <w:pPr>
        <w:pStyle w:val="2"/>
        <w:numPr>
          <w:ilvl w:val="0"/>
          <w:numId w:val="8"/>
        </w:numPr>
        <w:jc w:val="center"/>
        <w:rPr>
          <w:rFonts w:hAnsi="宋体" w:cs="Times New Roman"/>
          <w:color w:val="auto"/>
        </w:rPr>
      </w:pPr>
      <w:r>
        <w:rPr>
          <w:rFonts w:hAnsi="宋体"/>
          <w:color w:val="auto"/>
        </w:rPr>
        <w:t xml:space="preserve"> </w:t>
      </w:r>
      <w:bookmarkStart w:id="19" w:name="_Toc25187"/>
      <w:bookmarkStart w:id="20" w:name="_Toc24554"/>
      <w:bookmarkStart w:id="21" w:name="_Toc16015"/>
      <w:r>
        <w:rPr>
          <w:rFonts w:hint="eastAsia" w:hAnsi="宋体"/>
          <w:color w:val="auto"/>
        </w:rPr>
        <w:t>总则</w:t>
      </w:r>
      <w:bookmarkEnd w:id="19"/>
      <w:bookmarkEnd w:id="20"/>
      <w:bookmarkEnd w:id="21"/>
    </w:p>
    <w:p>
      <w:pPr>
        <w:spacing w:line="336" w:lineRule="auto"/>
        <w:ind w:firstLine="480" w:firstLineChars="200"/>
        <w:rPr>
          <w:color w:val="auto"/>
          <w:sz w:val="24"/>
          <w:szCs w:val="24"/>
        </w:rPr>
      </w:pPr>
      <w:r>
        <w:rPr>
          <w:rFonts w:hint="eastAsia" w:cs="宋体"/>
          <w:color w:val="auto"/>
          <w:sz w:val="24"/>
          <w:szCs w:val="24"/>
        </w:rPr>
        <w:t>本次招标工作是按照《中华人民共和国政府采购法》、《中华人民共和国政府采购法实施条例》《政府采购竞争性磋商采购方式管理暂行办法》等相关法律、组织和实施，并由政府采购管理部门指导和监督。</w:t>
      </w:r>
    </w:p>
    <w:p>
      <w:pPr>
        <w:spacing w:line="336" w:lineRule="auto"/>
        <w:ind w:firstLine="482" w:firstLineChars="200"/>
        <w:rPr>
          <w:rFonts w:ascii="宋体"/>
          <w:b/>
          <w:bCs/>
          <w:color w:val="auto"/>
          <w:sz w:val="24"/>
          <w:szCs w:val="24"/>
        </w:rPr>
      </w:pPr>
      <w:r>
        <w:rPr>
          <w:rFonts w:ascii="宋体" w:hAnsi="宋体" w:cs="宋体"/>
          <w:b/>
          <w:bCs/>
          <w:color w:val="auto"/>
          <w:sz w:val="24"/>
          <w:szCs w:val="24"/>
        </w:rPr>
        <w:t>1</w:t>
      </w:r>
      <w:r>
        <w:rPr>
          <w:rFonts w:hint="eastAsia" w:ascii="宋体" w:hAnsi="宋体" w:cs="宋体"/>
          <w:b/>
          <w:bCs/>
          <w:color w:val="auto"/>
          <w:sz w:val="24"/>
          <w:szCs w:val="24"/>
        </w:rPr>
        <w:t>、适用范围</w:t>
      </w:r>
    </w:p>
    <w:p>
      <w:pPr>
        <w:spacing w:line="336" w:lineRule="auto"/>
        <w:ind w:firstLine="480" w:firstLineChars="200"/>
        <w:rPr>
          <w:rFonts w:ascii="宋体"/>
          <w:color w:val="auto"/>
          <w:sz w:val="24"/>
          <w:szCs w:val="24"/>
        </w:rPr>
      </w:pPr>
      <w:r>
        <w:rPr>
          <w:rFonts w:ascii="宋体" w:hAnsi="宋体" w:cs="宋体"/>
          <w:color w:val="auto"/>
          <w:sz w:val="24"/>
          <w:szCs w:val="24"/>
        </w:rPr>
        <w:t>1.1</w:t>
      </w:r>
      <w:r>
        <w:rPr>
          <w:rFonts w:hint="eastAsia" w:ascii="宋体" w:hAnsi="宋体" w:cs="宋体"/>
          <w:color w:val="auto"/>
          <w:sz w:val="24"/>
          <w:szCs w:val="24"/>
        </w:rPr>
        <w:t>本次磋商工作仅适用于</w:t>
      </w:r>
      <w:r>
        <w:rPr>
          <w:rFonts w:hint="eastAsia" w:ascii="宋体" w:hAnsi="宋体" w:cs="宋体"/>
          <w:color w:val="auto"/>
          <w:sz w:val="24"/>
          <w:szCs w:val="24"/>
          <w:u w:val="single"/>
          <w:lang w:val="en-US" w:eastAsia="zh-CN"/>
        </w:rPr>
        <w:t xml:space="preserve">2024年上虞区智慧城管信息采集项目 </w:t>
      </w:r>
      <w:r>
        <w:rPr>
          <w:rFonts w:hint="eastAsia" w:ascii="宋体" w:hAnsi="宋体" w:cs="宋体"/>
          <w:color w:val="auto"/>
          <w:sz w:val="24"/>
          <w:szCs w:val="24"/>
          <w:u w:val="single"/>
        </w:rPr>
        <w:t>。</w:t>
      </w:r>
    </w:p>
    <w:p>
      <w:pPr>
        <w:pStyle w:val="10"/>
        <w:spacing w:line="336" w:lineRule="auto"/>
        <w:ind w:firstLine="480" w:firstLineChars="200"/>
        <w:rPr>
          <w:color w:val="auto"/>
          <w:sz w:val="24"/>
          <w:szCs w:val="24"/>
        </w:rPr>
      </w:pPr>
      <w:r>
        <w:rPr>
          <w:rFonts w:ascii="宋体" w:hAnsi="宋体" w:cs="宋体"/>
          <w:color w:val="auto"/>
          <w:sz w:val="24"/>
          <w:szCs w:val="24"/>
        </w:rPr>
        <w:t>1.2</w:t>
      </w:r>
      <w:r>
        <w:rPr>
          <w:rFonts w:hint="eastAsia" w:ascii="宋体" w:hAnsi="宋体" w:cs="宋体"/>
          <w:color w:val="auto"/>
          <w:sz w:val="24"/>
          <w:szCs w:val="24"/>
        </w:rPr>
        <w:t>本项目采购方式采用竞争性磋商方式。</w:t>
      </w:r>
    </w:p>
    <w:p>
      <w:pPr>
        <w:spacing w:line="336" w:lineRule="auto"/>
        <w:ind w:firstLine="482" w:firstLineChars="200"/>
        <w:rPr>
          <w:rFonts w:ascii="宋体"/>
          <w:b/>
          <w:bCs/>
          <w:color w:val="auto"/>
          <w:sz w:val="24"/>
          <w:szCs w:val="24"/>
        </w:rPr>
      </w:pPr>
      <w:r>
        <w:rPr>
          <w:rFonts w:ascii="宋体" w:hAnsi="宋体" w:cs="宋体"/>
          <w:b/>
          <w:bCs/>
          <w:color w:val="auto"/>
          <w:sz w:val="24"/>
          <w:szCs w:val="24"/>
        </w:rPr>
        <w:t>2</w:t>
      </w:r>
      <w:r>
        <w:rPr>
          <w:rFonts w:hint="eastAsia" w:ascii="宋体" w:hAnsi="宋体" w:cs="宋体"/>
          <w:b/>
          <w:bCs/>
          <w:color w:val="auto"/>
          <w:sz w:val="24"/>
          <w:szCs w:val="24"/>
        </w:rPr>
        <w:t>、定义</w:t>
      </w:r>
    </w:p>
    <w:p>
      <w:pPr>
        <w:spacing w:line="336" w:lineRule="auto"/>
        <w:ind w:firstLine="480" w:firstLineChars="200"/>
        <w:rPr>
          <w:rFonts w:ascii="宋体"/>
          <w:color w:val="auto"/>
          <w:sz w:val="24"/>
          <w:szCs w:val="24"/>
          <w:u w:val="single"/>
        </w:rPr>
      </w:pPr>
      <w:r>
        <w:rPr>
          <w:rFonts w:ascii="宋体" w:hAnsi="宋体" w:cs="宋体"/>
          <w:color w:val="auto"/>
          <w:sz w:val="24"/>
          <w:szCs w:val="24"/>
        </w:rPr>
        <w:t>2.1</w:t>
      </w:r>
      <w:r>
        <w:rPr>
          <w:rFonts w:hint="eastAsia" w:ascii="宋体" w:hAnsi="宋体" w:cs="宋体"/>
          <w:color w:val="auto"/>
          <w:sz w:val="24"/>
          <w:szCs w:val="24"/>
        </w:rPr>
        <w:t>“</w:t>
      </w:r>
      <w:r>
        <w:rPr>
          <w:rFonts w:hint="eastAsia" w:ascii="宋体" w:hAnsi="宋体" w:cs="宋体"/>
          <w:color w:val="auto"/>
          <w:sz w:val="24"/>
          <w:szCs w:val="24"/>
          <w:lang w:val="zh-CN"/>
        </w:rPr>
        <w:t>采购人”系指</w:t>
      </w:r>
      <w:r>
        <w:rPr>
          <w:rFonts w:ascii="宋体" w:hAnsi="宋体" w:cs="宋体"/>
          <w:color w:val="auto"/>
          <w:sz w:val="24"/>
          <w:szCs w:val="24"/>
          <w:u w:val="single"/>
        </w:rPr>
        <w:t xml:space="preserve"> </w:t>
      </w:r>
      <w:r>
        <w:rPr>
          <w:rFonts w:hint="eastAsia" w:ascii="宋体" w:hAnsi="宋体" w:cs="宋体"/>
          <w:color w:val="auto"/>
          <w:sz w:val="24"/>
          <w:szCs w:val="32"/>
          <w:u w:val="single"/>
          <w:lang w:eastAsia="zh-CN"/>
        </w:rPr>
        <w:t>绍兴市上虞区综合行政执法局</w:t>
      </w:r>
      <w:r>
        <w:rPr>
          <w:rFonts w:ascii="宋体" w:hAnsi="宋体" w:cs="宋体"/>
          <w:color w:val="auto"/>
          <w:sz w:val="24"/>
          <w:szCs w:val="24"/>
          <w:u w:val="single"/>
        </w:rPr>
        <w:t xml:space="preserve"> </w:t>
      </w:r>
      <w:r>
        <w:rPr>
          <w:rFonts w:hint="eastAsia" w:ascii="宋体" w:hAnsi="宋体" w:cs="宋体"/>
          <w:color w:val="auto"/>
          <w:sz w:val="24"/>
          <w:szCs w:val="24"/>
        </w:rPr>
        <w:t>。采购人委托</w:t>
      </w:r>
      <w:r>
        <w:rPr>
          <w:rFonts w:ascii="宋体" w:hAnsi="宋体" w:cs="宋体"/>
          <w:color w:val="auto"/>
          <w:sz w:val="24"/>
          <w:szCs w:val="24"/>
          <w:u w:val="single"/>
        </w:rPr>
        <w:t xml:space="preserve"> </w:t>
      </w:r>
      <w:r>
        <w:rPr>
          <w:rFonts w:hint="eastAsia" w:ascii="宋体" w:hAnsi="宋体" w:cs="宋体"/>
          <w:color w:val="auto"/>
          <w:sz w:val="24"/>
          <w:szCs w:val="24"/>
          <w:u w:val="single"/>
          <w:lang w:eastAsia="zh-CN"/>
        </w:rPr>
        <w:t>浙江省成套工程有限公司</w:t>
      </w:r>
      <w:r>
        <w:rPr>
          <w:rFonts w:ascii="宋体" w:hAnsi="宋体" w:cs="宋体"/>
          <w:color w:val="auto"/>
          <w:sz w:val="24"/>
          <w:szCs w:val="24"/>
          <w:u w:val="single"/>
        </w:rPr>
        <w:t xml:space="preserve"> </w:t>
      </w:r>
      <w:r>
        <w:rPr>
          <w:rFonts w:hint="eastAsia" w:ascii="宋体" w:hAnsi="宋体" w:cs="宋体"/>
          <w:color w:val="auto"/>
          <w:sz w:val="24"/>
          <w:szCs w:val="24"/>
        </w:rPr>
        <w:t>为本项目采购代理机构。</w:t>
      </w:r>
    </w:p>
    <w:p>
      <w:pPr>
        <w:spacing w:line="336" w:lineRule="auto"/>
        <w:ind w:firstLine="480" w:firstLineChars="200"/>
        <w:rPr>
          <w:rFonts w:ascii="宋体"/>
          <w:color w:val="auto"/>
          <w:sz w:val="24"/>
          <w:szCs w:val="24"/>
        </w:rPr>
      </w:pPr>
      <w:r>
        <w:rPr>
          <w:rFonts w:ascii="宋体" w:hAnsi="宋体" w:cs="宋体"/>
          <w:color w:val="auto"/>
          <w:sz w:val="24"/>
          <w:szCs w:val="24"/>
        </w:rPr>
        <w:t>2.2</w:t>
      </w:r>
      <w:r>
        <w:rPr>
          <w:rFonts w:hint="eastAsia" w:ascii="宋体" w:hAnsi="宋体" w:cs="宋体"/>
          <w:color w:val="auto"/>
          <w:sz w:val="24"/>
          <w:szCs w:val="24"/>
        </w:rPr>
        <w:t>“磋商供应商”系指响应本次采购，参加本次竞争性磋商的供</w:t>
      </w:r>
      <w:bookmarkStart w:id="139" w:name="_GoBack"/>
      <w:bookmarkEnd w:id="139"/>
      <w:r>
        <w:rPr>
          <w:rFonts w:hint="eastAsia" w:ascii="宋体" w:hAnsi="宋体" w:cs="宋体"/>
          <w:color w:val="auto"/>
          <w:sz w:val="24"/>
          <w:szCs w:val="24"/>
        </w:rPr>
        <w:t>应商。</w:t>
      </w:r>
    </w:p>
    <w:p>
      <w:pPr>
        <w:spacing w:line="336" w:lineRule="auto"/>
        <w:ind w:firstLine="480" w:firstLineChars="200"/>
        <w:rPr>
          <w:rFonts w:ascii="宋体"/>
          <w:color w:val="auto"/>
          <w:sz w:val="24"/>
          <w:szCs w:val="24"/>
          <w:lang w:val="zh-CN"/>
        </w:rPr>
      </w:pPr>
      <w:r>
        <w:rPr>
          <w:rFonts w:ascii="宋体" w:hAnsi="宋体" w:cs="宋体"/>
          <w:color w:val="auto"/>
          <w:sz w:val="24"/>
          <w:szCs w:val="24"/>
        </w:rPr>
        <w:t>2.3</w:t>
      </w:r>
      <w:r>
        <w:rPr>
          <w:rFonts w:hint="eastAsia" w:ascii="宋体" w:hAnsi="宋体" w:cs="宋体"/>
          <w:color w:val="auto"/>
          <w:sz w:val="24"/>
          <w:szCs w:val="24"/>
          <w:lang w:val="zh-CN"/>
        </w:rPr>
        <w:t>“服务”系指</w:t>
      </w:r>
      <w:r>
        <w:rPr>
          <w:rFonts w:hint="eastAsia" w:ascii="宋体" w:hAnsi="宋体" w:cs="宋体"/>
          <w:color w:val="auto"/>
          <w:sz w:val="24"/>
          <w:szCs w:val="24"/>
        </w:rPr>
        <w:t>磋商供应商按合同规定，须承担的服务的义务</w:t>
      </w:r>
      <w:r>
        <w:rPr>
          <w:rFonts w:hint="eastAsia" w:ascii="宋体" w:hAnsi="宋体" w:cs="宋体"/>
          <w:color w:val="auto"/>
          <w:sz w:val="24"/>
          <w:szCs w:val="24"/>
          <w:lang w:val="zh-CN"/>
        </w:rPr>
        <w:t>。</w:t>
      </w:r>
    </w:p>
    <w:p>
      <w:pPr>
        <w:spacing w:line="336" w:lineRule="auto"/>
        <w:ind w:firstLine="482" w:firstLineChars="200"/>
        <w:rPr>
          <w:rFonts w:ascii="宋体"/>
          <w:b/>
          <w:bCs/>
          <w:color w:val="auto"/>
          <w:sz w:val="24"/>
          <w:szCs w:val="24"/>
        </w:rPr>
      </w:pPr>
      <w:r>
        <w:rPr>
          <w:rFonts w:ascii="宋体" w:hAnsi="宋体" w:cs="宋体"/>
          <w:b/>
          <w:bCs/>
          <w:color w:val="auto"/>
          <w:sz w:val="24"/>
          <w:szCs w:val="24"/>
        </w:rPr>
        <w:t>3</w:t>
      </w:r>
      <w:r>
        <w:rPr>
          <w:rFonts w:hint="eastAsia" w:ascii="宋体" w:hAnsi="宋体" w:cs="宋体"/>
          <w:b/>
          <w:bCs/>
          <w:color w:val="auto"/>
          <w:sz w:val="24"/>
          <w:szCs w:val="24"/>
        </w:rPr>
        <w:t>、采购项目概况</w:t>
      </w:r>
      <w:r>
        <w:rPr>
          <w:rFonts w:ascii="宋体"/>
          <w:b/>
          <w:bCs/>
          <w:color w:val="auto"/>
          <w:sz w:val="24"/>
          <w:szCs w:val="24"/>
        </w:rPr>
        <w:tab/>
      </w:r>
      <w:r>
        <w:rPr>
          <w:rFonts w:ascii="宋体"/>
          <w:b/>
          <w:bCs/>
          <w:color w:val="auto"/>
          <w:sz w:val="24"/>
          <w:szCs w:val="24"/>
        </w:rPr>
        <w:tab/>
      </w:r>
    </w:p>
    <w:p>
      <w:pPr>
        <w:spacing w:line="336" w:lineRule="auto"/>
        <w:ind w:firstLine="480" w:firstLineChars="200"/>
        <w:rPr>
          <w:rFonts w:ascii="宋体"/>
          <w:color w:val="auto"/>
          <w:sz w:val="24"/>
          <w:szCs w:val="24"/>
        </w:rPr>
      </w:pPr>
      <w:r>
        <w:rPr>
          <w:rFonts w:hint="eastAsia" w:ascii="宋体" w:hAnsi="宋体" w:cs="宋体"/>
          <w:color w:val="auto"/>
          <w:sz w:val="24"/>
          <w:szCs w:val="24"/>
        </w:rPr>
        <w:t>详见竞争性磋商公告相关内容，主要要求参见本文件第</w:t>
      </w:r>
      <w:r>
        <w:rPr>
          <w:rFonts w:ascii="宋体" w:hAnsi="宋体" w:cs="宋体"/>
          <w:color w:val="auto"/>
          <w:sz w:val="24"/>
          <w:szCs w:val="24"/>
          <w:u w:val="single"/>
        </w:rPr>
        <w:t xml:space="preserve"> </w:t>
      </w:r>
      <w:r>
        <w:rPr>
          <w:rFonts w:hint="eastAsia" w:ascii="宋体" w:hAnsi="宋体" w:cs="宋体"/>
          <w:color w:val="auto"/>
          <w:sz w:val="24"/>
          <w:szCs w:val="24"/>
          <w:u w:val="single"/>
        </w:rPr>
        <w:t>三</w:t>
      </w:r>
      <w:r>
        <w:rPr>
          <w:rFonts w:ascii="宋体" w:hAnsi="宋体" w:cs="宋体"/>
          <w:color w:val="auto"/>
          <w:sz w:val="24"/>
          <w:szCs w:val="24"/>
          <w:u w:val="single"/>
        </w:rPr>
        <w:t xml:space="preserve"> </w:t>
      </w:r>
      <w:r>
        <w:rPr>
          <w:rFonts w:hint="eastAsia" w:ascii="宋体" w:hAnsi="宋体" w:cs="宋体"/>
          <w:color w:val="auto"/>
          <w:sz w:val="24"/>
          <w:szCs w:val="24"/>
        </w:rPr>
        <w:t>部分。</w:t>
      </w:r>
    </w:p>
    <w:p>
      <w:pPr>
        <w:adjustRightInd w:val="0"/>
        <w:spacing w:line="336" w:lineRule="auto"/>
        <w:ind w:firstLine="482" w:firstLineChars="200"/>
        <w:rPr>
          <w:rFonts w:ascii="宋体"/>
          <w:b/>
          <w:bCs/>
          <w:color w:val="auto"/>
          <w:sz w:val="24"/>
          <w:szCs w:val="24"/>
        </w:rPr>
      </w:pPr>
      <w:r>
        <w:rPr>
          <w:rFonts w:ascii="宋体" w:hAnsi="宋体" w:cs="宋体"/>
          <w:b/>
          <w:bCs/>
          <w:color w:val="auto"/>
          <w:sz w:val="24"/>
          <w:szCs w:val="24"/>
        </w:rPr>
        <w:t>4</w:t>
      </w:r>
      <w:r>
        <w:rPr>
          <w:rFonts w:hint="eastAsia" w:ascii="宋体" w:hAnsi="宋体" w:cs="宋体"/>
          <w:b/>
          <w:bCs/>
          <w:color w:val="auto"/>
          <w:sz w:val="24"/>
          <w:szCs w:val="24"/>
        </w:rPr>
        <w:t>、合格的磋商供应商</w:t>
      </w:r>
    </w:p>
    <w:p>
      <w:pPr>
        <w:spacing w:line="336" w:lineRule="auto"/>
        <w:ind w:firstLine="480" w:firstLineChars="200"/>
        <w:rPr>
          <w:rFonts w:ascii="宋体"/>
          <w:color w:val="auto"/>
          <w:sz w:val="24"/>
          <w:szCs w:val="24"/>
        </w:rPr>
      </w:pPr>
      <w:bookmarkStart w:id="22" w:name="_Toc209520993"/>
      <w:bookmarkStart w:id="23" w:name="_Toc211412066"/>
      <w:bookmarkStart w:id="24" w:name="_Toc197657950"/>
      <w:bookmarkStart w:id="25" w:name="_Toc207946571"/>
      <w:bookmarkStart w:id="26" w:name="_Toc197156227"/>
      <w:bookmarkStart w:id="27" w:name="_Toc208913145"/>
      <w:bookmarkStart w:id="28" w:name="_Toc209435242"/>
      <w:bookmarkStart w:id="29" w:name="_Toc209504018"/>
      <w:bookmarkStart w:id="30" w:name="_Toc208287611"/>
      <w:bookmarkStart w:id="31" w:name="_Toc197163261"/>
      <w:bookmarkStart w:id="32" w:name="_Toc193523219"/>
      <w:bookmarkStart w:id="33" w:name="_Toc204683265"/>
      <w:bookmarkStart w:id="34" w:name="_Toc197053926"/>
      <w:bookmarkStart w:id="35" w:name="_Toc193538208"/>
      <w:r>
        <w:rPr>
          <w:rFonts w:hint="eastAsia" w:ascii="宋体" w:hAnsi="宋体" w:cs="宋体"/>
          <w:color w:val="auto"/>
          <w:sz w:val="24"/>
          <w:szCs w:val="24"/>
        </w:rPr>
        <w:t>详见竞争性磋商采购公告磋商供应商的资格要求规定。</w:t>
      </w:r>
      <w:bookmarkEnd w:id="22"/>
      <w:bookmarkEnd w:id="23"/>
      <w:bookmarkEnd w:id="24"/>
      <w:bookmarkEnd w:id="25"/>
      <w:bookmarkEnd w:id="26"/>
      <w:bookmarkEnd w:id="27"/>
      <w:bookmarkEnd w:id="28"/>
      <w:bookmarkEnd w:id="29"/>
      <w:bookmarkEnd w:id="30"/>
      <w:bookmarkEnd w:id="31"/>
      <w:bookmarkEnd w:id="32"/>
      <w:bookmarkEnd w:id="33"/>
      <w:bookmarkEnd w:id="34"/>
      <w:bookmarkEnd w:id="35"/>
    </w:p>
    <w:p>
      <w:pPr>
        <w:spacing w:line="336" w:lineRule="auto"/>
        <w:ind w:firstLine="482" w:firstLineChars="200"/>
        <w:rPr>
          <w:rFonts w:ascii="宋体"/>
          <w:b/>
          <w:bCs/>
          <w:color w:val="auto"/>
          <w:sz w:val="24"/>
          <w:szCs w:val="24"/>
        </w:rPr>
      </w:pPr>
      <w:r>
        <w:rPr>
          <w:rFonts w:ascii="宋体" w:hAnsi="宋体" w:cs="宋体"/>
          <w:b/>
          <w:bCs/>
          <w:color w:val="auto"/>
          <w:sz w:val="24"/>
          <w:szCs w:val="24"/>
        </w:rPr>
        <w:t>5</w:t>
      </w:r>
      <w:r>
        <w:rPr>
          <w:rFonts w:hint="eastAsia" w:ascii="宋体" w:hAnsi="宋体" w:cs="宋体"/>
          <w:b/>
          <w:bCs/>
          <w:color w:val="auto"/>
          <w:sz w:val="24"/>
          <w:szCs w:val="24"/>
        </w:rPr>
        <w:t>、磋商费用</w:t>
      </w:r>
    </w:p>
    <w:p>
      <w:pPr>
        <w:spacing w:line="33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磋商供应商应承担其参加磋商所涉及的一切费用，不管结果如何，采购人对上述费用不负任何责任。</w:t>
      </w:r>
    </w:p>
    <w:p>
      <w:pPr>
        <w:pStyle w:val="2"/>
        <w:rPr>
          <w:color w:val="auto"/>
        </w:rPr>
      </w:pPr>
    </w:p>
    <w:p>
      <w:pPr>
        <w:pStyle w:val="2"/>
        <w:numPr>
          <w:ilvl w:val="0"/>
          <w:numId w:val="8"/>
        </w:numPr>
        <w:jc w:val="center"/>
        <w:rPr>
          <w:rFonts w:cs="Times New Roman"/>
          <w:color w:val="auto"/>
        </w:rPr>
      </w:pPr>
      <w:bookmarkStart w:id="36" w:name="_Toc25923"/>
      <w:bookmarkStart w:id="37" w:name="_Toc32689"/>
      <w:bookmarkStart w:id="38" w:name="_Toc416992151"/>
      <w:r>
        <w:rPr>
          <w:color w:val="auto"/>
        </w:rPr>
        <w:t xml:space="preserve"> </w:t>
      </w:r>
      <w:bookmarkStart w:id="39" w:name="_Toc11814"/>
      <w:bookmarkStart w:id="40" w:name="_Toc17386"/>
      <w:bookmarkStart w:id="41" w:name="_Toc187"/>
      <w:r>
        <w:rPr>
          <w:rFonts w:hint="eastAsia"/>
          <w:color w:val="auto"/>
        </w:rPr>
        <w:t>竞争性磋商文件</w:t>
      </w:r>
      <w:bookmarkEnd w:id="36"/>
      <w:bookmarkEnd w:id="37"/>
      <w:bookmarkEnd w:id="38"/>
      <w:bookmarkEnd w:id="39"/>
      <w:bookmarkEnd w:id="40"/>
      <w:bookmarkEnd w:id="41"/>
    </w:p>
    <w:p>
      <w:pPr>
        <w:adjustRightInd w:val="0"/>
        <w:spacing w:line="336" w:lineRule="auto"/>
        <w:ind w:firstLine="482" w:firstLineChars="200"/>
        <w:rPr>
          <w:rFonts w:ascii="宋体"/>
          <w:b/>
          <w:bCs/>
          <w:color w:val="auto"/>
          <w:sz w:val="24"/>
          <w:szCs w:val="24"/>
        </w:rPr>
      </w:pPr>
      <w:r>
        <w:rPr>
          <w:rFonts w:ascii="宋体" w:hAnsi="宋体" w:cs="宋体"/>
          <w:b/>
          <w:bCs/>
          <w:color w:val="auto"/>
          <w:sz w:val="24"/>
          <w:szCs w:val="24"/>
        </w:rPr>
        <w:t>6</w:t>
      </w:r>
      <w:r>
        <w:rPr>
          <w:rFonts w:hint="eastAsia" w:ascii="宋体" w:hAnsi="宋体" w:cs="宋体"/>
          <w:b/>
          <w:bCs/>
          <w:color w:val="auto"/>
          <w:sz w:val="24"/>
          <w:szCs w:val="24"/>
        </w:rPr>
        <w:t>、磋商文件的组成</w:t>
      </w:r>
    </w:p>
    <w:p>
      <w:pPr>
        <w:adjustRightInd w:val="0"/>
        <w:spacing w:line="336" w:lineRule="auto"/>
        <w:ind w:firstLine="480" w:firstLineChars="200"/>
        <w:rPr>
          <w:rFonts w:ascii="宋体"/>
          <w:color w:val="auto"/>
          <w:sz w:val="24"/>
          <w:szCs w:val="24"/>
        </w:rPr>
      </w:pPr>
      <w:r>
        <w:rPr>
          <w:rFonts w:ascii="宋体" w:hAnsi="宋体" w:cs="宋体"/>
          <w:color w:val="auto"/>
          <w:sz w:val="24"/>
          <w:szCs w:val="24"/>
        </w:rPr>
        <w:t>6.1</w:t>
      </w:r>
      <w:r>
        <w:rPr>
          <w:rFonts w:hint="eastAsia" w:ascii="宋体" w:hAnsi="宋体" w:cs="宋体"/>
          <w:color w:val="auto"/>
          <w:sz w:val="24"/>
          <w:szCs w:val="24"/>
        </w:rPr>
        <w:t>本磋商文件包括目录所示内容及所有按本须知发出的补充资料（如果有）。</w:t>
      </w:r>
    </w:p>
    <w:p>
      <w:pPr>
        <w:adjustRightInd w:val="0"/>
        <w:spacing w:line="336" w:lineRule="auto"/>
        <w:ind w:firstLine="480" w:firstLineChars="200"/>
        <w:rPr>
          <w:rFonts w:ascii="宋体"/>
          <w:color w:val="auto"/>
          <w:sz w:val="24"/>
          <w:szCs w:val="24"/>
        </w:rPr>
      </w:pPr>
      <w:r>
        <w:rPr>
          <w:rFonts w:ascii="宋体" w:hAnsi="宋体" w:cs="宋体"/>
          <w:color w:val="auto"/>
          <w:sz w:val="24"/>
          <w:szCs w:val="24"/>
        </w:rPr>
        <w:t>6.2</w:t>
      </w:r>
      <w:r>
        <w:rPr>
          <w:rFonts w:hint="eastAsia" w:ascii="宋体" w:hAnsi="宋体" w:cs="宋体"/>
          <w:color w:val="auto"/>
          <w:sz w:val="24"/>
          <w:szCs w:val="24"/>
        </w:rPr>
        <w:t>除上述所列内容外，采购人及采购代理机构的任何工作人员对磋商供应商所作的任何口头解释、介绍、答复，只能供磋商供应商参考，对采购人和磋商供应商无任何约束力。</w:t>
      </w:r>
    </w:p>
    <w:p>
      <w:pPr>
        <w:adjustRightInd w:val="0"/>
        <w:spacing w:line="336" w:lineRule="auto"/>
        <w:ind w:firstLine="480" w:firstLineChars="200"/>
        <w:rPr>
          <w:rFonts w:ascii="宋体"/>
          <w:color w:val="auto"/>
          <w:sz w:val="24"/>
          <w:szCs w:val="24"/>
        </w:rPr>
      </w:pPr>
      <w:r>
        <w:rPr>
          <w:rFonts w:ascii="宋体" w:hAnsi="宋体" w:cs="宋体"/>
          <w:color w:val="auto"/>
          <w:sz w:val="24"/>
          <w:szCs w:val="24"/>
        </w:rPr>
        <w:t>6.3</w:t>
      </w:r>
      <w:r>
        <w:rPr>
          <w:rFonts w:hint="eastAsia" w:ascii="宋体" w:hAnsi="宋体" w:cs="宋体"/>
          <w:color w:val="auto"/>
          <w:sz w:val="24"/>
          <w:szCs w:val="24"/>
        </w:rPr>
        <w:t>磋商供应商应仔细阅读磋商文件的所有内容，按照文件要求提交响应文件，并保证所提交的全部资料的真实性。不按磋商文件的要求提供的响应文件和资料，可能导致磋商被拒绝。</w:t>
      </w:r>
    </w:p>
    <w:p>
      <w:pPr>
        <w:spacing w:line="336" w:lineRule="auto"/>
        <w:ind w:firstLine="480" w:firstLineChars="200"/>
        <w:rPr>
          <w:rFonts w:ascii="宋体"/>
          <w:color w:val="auto"/>
          <w:sz w:val="24"/>
          <w:szCs w:val="24"/>
        </w:rPr>
      </w:pPr>
      <w:r>
        <w:rPr>
          <w:rFonts w:ascii="宋体" w:hAnsi="宋体" w:cs="宋体"/>
          <w:color w:val="auto"/>
          <w:sz w:val="24"/>
          <w:szCs w:val="24"/>
        </w:rPr>
        <w:t>6.4</w:t>
      </w:r>
      <w:r>
        <w:rPr>
          <w:rFonts w:hint="eastAsia" w:ascii="宋体" w:hAnsi="宋体" w:cs="宋体"/>
          <w:color w:val="auto"/>
          <w:sz w:val="24"/>
          <w:szCs w:val="24"/>
        </w:rPr>
        <w:t>磋商文件是磋商过程进行的有效依据，也是成交后签订合同的依据，对双方均具有约束力，凡不遵守磋商文件规定或对磋商文件的实质性内容不响应的报价，将可能被拒绝或以无效标处理。本磋商文件由采购人或采购代理机构进行解释。</w:t>
      </w:r>
    </w:p>
    <w:p>
      <w:pPr>
        <w:adjustRightInd w:val="0"/>
        <w:spacing w:line="336" w:lineRule="auto"/>
        <w:ind w:firstLine="472" w:firstLineChars="196"/>
        <w:rPr>
          <w:rFonts w:ascii="宋体"/>
          <w:b/>
          <w:bCs/>
          <w:color w:val="auto"/>
          <w:sz w:val="24"/>
          <w:szCs w:val="24"/>
        </w:rPr>
      </w:pPr>
      <w:r>
        <w:rPr>
          <w:rFonts w:ascii="宋体" w:hAnsi="宋体" w:cs="宋体"/>
          <w:b/>
          <w:bCs/>
          <w:color w:val="auto"/>
          <w:sz w:val="24"/>
          <w:szCs w:val="24"/>
        </w:rPr>
        <w:t>7</w:t>
      </w:r>
      <w:r>
        <w:rPr>
          <w:rFonts w:hint="eastAsia" w:ascii="宋体" w:hAnsi="宋体" w:cs="宋体"/>
          <w:b/>
          <w:bCs/>
          <w:color w:val="auto"/>
          <w:sz w:val="24"/>
          <w:szCs w:val="24"/>
        </w:rPr>
        <w:t>、磋商文件的澄清与修改</w:t>
      </w:r>
    </w:p>
    <w:p>
      <w:pPr>
        <w:pStyle w:val="12"/>
        <w:spacing w:line="336" w:lineRule="auto"/>
        <w:ind w:firstLine="480" w:firstLineChars="200"/>
        <w:rPr>
          <w:rFonts w:cs="Times New Roman"/>
          <w:color w:val="auto"/>
        </w:rPr>
      </w:pPr>
      <w:r>
        <w:rPr>
          <w:color w:val="auto"/>
        </w:rPr>
        <w:t>7.1</w:t>
      </w:r>
      <w:r>
        <w:rPr>
          <w:rFonts w:hint="eastAsia"/>
          <w:color w:val="auto"/>
        </w:rPr>
        <w:t>磋商供应商在收到竞争性磋商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pPr>
        <w:pStyle w:val="12"/>
        <w:spacing w:line="336" w:lineRule="auto"/>
        <w:ind w:right="-240" w:rightChars="-120" w:firstLine="480" w:firstLineChars="200"/>
        <w:rPr>
          <w:rFonts w:cs="Times New Roman"/>
          <w:color w:val="auto"/>
        </w:rPr>
      </w:pPr>
      <w:r>
        <w:rPr>
          <w:color w:val="auto"/>
        </w:rPr>
        <w:t>7.2</w:t>
      </w:r>
      <w:r>
        <w:rPr>
          <w:rFonts w:hint="eastAsia"/>
          <w:color w:val="auto"/>
        </w:rPr>
        <w:t>磋商供应商要求解释或澄清的问题应以书面形式，并加盖公章、写明日期。</w:t>
      </w:r>
    </w:p>
    <w:p>
      <w:pPr>
        <w:adjustRightInd w:val="0"/>
        <w:spacing w:line="336" w:lineRule="auto"/>
        <w:ind w:firstLine="480" w:firstLineChars="200"/>
        <w:rPr>
          <w:rFonts w:ascii="宋体"/>
          <w:color w:val="auto"/>
          <w:sz w:val="24"/>
          <w:szCs w:val="24"/>
        </w:rPr>
      </w:pPr>
      <w:r>
        <w:rPr>
          <w:rFonts w:ascii="宋体" w:hAnsi="宋体" w:cs="宋体"/>
          <w:color w:val="auto"/>
          <w:sz w:val="24"/>
          <w:szCs w:val="24"/>
        </w:rPr>
        <w:t>7.3</w:t>
      </w:r>
      <w:r>
        <w:rPr>
          <w:rFonts w:hint="eastAsia" w:ascii="宋体" w:hAnsi="宋体" w:cs="宋体"/>
          <w:color w:val="auto"/>
          <w:sz w:val="24"/>
          <w:szCs w:val="24"/>
        </w:rPr>
        <w:t>提交响应文件截止之日前，采购人、采购代理机构或者磋商小组可以对已发出的磋商文件进行必要的澄清或者修改，澄清或者修改的内容作为磋商文件的组成部分。</w:t>
      </w:r>
    </w:p>
    <w:p>
      <w:pPr>
        <w:adjustRightInd w:val="0"/>
        <w:spacing w:line="336" w:lineRule="auto"/>
        <w:ind w:firstLine="480" w:firstLineChars="200"/>
        <w:rPr>
          <w:rFonts w:ascii="宋体"/>
          <w:color w:val="auto"/>
          <w:sz w:val="24"/>
          <w:szCs w:val="24"/>
        </w:rPr>
      </w:pPr>
      <w:r>
        <w:rPr>
          <w:rFonts w:ascii="宋体" w:hAnsi="宋体" w:cs="宋体"/>
          <w:color w:val="auto"/>
          <w:sz w:val="24"/>
          <w:szCs w:val="24"/>
        </w:rPr>
        <w:t>7.4</w:t>
      </w:r>
      <w:r>
        <w:rPr>
          <w:rFonts w:hint="eastAsia" w:ascii="宋体" w:hAnsi="宋体" w:cs="宋体"/>
          <w:color w:val="auto"/>
          <w:sz w:val="24"/>
          <w:szCs w:val="24"/>
        </w:rPr>
        <w:t>竞争性磋商文件的澄清修改文件及更正补充公告，请自行登录浙江政府采购网或绍兴市上虞区公共资源交易中心网站，在采购公告页面中下载。</w:t>
      </w:r>
    </w:p>
    <w:p>
      <w:pPr>
        <w:adjustRightInd w:val="0"/>
        <w:spacing w:line="336" w:lineRule="auto"/>
        <w:ind w:firstLine="480" w:firstLineChars="200"/>
        <w:rPr>
          <w:rFonts w:ascii="宋体"/>
          <w:color w:val="auto"/>
          <w:sz w:val="24"/>
          <w:szCs w:val="24"/>
        </w:rPr>
      </w:pPr>
      <w:r>
        <w:rPr>
          <w:rFonts w:ascii="宋体" w:hAnsi="宋体" w:cs="宋体"/>
          <w:color w:val="auto"/>
          <w:sz w:val="24"/>
          <w:szCs w:val="24"/>
        </w:rPr>
        <w:t>7.5</w:t>
      </w:r>
      <w:r>
        <w:rPr>
          <w:rFonts w:hint="eastAsia" w:ascii="宋体" w:hAnsi="宋体" w:cs="宋体"/>
          <w:color w:val="auto"/>
          <w:sz w:val="24"/>
          <w:szCs w:val="24"/>
        </w:rPr>
        <w:t>澄清或者修改的内容可能影响响应文件编制的，采购人、采购代理机构将在提交响应文件截止时间至少</w:t>
      </w:r>
      <w:r>
        <w:rPr>
          <w:rFonts w:ascii="宋体" w:hAnsi="宋体" w:cs="宋体"/>
          <w:color w:val="auto"/>
          <w:sz w:val="24"/>
          <w:szCs w:val="24"/>
        </w:rPr>
        <w:t>5</w:t>
      </w:r>
      <w:r>
        <w:rPr>
          <w:rFonts w:hint="eastAsia" w:ascii="宋体" w:hAnsi="宋体" w:cs="宋体"/>
          <w:color w:val="auto"/>
          <w:sz w:val="24"/>
          <w:szCs w:val="24"/>
        </w:rPr>
        <w:t>日前，以公告形式通知所有获取磋商文件的供应商；不足</w:t>
      </w:r>
      <w:r>
        <w:rPr>
          <w:rFonts w:ascii="宋体" w:hAnsi="宋体" w:cs="宋体"/>
          <w:color w:val="auto"/>
          <w:sz w:val="24"/>
          <w:szCs w:val="24"/>
        </w:rPr>
        <w:t>5</w:t>
      </w:r>
      <w:r>
        <w:rPr>
          <w:rFonts w:hint="eastAsia" w:ascii="宋体" w:hAnsi="宋体" w:cs="宋体"/>
          <w:color w:val="auto"/>
          <w:sz w:val="24"/>
          <w:szCs w:val="24"/>
        </w:rPr>
        <w:t>日的，采购人、采购代理机构可能会顺延提交首次响应文件截止时间。澄清或者修改的内容未对原磋商文件作出重大修改或不会影响响应文件编制的，递交首次响应文件截止时间不变。</w:t>
      </w:r>
    </w:p>
    <w:p>
      <w:pPr>
        <w:adjustRightInd w:val="0"/>
        <w:spacing w:line="336" w:lineRule="auto"/>
        <w:ind w:firstLine="480" w:firstLineChars="200"/>
        <w:rPr>
          <w:rFonts w:ascii="宋体"/>
          <w:color w:val="auto"/>
          <w:sz w:val="24"/>
          <w:szCs w:val="24"/>
        </w:rPr>
      </w:pPr>
      <w:r>
        <w:rPr>
          <w:rFonts w:ascii="宋体" w:hAnsi="宋体" w:cs="宋体"/>
          <w:color w:val="auto"/>
          <w:sz w:val="24"/>
          <w:szCs w:val="24"/>
        </w:rPr>
        <w:t>7.6</w:t>
      </w:r>
      <w:r>
        <w:rPr>
          <w:rFonts w:hint="eastAsia" w:ascii="宋体" w:hAnsi="宋体" w:cs="宋体"/>
          <w:color w:val="auto"/>
          <w:sz w:val="24"/>
          <w:szCs w:val="24"/>
        </w:rPr>
        <w:t>竞争性磋商文件澄清、答复、修改、补充的内容为竞争性磋商文件的组成部分。</w:t>
      </w:r>
    </w:p>
    <w:p>
      <w:pPr>
        <w:pStyle w:val="3"/>
        <w:spacing w:line="336" w:lineRule="auto"/>
        <w:rPr>
          <w:rFonts w:hint="eastAsia" w:ascii="宋体" w:hAnsi="宋体" w:cs="宋体"/>
          <w:color w:val="auto"/>
          <w:sz w:val="24"/>
          <w:szCs w:val="24"/>
        </w:rPr>
      </w:pPr>
      <w:r>
        <w:rPr>
          <w:rFonts w:ascii="宋体" w:hAnsi="宋体" w:cs="宋体"/>
          <w:color w:val="auto"/>
          <w:sz w:val="24"/>
          <w:szCs w:val="24"/>
        </w:rPr>
        <w:t>7.7</w:t>
      </w:r>
      <w:r>
        <w:rPr>
          <w:rFonts w:hint="eastAsia" w:ascii="宋体" w:hAnsi="宋体" w:cs="宋体"/>
          <w:color w:val="auto"/>
          <w:sz w:val="24"/>
          <w:szCs w:val="24"/>
        </w:rPr>
        <w:t>磋商文件发售截止日后，经采购人同意后购买磋商文件的磋商供应商不得对磋商文件和补充文件提出答疑或质疑。</w:t>
      </w:r>
    </w:p>
    <w:p>
      <w:pPr>
        <w:pStyle w:val="12"/>
        <w:rPr>
          <w:color w:val="auto"/>
        </w:rPr>
      </w:pPr>
    </w:p>
    <w:p>
      <w:pPr>
        <w:pStyle w:val="2"/>
        <w:numPr>
          <w:ilvl w:val="0"/>
          <w:numId w:val="8"/>
        </w:numPr>
        <w:jc w:val="center"/>
        <w:rPr>
          <w:rFonts w:cs="Times New Roman"/>
          <w:color w:val="auto"/>
        </w:rPr>
      </w:pPr>
      <w:bookmarkStart w:id="42" w:name="_Toc11093"/>
      <w:bookmarkStart w:id="43" w:name="_Toc6457"/>
      <w:bookmarkStart w:id="44" w:name="_Toc23975"/>
      <w:bookmarkStart w:id="45" w:name="_Toc10810"/>
      <w:bookmarkStart w:id="46" w:name="_Toc24622"/>
      <w:bookmarkStart w:id="47" w:name="_Toc26027"/>
      <w:bookmarkStart w:id="48" w:name="_Toc11669"/>
      <w:bookmarkStart w:id="49" w:name="_Toc1729"/>
      <w:bookmarkStart w:id="50" w:name="_Toc1828"/>
      <w:bookmarkStart w:id="51" w:name="_Toc26603"/>
      <w:bookmarkStart w:id="52" w:name="_Toc18702"/>
      <w:bookmarkStart w:id="53" w:name="_Toc8860"/>
      <w:bookmarkStart w:id="54" w:name="_Toc1202"/>
      <w:bookmarkStart w:id="55" w:name="_Toc391298957"/>
      <w:bookmarkStart w:id="56" w:name="_Toc7126"/>
      <w:bookmarkStart w:id="57" w:name="_Toc11692"/>
      <w:bookmarkStart w:id="58" w:name="_Toc23135"/>
      <w:bookmarkStart w:id="59" w:name="_Toc14650"/>
      <w:bookmarkStart w:id="60" w:name="_Toc31748"/>
      <w:bookmarkStart w:id="61" w:name="_Toc10669"/>
      <w:bookmarkStart w:id="62" w:name="_Toc6079"/>
      <w:bookmarkStart w:id="63" w:name="_Toc6273"/>
      <w:r>
        <w:rPr>
          <w:color w:val="auto"/>
        </w:rPr>
        <w:t xml:space="preserve"> </w:t>
      </w:r>
      <w:bookmarkStart w:id="64" w:name="_Toc27018"/>
      <w:bookmarkStart w:id="65" w:name="_Toc11515"/>
      <w:r>
        <w:rPr>
          <w:color w:val="auto"/>
        </w:rPr>
        <w:tab/>
      </w:r>
      <w:bookmarkStart w:id="66" w:name="_Toc28735"/>
      <w:r>
        <w:rPr>
          <w:rFonts w:hint="eastAsia"/>
          <w:color w:val="auto"/>
        </w:rPr>
        <w:t>竞争性磋商响应文件的编写</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pPr>
        <w:spacing w:line="336" w:lineRule="auto"/>
        <w:ind w:firstLine="480" w:firstLineChars="200"/>
        <w:rPr>
          <w:rFonts w:ascii="宋体"/>
          <w:color w:val="auto"/>
          <w:sz w:val="24"/>
          <w:szCs w:val="24"/>
        </w:rPr>
      </w:pPr>
      <w:r>
        <w:rPr>
          <w:rFonts w:ascii="宋体" w:hAnsi="宋体" w:cs="宋体"/>
          <w:color w:val="auto"/>
          <w:sz w:val="24"/>
          <w:szCs w:val="24"/>
        </w:rPr>
        <w:t>8</w:t>
      </w:r>
      <w:r>
        <w:rPr>
          <w:rFonts w:hint="eastAsia" w:ascii="宋体" w:hAnsi="宋体" w:cs="宋体"/>
          <w:color w:val="auto"/>
          <w:sz w:val="24"/>
          <w:szCs w:val="24"/>
        </w:rPr>
        <w:t>、要求</w:t>
      </w:r>
    </w:p>
    <w:p>
      <w:pPr>
        <w:spacing w:line="336" w:lineRule="auto"/>
        <w:ind w:firstLine="480" w:firstLineChars="200"/>
        <w:rPr>
          <w:rFonts w:ascii="宋体"/>
          <w:color w:val="auto"/>
          <w:sz w:val="24"/>
          <w:szCs w:val="24"/>
        </w:rPr>
      </w:pPr>
      <w:r>
        <w:rPr>
          <w:rFonts w:ascii="宋体" w:hAnsi="宋体" w:cs="宋体"/>
          <w:color w:val="auto"/>
          <w:sz w:val="24"/>
          <w:szCs w:val="24"/>
        </w:rPr>
        <w:t>8.1</w:t>
      </w:r>
      <w:r>
        <w:rPr>
          <w:rFonts w:hint="eastAsia" w:ascii="宋体" w:hAnsi="宋体" w:cs="宋体"/>
          <w:color w:val="auto"/>
          <w:sz w:val="24"/>
          <w:szCs w:val="24"/>
        </w:rPr>
        <w:t>供应商应仔细阅读竞争性磋商文件的所有内容，按照竞争性磋商文件的要求提交竞争性磋商响应文件。竞争性磋商响应文件应对竞争性磋商文件的要求做出实质性响应，并保证所提供的全部资料的真实性，否则视其为虚假响应，其响应将被否决。</w:t>
      </w:r>
    </w:p>
    <w:p>
      <w:pPr>
        <w:spacing w:line="336" w:lineRule="auto"/>
        <w:ind w:firstLine="480" w:firstLineChars="200"/>
        <w:rPr>
          <w:rFonts w:ascii="宋体"/>
          <w:color w:val="auto"/>
          <w:sz w:val="24"/>
          <w:szCs w:val="24"/>
        </w:rPr>
      </w:pPr>
      <w:r>
        <w:rPr>
          <w:rFonts w:ascii="宋体" w:hAnsi="宋体" w:cs="宋体"/>
          <w:color w:val="auto"/>
          <w:sz w:val="24"/>
          <w:szCs w:val="24"/>
        </w:rPr>
        <w:t>8.2</w:t>
      </w:r>
      <w:r>
        <w:rPr>
          <w:rFonts w:hint="eastAsia" w:ascii="宋体" w:hAnsi="宋体" w:cs="宋体"/>
          <w:color w:val="auto"/>
          <w:sz w:val="24"/>
          <w:szCs w:val="24"/>
        </w:rPr>
        <w:t>报价</w:t>
      </w:r>
    </w:p>
    <w:p>
      <w:pPr>
        <w:spacing w:line="336" w:lineRule="auto"/>
        <w:ind w:firstLine="480" w:firstLineChars="200"/>
        <w:rPr>
          <w:rFonts w:ascii="宋体"/>
          <w:b/>
          <w:bCs/>
          <w:color w:val="auto"/>
          <w:sz w:val="24"/>
          <w:szCs w:val="24"/>
          <w:shd w:val="clear" w:color="FFFFFF" w:fill="D9D9D9"/>
        </w:rPr>
      </w:pPr>
      <w:r>
        <w:rPr>
          <w:rFonts w:ascii="宋体" w:hAnsi="宋体" w:cs="宋体"/>
          <w:color w:val="auto"/>
          <w:sz w:val="24"/>
          <w:szCs w:val="24"/>
        </w:rPr>
        <w:t>8.2.1</w:t>
      </w:r>
      <w:r>
        <w:rPr>
          <w:rFonts w:hint="eastAsia" w:ascii="宋体" w:hAnsi="宋体" w:cs="宋体"/>
          <w:color w:val="auto"/>
          <w:sz w:val="24"/>
          <w:szCs w:val="24"/>
        </w:rPr>
        <w:t>本次报价非一次性报价，报价币种为人民币。在磋商后根据磋商情况（包括细化采购方案和要求，增补部分采购内容等），供应商须二次报价（最终报价），</w:t>
      </w:r>
      <w:r>
        <w:rPr>
          <w:rFonts w:hint="eastAsia" w:ascii="宋体" w:hAnsi="宋体" w:cs="宋体"/>
          <w:b/>
          <w:bCs/>
          <w:color w:val="auto"/>
          <w:sz w:val="24"/>
          <w:szCs w:val="24"/>
        </w:rPr>
        <w:t>如果供应商在规定时间</w:t>
      </w:r>
      <w:r>
        <w:rPr>
          <w:rFonts w:ascii="宋体" w:hAnsi="宋体" w:cs="宋体"/>
          <w:b/>
          <w:bCs/>
          <w:color w:val="auto"/>
          <w:sz w:val="24"/>
          <w:szCs w:val="24"/>
        </w:rPr>
        <w:t>30</w:t>
      </w:r>
      <w:r>
        <w:rPr>
          <w:rFonts w:hint="eastAsia" w:ascii="宋体" w:hAnsi="宋体" w:cs="宋体"/>
          <w:b/>
          <w:bCs/>
          <w:color w:val="auto"/>
          <w:sz w:val="24"/>
          <w:szCs w:val="24"/>
        </w:rPr>
        <w:t>分钟内未提交第二次报价，视该供应商放弃本次投标，作无效标处理</w:t>
      </w:r>
      <w:r>
        <w:rPr>
          <w:rFonts w:hint="eastAsia" w:ascii="宋体" w:hAnsi="宋体" w:cs="宋体"/>
          <w:color w:val="auto"/>
          <w:sz w:val="24"/>
          <w:szCs w:val="24"/>
        </w:rPr>
        <w:t>。</w:t>
      </w:r>
    </w:p>
    <w:p>
      <w:pPr>
        <w:pStyle w:val="53"/>
        <w:tabs>
          <w:tab w:val="left" w:pos="0"/>
        </w:tabs>
        <w:spacing w:before="0" w:line="336" w:lineRule="auto"/>
        <w:ind w:firstLine="480"/>
        <w:rPr>
          <w:rFonts w:ascii="宋体"/>
          <w:color w:val="auto"/>
          <w:u w:val="single"/>
        </w:rPr>
      </w:pPr>
      <w:r>
        <w:rPr>
          <w:rFonts w:ascii="宋体" w:hAnsi="宋体" w:cs="宋体"/>
          <w:color w:val="auto"/>
          <w:u w:val="none"/>
        </w:rPr>
        <w:t>8.2.2</w:t>
      </w:r>
      <w:r>
        <w:rPr>
          <w:rFonts w:hint="eastAsia" w:cs="宋体"/>
          <w:b/>
          <w:bCs/>
          <w:color w:val="auto"/>
        </w:rPr>
        <w:t>本次报价应该是含完成本项目所需的所有费用，如以后已实施而未列入报价的费用将被视为投标人优惠，采购人均不予支付。</w:t>
      </w:r>
      <w:r>
        <w:rPr>
          <w:rFonts w:hint="eastAsia" w:cs="宋体"/>
          <w:color w:val="auto"/>
        </w:rPr>
        <w:t>投标报价为供应商所能承受的最低、最终报价，供应商不得再要求追加任何费用。</w:t>
      </w:r>
    </w:p>
    <w:p>
      <w:pPr>
        <w:spacing w:line="336" w:lineRule="auto"/>
        <w:ind w:firstLine="480" w:firstLineChars="200"/>
        <w:rPr>
          <w:rFonts w:ascii="宋体"/>
          <w:color w:val="auto"/>
          <w:sz w:val="24"/>
          <w:szCs w:val="24"/>
        </w:rPr>
      </w:pPr>
      <w:r>
        <w:rPr>
          <w:rFonts w:hint="eastAsia" w:ascii="宋体" w:hAnsi="宋体" w:cs="宋体"/>
          <w:color w:val="auto"/>
          <w:sz w:val="24"/>
          <w:szCs w:val="24"/>
        </w:rPr>
        <w:t>投标报价固定是指供应商所填写的投标报价在合同实施期间不因市场因素而变动，供应商在计算报价时可考虑一定的风险系数（由供应商自行考虑）。</w:t>
      </w:r>
    </w:p>
    <w:p>
      <w:pPr>
        <w:spacing w:line="336" w:lineRule="auto"/>
        <w:ind w:firstLine="480" w:firstLineChars="200"/>
        <w:rPr>
          <w:rFonts w:ascii="宋体"/>
          <w:color w:val="auto"/>
        </w:rPr>
      </w:pPr>
      <w:r>
        <w:rPr>
          <w:rFonts w:ascii="宋体" w:hAnsi="宋体" w:cs="宋体"/>
          <w:color w:val="auto"/>
          <w:sz w:val="24"/>
          <w:szCs w:val="24"/>
        </w:rPr>
        <w:t>8.2.3</w:t>
      </w:r>
      <w:r>
        <w:rPr>
          <w:rFonts w:hint="eastAsia" w:ascii="宋体" w:hAnsi="宋体" w:cs="宋体"/>
          <w:color w:val="auto"/>
          <w:sz w:val="24"/>
          <w:szCs w:val="24"/>
        </w:rPr>
        <w:t>供应商的报价作为供应商计算单价或总价的依据，应是完成技术文件中的所有要求，不得以任何理由予以重复，供应商对报价若有说明应在报价一览表备注处注明。任何有选择的报价方案及价格将不予接受。</w:t>
      </w:r>
    </w:p>
    <w:p>
      <w:pPr>
        <w:pStyle w:val="15"/>
        <w:spacing w:line="336" w:lineRule="auto"/>
        <w:ind w:firstLine="482" w:firstLineChars="200"/>
        <w:rPr>
          <w:rFonts w:hAnsi="宋体" w:cs="Times New Roman"/>
          <w:b/>
          <w:bCs/>
          <w:color w:val="auto"/>
          <w:sz w:val="24"/>
          <w:szCs w:val="24"/>
          <w:u w:val="single"/>
        </w:rPr>
      </w:pPr>
      <w:r>
        <w:rPr>
          <w:rFonts w:hAnsi="宋体"/>
          <w:b/>
          <w:bCs/>
          <w:color w:val="auto"/>
          <w:sz w:val="24"/>
          <w:szCs w:val="24"/>
        </w:rPr>
        <w:t>9</w:t>
      </w:r>
      <w:r>
        <w:rPr>
          <w:rFonts w:hint="eastAsia" w:hAnsi="宋体"/>
          <w:b/>
          <w:bCs/>
          <w:color w:val="auto"/>
          <w:sz w:val="24"/>
          <w:szCs w:val="24"/>
        </w:rPr>
        <w:t>、响应文件的组成</w:t>
      </w:r>
      <w:r>
        <w:rPr>
          <w:rFonts w:hint="eastAsia" w:hAnsi="宋体"/>
          <w:b/>
          <w:bCs/>
          <w:color w:val="auto"/>
          <w:sz w:val="24"/>
          <w:szCs w:val="24"/>
          <w:u w:val="single"/>
        </w:rPr>
        <w:t>（供应商应根据采购文件的要求提供相应的内容且设置关联定位，供应商可查看《供应商</w:t>
      </w:r>
      <w:r>
        <w:rPr>
          <w:rFonts w:hAnsi="宋体"/>
          <w:b/>
          <w:bCs/>
          <w:color w:val="auto"/>
          <w:sz w:val="24"/>
          <w:szCs w:val="24"/>
          <w:u w:val="single"/>
        </w:rPr>
        <w:t>-</w:t>
      </w:r>
      <w:r>
        <w:rPr>
          <w:rFonts w:hint="eastAsia" w:hAnsi="宋体"/>
          <w:b/>
          <w:bCs/>
          <w:color w:val="auto"/>
          <w:sz w:val="24"/>
          <w:szCs w:val="24"/>
          <w:u w:val="single"/>
        </w:rPr>
        <w:t>政府采购项目电子交易操作指南》进行操作：</w:t>
      </w:r>
      <w:r>
        <w:rPr>
          <w:rFonts w:hAnsi="宋体"/>
          <w:b/>
          <w:bCs/>
          <w:color w:val="auto"/>
          <w:sz w:val="24"/>
          <w:szCs w:val="24"/>
          <w:u w:val="single"/>
        </w:rPr>
        <w:t>https://help.zcygov.cn/web/site_2/2018/12-28/2573.html</w:t>
      </w:r>
      <w:r>
        <w:rPr>
          <w:rFonts w:hint="eastAsia" w:hAnsi="宋体"/>
          <w:b/>
          <w:bCs/>
          <w:color w:val="auto"/>
          <w:sz w:val="24"/>
          <w:szCs w:val="24"/>
          <w:u w:val="single"/>
        </w:rPr>
        <w:t>）</w:t>
      </w:r>
    </w:p>
    <w:p>
      <w:pPr>
        <w:pStyle w:val="53"/>
        <w:tabs>
          <w:tab w:val="left" w:pos="0"/>
        </w:tabs>
        <w:spacing w:before="0" w:line="336" w:lineRule="auto"/>
        <w:ind w:firstLine="480"/>
        <w:rPr>
          <w:rFonts w:ascii="宋体"/>
          <w:color w:val="auto"/>
        </w:rPr>
      </w:pPr>
      <w:r>
        <w:rPr>
          <w:rFonts w:hint="eastAsia" w:ascii="宋体" w:hAnsi="宋体" w:cs="宋体"/>
          <w:color w:val="auto"/>
        </w:rPr>
        <w:t>响应文件应当包括以下主要内容：资格文件、商务技术文件、报价文件。</w:t>
      </w:r>
    </w:p>
    <w:p>
      <w:pPr>
        <w:pStyle w:val="53"/>
        <w:numPr>
          <w:ilvl w:val="0"/>
          <w:numId w:val="9"/>
        </w:numPr>
        <w:spacing w:before="0" w:line="336" w:lineRule="auto"/>
        <w:ind w:firstLine="480"/>
        <w:rPr>
          <w:rFonts w:ascii="宋体"/>
          <w:color w:val="auto"/>
        </w:rPr>
      </w:pPr>
      <w:r>
        <w:rPr>
          <w:rFonts w:hint="eastAsia" w:ascii="宋体" w:hAnsi="宋体" w:cs="宋体"/>
          <w:color w:val="auto"/>
        </w:rPr>
        <w:t>资格文件包括以下内容：</w:t>
      </w:r>
    </w:p>
    <w:p>
      <w:pPr>
        <w:pStyle w:val="53"/>
        <w:numPr>
          <w:ilvl w:val="0"/>
          <w:numId w:val="10"/>
        </w:numPr>
        <w:spacing w:before="0" w:line="336" w:lineRule="auto"/>
        <w:ind w:firstLine="480"/>
        <w:rPr>
          <w:rFonts w:ascii="宋体"/>
          <w:color w:val="auto"/>
        </w:rPr>
      </w:pPr>
      <w:r>
        <w:rPr>
          <w:rFonts w:hint="eastAsia" w:ascii="宋体" w:hAnsi="宋体" w:cs="宋体"/>
          <w:color w:val="auto"/>
        </w:rPr>
        <w:t>法定代表人授权书（格式见附件）；如法定代表人直接参加投标并对相应文件签字的（签字是指线下签字扫描后上传或者线上进行电子签章），只需提供其身份证复印件，否则则应提供授权代表身份证复印件；</w:t>
      </w:r>
    </w:p>
    <w:p>
      <w:pPr>
        <w:pStyle w:val="53"/>
        <w:numPr>
          <w:ilvl w:val="0"/>
          <w:numId w:val="10"/>
        </w:numPr>
        <w:spacing w:before="0" w:line="336" w:lineRule="auto"/>
        <w:ind w:firstLine="480"/>
        <w:rPr>
          <w:rFonts w:ascii="宋体"/>
          <w:color w:val="auto"/>
        </w:rPr>
      </w:pPr>
      <w:r>
        <w:rPr>
          <w:rFonts w:hint="eastAsia" w:ascii="宋体" w:hAnsi="宋体" w:cs="宋体"/>
          <w:color w:val="auto"/>
        </w:rPr>
        <w:t>营业执照</w:t>
      </w:r>
      <w:r>
        <w:rPr>
          <w:rFonts w:ascii="宋体" w:hAnsi="宋体" w:cs="宋体"/>
          <w:color w:val="auto"/>
        </w:rPr>
        <w:t>(</w:t>
      </w:r>
      <w:r>
        <w:rPr>
          <w:rFonts w:hint="eastAsia" w:ascii="宋体" w:hAnsi="宋体" w:cs="宋体"/>
          <w:color w:val="auto"/>
        </w:rPr>
        <w:t>或事业法人登记证或其他工商等登记证明材料</w:t>
      </w:r>
      <w:r>
        <w:rPr>
          <w:rFonts w:ascii="宋体" w:hAnsi="宋体" w:cs="宋体"/>
          <w:color w:val="auto"/>
        </w:rPr>
        <w:t>)</w:t>
      </w:r>
      <w:r>
        <w:rPr>
          <w:rFonts w:hint="eastAsia" w:ascii="宋体" w:hAnsi="宋体" w:cs="宋体"/>
          <w:color w:val="auto"/>
        </w:rPr>
        <w:t>复印件、税务登记证</w:t>
      </w:r>
      <w:r>
        <w:rPr>
          <w:rFonts w:ascii="宋体" w:hAnsi="宋体" w:cs="宋体"/>
          <w:color w:val="auto"/>
        </w:rPr>
        <w:t>(</w:t>
      </w:r>
      <w:r>
        <w:rPr>
          <w:rFonts w:hint="eastAsia" w:ascii="宋体" w:hAnsi="宋体" w:cs="宋体"/>
          <w:color w:val="auto"/>
        </w:rPr>
        <w:t>或其它缴纳证明材料</w:t>
      </w:r>
      <w:r>
        <w:rPr>
          <w:rFonts w:ascii="宋体" w:hAnsi="宋体" w:cs="宋体"/>
          <w:color w:val="auto"/>
        </w:rPr>
        <w:t>)</w:t>
      </w:r>
      <w:r>
        <w:rPr>
          <w:rFonts w:hint="eastAsia" w:ascii="宋体" w:hAnsi="宋体" w:cs="宋体"/>
          <w:color w:val="auto"/>
        </w:rPr>
        <w:t>复印件、社保登记证（或其它缴纳证明材料）复印件；实施“五证合一、一照一码”登记制度改革的，只需提供改革后取得的营业执照复印件；事业单位的，则提供有效的《事业单位法人证书》副本复印件并加盖单位公章；</w:t>
      </w:r>
    </w:p>
    <w:p>
      <w:pPr>
        <w:pStyle w:val="53"/>
        <w:spacing w:before="0" w:line="336" w:lineRule="auto"/>
        <w:ind w:firstLine="480"/>
        <w:rPr>
          <w:rFonts w:ascii="宋体"/>
          <w:color w:val="auto"/>
        </w:rPr>
      </w:pPr>
      <w:r>
        <w:rPr>
          <w:rFonts w:hint="eastAsia" w:ascii="宋体" w:hAnsi="宋体" w:cs="宋体"/>
          <w:color w:val="auto"/>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pPr>
        <w:pStyle w:val="53"/>
        <w:numPr>
          <w:ilvl w:val="0"/>
          <w:numId w:val="10"/>
        </w:numPr>
        <w:spacing w:before="0" w:line="336" w:lineRule="auto"/>
        <w:ind w:firstLine="480"/>
        <w:rPr>
          <w:rFonts w:ascii="宋体"/>
          <w:color w:val="auto"/>
        </w:rPr>
      </w:pPr>
      <w:r>
        <w:rPr>
          <w:rFonts w:hint="eastAsia" w:ascii="宋体" w:hAnsi="宋体" w:cs="宋体"/>
          <w:color w:val="auto"/>
        </w:rPr>
        <w:t>具有履行合同所必需的产品和专业技术能力的承诺函；</w:t>
      </w:r>
    </w:p>
    <w:p>
      <w:pPr>
        <w:pStyle w:val="53"/>
        <w:numPr>
          <w:ilvl w:val="0"/>
          <w:numId w:val="10"/>
        </w:numPr>
        <w:spacing w:before="0" w:line="336" w:lineRule="auto"/>
        <w:ind w:firstLine="480"/>
        <w:rPr>
          <w:rFonts w:ascii="宋体"/>
          <w:color w:val="auto"/>
        </w:rPr>
      </w:pPr>
      <w:r>
        <w:rPr>
          <w:rFonts w:hint="eastAsia" w:ascii="宋体" w:hAnsi="宋体" w:cs="宋体"/>
          <w:color w:val="auto"/>
        </w:rPr>
        <w:t>投标人承诺函（格式见附件）；</w:t>
      </w:r>
    </w:p>
    <w:p>
      <w:pPr>
        <w:pStyle w:val="53"/>
        <w:numPr>
          <w:ilvl w:val="0"/>
          <w:numId w:val="10"/>
        </w:numPr>
        <w:spacing w:before="0" w:line="336" w:lineRule="auto"/>
        <w:ind w:firstLine="480"/>
        <w:rPr>
          <w:rFonts w:ascii="宋体"/>
          <w:color w:val="auto"/>
        </w:rPr>
      </w:pPr>
      <w:r>
        <w:rPr>
          <w:rFonts w:hint="eastAsia" w:ascii="宋体" w:hAnsi="宋体" w:cs="宋体"/>
          <w:color w:val="auto"/>
        </w:rPr>
        <w:t xml:space="preserve">中小企业声明函（格式见附件）； </w:t>
      </w:r>
    </w:p>
    <w:p>
      <w:pPr>
        <w:pStyle w:val="53"/>
        <w:numPr>
          <w:ilvl w:val="0"/>
          <w:numId w:val="10"/>
        </w:numPr>
        <w:spacing w:before="0" w:line="336" w:lineRule="auto"/>
        <w:ind w:firstLine="480"/>
        <w:rPr>
          <w:rFonts w:ascii="宋体"/>
          <w:color w:val="auto"/>
        </w:rPr>
      </w:pPr>
      <w:r>
        <w:rPr>
          <w:rFonts w:hint="eastAsia" w:ascii="宋体" w:hAnsi="宋体" w:cs="宋体"/>
          <w:color w:val="auto"/>
        </w:rPr>
        <w:t>残疾人福利性单位声明函(如有)（格式见附件）；</w:t>
      </w:r>
    </w:p>
    <w:p>
      <w:pPr>
        <w:pStyle w:val="53"/>
        <w:numPr>
          <w:ilvl w:val="0"/>
          <w:numId w:val="10"/>
        </w:numPr>
        <w:spacing w:before="0" w:line="336" w:lineRule="auto"/>
        <w:ind w:firstLine="480"/>
        <w:rPr>
          <w:rFonts w:ascii="宋体"/>
          <w:color w:val="auto"/>
          <w:highlight w:val="none"/>
        </w:rPr>
      </w:pPr>
      <w:r>
        <w:rPr>
          <w:rFonts w:hint="eastAsia" w:ascii="宋体" w:hAnsi="宋体" w:cs="宋体"/>
          <w:color w:val="auto"/>
          <w:highlight w:val="none"/>
        </w:rPr>
        <w:t>监狱企业证明文件(如有)（格式见附件）；</w:t>
      </w:r>
    </w:p>
    <w:p>
      <w:pPr>
        <w:pStyle w:val="53"/>
        <w:numPr>
          <w:ilvl w:val="0"/>
          <w:numId w:val="9"/>
        </w:numPr>
        <w:spacing w:before="0" w:line="336" w:lineRule="auto"/>
        <w:ind w:firstLine="480"/>
        <w:rPr>
          <w:rFonts w:ascii="宋体"/>
          <w:color w:val="auto"/>
          <w:highlight w:val="none"/>
        </w:rPr>
      </w:pPr>
      <w:r>
        <w:rPr>
          <w:rFonts w:hint="eastAsia" w:ascii="宋体" w:hAnsi="宋体" w:cs="宋体"/>
          <w:color w:val="auto"/>
          <w:highlight w:val="none"/>
        </w:rPr>
        <w:t>商务技术文件，本次磋商需要供应商提供以下项所列的技术文件：</w:t>
      </w:r>
    </w:p>
    <w:p>
      <w:pPr>
        <w:pStyle w:val="53"/>
        <w:numPr>
          <w:ilvl w:val="0"/>
          <w:numId w:val="11"/>
        </w:numPr>
        <w:spacing w:before="0" w:line="336" w:lineRule="auto"/>
        <w:ind w:firstLine="480"/>
        <w:rPr>
          <w:rFonts w:ascii="宋体"/>
          <w:color w:val="auto"/>
          <w:highlight w:val="none"/>
        </w:rPr>
      </w:pPr>
      <w:r>
        <w:rPr>
          <w:rFonts w:hint="eastAsia" w:ascii="宋体" w:hAnsi="宋体" w:cs="宋体"/>
          <w:color w:val="auto"/>
          <w:highlight w:val="none"/>
        </w:rPr>
        <w:t>评分对应表（格式见附件，主要用于评委对应评分内容）</w:t>
      </w:r>
    </w:p>
    <w:p>
      <w:pPr>
        <w:pStyle w:val="53"/>
        <w:numPr>
          <w:ilvl w:val="0"/>
          <w:numId w:val="11"/>
        </w:numPr>
        <w:spacing w:before="0" w:line="336" w:lineRule="auto"/>
        <w:ind w:firstLine="480"/>
        <w:rPr>
          <w:rFonts w:ascii="宋体"/>
          <w:color w:val="auto"/>
          <w:highlight w:val="none"/>
        </w:rPr>
      </w:pPr>
      <w:r>
        <w:rPr>
          <w:rFonts w:hint="eastAsia" w:ascii="宋体" w:hAnsi="宋体" w:cs="宋体"/>
          <w:color w:val="auto"/>
          <w:highlight w:val="none"/>
        </w:rPr>
        <w:t>供应商商务技术文件中资信分自评表（格式见附件）；</w:t>
      </w:r>
    </w:p>
    <w:p>
      <w:pPr>
        <w:pStyle w:val="53"/>
        <w:numPr>
          <w:ilvl w:val="0"/>
          <w:numId w:val="11"/>
        </w:numPr>
        <w:spacing w:before="0" w:line="336" w:lineRule="auto"/>
        <w:ind w:firstLine="480"/>
        <w:rPr>
          <w:rFonts w:ascii="宋体"/>
          <w:color w:val="auto"/>
          <w:highlight w:val="none"/>
        </w:rPr>
      </w:pPr>
      <w:r>
        <w:rPr>
          <w:rFonts w:hint="eastAsia" w:ascii="宋体" w:hAnsi="宋体" w:cs="宋体"/>
          <w:color w:val="auto"/>
          <w:highlight w:val="none"/>
        </w:rPr>
        <w:t>磋商项目明细清单（格式见附件）；</w:t>
      </w:r>
    </w:p>
    <w:p>
      <w:pPr>
        <w:pStyle w:val="53"/>
        <w:numPr>
          <w:ilvl w:val="0"/>
          <w:numId w:val="11"/>
        </w:numPr>
        <w:spacing w:before="0" w:line="336" w:lineRule="auto"/>
        <w:ind w:firstLine="480"/>
        <w:rPr>
          <w:rFonts w:ascii="宋体"/>
          <w:color w:val="auto"/>
          <w:highlight w:val="none"/>
        </w:rPr>
      </w:pPr>
      <w:r>
        <w:rPr>
          <w:rFonts w:hint="eastAsia" w:ascii="宋体" w:hAnsi="宋体" w:cs="宋体"/>
          <w:color w:val="auto"/>
          <w:highlight w:val="none"/>
        </w:rPr>
        <w:t>技术响应及建议表（格式见附件）；</w:t>
      </w:r>
    </w:p>
    <w:p>
      <w:pPr>
        <w:pStyle w:val="53"/>
        <w:numPr>
          <w:ilvl w:val="0"/>
          <w:numId w:val="11"/>
        </w:numPr>
        <w:spacing w:before="0" w:line="336" w:lineRule="auto"/>
        <w:ind w:firstLine="480"/>
        <w:rPr>
          <w:rFonts w:ascii="宋体"/>
          <w:color w:val="auto"/>
          <w:highlight w:val="none"/>
        </w:rPr>
      </w:pPr>
      <w:r>
        <w:rPr>
          <w:rFonts w:hint="eastAsia" w:ascii="宋体" w:hAnsi="宋体" w:cs="宋体"/>
          <w:color w:val="auto"/>
          <w:highlight w:val="none"/>
        </w:rPr>
        <w:t>商务响应表（格式见附件）；</w:t>
      </w:r>
    </w:p>
    <w:p>
      <w:pPr>
        <w:pStyle w:val="53"/>
        <w:numPr>
          <w:ilvl w:val="0"/>
          <w:numId w:val="11"/>
        </w:numPr>
        <w:spacing w:before="0" w:line="336" w:lineRule="auto"/>
        <w:ind w:firstLine="480"/>
        <w:rPr>
          <w:rFonts w:ascii="宋体"/>
          <w:color w:val="auto"/>
          <w:highlight w:val="none"/>
        </w:rPr>
      </w:pPr>
      <w:r>
        <w:rPr>
          <w:rFonts w:hint="eastAsia" w:ascii="宋体" w:hAnsi="宋体" w:eastAsia="宋体" w:cs="宋体"/>
          <w:color w:val="auto"/>
          <w:sz w:val="24"/>
          <w:szCs w:val="24"/>
          <w:highlight w:val="none"/>
        </w:rPr>
        <w:t>项目管理团队</w:t>
      </w:r>
      <w:r>
        <w:rPr>
          <w:rFonts w:hint="eastAsia" w:ascii="宋体" w:hAnsi="宋体" w:cs="宋体"/>
          <w:color w:val="auto"/>
          <w:sz w:val="24"/>
          <w:szCs w:val="24"/>
          <w:highlight w:val="none"/>
          <w:lang w:eastAsia="zh-CN"/>
        </w:rPr>
        <w:t>；</w:t>
      </w:r>
    </w:p>
    <w:p>
      <w:pPr>
        <w:pStyle w:val="53"/>
        <w:numPr>
          <w:ilvl w:val="0"/>
          <w:numId w:val="11"/>
        </w:numPr>
        <w:spacing w:before="0" w:line="336" w:lineRule="auto"/>
        <w:ind w:firstLine="480"/>
        <w:rPr>
          <w:rFonts w:ascii="宋体"/>
          <w:color w:val="auto"/>
          <w:highlight w:val="none"/>
        </w:rPr>
      </w:pPr>
      <w:r>
        <w:rPr>
          <w:rFonts w:hint="eastAsia" w:ascii="宋体" w:hAnsi="宋体" w:cs="宋体"/>
          <w:color w:val="auto"/>
          <w:sz w:val="24"/>
          <w:szCs w:val="24"/>
          <w:highlight w:val="none"/>
          <w:lang w:eastAsia="zh-CN"/>
        </w:rPr>
        <w:t>现场测评分析；</w:t>
      </w:r>
    </w:p>
    <w:p>
      <w:pPr>
        <w:pStyle w:val="53"/>
        <w:numPr>
          <w:ilvl w:val="0"/>
          <w:numId w:val="11"/>
        </w:numPr>
        <w:spacing w:before="0" w:line="336" w:lineRule="auto"/>
        <w:ind w:firstLine="480"/>
        <w:rPr>
          <w:rFonts w:ascii="宋体"/>
          <w:color w:val="auto"/>
          <w:highlight w:val="none"/>
        </w:rPr>
      </w:pPr>
      <w:r>
        <w:rPr>
          <w:rFonts w:hint="eastAsia" w:ascii="宋体" w:hAnsi="宋体" w:cs="宋体"/>
          <w:color w:val="auto"/>
          <w:sz w:val="24"/>
          <w:szCs w:val="24"/>
          <w:highlight w:val="none"/>
          <w:lang w:eastAsia="zh-CN"/>
        </w:rPr>
        <w:t>项目启动和网格划分方案；</w:t>
      </w:r>
    </w:p>
    <w:p>
      <w:pPr>
        <w:pStyle w:val="53"/>
        <w:numPr>
          <w:ilvl w:val="0"/>
          <w:numId w:val="11"/>
        </w:numPr>
        <w:spacing w:before="0" w:line="336" w:lineRule="auto"/>
        <w:ind w:firstLine="480"/>
        <w:rPr>
          <w:rFonts w:ascii="宋体"/>
          <w:color w:val="auto"/>
          <w:highlight w:val="none"/>
        </w:rPr>
      </w:pPr>
      <w:r>
        <w:rPr>
          <w:rFonts w:hint="eastAsia" w:ascii="宋体" w:hAnsi="宋体" w:cs="宋体"/>
          <w:color w:val="auto"/>
          <w:sz w:val="24"/>
          <w:szCs w:val="24"/>
          <w:highlight w:val="none"/>
          <w:lang w:eastAsia="zh-CN"/>
        </w:rPr>
        <w:t>人员配置方案；</w:t>
      </w:r>
    </w:p>
    <w:p>
      <w:pPr>
        <w:pStyle w:val="53"/>
        <w:numPr>
          <w:ilvl w:val="0"/>
          <w:numId w:val="11"/>
        </w:numPr>
        <w:spacing w:before="0" w:line="336" w:lineRule="auto"/>
        <w:ind w:firstLine="480"/>
        <w:rPr>
          <w:rFonts w:ascii="宋体"/>
          <w:color w:val="auto"/>
          <w:highlight w:val="none"/>
        </w:rPr>
      </w:pPr>
      <w:r>
        <w:rPr>
          <w:rFonts w:hint="eastAsia" w:ascii="宋体" w:hAnsi="宋体" w:cs="宋体"/>
          <w:color w:val="auto"/>
          <w:sz w:val="24"/>
          <w:szCs w:val="24"/>
          <w:highlight w:val="none"/>
          <w:lang w:eastAsia="zh-CN"/>
        </w:rPr>
        <w:t>巡查采集保障方案及应急服务保障预案；</w:t>
      </w:r>
    </w:p>
    <w:p>
      <w:pPr>
        <w:pStyle w:val="53"/>
        <w:numPr>
          <w:ilvl w:val="0"/>
          <w:numId w:val="11"/>
        </w:numPr>
        <w:spacing w:before="0" w:line="336" w:lineRule="auto"/>
        <w:ind w:firstLine="480"/>
        <w:rPr>
          <w:rFonts w:ascii="宋体"/>
          <w:color w:val="auto"/>
          <w:highlight w:val="none"/>
        </w:rPr>
      </w:pPr>
      <w:r>
        <w:rPr>
          <w:rFonts w:hint="eastAsia" w:ascii="宋体" w:hAnsi="宋体" w:cs="宋体"/>
          <w:color w:val="auto"/>
          <w:sz w:val="24"/>
          <w:szCs w:val="24"/>
          <w:highlight w:val="none"/>
          <w:lang w:eastAsia="zh-CN"/>
        </w:rPr>
        <w:t>“信息采集器”管理办法；</w:t>
      </w:r>
    </w:p>
    <w:p>
      <w:pPr>
        <w:pStyle w:val="53"/>
        <w:numPr>
          <w:ilvl w:val="0"/>
          <w:numId w:val="11"/>
        </w:numPr>
        <w:spacing w:before="0" w:line="336" w:lineRule="auto"/>
        <w:ind w:firstLine="480"/>
        <w:rPr>
          <w:rFonts w:ascii="宋体"/>
          <w:color w:val="auto"/>
          <w:highlight w:val="none"/>
        </w:rPr>
      </w:pPr>
      <w:r>
        <w:rPr>
          <w:rFonts w:hint="eastAsia" w:ascii="宋体" w:hAnsi="宋体" w:cs="宋体"/>
          <w:color w:val="auto"/>
          <w:sz w:val="24"/>
          <w:szCs w:val="24"/>
          <w:highlight w:val="none"/>
          <w:lang w:eastAsia="zh-CN"/>
        </w:rPr>
        <w:t>内部管理制度和员工考核管理办法；</w:t>
      </w:r>
    </w:p>
    <w:p>
      <w:pPr>
        <w:pStyle w:val="53"/>
        <w:numPr>
          <w:ilvl w:val="0"/>
          <w:numId w:val="11"/>
        </w:numPr>
        <w:spacing w:before="0" w:line="336" w:lineRule="auto"/>
        <w:ind w:firstLine="480"/>
        <w:rPr>
          <w:rFonts w:ascii="宋体"/>
          <w:color w:val="auto"/>
          <w:highlight w:val="none"/>
        </w:rPr>
      </w:pPr>
      <w:r>
        <w:rPr>
          <w:rFonts w:hint="eastAsia" w:ascii="宋体" w:hAnsi="宋体" w:cs="宋体"/>
          <w:color w:val="auto"/>
          <w:sz w:val="24"/>
          <w:szCs w:val="24"/>
          <w:highlight w:val="none"/>
          <w:lang w:eastAsia="zh-CN"/>
        </w:rPr>
        <w:t>信息采集质量校核机制；</w:t>
      </w:r>
    </w:p>
    <w:p>
      <w:pPr>
        <w:pStyle w:val="53"/>
        <w:numPr>
          <w:ilvl w:val="0"/>
          <w:numId w:val="11"/>
        </w:numPr>
        <w:spacing w:before="0" w:line="336" w:lineRule="auto"/>
        <w:ind w:firstLine="480"/>
        <w:rPr>
          <w:rFonts w:ascii="宋体"/>
          <w:color w:val="auto"/>
          <w:highlight w:val="none"/>
        </w:rPr>
      </w:pPr>
      <w:r>
        <w:rPr>
          <w:rFonts w:hint="eastAsia" w:ascii="宋体" w:hAnsi="宋体" w:cs="宋体"/>
          <w:color w:val="auto"/>
          <w:sz w:val="24"/>
          <w:szCs w:val="24"/>
          <w:highlight w:val="none"/>
          <w:lang w:eastAsia="zh-CN"/>
        </w:rPr>
        <w:t>创新采集方式及可实现程度；</w:t>
      </w:r>
    </w:p>
    <w:p>
      <w:pPr>
        <w:pStyle w:val="53"/>
        <w:numPr>
          <w:ilvl w:val="0"/>
          <w:numId w:val="11"/>
        </w:numPr>
        <w:spacing w:before="0" w:line="336" w:lineRule="auto"/>
        <w:ind w:firstLine="480"/>
        <w:rPr>
          <w:rFonts w:ascii="宋体"/>
          <w:color w:val="auto"/>
          <w:highlight w:val="none"/>
        </w:rPr>
      </w:pPr>
      <w:r>
        <w:rPr>
          <w:rFonts w:hint="eastAsia" w:ascii="宋体" w:hAnsi="宋体" w:cs="宋体"/>
          <w:color w:val="auto"/>
          <w:sz w:val="24"/>
          <w:szCs w:val="24"/>
          <w:highlight w:val="none"/>
          <w:lang w:eastAsia="zh-CN"/>
        </w:rPr>
        <w:t>培训方案；</w:t>
      </w:r>
    </w:p>
    <w:p>
      <w:pPr>
        <w:pStyle w:val="53"/>
        <w:numPr>
          <w:ilvl w:val="0"/>
          <w:numId w:val="11"/>
        </w:numPr>
        <w:spacing w:before="0" w:line="336" w:lineRule="auto"/>
        <w:ind w:firstLine="480"/>
        <w:rPr>
          <w:rFonts w:ascii="宋体"/>
          <w:color w:val="auto"/>
          <w:highlight w:val="none"/>
        </w:rPr>
      </w:pPr>
      <w:r>
        <w:rPr>
          <w:rFonts w:hint="eastAsia" w:ascii="宋体" w:hAnsi="宋体" w:cs="宋体"/>
          <w:color w:val="auto"/>
          <w:sz w:val="24"/>
          <w:szCs w:val="24"/>
          <w:highlight w:val="none"/>
          <w:lang w:eastAsia="zh-CN"/>
        </w:rPr>
        <w:t>宣传；</w:t>
      </w:r>
    </w:p>
    <w:p>
      <w:pPr>
        <w:pStyle w:val="53"/>
        <w:numPr>
          <w:ilvl w:val="0"/>
          <w:numId w:val="11"/>
        </w:numPr>
        <w:spacing w:before="0" w:line="336" w:lineRule="auto"/>
        <w:ind w:firstLine="480"/>
        <w:rPr>
          <w:rFonts w:ascii="宋体"/>
          <w:color w:val="auto"/>
          <w:highlight w:val="none"/>
        </w:rPr>
      </w:pPr>
      <w:r>
        <w:rPr>
          <w:rFonts w:hint="eastAsia" w:ascii="宋体" w:hAnsi="宋体" w:cs="宋体"/>
          <w:color w:val="auto"/>
          <w:sz w:val="24"/>
          <w:szCs w:val="24"/>
          <w:highlight w:val="none"/>
          <w:lang w:eastAsia="zh-CN"/>
        </w:rPr>
        <w:t>业绩；</w:t>
      </w:r>
    </w:p>
    <w:p>
      <w:pPr>
        <w:pStyle w:val="53"/>
        <w:numPr>
          <w:ilvl w:val="0"/>
          <w:numId w:val="11"/>
        </w:numPr>
        <w:spacing w:before="0" w:line="336" w:lineRule="auto"/>
        <w:ind w:firstLine="480"/>
        <w:rPr>
          <w:rFonts w:ascii="宋体"/>
          <w:color w:val="auto"/>
          <w:highlight w:val="none"/>
        </w:rPr>
      </w:pPr>
      <w:r>
        <w:rPr>
          <w:rFonts w:hint="eastAsia" w:ascii="宋体" w:hAnsi="宋体" w:cs="宋体"/>
          <w:color w:val="auto"/>
          <w:sz w:val="24"/>
          <w:szCs w:val="24"/>
          <w:highlight w:val="none"/>
          <w:lang w:eastAsia="zh-CN"/>
        </w:rPr>
        <w:t>证书；</w:t>
      </w:r>
    </w:p>
    <w:p>
      <w:pPr>
        <w:pStyle w:val="53"/>
        <w:numPr>
          <w:ilvl w:val="0"/>
          <w:numId w:val="11"/>
        </w:numP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投标方认为需要的其他文件资料。 </w:t>
      </w:r>
    </w:p>
    <w:p>
      <w:pPr>
        <w:pStyle w:val="53"/>
        <w:numPr>
          <w:ilvl w:val="0"/>
          <w:numId w:val="11"/>
        </w:numPr>
        <w:spacing w:before="0" w:line="336" w:lineRule="auto"/>
        <w:ind w:firstLine="480"/>
        <w:rPr>
          <w:rFonts w:ascii="宋体"/>
          <w:color w:val="auto"/>
        </w:rPr>
      </w:pPr>
      <w:r>
        <w:rPr>
          <w:rFonts w:hint="eastAsia" w:ascii="宋体" w:hAnsi="宋体" w:cs="宋体"/>
          <w:color w:val="auto"/>
          <w:highlight w:val="none"/>
        </w:rPr>
        <w:t>注：以上内容应与评标办法</w:t>
      </w:r>
      <w:r>
        <w:rPr>
          <w:rFonts w:hint="eastAsia" w:ascii="宋体" w:hAnsi="宋体" w:cs="宋体"/>
          <w:color w:val="auto"/>
        </w:rPr>
        <w:t>中内容具有一致性。</w:t>
      </w:r>
    </w:p>
    <w:p>
      <w:pPr>
        <w:pStyle w:val="53"/>
        <w:tabs>
          <w:tab w:val="left" w:pos="0"/>
        </w:tabs>
        <w:spacing w:before="0" w:line="336" w:lineRule="auto"/>
        <w:ind w:firstLine="480"/>
        <w:rPr>
          <w:rFonts w:ascii="宋体"/>
          <w:color w:val="auto"/>
        </w:rPr>
      </w:pPr>
      <w:r>
        <w:rPr>
          <w:rFonts w:hint="eastAsia" w:ascii="宋体" w:hAnsi="宋体" w:cs="宋体"/>
          <w:color w:val="auto"/>
        </w:rPr>
        <w:t>如果本项目涉及软件采购，还需提供相关完整配置方案（软件名称、品牌、规格型号、数量、主要技术参数等），提供主要磋商产品的技术参数证明材料（如官网截图、产品彩页、技术说明等），明确表示该项指标所涉及的软件是标准配置还是选择配置。</w:t>
      </w:r>
    </w:p>
    <w:p>
      <w:pPr>
        <w:pStyle w:val="53"/>
        <w:tabs>
          <w:tab w:val="left" w:pos="0"/>
        </w:tabs>
        <w:spacing w:before="0" w:line="336" w:lineRule="auto"/>
        <w:ind w:firstLine="480"/>
        <w:rPr>
          <w:rFonts w:ascii="宋体"/>
          <w:color w:val="auto"/>
        </w:rPr>
      </w:pPr>
      <w:r>
        <w:rPr>
          <w:rFonts w:hint="eastAsia" w:ascii="宋体" w:hAnsi="宋体" w:cs="宋体"/>
          <w:color w:val="auto"/>
        </w:rPr>
        <w:t>供应商在响应文件中应对项目技术规范和服务要求中所提出各项要求进行答复、说明和解释。如果供应商在技术偏离表中注明无偏离，评标结束后、签订采购合同前又认为其实际产品与响应技术需求不一致的，视为供应商在磋商响应文件有效期内对其响应文件进行了实质性修改，其磋商将被追认为无效磋商。</w:t>
      </w:r>
      <w:r>
        <w:rPr>
          <w:rFonts w:hint="eastAsia" w:ascii="宋体" w:hAnsi="宋体" w:cs="宋体"/>
          <w:b/>
          <w:bCs/>
          <w:color w:val="auto"/>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pPr>
        <w:pStyle w:val="53"/>
        <w:numPr>
          <w:ilvl w:val="0"/>
          <w:numId w:val="9"/>
        </w:numPr>
        <w:spacing w:before="0" w:line="336" w:lineRule="auto"/>
        <w:ind w:firstLine="480"/>
        <w:rPr>
          <w:rFonts w:ascii="宋体"/>
          <w:color w:val="auto"/>
        </w:rPr>
      </w:pPr>
      <w:r>
        <w:rPr>
          <w:rFonts w:hint="eastAsia" w:ascii="宋体" w:hAnsi="宋体" w:cs="宋体"/>
          <w:color w:val="auto"/>
        </w:rPr>
        <w:t>报价文件包括以下内容：</w:t>
      </w:r>
    </w:p>
    <w:p>
      <w:pPr>
        <w:pStyle w:val="53"/>
        <w:numPr>
          <w:ilvl w:val="0"/>
          <w:numId w:val="12"/>
        </w:numPr>
        <w:spacing w:before="0" w:line="336" w:lineRule="auto"/>
        <w:ind w:firstLine="480"/>
        <w:rPr>
          <w:rFonts w:ascii="宋体"/>
          <w:color w:val="auto"/>
        </w:rPr>
      </w:pPr>
      <w:r>
        <w:rPr>
          <w:rFonts w:hint="eastAsia" w:ascii="宋体" w:hAnsi="宋体" w:cs="宋体"/>
          <w:color w:val="auto"/>
        </w:rPr>
        <w:t>磋商函（格式见附件）；</w:t>
      </w:r>
    </w:p>
    <w:p>
      <w:pPr>
        <w:pStyle w:val="53"/>
        <w:numPr>
          <w:ilvl w:val="0"/>
          <w:numId w:val="12"/>
        </w:numPr>
        <w:spacing w:before="0" w:line="336" w:lineRule="auto"/>
        <w:ind w:firstLine="480"/>
        <w:rPr>
          <w:rFonts w:ascii="宋体"/>
          <w:color w:val="auto"/>
        </w:rPr>
      </w:pPr>
      <w:r>
        <w:rPr>
          <w:rFonts w:hint="eastAsia" w:ascii="宋体" w:hAnsi="宋体" w:cs="宋体"/>
          <w:color w:val="auto"/>
        </w:rPr>
        <w:t>报价一览表（格式见附件）；</w:t>
      </w:r>
    </w:p>
    <w:p>
      <w:pPr>
        <w:pStyle w:val="53"/>
        <w:numPr>
          <w:ilvl w:val="0"/>
          <w:numId w:val="12"/>
        </w:numPr>
        <w:spacing w:before="0" w:line="336" w:lineRule="auto"/>
        <w:ind w:firstLine="480"/>
        <w:rPr>
          <w:rFonts w:ascii="宋体"/>
          <w:color w:val="auto"/>
        </w:rPr>
      </w:pPr>
      <w:r>
        <w:rPr>
          <w:rFonts w:hint="eastAsia" w:ascii="宋体" w:hAnsi="宋体" w:cs="宋体"/>
          <w:color w:val="auto"/>
        </w:rPr>
        <w:t>磋商报价明细表（格式见附件）。</w:t>
      </w:r>
    </w:p>
    <w:p>
      <w:pPr>
        <w:pStyle w:val="53"/>
        <w:spacing w:before="0" w:line="336" w:lineRule="auto"/>
        <w:ind w:firstLine="241" w:firstLineChars="100"/>
        <w:rPr>
          <w:rFonts w:ascii="宋体"/>
          <w:b/>
          <w:bCs/>
          <w:color w:val="auto"/>
          <w:u w:val="single"/>
        </w:rPr>
      </w:pPr>
      <w:r>
        <w:rPr>
          <w:rFonts w:hint="eastAsia" w:ascii="宋体" w:hAnsi="宋体" w:cs="宋体"/>
          <w:b/>
          <w:bCs/>
          <w:color w:val="auto"/>
          <w:u w:val="single"/>
        </w:rPr>
        <w:t>注：“资格文件”、“商务技术文件”、“报价文件”须分</w:t>
      </w:r>
      <w:r>
        <w:rPr>
          <w:rFonts w:ascii="宋体" w:hAnsi="宋体" w:cs="宋体"/>
          <w:b/>
          <w:bCs/>
          <w:color w:val="auto"/>
          <w:u w:val="single"/>
        </w:rPr>
        <w:t>3</w:t>
      </w:r>
      <w:r>
        <w:rPr>
          <w:rFonts w:hint="eastAsia" w:ascii="宋体" w:hAnsi="宋体" w:cs="宋体"/>
          <w:b/>
          <w:bCs/>
          <w:color w:val="auto"/>
          <w:u w:val="single"/>
        </w:rPr>
        <w:t>个</w:t>
      </w:r>
      <w:r>
        <w:rPr>
          <w:rFonts w:ascii="宋体" w:hAnsi="宋体" w:cs="宋体"/>
          <w:b/>
          <w:bCs/>
          <w:color w:val="auto"/>
          <w:u w:val="single"/>
        </w:rPr>
        <w:t>PDF</w:t>
      </w:r>
      <w:r>
        <w:rPr>
          <w:rFonts w:hint="eastAsia" w:ascii="宋体" w:hAnsi="宋体" w:cs="宋体"/>
          <w:b/>
          <w:bCs/>
          <w:color w:val="auto"/>
          <w:u w:val="single"/>
        </w:rPr>
        <w:t>格式分别导入。</w:t>
      </w:r>
    </w:p>
    <w:p>
      <w:pPr>
        <w:pStyle w:val="53"/>
        <w:spacing w:before="0" w:line="336" w:lineRule="auto"/>
        <w:ind w:left="400" w:leftChars="200" w:firstLine="0" w:firstLineChars="0"/>
        <w:rPr>
          <w:rFonts w:ascii="宋体"/>
          <w:b/>
          <w:bCs/>
          <w:color w:val="auto"/>
        </w:rPr>
      </w:pPr>
      <w:r>
        <w:rPr>
          <w:rFonts w:ascii="宋体" w:hAnsi="宋体" w:cs="宋体"/>
          <w:b/>
          <w:bCs/>
          <w:color w:val="auto"/>
        </w:rPr>
        <w:t>10</w:t>
      </w:r>
      <w:r>
        <w:rPr>
          <w:rFonts w:hint="eastAsia" w:ascii="宋体" w:hAnsi="宋体" w:cs="宋体"/>
          <w:b/>
          <w:bCs/>
          <w:color w:val="auto"/>
        </w:rPr>
        <w:t>．响应文件有效期</w:t>
      </w:r>
    </w:p>
    <w:p>
      <w:pPr>
        <w:pStyle w:val="53"/>
        <w:spacing w:before="0" w:line="336" w:lineRule="auto"/>
        <w:ind w:left="400" w:leftChars="200" w:firstLine="0" w:firstLineChars="0"/>
        <w:rPr>
          <w:rFonts w:ascii="宋体"/>
          <w:color w:val="auto"/>
        </w:rPr>
      </w:pPr>
      <w:r>
        <w:rPr>
          <w:rFonts w:ascii="宋体" w:hAnsi="宋体" w:cs="宋体"/>
          <w:color w:val="auto"/>
        </w:rPr>
        <w:t xml:space="preserve">10.1 </w:t>
      </w:r>
      <w:r>
        <w:rPr>
          <w:rFonts w:hint="eastAsia" w:ascii="宋体" w:hAnsi="宋体" w:cs="宋体"/>
          <w:color w:val="auto"/>
        </w:rPr>
        <w:t>响应文件未在磋商响应截止时间前完成传输的或者未按时解密的，视为放弃磋商；响应文件解密失败后未提供备份文件或者备份文件也出现异常情况无法进行评审的，亦视为放弃磋商。</w:t>
      </w:r>
    </w:p>
    <w:p>
      <w:pPr>
        <w:pStyle w:val="53"/>
        <w:spacing w:before="0" w:line="336" w:lineRule="auto"/>
        <w:ind w:left="400" w:leftChars="200" w:firstLine="0" w:firstLineChars="0"/>
        <w:rPr>
          <w:rFonts w:ascii="宋体"/>
          <w:color w:val="auto"/>
        </w:rPr>
      </w:pPr>
      <w:r>
        <w:rPr>
          <w:rFonts w:ascii="宋体" w:hAnsi="宋体" w:cs="宋体"/>
          <w:color w:val="auto"/>
        </w:rPr>
        <w:t xml:space="preserve">10.2 </w:t>
      </w:r>
      <w:r>
        <w:rPr>
          <w:rFonts w:hint="eastAsia" w:ascii="宋体" w:hAnsi="宋体" w:cs="宋体"/>
          <w:color w:val="auto"/>
        </w:rPr>
        <w:t>响应文件上传后，自磋商响应截止日期起，在前附表所列的磋商响应文件有效期内有效。</w:t>
      </w:r>
    </w:p>
    <w:p>
      <w:pPr>
        <w:pStyle w:val="53"/>
        <w:spacing w:before="0" w:line="336" w:lineRule="auto"/>
        <w:ind w:left="400" w:leftChars="200" w:firstLine="0" w:firstLineChars="0"/>
        <w:rPr>
          <w:rFonts w:ascii="宋体"/>
          <w:color w:val="auto"/>
        </w:rPr>
      </w:pPr>
      <w:r>
        <w:rPr>
          <w:rFonts w:ascii="宋体" w:hAnsi="宋体" w:cs="宋体"/>
          <w:color w:val="auto"/>
        </w:rPr>
        <w:t xml:space="preserve">10.3 </w:t>
      </w:r>
      <w:r>
        <w:rPr>
          <w:rFonts w:hint="eastAsia" w:ascii="宋体" w:hAnsi="宋体" w:cs="宋体"/>
          <w:color w:val="auto"/>
        </w:rPr>
        <w:t>在原定有效期满之前，如果出现特殊情况，采购代理机构可以以书面形式向磋商供应商提出延长磋商有效期的要求，磋商供应商对此须以书面形式予以答复。</w:t>
      </w:r>
    </w:p>
    <w:p>
      <w:pPr>
        <w:pStyle w:val="53"/>
        <w:spacing w:before="0" w:line="336" w:lineRule="auto"/>
        <w:ind w:left="400" w:leftChars="200" w:firstLine="0" w:firstLineChars="0"/>
        <w:rPr>
          <w:rFonts w:ascii="宋体"/>
          <w:b/>
          <w:bCs/>
          <w:color w:val="auto"/>
        </w:rPr>
      </w:pPr>
      <w:r>
        <w:rPr>
          <w:rFonts w:ascii="宋体" w:hAnsi="宋体" w:cs="宋体"/>
          <w:b/>
          <w:bCs/>
          <w:color w:val="auto"/>
        </w:rPr>
        <w:t>11</w:t>
      </w:r>
      <w:r>
        <w:rPr>
          <w:rFonts w:hint="eastAsia" w:ascii="宋体" w:hAnsi="宋体" w:cs="宋体"/>
          <w:b/>
          <w:bCs/>
          <w:color w:val="auto"/>
        </w:rPr>
        <w:t>．供应商如有下列情况之一者列入不良行为记录：</w:t>
      </w:r>
    </w:p>
    <w:p>
      <w:pPr>
        <w:pStyle w:val="53"/>
        <w:spacing w:before="0" w:line="336" w:lineRule="auto"/>
        <w:ind w:left="400" w:leftChars="200" w:firstLine="0" w:firstLineChars="0"/>
        <w:rPr>
          <w:rFonts w:ascii="宋体"/>
          <w:color w:val="auto"/>
        </w:rPr>
      </w:pPr>
      <w:r>
        <w:rPr>
          <w:rFonts w:ascii="宋体" w:hAnsi="宋体" w:cs="宋体"/>
          <w:color w:val="auto"/>
        </w:rPr>
        <w:t xml:space="preserve">11.1 </w:t>
      </w:r>
      <w:r>
        <w:rPr>
          <w:rFonts w:hint="eastAsia" w:ascii="宋体" w:hAnsi="宋体" w:cs="宋体"/>
          <w:color w:val="auto"/>
        </w:rPr>
        <w:t>供应商在磋商响应文件有效期内撤回投标的；</w:t>
      </w:r>
    </w:p>
    <w:p>
      <w:pPr>
        <w:pStyle w:val="53"/>
        <w:spacing w:before="0" w:line="336" w:lineRule="auto"/>
        <w:ind w:left="400" w:leftChars="200" w:firstLine="0" w:firstLineChars="0"/>
        <w:rPr>
          <w:rFonts w:ascii="宋体"/>
          <w:color w:val="auto"/>
        </w:rPr>
      </w:pPr>
      <w:r>
        <w:rPr>
          <w:rFonts w:ascii="宋体" w:hAnsi="宋体" w:cs="宋体"/>
          <w:color w:val="auto"/>
        </w:rPr>
        <w:t xml:space="preserve">11.2 </w:t>
      </w:r>
      <w:r>
        <w:rPr>
          <w:rFonts w:hint="eastAsia" w:ascii="宋体" w:hAnsi="宋体" w:cs="宋体"/>
          <w:color w:val="auto"/>
        </w:rPr>
        <w:t>供应商或中标候选人放弃中标或中标候选人资格的；</w:t>
      </w:r>
    </w:p>
    <w:p>
      <w:pPr>
        <w:pStyle w:val="53"/>
        <w:spacing w:before="0" w:line="336" w:lineRule="auto"/>
        <w:ind w:left="400" w:leftChars="200" w:firstLine="0" w:firstLineChars="0"/>
        <w:rPr>
          <w:rFonts w:ascii="宋体"/>
          <w:color w:val="auto"/>
        </w:rPr>
      </w:pPr>
      <w:r>
        <w:rPr>
          <w:rFonts w:ascii="宋体" w:hAnsi="宋体" w:cs="宋体"/>
          <w:color w:val="auto"/>
        </w:rPr>
        <w:t xml:space="preserve">11.3 </w:t>
      </w:r>
      <w:r>
        <w:rPr>
          <w:rFonts w:hint="eastAsia" w:ascii="宋体" w:hAnsi="宋体" w:cs="宋体"/>
          <w:color w:val="auto"/>
        </w:rPr>
        <w:t>擅自修改或拒绝接受已经确认的条款；</w:t>
      </w:r>
    </w:p>
    <w:p>
      <w:pPr>
        <w:pStyle w:val="53"/>
        <w:spacing w:before="0" w:line="336" w:lineRule="auto"/>
        <w:ind w:left="400" w:leftChars="200" w:firstLine="0" w:firstLineChars="0"/>
        <w:rPr>
          <w:rFonts w:ascii="宋体"/>
          <w:color w:val="auto"/>
        </w:rPr>
      </w:pPr>
      <w:r>
        <w:rPr>
          <w:rFonts w:ascii="宋体" w:hAnsi="宋体" w:cs="宋体"/>
          <w:color w:val="auto"/>
        </w:rPr>
        <w:t xml:space="preserve">11.4 </w:t>
      </w:r>
      <w:r>
        <w:rPr>
          <w:rFonts w:hint="eastAsia" w:ascii="宋体" w:hAnsi="宋体" w:cs="宋体"/>
          <w:color w:val="auto"/>
        </w:rPr>
        <w:t>成交供应商未按规定与采购人签订合同；</w:t>
      </w:r>
    </w:p>
    <w:p>
      <w:pPr>
        <w:pStyle w:val="53"/>
        <w:spacing w:before="0" w:line="336" w:lineRule="auto"/>
        <w:ind w:left="400" w:leftChars="200" w:firstLine="0" w:firstLineChars="0"/>
        <w:rPr>
          <w:rFonts w:ascii="宋体"/>
          <w:color w:val="auto"/>
        </w:rPr>
      </w:pPr>
      <w:r>
        <w:rPr>
          <w:rFonts w:ascii="宋体" w:hAnsi="宋体" w:cs="宋体"/>
          <w:color w:val="auto"/>
        </w:rPr>
        <w:t>11.</w:t>
      </w:r>
      <w:r>
        <w:rPr>
          <w:rFonts w:hint="eastAsia" w:ascii="宋体" w:hAnsi="宋体" w:cs="宋体"/>
          <w:color w:val="auto"/>
        </w:rPr>
        <w:t>5</w:t>
      </w:r>
      <w:r>
        <w:rPr>
          <w:rFonts w:ascii="宋体" w:hAnsi="宋体" w:cs="宋体"/>
          <w:color w:val="auto"/>
        </w:rPr>
        <w:t xml:space="preserve"> </w:t>
      </w:r>
      <w:r>
        <w:rPr>
          <w:rFonts w:hint="eastAsia" w:ascii="宋体" w:hAnsi="宋体" w:cs="宋体"/>
          <w:color w:val="auto"/>
        </w:rPr>
        <w:t>供应商采取提供虚假资料等不正当手段的；</w:t>
      </w:r>
    </w:p>
    <w:p>
      <w:pPr>
        <w:pStyle w:val="53"/>
        <w:spacing w:before="0" w:line="336" w:lineRule="auto"/>
        <w:ind w:left="400" w:leftChars="200" w:firstLine="0" w:firstLineChars="0"/>
        <w:rPr>
          <w:rFonts w:ascii="宋体"/>
          <w:color w:val="auto"/>
        </w:rPr>
      </w:pPr>
      <w:r>
        <w:rPr>
          <w:rFonts w:ascii="宋体" w:hAnsi="宋体" w:cs="宋体"/>
          <w:color w:val="auto"/>
        </w:rPr>
        <w:t>11.</w:t>
      </w:r>
      <w:r>
        <w:rPr>
          <w:rFonts w:hint="eastAsia" w:ascii="宋体" w:hAnsi="宋体" w:cs="宋体"/>
          <w:color w:val="auto"/>
        </w:rPr>
        <w:t>6</w:t>
      </w:r>
      <w:r>
        <w:rPr>
          <w:rFonts w:ascii="宋体" w:hAnsi="宋体" w:cs="宋体"/>
          <w:color w:val="auto"/>
        </w:rPr>
        <w:t xml:space="preserve"> </w:t>
      </w:r>
      <w:r>
        <w:rPr>
          <w:rFonts w:hint="eastAsia" w:ascii="宋体" w:hAnsi="宋体" w:cs="宋体"/>
          <w:color w:val="auto"/>
        </w:rPr>
        <w:t>供应商在投标过程中串通投标的。</w:t>
      </w:r>
    </w:p>
    <w:p>
      <w:pPr>
        <w:pStyle w:val="53"/>
        <w:spacing w:before="0" w:line="336" w:lineRule="auto"/>
        <w:ind w:left="400" w:leftChars="200" w:firstLine="0" w:firstLineChars="0"/>
        <w:rPr>
          <w:rFonts w:ascii="宋体"/>
          <w:b/>
          <w:bCs/>
          <w:color w:val="auto"/>
        </w:rPr>
      </w:pPr>
      <w:r>
        <w:rPr>
          <w:rFonts w:ascii="宋体" w:hAnsi="宋体" w:cs="宋体"/>
          <w:b/>
          <w:bCs/>
          <w:color w:val="auto"/>
        </w:rPr>
        <w:t>12</w:t>
      </w:r>
      <w:r>
        <w:rPr>
          <w:rFonts w:hint="eastAsia" w:ascii="宋体" w:hAnsi="宋体" w:cs="宋体"/>
          <w:b/>
          <w:bCs/>
          <w:color w:val="auto"/>
        </w:rPr>
        <w:t>．响应文件的编制和签署</w:t>
      </w:r>
    </w:p>
    <w:p>
      <w:pPr>
        <w:pStyle w:val="53"/>
        <w:spacing w:before="0" w:line="336" w:lineRule="auto"/>
        <w:ind w:left="400" w:leftChars="200" w:firstLine="0" w:firstLineChars="0"/>
        <w:rPr>
          <w:rFonts w:ascii="宋体"/>
          <w:color w:val="auto"/>
        </w:rPr>
      </w:pPr>
      <w:r>
        <w:rPr>
          <w:rFonts w:ascii="宋体" w:hAnsi="宋体" w:cs="宋体"/>
          <w:color w:val="auto"/>
        </w:rPr>
        <w:t xml:space="preserve">12.1 </w:t>
      </w:r>
      <w:r>
        <w:rPr>
          <w:rFonts w:hint="eastAsia" w:ascii="宋体" w:hAnsi="宋体" w:cs="宋体"/>
          <w:color w:val="auto"/>
        </w:rPr>
        <w:t>按磋商文件</w:t>
      </w:r>
      <w:r>
        <w:rPr>
          <w:rFonts w:ascii="宋体" w:hAnsi="宋体" w:cs="宋体"/>
          <w:color w:val="auto"/>
        </w:rPr>
        <w:t>9.1</w:t>
      </w:r>
      <w:r>
        <w:rPr>
          <w:rFonts w:hint="eastAsia" w:ascii="宋体" w:hAnsi="宋体" w:cs="宋体"/>
          <w:color w:val="auto"/>
        </w:rPr>
        <w:t>条、</w:t>
      </w:r>
      <w:r>
        <w:rPr>
          <w:rFonts w:ascii="宋体" w:hAnsi="宋体" w:cs="宋体"/>
          <w:color w:val="auto"/>
        </w:rPr>
        <w:t>9.2</w:t>
      </w:r>
      <w:r>
        <w:rPr>
          <w:rFonts w:hint="eastAsia" w:ascii="宋体" w:hAnsi="宋体" w:cs="宋体"/>
          <w:color w:val="auto"/>
        </w:rPr>
        <w:t>条、</w:t>
      </w:r>
      <w:r>
        <w:rPr>
          <w:rFonts w:ascii="宋体" w:hAnsi="宋体" w:cs="宋体"/>
          <w:color w:val="auto"/>
        </w:rPr>
        <w:t>9.3</w:t>
      </w:r>
      <w:r>
        <w:rPr>
          <w:rFonts w:hint="eastAsia" w:ascii="宋体" w:hAnsi="宋体" w:cs="宋体"/>
          <w:color w:val="auto"/>
        </w:rPr>
        <w:t>条要求提供的各种文件，响应文件分为资格文件、商务技术文件和报价文件三部分。</w:t>
      </w:r>
    </w:p>
    <w:p>
      <w:pPr>
        <w:pStyle w:val="53"/>
        <w:spacing w:before="0" w:line="336" w:lineRule="auto"/>
        <w:ind w:left="400" w:leftChars="200" w:firstLine="0" w:firstLineChars="0"/>
        <w:rPr>
          <w:rFonts w:ascii="宋体"/>
          <w:color w:val="auto"/>
        </w:rPr>
      </w:pPr>
      <w:r>
        <w:rPr>
          <w:rFonts w:ascii="宋体" w:hAnsi="宋体" w:cs="宋体"/>
          <w:color w:val="auto"/>
        </w:rPr>
        <w:t xml:space="preserve">12.2 </w:t>
      </w:r>
      <w:r>
        <w:rPr>
          <w:rFonts w:hint="eastAsia" w:ascii="宋体" w:hAnsi="宋体" w:cs="宋体"/>
          <w:color w:val="auto"/>
        </w:rPr>
        <w:t>响应文件须按附件格式要求进行电子签章，供应商应写全称。（电子磋商响应文件中所须加盖公章部分均应采用电子签章）</w:t>
      </w:r>
    </w:p>
    <w:p>
      <w:pPr>
        <w:pStyle w:val="53"/>
        <w:spacing w:before="0" w:line="336" w:lineRule="auto"/>
        <w:ind w:left="400" w:leftChars="200" w:firstLine="0" w:firstLineChars="0"/>
        <w:rPr>
          <w:rFonts w:ascii="宋体"/>
          <w:color w:val="auto"/>
        </w:rPr>
      </w:pPr>
      <w:r>
        <w:rPr>
          <w:rFonts w:ascii="宋体" w:hAnsi="宋体" w:cs="宋体"/>
          <w:color w:val="auto"/>
        </w:rPr>
        <w:t xml:space="preserve">12.3 </w:t>
      </w:r>
      <w:r>
        <w:rPr>
          <w:rFonts w:hint="eastAsia" w:ascii="宋体" w:hAnsi="宋体" w:cs="宋体"/>
          <w:color w:val="auto"/>
        </w:rPr>
        <w:t>全套响应文件应无涂改和行间插字，除非这些删改是根据采购代理机构要求进行，或者是供应商造成的必须修改的错误。所修改处应由法定代表人或其授权代表签字盖章予以确认。</w:t>
      </w:r>
    </w:p>
    <w:p>
      <w:pPr>
        <w:pStyle w:val="53"/>
        <w:spacing w:before="0" w:line="336" w:lineRule="auto"/>
        <w:ind w:left="400" w:leftChars="200" w:firstLine="0" w:firstLineChars="0"/>
        <w:rPr>
          <w:rFonts w:ascii="宋体"/>
          <w:color w:val="auto"/>
        </w:rPr>
      </w:pPr>
      <w:r>
        <w:rPr>
          <w:rFonts w:ascii="宋体" w:hAnsi="宋体" w:cs="宋体"/>
          <w:color w:val="auto"/>
        </w:rPr>
        <w:t xml:space="preserve">12.4 </w:t>
      </w:r>
      <w:r>
        <w:rPr>
          <w:rFonts w:hint="eastAsia" w:ascii="宋体" w:hAnsi="宋体" w:cs="宋体"/>
          <w:color w:val="auto"/>
        </w:rPr>
        <w:t>由于字迹模糊或表达不清引起的后果由供应商负责。</w:t>
      </w:r>
    </w:p>
    <w:p>
      <w:pPr>
        <w:pStyle w:val="53"/>
        <w:spacing w:before="0" w:line="336" w:lineRule="auto"/>
        <w:ind w:left="400" w:leftChars="200" w:firstLine="0" w:firstLineChars="0"/>
        <w:rPr>
          <w:rFonts w:ascii="宋体"/>
          <w:b/>
          <w:bCs/>
          <w:color w:val="auto"/>
        </w:rPr>
      </w:pPr>
      <w:r>
        <w:rPr>
          <w:rFonts w:ascii="宋体" w:hAnsi="宋体" w:cs="宋体"/>
          <w:b/>
          <w:bCs/>
          <w:color w:val="auto"/>
        </w:rPr>
        <w:t>13</w:t>
      </w:r>
      <w:r>
        <w:rPr>
          <w:rFonts w:hint="eastAsia" w:ascii="宋体" w:hAnsi="宋体" w:cs="宋体"/>
          <w:b/>
          <w:bCs/>
          <w:color w:val="auto"/>
        </w:rPr>
        <w:t>．</w:t>
      </w:r>
      <w:r>
        <w:rPr>
          <w:rFonts w:ascii="宋体" w:hAnsi="宋体" w:cs="宋体"/>
          <w:b/>
          <w:bCs/>
          <w:color w:val="auto"/>
        </w:rPr>
        <w:t xml:space="preserve"> </w:t>
      </w:r>
      <w:r>
        <w:rPr>
          <w:rFonts w:hint="eastAsia" w:ascii="宋体" w:hAnsi="宋体" w:cs="宋体"/>
          <w:b/>
          <w:bCs/>
          <w:color w:val="auto"/>
        </w:rPr>
        <w:t>响应文件的形式</w:t>
      </w:r>
    </w:p>
    <w:p>
      <w:pPr>
        <w:pStyle w:val="53"/>
        <w:spacing w:before="0" w:line="336" w:lineRule="auto"/>
        <w:ind w:left="400" w:leftChars="200" w:firstLine="0" w:firstLineChars="0"/>
        <w:rPr>
          <w:rFonts w:hint="eastAsia" w:ascii="宋体" w:hAnsi="宋体" w:cs="宋体"/>
          <w:color w:val="auto"/>
        </w:rPr>
      </w:pPr>
      <w:r>
        <w:rPr>
          <w:rFonts w:hint="eastAsia" w:ascii="宋体" w:hAnsi="宋体" w:cs="宋体"/>
          <w:color w:val="auto"/>
        </w:rPr>
        <w:t>响应文件为电子磋商响应文件，电子磋商响应文件按“政采云供应商项目采购</w:t>
      </w:r>
      <w:r>
        <w:rPr>
          <w:rFonts w:ascii="宋体" w:cs="宋体"/>
          <w:color w:val="auto"/>
        </w:rPr>
        <w:t>-</w:t>
      </w:r>
      <w:r>
        <w:rPr>
          <w:rFonts w:hint="eastAsia" w:ascii="宋体" w:hAnsi="宋体" w:cs="宋体"/>
          <w:color w:val="auto"/>
        </w:rPr>
        <w:t>电子招投标操作指南”及本磋商文件要求制作、加密传输。</w:t>
      </w:r>
    </w:p>
    <w:p>
      <w:pPr>
        <w:pStyle w:val="53"/>
        <w:spacing w:before="0" w:line="336" w:lineRule="auto"/>
        <w:ind w:left="400" w:leftChars="200" w:firstLine="0" w:firstLineChars="0"/>
        <w:rPr>
          <w:rFonts w:hint="eastAsia" w:ascii="宋体" w:hAnsi="宋体" w:cs="宋体"/>
          <w:color w:val="auto"/>
        </w:rPr>
      </w:pPr>
    </w:p>
    <w:p>
      <w:pPr>
        <w:pStyle w:val="2"/>
        <w:numPr>
          <w:ilvl w:val="0"/>
          <w:numId w:val="8"/>
        </w:numPr>
        <w:jc w:val="center"/>
        <w:rPr>
          <w:rFonts w:cs="Times New Roman"/>
          <w:color w:val="auto"/>
        </w:rPr>
      </w:pPr>
      <w:bookmarkStart w:id="67" w:name="_Toc1420"/>
      <w:r>
        <w:rPr>
          <w:color w:val="auto"/>
        </w:rPr>
        <w:t xml:space="preserve"> </w:t>
      </w:r>
      <w:bookmarkStart w:id="68" w:name="_Toc21266"/>
      <w:bookmarkStart w:id="69" w:name="_Toc32523"/>
      <w:bookmarkStart w:id="70" w:name="_Toc12610"/>
      <w:r>
        <w:rPr>
          <w:rFonts w:hint="eastAsia"/>
          <w:color w:val="auto"/>
        </w:rPr>
        <w:t>响应文件的递交</w:t>
      </w:r>
      <w:bookmarkEnd w:id="67"/>
      <w:bookmarkEnd w:id="68"/>
      <w:bookmarkEnd w:id="69"/>
      <w:bookmarkEnd w:id="70"/>
    </w:p>
    <w:p>
      <w:pPr>
        <w:pStyle w:val="15"/>
        <w:spacing w:line="336" w:lineRule="auto"/>
        <w:ind w:left="400" w:leftChars="200"/>
        <w:rPr>
          <w:rFonts w:hAnsi="宋体" w:cs="Times New Roman"/>
          <w:b/>
          <w:bCs/>
          <w:color w:val="auto"/>
          <w:sz w:val="24"/>
          <w:szCs w:val="24"/>
        </w:rPr>
      </w:pPr>
      <w:r>
        <w:rPr>
          <w:rFonts w:hAnsi="宋体"/>
          <w:b/>
          <w:bCs/>
          <w:color w:val="auto"/>
          <w:sz w:val="24"/>
          <w:szCs w:val="24"/>
        </w:rPr>
        <w:t>14</w:t>
      </w:r>
      <w:r>
        <w:rPr>
          <w:rFonts w:hint="eastAsia" w:hAnsi="宋体"/>
          <w:b/>
          <w:bCs/>
          <w:color w:val="auto"/>
          <w:sz w:val="24"/>
          <w:szCs w:val="24"/>
        </w:rPr>
        <w:t>、磋商响应截止期</w:t>
      </w:r>
    </w:p>
    <w:p>
      <w:pPr>
        <w:pStyle w:val="53"/>
        <w:numPr>
          <w:ilvl w:val="0"/>
          <w:numId w:val="13"/>
        </w:numPr>
        <w:spacing w:before="0" w:line="336" w:lineRule="auto"/>
        <w:ind w:firstLine="480"/>
        <w:rPr>
          <w:rFonts w:ascii="宋体"/>
          <w:color w:val="auto"/>
        </w:rPr>
      </w:pPr>
      <w:r>
        <w:rPr>
          <w:rFonts w:hint="eastAsia" w:ascii="宋体" w:hAnsi="宋体" w:cs="宋体"/>
          <w:color w:val="auto"/>
        </w:rPr>
        <w:t>响应文件必须在规定的磋商响应截止时间前在政采云系统内完成传输，以纸质、电报、电话、传真形式的投标概不接受。为应对响应文件解密失败等异常情况，供应商可指派授权代表在磋商响应截止时间之前到达开标地点提交备份文件。</w:t>
      </w:r>
    </w:p>
    <w:p>
      <w:pPr>
        <w:pStyle w:val="53"/>
        <w:numPr>
          <w:ilvl w:val="0"/>
          <w:numId w:val="13"/>
        </w:numPr>
        <w:spacing w:before="0" w:line="336" w:lineRule="auto"/>
        <w:ind w:firstLine="480"/>
        <w:rPr>
          <w:rFonts w:ascii="宋体"/>
          <w:color w:val="auto"/>
        </w:rPr>
      </w:pPr>
      <w:r>
        <w:rPr>
          <w:rFonts w:hint="eastAsia" w:ascii="宋体" w:hAnsi="宋体" w:cs="宋体"/>
          <w:color w:val="auto"/>
        </w:rPr>
        <w:t>采购人因故推迟磋商响应截止时间，将以公告形式通知。在这种情况下，采购人和供应商的权利和义务将受到新的截止时间的约束。</w:t>
      </w:r>
    </w:p>
    <w:p>
      <w:pPr>
        <w:pStyle w:val="15"/>
        <w:spacing w:line="336" w:lineRule="auto"/>
        <w:ind w:left="400" w:leftChars="200"/>
        <w:rPr>
          <w:rFonts w:hAnsi="宋体" w:cs="Times New Roman"/>
          <w:b/>
          <w:bCs/>
          <w:color w:val="auto"/>
          <w:sz w:val="24"/>
          <w:szCs w:val="24"/>
        </w:rPr>
      </w:pPr>
      <w:r>
        <w:rPr>
          <w:rFonts w:hAnsi="宋体"/>
          <w:b/>
          <w:bCs/>
          <w:color w:val="auto"/>
          <w:sz w:val="24"/>
          <w:szCs w:val="24"/>
        </w:rPr>
        <w:t>15</w:t>
      </w:r>
      <w:r>
        <w:rPr>
          <w:rFonts w:hint="eastAsia" w:hAnsi="宋体"/>
          <w:b/>
          <w:bCs/>
          <w:color w:val="auto"/>
          <w:sz w:val="24"/>
          <w:szCs w:val="24"/>
        </w:rPr>
        <w:t>、响应文件的修改、撤销</w:t>
      </w:r>
    </w:p>
    <w:p>
      <w:pPr>
        <w:pStyle w:val="15"/>
        <w:spacing w:line="336" w:lineRule="auto"/>
        <w:ind w:firstLine="480" w:firstLineChars="200"/>
        <w:rPr>
          <w:rFonts w:hint="eastAsia" w:hAnsi="宋体"/>
          <w:color w:val="auto"/>
          <w:sz w:val="24"/>
          <w:szCs w:val="24"/>
        </w:rPr>
      </w:pPr>
      <w:r>
        <w:rPr>
          <w:rFonts w:hint="eastAsia" w:hAnsi="宋体"/>
          <w:color w:val="auto"/>
          <w:sz w:val="24"/>
          <w:szCs w:val="24"/>
        </w:rPr>
        <w:t>供应商应当在磋商响应截止时间前完成电子交易文件的传输递交，磋商响应截止时间前可以补充、修改或者撤回电子交易文件。补充或者修改电子交易文件的，应当先行撤回原文件，补充、修改后重新传输递交。磋商响应截止时间前未完成传输的，视为响应文件撤回。</w:t>
      </w:r>
    </w:p>
    <w:p>
      <w:pPr>
        <w:rPr>
          <w:color w:val="auto"/>
        </w:rPr>
      </w:pPr>
    </w:p>
    <w:p>
      <w:pPr>
        <w:pStyle w:val="2"/>
        <w:numPr>
          <w:ilvl w:val="0"/>
          <w:numId w:val="8"/>
        </w:numPr>
        <w:jc w:val="center"/>
        <w:rPr>
          <w:rFonts w:hAnsi="宋体" w:cs="Times New Roman"/>
          <w:color w:val="auto"/>
        </w:rPr>
      </w:pPr>
      <w:r>
        <w:rPr>
          <w:color w:val="auto"/>
        </w:rPr>
        <w:t xml:space="preserve"> </w:t>
      </w:r>
      <w:bookmarkStart w:id="71" w:name="_Toc27301"/>
      <w:bookmarkStart w:id="72" w:name="_Toc31149"/>
      <w:bookmarkStart w:id="73" w:name="_Toc24120"/>
      <w:r>
        <w:rPr>
          <w:rFonts w:hint="eastAsia"/>
          <w:color w:val="auto"/>
        </w:rPr>
        <w:t>磋商无效的情形</w:t>
      </w:r>
      <w:bookmarkEnd w:id="71"/>
      <w:bookmarkEnd w:id="72"/>
      <w:bookmarkEnd w:id="73"/>
    </w:p>
    <w:p>
      <w:pPr>
        <w:pStyle w:val="15"/>
        <w:snapToGrid w:val="0"/>
        <w:spacing w:line="336" w:lineRule="auto"/>
        <w:ind w:firstLine="482" w:firstLineChars="200"/>
        <w:rPr>
          <w:rFonts w:hAnsi="宋体" w:cs="Times New Roman"/>
          <w:b/>
          <w:bCs/>
          <w:color w:val="auto"/>
          <w:sz w:val="24"/>
          <w:szCs w:val="24"/>
        </w:rPr>
      </w:pPr>
      <w:r>
        <w:rPr>
          <w:rFonts w:hAnsi="宋体"/>
          <w:b/>
          <w:bCs/>
          <w:color w:val="auto"/>
          <w:sz w:val="24"/>
          <w:szCs w:val="24"/>
        </w:rPr>
        <w:t>16.</w:t>
      </w:r>
      <w:r>
        <w:rPr>
          <w:rFonts w:hint="eastAsia" w:hAnsi="宋体"/>
          <w:b/>
          <w:bCs/>
          <w:color w:val="auto"/>
          <w:sz w:val="24"/>
          <w:szCs w:val="24"/>
        </w:rPr>
        <w:t>无效响应</w:t>
      </w:r>
    </w:p>
    <w:p>
      <w:pPr>
        <w:pStyle w:val="15"/>
        <w:snapToGrid w:val="0"/>
        <w:spacing w:line="336" w:lineRule="auto"/>
        <w:ind w:firstLine="480" w:firstLineChars="200"/>
        <w:rPr>
          <w:rFonts w:hAnsi="宋体" w:cs="Times New Roman"/>
          <w:color w:val="auto"/>
          <w:sz w:val="24"/>
          <w:szCs w:val="24"/>
        </w:rPr>
      </w:pPr>
      <w:r>
        <w:rPr>
          <w:rFonts w:hint="eastAsia" w:hAnsi="宋体"/>
          <w:color w:val="auto"/>
          <w:sz w:val="24"/>
          <w:szCs w:val="24"/>
        </w:rPr>
        <w:t>经过审查，凡不符合有关规定，不响应磋商文件的实质性条款，存在以下重大偏离之一的，经磋商小组认定，并由采购人报采购办、监督办备案，将因未通过资格性或符合性审查而被作为无效响应处理：</w:t>
      </w:r>
    </w:p>
    <w:p>
      <w:pPr>
        <w:spacing w:line="336" w:lineRule="auto"/>
        <w:ind w:firstLine="482" w:firstLineChars="200"/>
        <w:rPr>
          <w:rFonts w:ascii="宋体"/>
          <w:b/>
          <w:bCs/>
          <w:color w:val="auto"/>
          <w:sz w:val="24"/>
          <w:szCs w:val="24"/>
        </w:rPr>
      </w:pPr>
      <w:r>
        <w:rPr>
          <w:rFonts w:ascii="宋体" w:hAnsi="宋体" w:cs="宋体"/>
          <w:b/>
          <w:bCs/>
          <w:color w:val="auto"/>
          <w:sz w:val="24"/>
          <w:szCs w:val="24"/>
        </w:rPr>
        <w:t>16.1</w:t>
      </w:r>
      <w:r>
        <w:rPr>
          <w:rFonts w:hint="eastAsia" w:ascii="宋体" w:hAnsi="宋体" w:cs="宋体"/>
          <w:b/>
          <w:bCs/>
          <w:color w:val="auto"/>
          <w:sz w:val="24"/>
          <w:szCs w:val="24"/>
        </w:rPr>
        <w:t>未按照磋商文件规定要求签署、盖章的；</w:t>
      </w:r>
    </w:p>
    <w:p>
      <w:pPr>
        <w:spacing w:line="336" w:lineRule="auto"/>
        <w:ind w:firstLine="482" w:firstLineChars="200"/>
        <w:rPr>
          <w:rFonts w:ascii="宋体"/>
          <w:b/>
          <w:bCs/>
          <w:color w:val="auto"/>
          <w:sz w:val="24"/>
          <w:szCs w:val="24"/>
        </w:rPr>
      </w:pPr>
      <w:r>
        <w:rPr>
          <w:rFonts w:ascii="宋体" w:hAnsi="宋体" w:cs="宋体"/>
          <w:b/>
          <w:bCs/>
          <w:color w:val="auto"/>
          <w:sz w:val="24"/>
          <w:szCs w:val="24"/>
        </w:rPr>
        <w:t>16.2</w:t>
      </w:r>
      <w:r>
        <w:rPr>
          <w:rFonts w:hint="eastAsia" w:ascii="宋体" w:hAnsi="宋体" w:cs="宋体"/>
          <w:b/>
          <w:bCs/>
          <w:color w:val="auto"/>
          <w:sz w:val="24"/>
          <w:szCs w:val="24"/>
        </w:rPr>
        <w:t>《法定代表人授权书》填写不全、错误、未加盖供应商公章（公章和签字或盖章缺一不可）；</w:t>
      </w:r>
      <w:r>
        <w:rPr>
          <w:rFonts w:ascii="宋体" w:hAnsi="宋体" w:cs="宋体"/>
          <w:b/>
          <w:bCs/>
          <w:color w:val="auto"/>
          <w:sz w:val="24"/>
          <w:szCs w:val="24"/>
        </w:rPr>
        <w:t xml:space="preserve"> </w:t>
      </w:r>
    </w:p>
    <w:p>
      <w:pPr>
        <w:spacing w:line="336" w:lineRule="auto"/>
        <w:ind w:firstLine="482" w:firstLineChars="200"/>
        <w:rPr>
          <w:rFonts w:ascii="宋体"/>
          <w:b/>
          <w:bCs/>
          <w:color w:val="auto"/>
          <w:sz w:val="24"/>
          <w:szCs w:val="24"/>
        </w:rPr>
      </w:pPr>
      <w:r>
        <w:rPr>
          <w:rFonts w:ascii="宋体" w:hAnsi="宋体" w:cs="宋体"/>
          <w:b/>
          <w:bCs/>
          <w:color w:val="auto"/>
          <w:sz w:val="24"/>
          <w:szCs w:val="24"/>
        </w:rPr>
        <w:t>16.3</w:t>
      </w:r>
      <w:r>
        <w:rPr>
          <w:rFonts w:hint="eastAsia" w:ascii="宋体" w:hAnsi="宋体" w:cs="宋体"/>
          <w:b/>
          <w:bCs/>
          <w:color w:val="auto"/>
          <w:sz w:val="24"/>
          <w:szCs w:val="24"/>
        </w:rPr>
        <w:t>个体工商户的身份证明与营业执照不一致的；</w:t>
      </w:r>
    </w:p>
    <w:p>
      <w:pPr>
        <w:spacing w:line="336" w:lineRule="auto"/>
        <w:ind w:firstLine="482" w:firstLineChars="200"/>
        <w:rPr>
          <w:rFonts w:ascii="宋体"/>
          <w:b/>
          <w:bCs/>
          <w:color w:val="auto"/>
          <w:sz w:val="24"/>
          <w:szCs w:val="24"/>
        </w:rPr>
      </w:pPr>
      <w:r>
        <w:rPr>
          <w:rFonts w:ascii="宋体" w:hAnsi="宋体" w:cs="宋体"/>
          <w:b/>
          <w:bCs/>
          <w:color w:val="auto"/>
          <w:sz w:val="24"/>
          <w:szCs w:val="24"/>
        </w:rPr>
        <w:t>16.4</w:t>
      </w:r>
      <w:r>
        <w:rPr>
          <w:rFonts w:hint="eastAsia" w:ascii="宋体" w:hAnsi="宋体" w:cs="宋体"/>
          <w:b/>
          <w:bCs/>
          <w:color w:val="auto"/>
          <w:sz w:val="24"/>
          <w:szCs w:val="24"/>
        </w:rPr>
        <w:t>响应文件中的磋商函未加盖供应商的企业公章或填写不全的；</w:t>
      </w:r>
    </w:p>
    <w:p>
      <w:pPr>
        <w:spacing w:line="336" w:lineRule="auto"/>
        <w:ind w:firstLine="482" w:firstLineChars="200"/>
        <w:rPr>
          <w:rFonts w:ascii="宋体"/>
          <w:b/>
          <w:bCs/>
          <w:color w:val="auto"/>
          <w:sz w:val="24"/>
          <w:szCs w:val="24"/>
        </w:rPr>
      </w:pPr>
      <w:r>
        <w:rPr>
          <w:rFonts w:ascii="宋体" w:hAnsi="宋体" w:cs="宋体"/>
          <w:b/>
          <w:bCs/>
          <w:color w:val="auto"/>
          <w:sz w:val="24"/>
          <w:szCs w:val="24"/>
        </w:rPr>
        <w:t>16.5</w:t>
      </w:r>
      <w:r>
        <w:rPr>
          <w:rFonts w:hint="eastAsia" w:ascii="宋体" w:hAnsi="宋体" w:cs="宋体"/>
          <w:b/>
          <w:bCs/>
          <w:color w:val="auto"/>
          <w:sz w:val="24"/>
          <w:szCs w:val="24"/>
        </w:rPr>
        <w:t>报价一经涂改，未在涂改处加盖投标单位公章或者未经法定代表人或其授权代表签字或盖章的；</w:t>
      </w:r>
    </w:p>
    <w:p>
      <w:pPr>
        <w:spacing w:line="336" w:lineRule="auto"/>
        <w:ind w:firstLine="482" w:firstLineChars="200"/>
        <w:rPr>
          <w:rFonts w:ascii="宋体"/>
          <w:b/>
          <w:bCs/>
          <w:color w:val="auto"/>
          <w:sz w:val="24"/>
          <w:szCs w:val="24"/>
        </w:rPr>
      </w:pPr>
      <w:r>
        <w:rPr>
          <w:rFonts w:ascii="宋体" w:hAnsi="宋体" w:cs="宋体"/>
          <w:b/>
          <w:bCs/>
          <w:color w:val="auto"/>
          <w:sz w:val="24"/>
          <w:szCs w:val="24"/>
        </w:rPr>
        <w:t>16.6</w:t>
      </w:r>
      <w:r>
        <w:rPr>
          <w:rFonts w:hint="eastAsia" w:ascii="宋体" w:hAnsi="宋体" w:cs="宋体"/>
          <w:b/>
          <w:bCs/>
          <w:color w:val="auto"/>
          <w:sz w:val="24"/>
          <w:szCs w:val="24"/>
        </w:rPr>
        <w:t>因未按规定的格式填写，内容不全或主要实质性内容字迹模糊辨认不清</w:t>
      </w:r>
      <w:r>
        <w:rPr>
          <w:rFonts w:ascii="宋体" w:cs="宋体"/>
          <w:b/>
          <w:bCs/>
          <w:color w:val="auto"/>
          <w:sz w:val="24"/>
          <w:szCs w:val="24"/>
        </w:rPr>
        <w:t>,</w:t>
      </w:r>
      <w:r>
        <w:rPr>
          <w:rFonts w:hint="eastAsia" w:ascii="宋体" w:hAnsi="宋体" w:cs="宋体"/>
          <w:b/>
          <w:bCs/>
          <w:color w:val="auto"/>
          <w:sz w:val="24"/>
          <w:szCs w:val="24"/>
        </w:rPr>
        <w:t>经评标委员会认定为无法评审的；</w:t>
      </w:r>
    </w:p>
    <w:p>
      <w:pPr>
        <w:spacing w:line="336" w:lineRule="auto"/>
        <w:ind w:firstLine="482" w:firstLineChars="200"/>
        <w:rPr>
          <w:rFonts w:ascii="宋体"/>
          <w:b/>
          <w:bCs/>
          <w:color w:val="auto"/>
          <w:sz w:val="24"/>
          <w:szCs w:val="24"/>
        </w:rPr>
      </w:pPr>
      <w:r>
        <w:rPr>
          <w:rFonts w:ascii="宋体" w:hAnsi="宋体" w:cs="宋体"/>
          <w:b/>
          <w:bCs/>
          <w:color w:val="auto"/>
          <w:sz w:val="24"/>
          <w:szCs w:val="24"/>
        </w:rPr>
        <w:t>16.7</w:t>
      </w:r>
      <w:r>
        <w:rPr>
          <w:rFonts w:hint="eastAsia" w:ascii="宋体" w:hAnsi="宋体" w:cs="宋体"/>
          <w:b/>
          <w:bCs/>
          <w:color w:val="auto"/>
          <w:sz w:val="24"/>
          <w:szCs w:val="24"/>
        </w:rPr>
        <w:t>出现同一标的物或本次采购产品</w:t>
      </w:r>
      <w:r>
        <w:rPr>
          <w:rFonts w:ascii="宋体" w:hAnsi="宋体" w:cs="宋体"/>
          <w:b/>
          <w:bCs/>
          <w:color w:val="auto"/>
          <w:sz w:val="24"/>
          <w:szCs w:val="24"/>
        </w:rPr>
        <w:t>(</w:t>
      </w:r>
      <w:r>
        <w:rPr>
          <w:rFonts w:hint="eastAsia" w:ascii="宋体" w:hAnsi="宋体" w:cs="宋体"/>
          <w:b/>
          <w:bCs/>
          <w:color w:val="auto"/>
          <w:sz w:val="24"/>
          <w:szCs w:val="24"/>
        </w:rPr>
        <w:t>服务</w:t>
      </w:r>
      <w:r>
        <w:rPr>
          <w:rFonts w:ascii="宋体" w:hAnsi="宋体" w:cs="宋体"/>
          <w:b/>
          <w:bCs/>
          <w:color w:val="auto"/>
          <w:sz w:val="24"/>
          <w:szCs w:val="24"/>
        </w:rPr>
        <w:t>)</w:t>
      </w:r>
      <w:r>
        <w:rPr>
          <w:rFonts w:hint="eastAsia" w:ascii="宋体" w:hAnsi="宋体" w:cs="宋体"/>
          <w:b/>
          <w:bCs/>
          <w:color w:val="auto"/>
          <w:sz w:val="24"/>
          <w:szCs w:val="24"/>
        </w:rPr>
        <w:t>内的主要产品</w:t>
      </w:r>
      <w:r>
        <w:rPr>
          <w:rFonts w:ascii="宋体" w:hAnsi="宋体" w:cs="宋体"/>
          <w:b/>
          <w:bCs/>
          <w:color w:val="auto"/>
          <w:sz w:val="24"/>
          <w:szCs w:val="24"/>
        </w:rPr>
        <w:t>(</w:t>
      </w:r>
      <w:r>
        <w:rPr>
          <w:rFonts w:hint="eastAsia" w:ascii="宋体" w:hAnsi="宋体" w:cs="宋体"/>
          <w:b/>
          <w:bCs/>
          <w:color w:val="auto"/>
          <w:sz w:val="24"/>
          <w:szCs w:val="24"/>
        </w:rPr>
        <w:t>重要组成部分</w:t>
      </w:r>
      <w:r>
        <w:rPr>
          <w:rFonts w:ascii="宋体" w:hAnsi="宋体" w:cs="宋体"/>
          <w:b/>
          <w:bCs/>
          <w:color w:val="auto"/>
          <w:sz w:val="24"/>
          <w:szCs w:val="24"/>
        </w:rPr>
        <w:t>)</w:t>
      </w:r>
      <w:r>
        <w:rPr>
          <w:rFonts w:hint="eastAsia" w:ascii="宋体" w:hAnsi="宋体" w:cs="宋体"/>
          <w:b/>
          <w:bCs/>
          <w:color w:val="auto"/>
          <w:sz w:val="24"/>
          <w:szCs w:val="24"/>
        </w:rPr>
        <w:t>出现技术、商务描述不一致或前后描述不一致，经评标委员会认定后为无法评审的；</w:t>
      </w:r>
    </w:p>
    <w:p>
      <w:pPr>
        <w:spacing w:line="336" w:lineRule="auto"/>
        <w:ind w:firstLine="482" w:firstLineChars="200"/>
        <w:rPr>
          <w:rFonts w:ascii="宋体"/>
          <w:b/>
          <w:bCs/>
          <w:color w:val="auto"/>
          <w:sz w:val="24"/>
          <w:szCs w:val="24"/>
        </w:rPr>
      </w:pPr>
      <w:r>
        <w:rPr>
          <w:rFonts w:ascii="宋体" w:hAnsi="宋体" w:cs="宋体"/>
          <w:b/>
          <w:bCs/>
          <w:color w:val="auto"/>
          <w:sz w:val="24"/>
          <w:szCs w:val="24"/>
        </w:rPr>
        <w:t>16.8</w:t>
      </w:r>
      <w:r>
        <w:rPr>
          <w:rFonts w:hint="eastAsia" w:ascii="宋体" w:hAnsi="宋体" w:cs="宋体"/>
          <w:b/>
          <w:bCs/>
          <w:color w:val="auto"/>
          <w:sz w:val="24"/>
          <w:szCs w:val="24"/>
        </w:rPr>
        <w:t>响应详细配置清单响应表不真实填写或弄虚作假的；改变磋商文件提供的清单中的计量单位、工程数量；</w:t>
      </w:r>
    </w:p>
    <w:p>
      <w:pPr>
        <w:spacing w:line="336" w:lineRule="auto"/>
        <w:ind w:firstLine="482" w:firstLineChars="200"/>
        <w:rPr>
          <w:rFonts w:ascii="宋体"/>
          <w:b/>
          <w:bCs/>
          <w:color w:val="auto"/>
          <w:sz w:val="24"/>
          <w:szCs w:val="24"/>
        </w:rPr>
      </w:pPr>
      <w:r>
        <w:rPr>
          <w:rFonts w:ascii="宋体" w:hAnsi="宋体" w:cs="宋体"/>
          <w:b/>
          <w:bCs/>
          <w:color w:val="auto"/>
          <w:sz w:val="24"/>
          <w:szCs w:val="24"/>
        </w:rPr>
        <w:t>16.9</w:t>
      </w:r>
      <w:r>
        <w:rPr>
          <w:rFonts w:hint="eastAsia" w:ascii="宋体" w:hAnsi="宋体" w:cs="宋体"/>
          <w:b/>
          <w:bCs/>
          <w:color w:val="auto"/>
          <w:sz w:val="24"/>
          <w:szCs w:val="24"/>
        </w:rPr>
        <w:t>对采购产品技术规格未详细应答，致使其技术文件无法评审的；</w:t>
      </w:r>
    </w:p>
    <w:p>
      <w:pPr>
        <w:spacing w:line="336" w:lineRule="auto"/>
        <w:ind w:firstLine="482" w:firstLineChars="200"/>
        <w:rPr>
          <w:rFonts w:ascii="宋体"/>
          <w:b/>
          <w:bCs/>
          <w:color w:val="auto"/>
          <w:sz w:val="24"/>
          <w:szCs w:val="24"/>
        </w:rPr>
      </w:pPr>
      <w:r>
        <w:rPr>
          <w:rFonts w:ascii="宋体" w:hAnsi="宋体" w:cs="宋体"/>
          <w:b/>
          <w:bCs/>
          <w:color w:val="auto"/>
          <w:sz w:val="24"/>
          <w:szCs w:val="24"/>
        </w:rPr>
        <w:t>16.10</w:t>
      </w:r>
      <w:r>
        <w:rPr>
          <w:rFonts w:hint="eastAsia" w:ascii="宋体" w:hAnsi="宋体" w:cs="宋体"/>
          <w:b/>
          <w:bCs/>
          <w:color w:val="auto"/>
          <w:sz w:val="24"/>
          <w:szCs w:val="24"/>
        </w:rPr>
        <w:t>响应文件有采购方不能接受的条件；</w:t>
      </w:r>
    </w:p>
    <w:p>
      <w:pPr>
        <w:spacing w:line="336" w:lineRule="auto"/>
        <w:ind w:firstLine="482" w:firstLineChars="200"/>
        <w:rPr>
          <w:rFonts w:ascii="宋体"/>
          <w:b/>
          <w:bCs/>
          <w:color w:val="auto"/>
          <w:sz w:val="24"/>
          <w:szCs w:val="24"/>
        </w:rPr>
      </w:pPr>
      <w:r>
        <w:rPr>
          <w:rFonts w:ascii="宋体" w:hAnsi="宋体" w:cs="宋体"/>
          <w:b/>
          <w:bCs/>
          <w:color w:val="auto"/>
          <w:sz w:val="24"/>
          <w:szCs w:val="24"/>
        </w:rPr>
        <w:t>16.11</w:t>
      </w:r>
      <w:r>
        <w:rPr>
          <w:rFonts w:hint="eastAsia" w:ascii="宋体" w:hAnsi="宋体" w:cs="宋体"/>
          <w:b/>
          <w:bCs/>
          <w:color w:val="auto"/>
          <w:sz w:val="24"/>
          <w:szCs w:val="24"/>
        </w:rPr>
        <w:t>评标委员会认为供应商的报价明显低于其他通过符合性审查供应商的报价，有可能影响产品质量或者不能诚信履约的，应当要求其在评标现场合理的时间内通过政采云平台提供线上说明，必要时提交相关证明材料。</w:t>
      </w:r>
    </w:p>
    <w:p>
      <w:pPr>
        <w:spacing w:line="336" w:lineRule="auto"/>
        <w:ind w:firstLine="482" w:firstLineChars="200"/>
        <w:rPr>
          <w:rFonts w:ascii="宋体"/>
          <w:b/>
          <w:bCs/>
          <w:color w:val="auto"/>
          <w:sz w:val="24"/>
          <w:szCs w:val="24"/>
        </w:rPr>
      </w:pPr>
      <w:r>
        <w:rPr>
          <w:rFonts w:ascii="宋体" w:hAnsi="宋体" w:cs="宋体"/>
          <w:b/>
          <w:bCs/>
          <w:color w:val="auto"/>
          <w:sz w:val="24"/>
          <w:szCs w:val="24"/>
        </w:rPr>
        <w:t>16.12</w:t>
      </w:r>
      <w:r>
        <w:rPr>
          <w:rFonts w:hint="eastAsia" w:ascii="宋体" w:hAnsi="宋体" w:cs="宋体"/>
          <w:b/>
          <w:bCs/>
          <w:color w:val="auto"/>
          <w:sz w:val="24"/>
          <w:szCs w:val="24"/>
        </w:rPr>
        <w:t>磋商报价超过预算金额或最高限价的；</w:t>
      </w:r>
    </w:p>
    <w:p>
      <w:pPr>
        <w:spacing w:line="336" w:lineRule="auto"/>
        <w:ind w:firstLine="482" w:firstLineChars="200"/>
        <w:rPr>
          <w:rFonts w:ascii="宋体"/>
          <w:b/>
          <w:bCs/>
          <w:color w:val="auto"/>
          <w:sz w:val="24"/>
          <w:szCs w:val="24"/>
        </w:rPr>
      </w:pPr>
      <w:r>
        <w:rPr>
          <w:rFonts w:ascii="宋体" w:hAnsi="宋体" w:cs="宋体"/>
          <w:b/>
          <w:bCs/>
          <w:color w:val="auto"/>
          <w:sz w:val="24"/>
          <w:szCs w:val="24"/>
        </w:rPr>
        <w:t>16.13</w:t>
      </w:r>
      <w:r>
        <w:rPr>
          <w:rFonts w:hint="eastAsia" w:ascii="宋体" w:hAnsi="宋体" w:cs="宋体"/>
          <w:b/>
          <w:bCs/>
          <w:color w:val="auto"/>
          <w:sz w:val="24"/>
          <w:szCs w:val="24"/>
        </w:rPr>
        <w:t>响应文件“商务技术文件资料”部分中出现《报价一览表》或《磋商报价明细表》相关内容的；</w:t>
      </w:r>
    </w:p>
    <w:p>
      <w:pPr>
        <w:spacing w:line="336" w:lineRule="auto"/>
        <w:ind w:firstLine="482" w:firstLineChars="200"/>
        <w:rPr>
          <w:rFonts w:ascii="宋体"/>
          <w:b/>
          <w:bCs/>
          <w:color w:val="auto"/>
          <w:sz w:val="24"/>
          <w:szCs w:val="24"/>
        </w:rPr>
      </w:pPr>
      <w:r>
        <w:rPr>
          <w:rFonts w:ascii="宋体" w:hAnsi="宋体" w:cs="宋体"/>
          <w:b/>
          <w:bCs/>
          <w:color w:val="auto"/>
          <w:sz w:val="24"/>
          <w:szCs w:val="24"/>
        </w:rPr>
        <w:t>16.14</w:t>
      </w:r>
      <w:r>
        <w:rPr>
          <w:rFonts w:hint="eastAsia" w:ascii="宋体" w:hAnsi="宋体" w:cs="宋体"/>
          <w:b/>
          <w:bCs/>
          <w:color w:val="auto"/>
          <w:sz w:val="24"/>
          <w:szCs w:val="24"/>
        </w:rPr>
        <w:t>评标委员会认定有重大偏差或实质性不响应磋商文件要求的，即“★”的关键性指标及技术参数要求负偏离或缺漏；</w:t>
      </w:r>
    </w:p>
    <w:p>
      <w:pPr>
        <w:spacing w:line="336" w:lineRule="auto"/>
        <w:ind w:firstLine="482" w:firstLineChars="200"/>
        <w:rPr>
          <w:rFonts w:ascii="宋体"/>
          <w:b/>
          <w:bCs/>
          <w:color w:val="auto"/>
          <w:sz w:val="24"/>
          <w:szCs w:val="24"/>
        </w:rPr>
      </w:pPr>
      <w:r>
        <w:rPr>
          <w:rFonts w:ascii="宋体" w:hAnsi="宋体" w:cs="宋体"/>
          <w:b/>
          <w:bCs/>
          <w:color w:val="auto"/>
          <w:sz w:val="24"/>
          <w:szCs w:val="24"/>
        </w:rPr>
        <w:t>16.15</w:t>
      </w:r>
      <w:r>
        <w:rPr>
          <w:rFonts w:hint="eastAsia" w:ascii="宋体" w:hAnsi="宋体" w:cs="宋体"/>
          <w:b/>
          <w:bCs/>
          <w:color w:val="auto"/>
          <w:sz w:val="24"/>
          <w:szCs w:val="24"/>
        </w:rPr>
        <w:t>供应商拒绝按磋商文件规定的修正原则对响应文件进行修改的；</w:t>
      </w:r>
    </w:p>
    <w:p>
      <w:pPr>
        <w:spacing w:line="336" w:lineRule="auto"/>
        <w:ind w:firstLine="482" w:firstLineChars="200"/>
        <w:rPr>
          <w:rFonts w:ascii="宋体"/>
          <w:b/>
          <w:bCs/>
          <w:color w:val="auto"/>
          <w:sz w:val="24"/>
          <w:szCs w:val="24"/>
        </w:rPr>
      </w:pPr>
      <w:r>
        <w:rPr>
          <w:rFonts w:ascii="宋体" w:hAnsi="宋体" w:cs="宋体"/>
          <w:b/>
          <w:bCs/>
          <w:color w:val="auto"/>
          <w:sz w:val="24"/>
          <w:szCs w:val="24"/>
        </w:rPr>
        <w:t>16.16</w:t>
      </w:r>
      <w:r>
        <w:rPr>
          <w:rFonts w:hint="eastAsia" w:ascii="宋体" w:hAnsi="宋体" w:cs="宋体"/>
          <w:b/>
          <w:bCs/>
          <w:color w:val="auto"/>
          <w:sz w:val="24"/>
          <w:szCs w:val="24"/>
        </w:rPr>
        <w:t>有下列情形之一的，视为供应商串通投标，其投标无效：</w:t>
      </w:r>
    </w:p>
    <w:p>
      <w:pPr>
        <w:spacing w:line="336" w:lineRule="auto"/>
        <w:ind w:firstLine="482" w:firstLineChars="200"/>
        <w:rPr>
          <w:rFonts w:ascii="宋体"/>
          <w:b/>
          <w:bCs/>
          <w:color w:val="auto"/>
          <w:sz w:val="24"/>
          <w:szCs w:val="24"/>
        </w:rPr>
      </w:pPr>
      <w:r>
        <w:rPr>
          <w:rFonts w:ascii="宋体" w:hAnsi="宋体" w:cs="宋体"/>
          <w:b/>
          <w:bCs/>
          <w:color w:val="auto"/>
          <w:sz w:val="24"/>
          <w:szCs w:val="24"/>
        </w:rPr>
        <w:t>16.16.1</w:t>
      </w:r>
      <w:r>
        <w:rPr>
          <w:rFonts w:hint="eastAsia" w:ascii="宋体" w:hAnsi="宋体" w:cs="宋体"/>
          <w:b/>
          <w:bCs/>
          <w:color w:val="auto"/>
          <w:sz w:val="24"/>
          <w:szCs w:val="24"/>
        </w:rPr>
        <w:t>不同供应商的响应文件由同一单位或者个人编制；</w:t>
      </w:r>
    </w:p>
    <w:p>
      <w:pPr>
        <w:spacing w:line="336" w:lineRule="auto"/>
        <w:ind w:firstLine="482" w:firstLineChars="200"/>
        <w:rPr>
          <w:rFonts w:ascii="宋体"/>
          <w:b/>
          <w:bCs/>
          <w:color w:val="auto"/>
          <w:sz w:val="24"/>
          <w:szCs w:val="24"/>
        </w:rPr>
      </w:pPr>
      <w:r>
        <w:rPr>
          <w:rFonts w:ascii="宋体" w:hAnsi="宋体" w:cs="宋体"/>
          <w:b/>
          <w:bCs/>
          <w:color w:val="auto"/>
          <w:sz w:val="24"/>
          <w:szCs w:val="24"/>
        </w:rPr>
        <w:t>16.16.2</w:t>
      </w:r>
      <w:r>
        <w:rPr>
          <w:rFonts w:hint="eastAsia" w:ascii="宋体" w:hAnsi="宋体" w:cs="宋体"/>
          <w:b/>
          <w:bCs/>
          <w:color w:val="auto"/>
          <w:sz w:val="24"/>
          <w:szCs w:val="24"/>
        </w:rPr>
        <w:t>不同供应商委托同一单位或者个人办理投标事宜；</w:t>
      </w:r>
    </w:p>
    <w:p>
      <w:pPr>
        <w:spacing w:line="336" w:lineRule="auto"/>
        <w:ind w:firstLine="482" w:firstLineChars="200"/>
        <w:rPr>
          <w:rFonts w:ascii="宋体"/>
          <w:b/>
          <w:bCs/>
          <w:color w:val="auto"/>
          <w:sz w:val="24"/>
          <w:szCs w:val="24"/>
        </w:rPr>
      </w:pPr>
      <w:r>
        <w:rPr>
          <w:rFonts w:ascii="宋体" w:hAnsi="宋体" w:cs="宋体"/>
          <w:b/>
          <w:bCs/>
          <w:color w:val="auto"/>
          <w:sz w:val="24"/>
          <w:szCs w:val="24"/>
        </w:rPr>
        <w:t>16.16.3</w:t>
      </w:r>
      <w:r>
        <w:rPr>
          <w:rFonts w:hint="eastAsia" w:ascii="宋体" w:hAnsi="宋体" w:cs="宋体"/>
          <w:b/>
          <w:bCs/>
          <w:color w:val="auto"/>
          <w:sz w:val="24"/>
          <w:szCs w:val="24"/>
        </w:rPr>
        <w:t>不同供应商的响应文件载明的项目管理成员或者联系人员为同一人；</w:t>
      </w:r>
    </w:p>
    <w:p>
      <w:pPr>
        <w:spacing w:line="336" w:lineRule="auto"/>
        <w:ind w:firstLine="482" w:firstLineChars="200"/>
        <w:rPr>
          <w:rFonts w:ascii="宋体"/>
          <w:b/>
          <w:bCs/>
          <w:color w:val="auto"/>
          <w:sz w:val="24"/>
          <w:szCs w:val="24"/>
        </w:rPr>
      </w:pPr>
      <w:r>
        <w:rPr>
          <w:rFonts w:ascii="宋体" w:hAnsi="宋体" w:cs="宋体"/>
          <w:b/>
          <w:bCs/>
          <w:color w:val="auto"/>
          <w:sz w:val="24"/>
          <w:szCs w:val="24"/>
        </w:rPr>
        <w:t>16.16.4</w:t>
      </w:r>
      <w:r>
        <w:rPr>
          <w:rFonts w:hint="eastAsia" w:ascii="宋体" w:hAnsi="宋体" w:cs="宋体"/>
          <w:b/>
          <w:bCs/>
          <w:color w:val="auto"/>
          <w:sz w:val="24"/>
          <w:szCs w:val="24"/>
        </w:rPr>
        <w:t>不同供应商的响应文件异常一致或者投标报价呈规律性差异；</w:t>
      </w:r>
    </w:p>
    <w:p>
      <w:pPr>
        <w:spacing w:line="336" w:lineRule="auto"/>
        <w:ind w:firstLine="482" w:firstLineChars="200"/>
        <w:rPr>
          <w:rFonts w:hint="eastAsia" w:ascii="宋体" w:hAnsi="宋体" w:cs="宋体"/>
          <w:b/>
          <w:bCs/>
          <w:color w:val="auto"/>
          <w:sz w:val="24"/>
          <w:szCs w:val="24"/>
        </w:rPr>
      </w:pPr>
      <w:r>
        <w:rPr>
          <w:rFonts w:ascii="宋体" w:hAnsi="宋体" w:cs="宋体"/>
          <w:b/>
          <w:bCs/>
          <w:color w:val="auto"/>
          <w:sz w:val="24"/>
          <w:szCs w:val="24"/>
        </w:rPr>
        <w:t>16.16.5</w:t>
      </w:r>
      <w:r>
        <w:rPr>
          <w:rFonts w:hint="eastAsia" w:ascii="宋体" w:hAnsi="宋体" w:cs="宋体"/>
          <w:b/>
          <w:bCs/>
          <w:color w:val="auto"/>
          <w:sz w:val="24"/>
          <w:szCs w:val="24"/>
        </w:rPr>
        <w:t>不同供应商提供的响应文件出自同一终端设备的，或在相同</w:t>
      </w:r>
      <w:r>
        <w:rPr>
          <w:rFonts w:ascii="宋体" w:hAnsi="宋体" w:cs="宋体"/>
          <w:b/>
          <w:bCs/>
          <w:color w:val="auto"/>
          <w:sz w:val="24"/>
          <w:szCs w:val="24"/>
        </w:rPr>
        <w:t>Internet</w:t>
      </w:r>
      <w:r>
        <w:rPr>
          <w:rFonts w:hint="eastAsia" w:ascii="宋体" w:hAnsi="宋体" w:cs="宋体"/>
          <w:b/>
          <w:bCs/>
          <w:color w:val="auto"/>
          <w:sz w:val="24"/>
          <w:szCs w:val="24"/>
        </w:rPr>
        <w:t>主机分配地址（相同</w:t>
      </w:r>
      <w:r>
        <w:rPr>
          <w:rFonts w:ascii="宋体" w:hAnsi="宋体" w:cs="宋体"/>
          <w:b/>
          <w:bCs/>
          <w:color w:val="auto"/>
          <w:sz w:val="24"/>
          <w:szCs w:val="24"/>
        </w:rPr>
        <w:t>IP</w:t>
      </w:r>
      <w:r>
        <w:rPr>
          <w:rFonts w:hint="eastAsia" w:ascii="宋体" w:hAnsi="宋体" w:cs="宋体"/>
          <w:b/>
          <w:bCs/>
          <w:color w:val="auto"/>
          <w:sz w:val="24"/>
          <w:szCs w:val="24"/>
        </w:rPr>
        <w:t>地址）报名或网上投标的，且经询标澄清供应商无令人信服的理由和可靠证据证明其合理性的，经评标委员会半数以上成员确认有串通投标嫌疑的。</w:t>
      </w:r>
    </w:p>
    <w:p>
      <w:pPr>
        <w:tabs>
          <w:tab w:val="left" w:pos="3870"/>
          <w:tab w:val="left" w:pos="4085"/>
        </w:tabs>
        <w:snapToGrid w:val="0"/>
        <w:spacing w:line="336" w:lineRule="auto"/>
        <w:ind w:firstLine="482" w:firstLineChars="200"/>
        <w:jc w:val="left"/>
        <w:rPr>
          <w:rFonts w:ascii="宋体" w:hAnsi="宋体" w:cs="宋体"/>
          <w:b/>
          <w:bCs/>
          <w:color w:val="auto"/>
          <w:sz w:val="24"/>
          <w:szCs w:val="24"/>
        </w:rPr>
      </w:pPr>
      <w:r>
        <w:rPr>
          <w:rFonts w:hint="eastAsia" w:ascii="宋体" w:hAnsi="宋体" w:cs="宋体"/>
          <w:b/>
          <w:bCs/>
          <w:color w:val="auto"/>
          <w:sz w:val="24"/>
          <w:szCs w:val="24"/>
        </w:rPr>
        <w:t>16.1</w:t>
      </w:r>
      <w:r>
        <w:rPr>
          <w:rFonts w:hint="eastAsia" w:ascii="宋体" w:hAnsi="宋体" w:cs="宋体"/>
          <w:b/>
          <w:bCs/>
          <w:color w:val="auto"/>
          <w:sz w:val="24"/>
          <w:szCs w:val="24"/>
          <w:lang w:val="en-US" w:eastAsia="zh-CN"/>
        </w:rPr>
        <w:t>7</w:t>
      </w:r>
      <w:r>
        <w:rPr>
          <w:rFonts w:hint="eastAsia" w:ascii="宋体" w:hAnsi="宋体" w:cs="宋体"/>
          <w:b/>
          <w:bCs/>
          <w:color w:val="auto"/>
          <w:sz w:val="24"/>
          <w:szCs w:val="24"/>
        </w:rPr>
        <w:t>其他违反法律、法规的情形。</w:t>
      </w:r>
    </w:p>
    <w:p>
      <w:pPr>
        <w:pStyle w:val="2"/>
        <w:rPr>
          <w:rFonts w:hint="eastAsia"/>
          <w:color w:val="auto"/>
        </w:rPr>
      </w:pPr>
    </w:p>
    <w:p>
      <w:pPr>
        <w:pStyle w:val="2"/>
        <w:numPr>
          <w:ilvl w:val="0"/>
          <w:numId w:val="8"/>
        </w:numPr>
        <w:jc w:val="center"/>
        <w:rPr>
          <w:rFonts w:cs="Times New Roman"/>
          <w:color w:val="auto"/>
        </w:rPr>
      </w:pPr>
      <w:r>
        <w:rPr>
          <w:color w:val="auto"/>
        </w:rPr>
        <w:t xml:space="preserve"> </w:t>
      </w:r>
      <w:bookmarkStart w:id="74" w:name="_Toc21752"/>
      <w:bookmarkStart w:id="75" w:name="_Toc6023"/>
      <w:bookmarkStart w:id="76" w:name="_Toc7652"/>
      <w:r>
        <w:rPr>
          <w:rFonts w:hint="eastAsia"/>
          <w:color w:val="auto"/>
        </w:rPr>
        <w:t>采购中止的情形</w:t>
      </w:r>
      <w:bookmarkEnd w:id="74"/>
      <w:bookmarkEnd w:id="75"/>
      <w:bookmarkEnd w:id="76"/>
    </w:p>
    <w:p>
      <w:pPr>
        <w:pStyle w:val="15"/>
        <w:spacing w:line="336" w:lineRule="auto"/>
        <w:ind w:left="400" w:leftChars="200"/>
        <w:rPr>
          <w:rFonts w:hAnsi="宋体" w:cs="Times New Roman"/>
          <w:b/>
          <w:bCs/>
          <w:color w:val="auto"/>
          <w:sz w:val="24"/>
          <w:szCs w:val="24"/>
        </w:rPr>
      </w:pPr>
      <w:r>
        <w:rPr>
          <w:rFonts w:hAnsi="宋体"/>
          <w:b/>
          <w:bCs/>
          <w:color w:val="auto"/>
          <w:sz w:val="24"/>
          <w:szCs w:val="24"/>
        </w:rPr>
        <w:t>17</w:t>
      </w:r>
      <w:r>
        <w:rPr>
          <w:rFonts w:hint="eastAsia" w:hAnsi="宋体"/>
          <w:b/>
          <w:bCs/>
          <w:color w:val="auto"/>
          <w:sz w:val="24"/>
          <w:szCs w:val="24"/>
        </w:rPr>
        <w:t>、</w:t>
      </w:r>
      <w:r>
        <w:rPr>
          <w:rFonts w:hint="eastAsia" w:hAnsi="宋体"/>
          <w:b/>
          <w:bCs/>
          <w:color w:val="auto"/>
          <w:sz w:val="24"/>
          <w:szCs w:val="24"/>
          <w:lang w:val="zh-CN"/>
        </w:rPr>
        <w:t>中止电子交易活动和</w:t>
      </w:r>
      <w:r>
        <w:rPr>
          <w:rFonts w:hint="eastAsia" w:hAnsi="宋体"/>
          <w:b/>
          <w:bCs/>
          <w:color w:val="auto"/>
          <w:sz w:val="24"/>
          <w:szCs w:val="24"/>
        </w:rPr>
        <w:t>重新组织采购</w:t>
      </w:r>
    </w:p>
    <w:p>
      <w:pPr>
        <w:pStyle w:val="53"/>
        <w:tabs>
          <w:tab w:val="left" w:pos="0"/>
        </w:tabs>
        <w:spacing w:before="0" w:line="336" w:lineRule="auto"/>
        <w:ind w:left="400" w:leftChars="200" w:firstLine="0" w:firstLineChars="0"/>
        <w:rPr>
          <w:rFonts w:ascii="宋体"/>
          <w:color w:val="auto"/>
          <w:lang w:val="zh-CN"/>
        </w:rPr>
      </w:pPr>
      <w:r>
        <w:rPr>
          <w:rFonts w:ascii="宋体" w:hAnsi="宋体" w:cs="宋体"/>
          <w:color w:val="auto"/>
        </w:rPr>
        <w:t>17.1</w:t>
      </w:r>
      <w:r>
        <w:rPr>
          <w:rFonts w:hint="eastAsia" w:ascii="宋体" w:hAnsi="宋体" w:cs="宋体"/>
          <w:color w:val="auto"/>
          <w:lang w:val="zh-CN"/>
        </w:rPr>
        <w:t>采购过程中出现以下情形，导致电子交易平台无法正常运行，或者无法保证电子交易的公平、公正和安全时，采购组织机构可中止电子交易活动：</w:t>
      </w:r>
    </w:p>
    <w:p>
      <w:pPr>
        <w:numPr>
          <w:ilvl w:val="0"/>
          <w:numId w:val="14"/>
        </w:numPr>
        <w:tabs>
          <w:tab w:val="left" w:pos="0"/>
        </w:tabs>
        <w:spacing w:line="336" w:lineRule="auto"/>
        <w:ind w:firstLine="480" w:firstLineChars="200"/>
        <w:rPr>
          <w:rFonts w:ascii="宋体"/>
          <w:color w:val="auto"/>
          <w:sz w:val="24"/>
          <w:szCs w:val="24"/>
        </w:rPr>
      </w:pPr>
      <w:r>
        <w:rPr>
          <w:rFonts w:hint="eastAsia" w:ascii="宋体" w:hAnsi="宋体" w:cs="宋体"/>
          <w:color w:val="auto"/>
          <w:sz w:val="24"/>
          <w:szCs w:val="24"/>
        </w:rPr>
        <w:t>电子交易平台发生故障而无法登录访问的；</w:t>
      </w:r>
      <w:r>
        <w:rPr>
          <w:rFonts w:ascii="宋体" w:hAnsi="宋体" w:cs="宋体"/>
          <w:color w:val="auto"/>
          <w:sz w:val="24"/>
          <w:szCs w:val="24"/>
        </w:rPr>
        <w:t xml:space="preserve"> </w:t>
      </w:r>
    </w:p>
    <w:p>
      <w:pPr>
        <w:numPr>
          <w:ilvl w:val="0"/>
          <w:numId w:val="14"/>
        </w:numPr>
        <w:tabs>
          <w:tab w:val="left" w:pos="0"/>
        </w:tabs>
        <w:spacing w:line="336" w:lineRule="auto"/>
        <w:ind w:firstLine="480" w:firstLineChars="200"/>
        <w:rPr>
          <w:rFonts w:ascii="宋体"/>
          <w:color w:val="auto"/>
          <w:sz w:val="24"/>
          <w:szCs w:val="24"/>
        </w:rPr>
      </w:pPr>
      <w:r>
        <w:rPr>
          <w:rFonts w:hint="eastAsia" w:ascii="宋体" w:hAnsi="宋体" w:cs="宋体"/>
          <w:color w:val="auto"/>
          <w:sz w:val="24"/>
          <w:szCs w:val="24"/>
        </w:rPr>
        <w:t>电子交易平台应用或数据库出现错误，不能进行正常操作的；</w:t>
      </w:r>
    </w:p>
    <w:p>
      <w:pPr>
        <w:numPr>
          <w:ilvl w:val="0"/>
          <w:numId w:val="14"/>
        </w:numPr>
        <w:tabs>
          <w:tab w:val="left" w:pos="0"/>
        </w:tabs>
        <w:spacing w:line="336" w:lineRule="auto"/>
        <w:ind w:firstLine="480" w:firstLineChars="200"/>
        <w:rPr>
          <w:rFonts w:ascii="宋体"/>
          <w:color w:val="auto"/>
          <w:sz w:val="24"/>
          <w:szCs w:val="24"/>
        </w:rPr>
      </w:pPr>
      <w:r>
        <w:rPr>
          <w:rFonts w:hint="eastAsia" w:ascii="宋体" w:hAnsi="宋体" w:cs="宋体"/>
          <w:color w:val="auto"/>
          <w:sz w:val="24"/>
          <w:szCs w:val="24"/>
        </w:rPr>
        <w:t>电子交易平台发现严重安全漏洞，有潜在泄密危险的；</w:t>
      </w:r>
    </w:p>
    <w:p>
      <w:pPr>
        <w:numPr>
          <w:ilvl w:val="0"/>
          <w:numId w:val="14"/>
        </w:numPr>
        <w:tabs>
          <w:tab w:val="left" w:pos="0"/>
        </w:tabs>
        <w:spacing w:line="336" w:lineRule="auto"/>
        <w:ind w:firstLine="480" w:firstLineChars="200"/>
        <w:rPr>
          <w:rFonts w:ascii="宋体"/>
          <w:color w:val="auto"/>
          <w:sz w:val="24"/>
          <w:szCs w:val="24"/>
        </w:rPr>
      </w:pPr>
      <w:r>
        <w:rPr>
          <w:rFonts w:hint="eastAsia" w:ascii="宋体" w:hAnsi="宋体" w:cs="宋体"/>
          <w:color w:val="auto"/>
          <w:sz w:val="24"/>
          <w:szCs w:val="24"/>
        </w:rPr>
        <w:t>病毒发作导致不能进行正常操作的；</w:t>
      </w:r>
      <w:r>
        <w:rPr>
          <w:rFonts w:ascii="宋体" w:hAnsi="宋体" w:cs="宋体"/>
          <w:color w:val="auto"/>
          <w:sz w:val="24"/>
          <w:szCs w:val="24"/>
        </w:rPr>
        <w:t xml:space="preserve"> </w:t>
      </w:r>
    </w:p>
    <w:p>
      <w:pPr>
        <w:numPr>
          <w:ilvl w:val="0"/>
          <w:numId w:val="14"/>
        </w:numPr>
        <w:tabs>
          <w:tab w:val="left" w:pos="0"/>
        </w:tabs>
        <w:spacing w:line="336" w:lineRule="auto"/>
        <w:ind w:firstLine="480" w:firstLineChars="200"/>
        <w:rPr>
          <w:rFonts w:ascii="宋体"/>
          <w:color w:val="auto"/>
          <w:sz w:val="24"/>
          <w:szCs w:val="24"/>
        </w:rPr>
      </w:pPr>
      <w:r>
        <w:rPr>
          <w:rFonts w:hint="eastAsia" w:ascii="宋体" w:hAnsi="宋体" w:cs="宋体"/>
          <w:color w:val="auto"/>
          <w:sz w:val="24"/>
          <w:szCs w:val="24"/>
        </w:rPr>
        <w:t>其他无法保证电子交易的公平、公正和安全的情况。</w:t>
      </w:r>
    </w:p>
    <w:p>
      <w:pPr>
        <w:pStyle w:val="53"/>
        <w:tabs>
          <w:tab w:val="left" w:pos="0"/>
        </w:tabs>
        <w:spacing w:before="0" w:line="336" w:lineRule="auto"/>
        <w:ind w:firstLine="480"/>
        <w:rPr>
          <w:rFonts w:hint="eastAsia" w:ascii="宋体" w:hAnsi="宋体" w:cs="宋体"/>
          <w:color w:val="auto"/>
        </w:rPr>
      </w:pPr>
      <w:r>
        <w:rPr>
          <w:rFonts w:ascii="宋体" w:hAnsi="宋体" w:cs="宋体"/>
          <w:color w:val="auto"/>
        </w:rPr>
        <w:t>17.2</w:t>
      </w:r>
      <w:r>
        <w:rPr>
          <w:rFonts w:hint="eastAsia" w:ascii="宋体" w:hAnsi="宋体" w:cs="宋体"/>
          <w:color w:val="auto"/>
        </w:rPr>
        <w:t>磋商小组发现磋商文件存在歧义、重大缺陷导致评标工作无法进行，或者磋商文件内容违反国家有关强制性规定的，将停止评标工作，并与采购人、采购代理机构沟通并作书面记录。采购人、采购代理机构确认后，将修改磋商文件，重新组织采购活动。</w:t>
      </w:r>
    </w:p>
    <w:p>
      <w:pPr>
        <w:pStyle w:val="53"/>
        <w:tabs>
          <w:tab w:val="left" w:pos="0"/>
        </w:tabs>
        <w:spacing w:before="0" w:line="336" w:lineRule="auto"/>
        <w:ind w:firstLine="480"/>
        <w:rPr>
          <w:rFonts w:hint="eastAsia" w:ascii="宋体" w:hAnsi="宋体" w:cs="宋体"/>
          <w:color w:val="auto"/>
        </w:rPr>
      </w:pPr>
    </w:p>
    <w:p>
      <w:pPr>
        <w:pStyle w:val="2"/>
        <w:numPr>
          <w:ilvl w:val="0"/>
          <w:numId w:val="8"/>
        </w:numPr>
        <w:jc w:val="center"/>
        <w:rPr>
          <w:rFonts w:cs="Times New Roman"/>
          <w:color w:val="auto"/>
        </w:rPr>
      </w:pPr>
      <w:r>
        <w:rPr>
          <w:color w:val="auto"/>
        </w:rPr>
        <w:t xml:space="preserve"> </w:t>
      </w:r>
      <w:bookmarkStart w:id="77" w:name="_Toc5935"/>
      <w:bookmarkStart w:id="78" w:name="_Toc10208"/>
      <w:bookmarkStart w:id="79" w:name="_Toc14029"/>
      <w:r>
        <w:rPr>
          <w:rFonts w:hint="eastAsia"/>
          <w:color w:val="auto"/>
        </w:rPr>
        <w:t>确定成交供应商与签订合同</w:t>
      </w:r>
      <w:bookmarkEnd w:id="77"/>
      <w:bookmarkEnd w:id="78"/>
      <w:bookmarkEnd w:id="79"/>
    </w:p>
    <w:p>
      <w:pPr>
        <w:snapToGrid w:val="0"/>
        <w:spacing w:line="336" w:lineRule="auto"/>
        <w:ind w:firstLine="482" w:firstLineChars="200"/>
        <w:rPr>
          <w:rFonts w:ascii="宋体"/>
          <w:b/>
          <w:bCs/>
          <w:color w:val="auto"/>
          <w:sz w:val="24"/>
          <w:szCs w:val="24"/>
        </w:rPr>
      </w:pPr>
      <w:r>
        <w:rPr>
          <w:rFonts w:ascii="宋体" w:hAnsi="宋体" w:cs="宋体"/>
          <w:b/>
          <w:bCs/>
          <w:color w:val="auto"/>
          <w:sz w:val="24"/>
          <w:szCs w:val="24"/>
        </w:rPr>
        <w:t>18</w:t>
      </w:r>
      <w:r>
        <w:rPr>
          <w:rFonts w:hint="eastAsia" w:ascii="宋体" w:hAnsi="宋体" w:cs="宋体"/>
          <w:b/>
          <w:bCs/>
          <w:color w:val="auto"/>
          <w:sz w:val="24"/>
          <w:szCs w:val="24"/>
        </w:rPr>
        <w:t>、推荐成交候选供应商</w:t>
      </w:r>
    </w:p>
    <w:p>
      <w:pPr>
        <w:snapToGrid w:val="0"/>
        <w:spacing w:line="336" w:lineRule="auto"/>
        <w:ind w:firstLine="480" w:firstLineChars="200"/>
        <w:rPr>
          <w:rFonts w:ascii="宋体"/>
          <w:color w:val="auto"/>
          <w:sz w:val="24"/>
          <w:szCs w:val="24"/>
        </w:rPr>
      </w:pPr>
      <w:r>
        <w:rPr>
          <w:rFonts w:ascii="宋体" w:hAnsi="宋体" w:cs="宋体"/>
          <w:color w:val="auto"/>
          <w:sz w:val="24"/>
          <w:szCs w:val="24"/>
        </w:rPr>
        <w:t xml:space="preserve">18.1 </w:t>
      </w:r>
      <w:r>
        <w:rPr>
          <w:rFonts w:hint="eastAsia" w:ascii="宋体" w:hAnsi="宋体" w:cs="宋体"/>
          <w:color w:val="auto"/>
          <w:sz w:val="24"/>
          <w:szCs w:val="24"/>
        </w:rPr>
        <w:t>磋商小组应当根据综合评分情况，按照评审得分由高到低顺序推荐</w:t>
      </w:r>
      <w:r>
        <w:rPr>
          <w:rFonts w:ascii="宋体" w:hAnsi="宋体" w:cs="宋体"/>
          <w:color w:val="auto"/>
          <w:sz w:val="24"/>
          <w:szCs w:val="24"/>
        </w:rPr>
        <w:t>1</w:t>
      </w:r>
      <w:r>
        <w:rPr>
          <w:rFonts w:hint="eastAsia" w:ascii="宋体" w:hAnsi="宋体" w:cs="宋体"/>
          <w:color w:val="auto"/>
          <w:sz w:val="24"/>
          <w:szCs w:val="24"/>
        </w:rPr>
        <w:t>名或以上成交候选供应商，并编写评审报告。评审得分相同的，按照最后报价由低到高的顺序推荐。评审得分且最后报价相同的，按照技术指标优劣顺序推荐。</w:t>
      </w:r>
    </w:p>
    <w:p>
      <w:pPr>
        <w:snapToGrid w:val="0"/>
        <w:spacing w:line="336" w:lineRule="auto"/>
        <w:ind w:firstLine="480" w:firstLineChars="200"/>
        <w:rPr>
          <w:rFonts w:ascii="宋体"/>
          <w:color w:val="auto"/>
          <w:sz w:val="24"/>
          <w:szCs w:val="24"/>
        </w:rPr>
      </w:pPr>
      <w:r>
        <w:rPr>
          <w:rFonts w:ascii="宋体" w:hAnsi="宋体" w:cs="宋体"/>
          <w:color w:val="auto"/>
          <w:sz w:val="24"/>
          <w:szCs w:val="24"/>
        </w:rPr>
        <w:t xml:space="preserve">18.2 </w:t>
      </w:r>
      <w:r>
        <w:rPr>
          <w:rFonts w:hint="eastAsia" w:ascii="宋体" w:hAnsi="宋体" w:cs="宋体"/>
          <w:color w:val="auto"/>
          <w:sz w:val="24"/>
          <w:szCs w:val="24"/>
        </w:rPr>
        <w:t>采购代理机构应当在评审结束后</w:t>
      </w:r>
      <w:r>
        <w:rPr>
          <w:rFonts w:ascii="宋体" w:hAnsi="宋体" w:cs="宋体"/>
          <w:color w:val="auto"/>
          <w:sz w:val="24"/>
          <w:szCs w:val="24"/>
        </w:rPr>
        <w:t>2</w:t>
      </w:r>
      <w:r>
        <w:rPr>
          <w:rFonts w:hint="eastAsia" w:ascii="宋体" w:hAnsi="宋体" w:cs="宋体"/>
          <w:color w:val="auto"/>
          <w:sz w:val="24"/>
          <w:szCs w:val="24"/>
        </w:rPr>
        <w:t>个工作日内将评审报告送采购人确认。</w:t>
      </w:r>
    </w:p>
    <w:p>
      <w:pPr>
        <w:snapToGrid w:val="0"/>
        <w:spacing w:line="336" w:lineRule="auto"/>
        <w:ind w:firstLine="482" w:firstLineChars="200"/>
        <w:rPr>
          <w:rFonts w:ascii="宋体"/>
          <w:b/>
          <w:bCs/>
          <w:color w:val="auto"/>
          <w:sz w:val="24"/>
          <w:szCs w:val="24"/>
        </w:rPr>
      </w:pPr>
      <w:r>
        <w:rPr>
          <w:rFonts w:ascii="宋体" w:hAnsi="宋体" w:cs="宋体"/>
          <w:b/>
          <w:bCs/>
          <w:color w:val="auto"/>
          <w:sz w:val="24"/>
          <w:szCs w:val="24"/>
        </w:rPr>
        <w:t>19</w:t>
      </w:r>
      <w:r>
        <w:rPr>
          <w:rFonts w:hint="eastAsia" w:ascii="宋体" w:hAnsi="宋体" w:cs="宋体"/>
          <w:b/>
          <w:bCs/>
          <w:color w:val="auto"/>
          <w:sz w:val="24"/>
          <w:szCs w:val="24"/>
        </w:rPr>
        <w:t>、确定成交供应商</w:t>
      </w:r>
    </w:p>
    <w:p>
      <w:pPr>
        <w:adjustRightInd w:val="0"/>
        <w:spacing w:line="336" w:lineRule="auto"/>
        <w:ind w:firstLine="480" w:firstLineChars="200"/>
        <w:rPr>
          <w:rFonts w:ascii="宋体"/>
          <w:color w:val="auto"/>
          <w:sz w:val="24"/>
          <w:szCs w:val="24"/>
        </w:rPr>
      </w:pPr>
      <w:r>
        <w:rPr>
          <w:rFonts w:ascii="宋体" w:hAnsi="宋体" w:cs="宋体"/>
          <w:color w:val="auto"/>
          <w:sz w:val="24"/>
          <w:szCs w:val="24"/>
        </w:rPr>
        <w:t>19.1</w:t>
      </w:r>
      <w:r>
        <w:rPr>
          <w:rFonts w:hint="eastAsia" w:ascii="宋体" w:hAnsi="宋体" w:cs="宋体"/>
          <w:color w:val="auto"/>
          <w:sz w:val="24"/>
          <w:szCs w:val="24"/>
        </w:rPr>
        <w:t>采购人应当在收到评审报告后</w:t>
      </w:r>
      <w:r>
        <w:rPr>
          <w:rFonts w:ascii="宋体" w:hAnsi="宋体" w:cs="宋体"/>
          <w:color w:val="auto"/>
          <w:sz w:val="24"/>
          <w:szCs w:val="24"/>
        </w:rPr>
        <w:t>5</w:t>
      </w:r>
      <w:r>
        <w:rPr>
          <w:rFonts w:hint="eastAsia" w:ascii="宋体" w:hAnsi="宋体" w:cs="宋体"/>
          <w:color w:val="auto"/>
          <w:sz w:val="24"/>
          <w:szCs w:val="24"/>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pacing w:line="336" w:lineRule="auto"/>
        <w:ind w:firstLine="480" w:firstLineChars="200"/>
        <w:rPr>
          <w:rFonts w:ascii="宋体"/>
          <w:color w:val="auto"/>
          <w:sz w:val="24"/>
          <w:szCs w:val="24"/>
        </w:rPr>
      </w:pPr>
      <w:r>
        <w:rPr>
          <w:rFonts w:ascii="宋体" w:hAnsi="宋体" w:cs="宋体"/>
          <w:color w:val="auto"/>
          <w:sz w:val="24"/>
          <w:szCs w:val="24"/>
        </w:rPr>
        <w:t>19.2</w:t>
      </w:r>
      <w:r>
        <w:rPr>
          <w:rFonts w:hint="eastAsia" w:ascii="宋体" w:hAnsi="宋体" w:cs="宋体"/>
          <w:color w:val="auto"/>
          <w:sz w:val="24"/>
          <w:szCs w:val="24"/>
        </w:rPr>
        <w:t>采购人或者采购代理机构应当在成交供应商确定后</w:t>
      </w:r>
      <w:r>
        <w:rPr>
          <w:rFonts w:ascii="宋体" w:hAnsi="宋体" w:cs="宋体"/>
          <w:color w:val="auto"/>
          <w:sz w:val="24"/>
          <w:szCs w:val="24"/>
        </w:rPr>
        <w:t>2</w:t>
      </w:r>
      <w:r>
        <w:rPr>
          <w:rFonts w:hint="eastAsia" w:ascii="宋体" w:hAnsi="宋体" w:cs="宋体"/>
          <w:color w:val="auto"/>
          <w:sz w:val="24"/>
          <w:szCs w:val="24"/>
        </w:rPr>
        <w:t>个工作日内，在省级以上财政部门指定的政府采购信息发布媒体上公告成交结果，同时向成交供应商发出成交通知书。</w:t>
      </w:r>
    </w:p>
    <w:p>
      <w:pPr>
        <w:adjustRightInd w:val="0"/>
        <w:spacing w:line="336" w:lineRule="auto"/>
        <w:ind w:firstLine="482" w:firstLineChars="200"/>
        <w:rPr>
          <w:rFonts w:ascii="宋体"/>
          <w:b/>
          <w:bCs/>
          <w:color w:val="auto"/>
          <w:sz w:val="24"/>
          <w:szCs w:val="24"/>
        </w:rPr>
      </w:pPr>
      <w:r>
        <w:rPr>
          <w:rFonts w:ascii="宋体" w:hAnsi="宋体" w:cs="宋体"/>
          <w:b/>
          <w:bCs/>
          <w:color w:val="auto"/>
          <w:sz w:val="24"/>
          <w:szCs w:val="24"/>
        </w:rPr>
        <w:t>20</w:t>
      </w:r>
      <w:r>
        <w:rPr>
          <w:rFonts w:hint="eastAsia" w:ascii="宋体" w:hAnsi="宋体" w:cs="宋体"/>
          <w:b/>
          <w:bCs/>
          <w:color w:val="auto"/>
          <w:sz w:val="24"/>
          <w:szCs w:val="24"/>
        </w:rPr>
        <w:t>、签订合同</w:t>
      </w:r>
    </w:p>
    <w:p>
      <w:pPr>
        <w:pStyle w:val="53"/>
        <w:snapToGrid w:val="0"/>
        <w:spacing w:before="0" w:line="336" w:lineRule="auto"/>
        <w:ind w:firstLine="480"/>
        <w:rPr>
          <w:rFonts w:ascii="宋体"/>
          <w:color w:val="auto"/>
        </w:rPr>
      </w:pPr>
      <w:r>
        <w:rPr>
          <w:rFonts w:ascii="宋体" w:hAnsi="宋体" w:cs="宋体"/>
          <w:color w:val="auto"/>
        </w:rPr>
        <w:t xml:space="preserve">20.1. </w:t>
      </w:r>
      <w:r>
        <w:rPr>
          <w:rFonts w:hint="eastAsia" w:ascii="宋体" w:hAnsi="宋体" w:cs="宋体"/>
          <w:color w:val="auto"/>
        </w:rPr>
        <w:t>采购人与成交供应商应当在成交通知书发出之日起</w:t>
      </w:r>
      <w:r>
        <w:rPr>
          <w:rFonts w:ascii="宋体" w:hAnsi="宋体" w:cs="宋体"/>
          <w:color w:val="auto"/>
        </w:rPr>
        <w:t>30</w:t>
      </w:r>
      <w:r>
        <w:rPr>
          <w:rFonts w:hint="eastAsia" w:ascii="宋体" w:hAnsi="宋体" w:cs="宋体"/>
          <w:color w:val="auto"/>
        </w:rPr>
        <w:t>日内，按照磋商文件确定的合同文本以及采购标的、规格型号、采购金额、采购数量、技术和服务要求等事项签订政府采购合同。</w:t>
      </w:r>
    </w:p>
    <w:p>
      <w:pPr>
        <w:pStyle w:val="53"/>
        <w:snapToGrid w:val="0"/>
        <w:spacing w:before="0" w:line="336" w:lineRule="auto"/>
        <w:ind w:firstLine="480"/>
        <w:rPr>
          <w:rFonts w:ascii="宋体"/>
          <w:color w:val="auto"/>
        </w:rPr>
      </w:pPr>
      <w:r>
        <w:rPr>
          <w:rFonts w:ascii="宋体" w:hAnsi="宋体" w:cs="宋体"/>
          <w:color w:val="auto"/>
        </w:rPr>
        <w:t xml:space="preserve">20.2. </w:t>
      </w:r>
      <w:r>
        <w:rPr>
          <w:rFonts w:hint="eastAsia" w:ascii="宋体" w:hAnsi="宋体" w:cs="宋体"/>
          <w:color w:val="auto"/>
        </w:rPr>
        <w:t>成交供应商拒绝签订政府采购合同的，采购人可以按照《政府采购竞争性磋商采购方式管理暂行办法》（财库〔</w:t>
      </w:r>
      <w:r>
        <w:rPr>
          <w:rFonts w:ascii="宋体" w:hAnsi="宋体" w:cs="宋体"/>
          <w:color w:val="auto"/>
        </w:rPr>
        <w:t>2014</w:t>
      </w:r>
      <w:r>
        <w:rPr>
          <w:rFonts w:hint="eastAsia" w:ascii="宋体" w:hAnsi="宋体" w:cs="宋体"/>
          <w:color w:val="auto"/>
        </w:rPr>
        <w:t>〕</w:t>
      </w:r>
      <w:r>
        <w:rPr>
          <w:rFonts w:ascii="宋体" w:hAnsi="宋体" w:cs="宋体"/>
          <w:color w:val="auto"/>
        </w:rPr>
        <w:t>214</w:t>
      </w:r>
      <w:r>
        <w:rPr>
          <w:rFonts w:hint="eastAsia" w:ascii="宋体" w:hAnsi="宋体" w:cs="宋体"/>
          <w:color w:val="auto"/>
        </w:rPr>
        <w:t>号）第二十八条第二款规定的原则确定其他供应商作为成交供应商并签订政府采购合同，也可以重新开展采购活动。拒绝签订政府采购合同的成交供应商不得参加对该项目重新开展的采购活动。</w:t>
      </w:r>
    </w:p>
    <w:p>
      <w:pPr>
        <w:adjustRightInd w:val="0"/>
        <w:snapToGrid w:val="0"/>
        <w:spacing w:line="336" w:lineRule="auto"/>
        <w:ind w:firstLine="482" w:firstLineChars="200"/>
        <w:rPr>
          <w:rFonts w:ascii="宋体"/>
          <w:b/>
          <w:bCs/>
          <w:color w:val="auto"/>
          <w:sz w:val="24"/>
          <w:szCs w:val="24"/>
        </w:rPr>
      </w:pPr>
      <w:r>
        <w:rPr>
          <w:rFonts w:ascii="宋体" w:hAnsi="宋体" w:cs="宋体"/>
          <w:b/>
          <w:bCs/>
          <w:color w:val="auto"/>
          <w:sz w:val="24"/>
          <w:szCs w:val="24"/>
        </w:rPr>
        <w:t>21</w:t>
      </w:r>
      <w:r>
        <w:rPr>
          <w:rFonts w:hint="eastAsia" w:ascii="宋体" w:hAnsi="宋体" w:cs="宋体"/>
          <w:b/>
          <w:bCs/>
          <w:color w:val="auto"/>
          <w:sz w:val="24"/>
          <w:szCs w:val="24"/>
        </w:rPr>
        <w:t>、解释权</w:t>
      </w:r>
    </w:p>
    <w:p>
      <w:pPr>
        <w:adjustRightInd w:val="0"/>
        <w:spacing w:line="336" w:lineRule="auto"/>
        <w:ind w:firstLine="480" w:firstLineChars="200"/>
        <w:rPr>
          <w:rFonts w:ascii="宋体"/>
          <w:color w:val="auto"/>
          <w:sz w:val="24"/>
          <w:szCs w:val="24"/>
        </w:rPr>
      </w:pPr>
      <w:r>
        <w:rPr>
          <w:rFonts w:hint="eastAsia" w:ascii="宋体" w:hAnsi="宋体" w:cs="宋体"/>
          <w:color w:val="auto"/>
          <w:sz w:val="24"/>
          <w:szCs w:val="24"/>
        </w:rPr>
        <w:t>磋商文件的解释权均属于</w:t>
      </w:r>
      <w:r>
        <w:rPr>
          <w:rFonts w:hint="eastAsia" w:ascii="宋体" w:hAnsi="宋体" w:cs="宋体"/>
          <w:color w:val="auto"/>
          <w:sz w:val="24"/>
          <w:u w:val="single"/>
          <w:lang w:eastAsia="zh-CN"/>
        </w:rPr>
        <w:t>绍兴市上虞区综合行政执法局</w:t>
      </w:r>
      <w:r>
        <w:rPr>
          <w:rFonts w:hint="eastAsia" w:ascii="宋体" w:hAnsi="宋体" w:cs="宋体"/>
          <w:color w:val="auto"/>
          <w:sz w:val="24"/>
          <w:szCs w:val="24"/>
        </w:rPr>
        <w:t>和</w:t>
      </w:r>
      <w:r>
        <w:rPr>
          <w:rFonts w:ascii="宋体" w:hAnsi="宋体" w:cs="宋体"/>
          <w:color w:val="auto"/>
          <w:sz w:val="24"/>
          <w:szCs w:val="24"/>
          <w:u w:val="single"/>
        </w:rPr>
        <w:t xml:space="preserve"> </w:t>
      </w:r>
      <w:r>
        <w:rPr>
          <w:rFonts w:hint="eastAsia" w:ascii="宋体" w:hAnsi="宋体" w:cs="宋体"/>
          <w:color w:val="auto"/>
          <w:sz w:val="24"/>
          <w:szCs w:val="24"/>
          <w:u w:val="single"/>
          <w:lang w:eastAsia="zh-CN"/>
        </w:rPr>
        <w:t>浙江省成套工程有限公司</w:t>
      </w:r>
      <w:r>
        <w:rPr>
          <w:rFonts w:ascii="宋体" w:hAnsi="宋体" w:cs="宋体"/>
          <w:color w:val="auto"/>
          <w:sz w:val="24"/>
          <w:szCs w:val="24"/>
          <w:u w:val="single"/>
        </w:rPr>
        <w:t xml:space="preserve"> </w:t>
      </w:r>
      <w:r>
        <w:rPr>
          <w:rFonts w:hint="eastAsia" w:ascii="宋体" w:hAnsi="宋体" w:cs="宋体"/>
          <w:color w:val="auto"/>
          <w:sz w:val="24"/>
          <w:szCs w:val="24"/>
        </w:rPr>
        <w:t>。</w:t>
      </w:r>
    </w:p>
    <w:p>
      <w:pPr>
        <w:pStyle w:val="5"/>
        <w:jc w:val="center"/>
        <w:rPr>
          <w:rFonts w:cs="Times New Roman"/>
          <w:color w:val="auto"/>
          <w:sz w:val="36"/>
          <w:szCs w:val="36"/>
        </w:rPr>
      </w:pPr>
      <w:r>
        <w:rPr>
          <w:color w:val="auto"/>
          <w:sz w:val="36"/>
          <w:szCs w:val="36"/>
        </w:rPr>
        <w:br w:type="page"/>
      </w:r>
      <w:bookmarkStart w:id="80" w:name="_Toc6387"/>
      <w:bookmarkStart w:id="81" w:name="_Toc17731"/>
      <w:bookmarkStart w:id="82" w:name="_Toc21248"/>
      <w:r>
        <w:rPr>
          <w:rFonts w:hint="eastAsia"/>
          <w:color w:val="auto"/>
          <w:sz w:val="36"/>
          <w:szCs w:val="36"/>
        </w:rPr>
        <w:t xml:space="preserve">第三部分 </w:t>
      </w:r>
      <w:r>
        <w:rPr>
          <w:rFonts w:hint="eastAsia" w:cs="宋体"/>
          <w:color w:val="auto"/>
          <w:sz w:val="36"/>
          <w:szCs w:val="36"/>
        </w:rPr>
        <w:t>采购内容及要求</w:t>
      </w:r>
      <w:bookmarkEnd w:id="80"/>
      <w:bookmarkEnd w:id="81"/>
      <w:bookmarkEnd w:id="82"/>
    </w:p>
    <w:p>
      <w:pPr>
        <w:pStyle w:val="2"/>
        <w:bidi w:val="0"/>
        <w:jc w:val="center"/>
        <w:rPr>
          <w:color w:val="auto"/>
          <w:sz w:val="28"/>
          <w:szCs w:val="28"/>
        </w:rPr>
      </w:pPr>
      <w:bookmarkStart w:id="83" w:name="_Toc27160"/>
      <w:bookmarkStart w:id="84" w:name="_Toc15284"/>
      <w:r>
        <w:rPr>
          <w:rFonts w:hint="eastAsia"/>
          <w:color w:val="auto"/>
          <w:sz w:val="28"/>
          <w:szCs w:val="28"/>
        </w:rPr>
        <w:t>第</w:t>
      </w:r>
      <w:r>
        <w:rPr>
          <w:rFonts w:hint="eastAsia"/>
          <w:color w:val="auto"/>
          <w:sz w:val="28"/>
          <w:szCs w:val="28"/>
          <w:lang w:val="en-US" w:eastAsia="zh-CN"/>
        </w:rPr>
        <w:t>一</w:t>
      </w:r>
      <w:r>
        <w:rPr>
          <w:rFonts w:hint="eastAsia"/>
          <w:color w:val="auto"/>
          <w:sz w:val="28"/>
          <w:szCs w:val="28"/>
        </w:rPr>
        <w:t>章　采购内容及要求</w:t>
      </w:r>
      <w:bookmarkEnd w:id="83"/>
    </w:p>
    <w:p>
      <w:pPr>
        <w:numPr>
          <w:ilvl w:val="0"/>
          <w:numId w:val="0"/>
        </w:numPr>
        <w:spacing w:line="360" w:lineRule="auto"/>
        <w:ind w:leftChars="200"/>
        <w:rPr>
          <w:rFonts w:hint="eastAsia" w:ascii="宋体" w:hAnsi="宋体" w:cs="宋体"/>
          <w:b/>
          <w:bCs/>
          <w:sz w:val="24"/>
        </w:rPr>
      </w:pPr>
      <w:bookmarkStart w:id="85" w:name="_Toc21724"/>
      <w:bookmarkStart w:id="86" w:name="_Toc18895"/>
      <w:r>
        <w:rPr>
          <w:rFonts w:hint="eastAsia" w:ascii="宋体" w:hAnsi="宋体" w:cs="宋体"/>
          <w:b/>
          <w:bCs/>
          <w:sz w:val="24"/>
          <w:lang w:eastAsia="zh-CN"/>
        </w:rPr>
        <w:t>一、</w:t>
      </w:r>
      <w:r>
        <w:rPr>
          <w:rFonts w:hint="eastAsia" w:ascii="宋体" w:hAnsi="宋体" w:cs="宋体"/>
          <w:b/>
          <w:bCs/>
          <w:sz w:val="24"/>
        </w:rPr>
        <w:t>项目内容及范围</w:t>
      </w:r>
    </w:p>
    <w:p>
      <w:pPr>
        <w:spacing w:line="360" w:lineRule="auto"/>
        <w:ind w:firstLine="480" w:firstLineChars="200"/>
        <w:rPr>
          <w:rFonts w:hint="eastAsia" w:ascii="宋体" w:hAnsi="宋体" w:cs="宋体"/>
          <w:bCs/>
          <w:sz w:val="24"/>
        </w:rPr>
      </w:pPr>
      <w:r>
        <w:rPr>
          <w:rFonts w:hint="eastAsia" w:ascii="宋体" w:hAnsi="宋体" w:cs="宋体"/>
          <w:bCs/>
          <w:sz w:val="24"/>
        </w:rPr>
        <w:t>1、内容：</w:t>
      </w:r>
    </w:p>
    <w:p>
      <w:pPr>
        <w:numPr>
          <w:ilvl w:val="0"/>
          <w:numId w:val="15"/>
        </w:numPr>
        <w:spacing w:line="360" w:lineRule="auto"/>
        <w:ind w:firstLine="480" w:firstLineChars="200"/>
        <w:rPr>
          <w:rFonts w:hint="eastAsia" w:ascii="宋体" w:hAnsi="宋体" w:cs="宋体"/>
          <w:bCs/>
          <w:sz w:val="24"/>
        </w:rPr>
      </w:pPr>
      <w:r>
        <w:rPr>
          <w:rFonts w:hint="eastAsia" w:ascii="宋体" w:hAnsi="宋体" w:cs="宋体"/>
          <w:bCs/>
          <w:sz w:val="24"/>
        </w:rPr>
        <w:t>依据管理标准，负责对城市事件动态问题及城市部件完好信息的限时采集；</w:t>
      </w:r>
    </w:p>
    <w:p>
      <w:pPr>
        <w:numPr>
          <w:ilvl w:val="0"/>
          <w:numId w:val="15"/>
        </w:numPr>
        <w:spacing w:line="360" w:lineRule="auto"/>
        <w:ind w:firstLine="480" w:firstLineChars="200"/>
        <w:rPr>
          <w:rFonts w:hint="eastAsia" w:ascii="宋体" w:hAnsi="宋体" w:cs="宋体"/>
          <w:bCs/>
          <w:sz w:val="24"/>
        </w:rPr>
      </w:pPr>
      <w:r>
        <w:rPr>
          <w:rFonts w:hint="eastAsia" w:ascii="宋体" w:hAnsi="宋体" w:cs="宋体"/>
          <w:bCs/>
          <w:sz w:val="24"/>
          <w:lang w:eastAsia="zh-CN"/>
        </w:rPr>
        <w:t>对</w:t>
      </w:r>
      <w:r>
        <w:rPr>
          <w:rFonts w:hint="eastAsia" w:ascii="宋体" w:hAnsi="宋体" w:cs="宋体"/>
          <w:bCs/>
          <w:sz w:val="24"/>
        </w:rPr>
        <w:t>视频抓拍、微信</w:t>
      </w:r>
      <w:r>
        <w:rPr>
          <w:rFonts w:hint="eastAsia" w:ascii="宋体" w:hAnsi="宋体" w:cs="宋体"/>
          <w:bCs/>
          <w:sz w:val="24"/>
          <w:lang w:eastAsia="zh-CN"/>
        </w:rPr>
        <w:t>上报</w:t>
      </w:r>
      <w:r>
        <w:rPr>
          <w:rFonts w:hint="eastAsia" w:ascii="宋体" w:hAnsi="宋体" w:cs="宋体"/>
          <w:bCs/>
          <w:sz w:val="24"/>
        </w:rPr>
        <w:t>、“</w:t>
      </w:r>
      <w:r>
        <w:rPr>
          <w:rFonts w:hint="eastAsia" w:ascii="宋体" w:hAnsi="宋体" w:cs="宋体"/>
          <w:bCs/>
          <w:sz w:val="24"/>
          <w:lang w:eastAsia="zh-CN"/>
        </w:rPr>
        <w:t>上虞</w:t>
      </w:r>
      <w:r>
        <w:rPr>
          <w:rFonts w:hint="eastAsia" w:ascii="宋体" w:hAnsi="宋体" w:cs="宋体"/>
          <w:bCs/>
          <w:sz w:val="24"/>
          <w:lang w:val="en-US" w:eastAsia="zh-CN"/>
        </w:rPr>
        <w:t>e城事</w:t>
      </w:r>
      <w:r>
        <w:rPr>
          <w:rFonts w:hint="eastAsia" w:ascii="宋体" w:hAnsi="宋体" w:cs="宋体"/>
          <w:bCs/>
          <w:sz w:val="24"/>
        </w:rPr>
        <w:t>”等途径反馈问题进行核查；</w:t>
      </w:r>
    </w:p>
    <w:p>
      <w:pPr>
        <w:numPr>
          <w:ilvl w:val="0"/>
          <w:numId w:val="15"/>
        </w:numPr>
        <w:spacing w:line="360" w:lineRule="auto"/>
        <w:ind w:firstLine="480" w:firstLineChars="200"/>
        <w:rPr>
          <w:rFonts w:hint="eastAsia" w:ascii="宋体" w:hAnsi="宋体" w:cs="宋体"/>
          <w:bCs/>
          <w:sz w:val="24"/>
        </w:rPr>
      </w:pPr>
      <w:r>
        <w:rPr>
          <w:rFonts w:hint="eastAsia" w:ascii="宋体" w:hAnsi="宋体" w:cs="宋体"/>
          <w:bCs/>
          <w:sz w:val="24"/>
        </w:rPr>
        <w:t>对所发现问题结案前进行核实；</w:t>
      </w:r>
    </w:p>
    <w:p>
      <w:pPr>
        <w:numPr>
          <w:ilvl w:val="0"/>
          <w:numId w:val="15"/>
        </w:numPr>
        <w:spacing w:line="360" w:lineRule="auto"/>
        <w:ind w:firstLine="480" w:firstLineChars="200"/>
        <w:rPr>
          <w:rFonts w:hint="eastAsia" w:ascii="宋体" w:hAnsi="宋体" w:cs="宋体"/>
          <w:bCs/>
          <w:sz w:val="24"/>
        </w:rPr>
      </w:pPr>
      <w:r>
        <w:rPr>
          <w:rFonts w:hint="eastAsia" w:ascii="宋体" w:hAnsi="宋体" w:cs="宋体"/>
          <w:bCs/>
          <w:sz w:val="24"/>
        </w:rPr>
        <w:t>对智慧城管实施区域内新增部件及时采集、上报；</w:t>
      </w:r>
    </w:p>
    <w:p>
      <w:pPr>
        <w:numPr>
          <w:ilvl w:val="0"/>
          <w:numId w:val="15"/>
        </w:numPr>
        <w:spacing w:line="360" w:lineRule="auto"/>
        <w:ind w:firstLine="480" w:firstLineChars="200"/>
        <w:rPr>
          <w:rFonts w:hint="eastAsia" w:ascii="宋体" w:hAnsi="宋体" w:cs="宋体"/>
          <w:bCs/>
          <w:sz w:val="24"/>
        </w:rPr>
      </w:pPr>
      <w:r>
        <w:rPr>
          <w:rFonts w:hint="eastAsia" w:ascii="宋体" w:hAnsi="宋体" w:cs="宋体"/>
          <w:bCs/>
          <w:sz w:val="24"/>
        </w:rPr>
        <w:t>根据需要协助政府部门做好城市管理其他相关工作。</w:t>
      </w:r>
    </w:p>
    <w:p>
      <w:pPr>
        <w:numPr>
          <w:ilvl w:val="0"/>
          <w:numId w:val="16"/>
        </w:numPr>
        <w:spacing w:line="360" w:lineRule="auto"/>
        <w:ind w:firstLine="480" w:firstLineChars="200"/>
        <w:rPr>
          <w:rFonts w:hint="eastAsia" w:ascii="宋体" w:hAnsi="宋体" w:cs="宋体"/>
          <w:bCs/>
          <w:sz w:val="24"/>
        </w:rPr>
      </w:pPr>
      <w:r>
        <w:rPr>
          <w:rFonts w:hint="eastAsia" w:ascii="宋体" w:hAnsi="宋体" w:cs="宋体"/>
          <w:bCs/>
          <w:sz w:val="24"/>
          <w:lang w:val="en-US" w:eastAsia="zh-CN"/>
        </w:rPr>
        <w:t>信息采集</w:t>
      </w:r>
      <w:r>
        <w:rPr>
          <w:rFonts w:hint="eastAsia" w:ascii="宋体" w:hAnsi="宋体" w:cs="宋体"/>
          <w:bCs/>
          <w:sz w:val="24"/>
        </w:rPr>
        <w:t>范围：</w:t>
      </w:r>
    </w:p>
    <w:p>
      <w:pPr>
        <w:spacing w:line="360" w:lineRule="auto"/>
        <w:ind w:firstLine="480" w:firstLineChars="200"/>
        <w:rPr>
          <w:rFonts w:hint="eastAsia" w:ascii="宋体" w:hAnsi="宋体" w:cs="宋体"/>
          <w:bCs/>
          <w:sz w:val="24"/>
        </w:rPr>
      </w:pPr>
      <w:r>
        <w:rPr>
          <w:rFonts w:hint="eastAsia" w:ascii="宋体" w:hAnsi="宋体" w:cs="宋体"/>
          <w:bCs/>
          <w:sz w:val="24"/>
        </w:rPr>
        <w:t>上虞</w:t>
      </w:r>
      <w:r>
        <w:rPr>
          <w:rFonts w:hint="eastAsia" w:ascii="宋体" w:hAnsi="宋体" w:cs="宋体"/>
          <w:bCs/>
          <w:sz w:val="24"/>
          <w:lang w:eastAsia="zh-CN"/>
        </w:rPr>
        <w:t>区建成区和建制镇（乡）街全覆盖</w:t>
      </w:r>
      <w:r>
        <w:rPr>
          <w:rFonts w:hint="eastAsia" w:ascii="宋体" w:hAnsi="宋体" w:cs="宋体"/>
          <w:bCs/>
          <w:sz w:val="24"/>
        </w:rPr>
        <w:t>。</w:t>
      </w:r>
      <w:r>
        <w:rPr>
          <w:rFonts w:hint="eastAsia" w:ascii="宋体" w:hAnsi="宋体" w:cs="宋体"/>
          <w:bCs/>
          <w:sz w:val="24"/>
          <w:lang w:eastAsia="zh-CN"/>
        </w:rPr>
        <w:t>其中</w:t>
      </w:r>
      <w:r>
        <w:rPr>
          <w:rFonts w:hint="eastAsia" w:ascii="宋体" w:hAnsi="宋体" w:cs="宋体"/>
          <w:bCs/>
          <w:sz w:val="24"/>
        </w:rPr>
        <w:t>上虞城区四环以内范围</w:t>
      </w:r>
      <w:r>
        <w:rPr>
          <w:rFonts w:hint="eastAsia" w:ascii="宋体" w:hAnsi="宋体" w:cs="宋体"/>
          <w:bCs/>
          <w:sz w:val="24"/>
          <w:lang w:eastAsia="zh-CN"/>
        </w:rPr>
        <w:t>为核心区域，</w:t>
      </w:r>
      <w:r>
        <w:rPr>
          <w:rFonts w:hint="eastAsia" w:ascii="宋体" w:hAnsi="宋体" w:cs="宋体"/>
          <w:bCs/>
          <w:sz w:val="24"/>
        </w:rPr>
        <w:t>东关街道、崧厦街道、道墟街道、小越街道、梁湖街道建成区范围</w:t>
      </w:r>
      <w:r>
        <w:rPr>
          <w:rFonts w:hint="eastAsia" w:ascii="宋体" w:hAnsi="宋体" w:cs="宋体"/>
          <w:bCs/>
          <w:sz w:val="24"/>
          <w:lang w:eastAsia="zh-CN"/>
        </w:rPr>
        <w:t>为次核心区域，其他区域为非核心区域。</w:t>
      </w:r>
    </w:p>
    <w:p>
      <w:pPr>
        <w:numPr>
          <w:ilvl w:val="0"/>
          <w:numId w:val="0"/>
        </w:numPr>
        <w:spacing w:line="360" w:lineRule="auto"/>
        <w:ind w:leftChars="200"/>
        <w:rPr>
          <w:rFonts w:hint="eastAsia" w:ascii="宋体" w:hAnsi="宋体" w:cs="宋体"/>
          <w:b/>
          <w:bCs/>
          <w:sz w:val="24"/>
        </w:rPr>
      </w:pPr>
      <w:r>
        <w:rPr>
          <w:rFonts w:hint="eastAsia" w:ascii="宋体" w:hAnsi="宋体" w:cs="宋体"/>
          <w:b/>
          <w:bCs/>
          <w:sz w:val="24"/>
          <w:lang w:eastAsia="zh-CN"/>
        </w:rPr>
        <w:t>二、</w:t>
      </w:r>
      <w:r>
        <w:rPr>
          <w:rFonts w:hint="eastAsia" w:ascii="宋体" w:hAnsi="宋体" w:cs="宋体"/>
          <w:b/>
          <w:bCs/>
          <w:sz w:val="24"/>
        </w:rPr>
        <w:t>相关要求及计扣方法</w:t>
      </w:r>
    </w:p>
    <w:p>
      <w:pPr>
        <w:numPr>
          <w:ilvl w:val="0"/>
          <w:numId w:val="17"/>
        </w:numPr>
        <w:tabs>
          <w:tab w:val="left" w:pos="720"/>
        </w:tabs>
        <w:spacing w:line="360" w:lineRule="auto"/>
        <w:ind w:left="0" w:leftChars="0" w:firstLine="480" w:firstLineChars="200"/>
        <w:rPr>
          <w:rFonts w:ascii="宋体" w:hAnsi="宋体" w:cs="仿宋_GB2312"/>
          <w:color w:val="auto"/>
          <w:kern w:val="0"/>
          <w:sz w:val="24"/>
          <w:highlight w:val="none"/>
          <w:lang w:val="zh-CN"/>
        </w:rPr>
      </w:pPr>
      <w:r>
        <w:rPr>
          <w:rFonts w:hint="eastAsia" w:ascii="宋体" w:hAnsi="宋体" w:cs="宋体"/>
          <w:bCs/>
          <w:color w:val="auto"/>
          <w:sz w:val="24"/>
          <w:highlight w:val="none"/>
          <w:lang w:val="en-US" w:eastAsia="zh-CN"/>
        </w:rPr>
        <w:t>服务</w:t>
      </w:r>
      <w:r>
        <w:rPr>
          <w:rFonts w:hint="eastAsia" w:ascii="宋体" w:hAnsi="宋体" w:cs="宋体"/>
          <w:bCs/>
          <w:color w:val="auto"/>
          <w:sz w:val="24"/>
          <w:highlight w:val="none"/>
        </w:rPr>
        <w:t>期限内保证上传有效问题信息</w:t>
      </w:r>
      <w:r>
        <w:rPr>
          <w:rFonts w:hint="eastAsia" w:ascii="宋体" w:hAnsi="宋体" w:cs="宋体"/>
          <w:bCs/>
          <w:color w:val="auto"/>
          <w:sz w:val="24"/>
          <w:highlight w:val="none"/>
          <w:lang w:eastAsia="zh-CN"/>
        </w:rPr>
        <w:t>（不包括快速上报信息）</w:t>
      </w:r>
      <w:r>
        <w:rPr>
          <w:rFonts w:hint="eastAsia" w:ascii="宋体" w:hAnsi="宋体" w:cs="宋体"/>
          <w:bCs/>
          <w:color w:val="auto"/>
          <w:sz w:val="24"/>
          <w:highlight w:val="none"/>
        </w:rPr>
        <w:t>不少于3</w:t>
      </w: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rPr>
        <w:t>00件/月，其中公安、执法、住建三部门以外部门信息数量不少于500件/月</w:t>
      </w:r>
      <w:r>
        <w:rPr>
          <w:rFonts w:hint="eastAsia" w:ascii="宋体" w:hAnsi="宋体" w:cs="宋体"/>
          <w:bCs/>
          <w:color w:val="auto"/>
          <w:sz w:val="24"/>
          <w:highlight w:val="none"/>
          <w:lang w:eastAsia="zh-CN"/>
        </w:rPr>
        <w:t>。</w:t>
      </w:r>
    </w:p>
    <w:p>
      <w:pPr>
        <w:numPr>
          <w:ilvl w:val="0"/>
          <w:numId w:val="17"/>
        </w:numPr>
        <w:tabs>
          <w:tab w:val="left" w:pos="720"/>
        </w:tabs>
        <w:spacing w:line="360" w:lineRule="auto"/>
        <w:ind w:left="0" w:leftChars="0" w:firstLine="480" w:firstLineChars="200"/>
        <w:rPr>
          <w:rFonts w:ascii="宋体" w:hAnsi="宋体" w:cs="仿宋_GB2312"/>
          <w:color w:val="auto"/>
          <w:kern w:val="0"/>
          <w:sz w:val="24"/>
          <w:highlight w:val="none"/>
          <w:lang w:val="zh-CN"/>
        </w:rPr>
      </w:pPr>
      <w:r>
        <w:rPr>
          <w:rFonts w:hint="eastAsia" w:ascii="宋体" w:hAnsi="宋体"/>
          <w:color w:val="auto"/>
          <w:sz w:val="24"/>
          <w:highlight w:val="none"/>
        </w:rPr>
        <w:t>保证上传各类数据的准确性：</w:t>
      </w:r>
      <w:r>
        <w:rPr>
          <w:rFonts w:hint="eastAsia" w:ascii="宋体" w:hAnsi="宋体" w:cs="宋体"/>
          <w:bCs/>
          <w:color w:val="auto"/>
          <w:sz w:val="24"/>
          <w:highlight w:val="none"/>
        </w:rPr>
        <w:t>要求上传信息（包括核查和核实）差错率（按月统计）不超过</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%。月计扣办法：差错率(含不立案)每增加1</w:t>
      </w:r>
      <w:r>
        <w:rPr>
          <w:rFonts w:hint="eastAsia" w:ascii="宋体" w:hAnsi="宋体" w:cs="宋体"/>
          <w:bCs/>
          <w:color w:val="auto"/>
          <w:sz w:val="24"/>
          <w:highlight w:val="none"/>
          <w:lang w:val="en-US" w:eastAsia="zh-CN"/>
        </w:rPr>
        <w:t>%</w:t>
      </w:r>
      <w:r>
        <w:rPr>
          <w:rFonts w:hint="eastAsia" w:ascii="宋体" w:hAnsi="宋体" w:cs="宋体"/>
          <w:bCs/>
          <w:color w:val="auto"/>
          <w:sz w:val="24"/>
          <w:highlight w:val="none"/>
        </w:rPr>
        <w:t>扣</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00元，以此类推。</w:t>
      </w:r>
      <w:r>
        <w:rPr>
          <w:rFonts w:hint="eastAsia" w:ascii="宋体" w:hAnsi="宋体" w:cs="宋体"/>
          <w:bCs/>
          <w:color w:val="FF0000"/>
          <w:sz w:val="24"/>
          <w:highlight w:val="none"/>
        </w:rPr>
        <w:t>若上传产生重大差错且产生较大影响，一经核实，每件扣</w:t>
      </w:r>
      <w:r>
        <w:rPr>
          <w:rFonts w:hint="eastAsia" w:ascii="宋体" w:hAnsi="宋体" w:cs="宋体"/>
          <w:bCs/>
          <w:color w:val="FF0000"/>
          <w:sz w:val="24"/>
          <w:highlight w:val="none"/>
          <w:lang w:val="en-US" w:eastAsia="zh-CN"/>
        </w:rPr>
        <w:t>1000</w:t>
      </w:r>
      <w:r>
        <w:rPr>
          <w:rFonts w:hint="eastAsia" w:ascii="宋体" w:hAnsi="宋体" w:cs="宋体"/>
          <w:bCs/>
          <w:color w:val="FF0000"/>
          <w:sz w:val="24"/>
          <w:highlight w:val="none"/>
        </w:rPr>
        <w:t>元</w:t>
      </w:r>
      <w:r>
        <w:rPr>
          <w:rFonts w:hint="eastAsia" w:ascii="宋体" w:hAnsi="宋体" w:cs="宋体"/>
          <w:bCs/>
          <w:color w:val="auto"/>
          <w:sz w:val="24"/>
          <w:highlight w:val="none"/>
        </w:rPr>
        <w:t>。</w:t>
      </w:r>
    </w:p>
    <w:p>
      <w:pPr>
        <w:numPr>
          <w:ilvl w:val="0"/>
          <w:numId w:val="17"/>
        </w:numPr>
        <w:tabs>
          <w:tab w:val="left" w:pos="720"/>
        </w:tabs>
        <w:spacing w:line="360" w:lineRule="auto"/>
        <w:ind w:left="0" w:leftChars="0" w:firstLine="480" w:firstLineChars="200"/>
        <w:rPr>
          <w:rFonts w:hint="eastAsia"/>
          <w:color w:val="auto"/>
          <w:sz w:val="24"/>
          <w:highlight w:val="none"/>
        </w:rPr>
      </w:pPr>
      <w:r>
        <w:rPr>
          <w:rFonts w:hint="eastAsia" w:ascii="宋体" w:hAnsi="宋体" w:cs="仿宋_GB2312"/>
          <w:color w:val="auto"/>
          <w:kern w:val="0"/>
          <w:sz w:val="24"/>
          <w:highlight w:val="none"/>
          <w:lang w:val="zh-CN"/>
        </w:rPr>
        <w:t>巡查密度要求：</w:t>
      </w:r>
      <w:r>
        <w:rPr>
          <w:rFonts w:hint="eastAsia" w:ascii="宋体" w:hAnsi="宋体" w:cs="宋体"/>
          <w:bCs/>
          <w:color w:val="auto"/>
          <w:sz w:val="24"/>
          <w:highlight w:val="none"/>
        </w:rPr>
        <w:t>在单元网格的基础上划分工作责任网格，原则上每个工作责任网格配置固定人员，设定固定巡查路线，保证巡查间隔时间</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核心区域1次/4小时，次核心区域1次/周，非核心区域1次/季度</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。月计扣办法：</w:t>
      </w:r>
      <w:r>
        <w:rPr>
          <w:rFonts w:hint="eastAsia" w:ascii="宋体" w:hAnsi="宋体" w:cs="宋体"/>
          <w:bCs/>
          <w:color w:val="auto"/>
          <w:sz w:val="24"/>
          <w:highlight w:val="none"/>
          <w:lang w:eastAsia="zh-CN"/>
        </w:rPr>
        <w:t>每缺</w:t>
      </w:r>
      <w:r>
        <w:rPr>
          <w:rFonts w:hint="eastAsia" w:ascii="宋体" w:hAnsi="宋体" w:cs="宋体"/>
          <w:bCs/>
          <w:color w:val="auto"/>
          <w:sz w:val="24"/>
          <w:highlight w:val="none"/>
          <w:lang w:val="en-US" w:eastAsia="zh-CN"/>
        </w:rPr>
        <w:t>1次</w:t>
      </w:r>
      <w:r>
        <w:rPr>
          <w:rFonts w:hint="eastAsia" w:ascii="宋体" w:hAnsi="宋体" w:cs="宋体"/>
          <w:bCs/>
          <w:color w:val="auto"/>
          <w:sz w:val="24"/>
          <w:highlight w:val="none"/>
        </w:rPr>
        <w:t>扣300元</w:t>
      </w:r>
      <w:r>
        <w:rPr>
          <w:rFonts w:hint="eastAsia" w:ascii="宋体" w:hAnsi="宋体" w:cs="宋体"/>
          <w:bCs/>
          <w:color w:val="auto"/>
          <w:sz w:val="24"/>
          <w:highlight w:val="none"/>
          <w:lang w:eastAsia="zh-CN"/>
        </w:rPr>
        <w:t>。</w:t>
      </w:r>
    </w:p>
    <w:p>
      <w:pPr>
        <w:numPr>
          <w:ilvl w:val="0"/>
          <w:numId w:val="17"/>
        </w:numPr>
        <w:tabs>
          <w:tab w:val="left" w:pos="720"/>
        </w:tabs>
        <w:spacing w:line="360" w:lineRule="auto"/>
        <w:ind w:left="0" w:leftChars="0" w:firstLine="480" w:firstLineChars="200"/>
        <w:rPr>
          <w:rFonts w:hint="eastAsia"/>
          <w:color w:val="auto"/>
          <w:sz w:val="24"/>
          <w:highlight w:val="none"/>
        </w:rPr>
      </w:pPr>
      <w:r>
        <w:rPr>
          <w:rFonts w:hint="eastAsia" w:ascii="宋体" w:hAnsi="宋体" w:cs="宋体"/>
          <w:bCs/>
          <w:color w:val="auto"/>
          <w:sz w:val="24"/>
          <w:highlight w:val="none"/>
        </w:rPr>
        <w:t>人员配置要求：</w:t>
      </w:r>
      <w:r>
        <w:rPr>
          <w:rFonts w:hint="eastAsia" w:ascii="宋体" w:hAnsi="宋体" w:cs="宋体"/>
          <w:bCs/>
          <w:color w:val="auto"/>
          <w:sz w:val="24"/>
          <w:highlight w:val="none"/>
          <w:lang w:val="en-US" w:eastAsia="zh-CN"/>
        </w:rPr>
        <w:t>每个工作网格需安排固定采集人员</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如出现人员离岗等特殊情况，</w:t>
      </w:r>
      <w:r>
        <w:rPr>
          <w:rFonts w:hint="eastAsia" w:ascii="宋体" w:hAnsi="宋体" w:cs="宋体"/>
          <w:bCs/>
          <w:color w:val="auto"/>
          <w:sz w:val="24"/>
          <w:highlight w:val="none"/>
          <w:lang w:val="en-US" w:eastAsia="zh-CN"/>
        </w:rPr>
        <w:t>供应商</w:t>
      </w:r>
      <w:r>
        <w:rPr>
          <w:rFonts w:hint="eastAsia" w:ascii="宋体" w:hAnsi="宋体" w:cs="宋体"/>
          <w:bCs/>
          <w:color w:val="auto"/>
          <w:sz w:val="24"/>
          <w:highlight w:val="none"/>
        </w:rPr>
        <w:t>应及时上报采购人，并在7个工作日内配备到位，未按规定时间配备到位的，每人次扣1000元。</w:t>
      </w:r>
    </w:p>
    <w:p>
      <w:pPr>
        <w:numPr>
          <w:ilvl w:val="0"/>
          <w:numId w:val="17"/>
        </w:numPr>
        <w:tabs>
          <w:tab w:val="left" w:pos="720"/>
        </w:tabs>
        <w:spacing w:line="360" w:lineRule="auto"/>
        <w:ind w:left="0" w:leftChars="0" w:firstLine="480" w:firstLineChars="200"/>
        <w:rPr>
          <w:rFonts w:hint="eastAsia"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巡查数据传输时间，每天8:00-18:00，因工作需要或季节变化视情适当调整，节假日和双休日原则上不休息，中心发出的核查、核定指令回复时间，8:30-12:00和14:00-17:00内需在1小时内予以回复，城郊结合部核查指令需在当日予以回复，突发、重大事件核查指令需在30分钟内予以回复，其余事件段以限定事件为准，回复准时率为92%(含)。及时率下降1%扣300元。核查回复率必须达到98%以上（含），每下降1%扣500元，以此类推。</w:t>
      </w:r>
    </w:p>
    <w:p>
      <w:pPr>
        <w:numPr>
          <w:ilvl w:val="0"/>
          <w:numId w:val="17"/>
        </w:numPr>
        <w:tabs>
          <w:tab w:val="left" w:pos="720"/>
        </w:tabs>
        <w:spacing w:line="360" w:lineRule="auto"/>
        <w:ind w:left="0" w:leftChars="0" w:firstLine="480" w:firstLineChars="200"/>
        <w:rPr>
          <w:rFonts w:hint="eastAsia"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上报案卷及时准确，工作时间和区域内发生新闻曝光、社会反映较大的问题而信息采集员未作上报的，每发生一次扣500元。</w:t>
      </w:r>
    </w:p>
    <w:p>
      <w:pPr>
        <w:numPr>
          <w:ilvl w:val="0"/>
          <w:numId w:val="17"/>
        </w:numPr>
        <w:tabs>
          <w:tab w:val="left" w:pos="720"/>
        </w:tabs>
        <w:spacing w:line="360" w:lineRule="auto"/>
        <w:ind w:left="0" w:leftChars="0" w:firstLine="480" w:firstLineChars="200"/>
        <w:rPr>
          <w:rFonts w:hint="eastAsia"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加强信息质量管理，提高业务水平。建立管理人员定人定岗制度，未建立的扣1000元。建立重点区域信息采集制度，未建立的扣1000元。工作做到有计划有总结，每月5日前需提供本月工作计划，未提供每次扣1000元；每月5日前需提供上个月的工作总结，要对上一个月的案卷上报内容、分类、区域等情况进行分析，未提拱每次扣1000元；年度提供详细工作总结报告，未提供的扣5000元。</w:t>
      </w:r>
    </w:p>
    <w:p>
      <w:pPr>
        <w:numPr>
          <w:ilvl w:val="0"/>
          <w:numId w:val="17"/>
        </w:numPr>
        <w:tabs>
          <w:tab w:val="left" w:pos="720"/>
        </w:tabs>
        <w:spacing w:line="360" w:lineRule="auto"/>
        <w:ind w:left="0" w:leftChars="0" w:firstLine="480" w:firstLineChars="200"/>
        <w:rPr>
          <w:rFonts w:hint="eastAsia"/>
          <w:color w:val="auto"/>
          <w:sz w:val="24"/>
          <w:highlight w:val="none"/>
        </w:rPr>
      </w:pPr>
      <w:r>
        <w:rPr>
          <w:rFonts w:hint="eastAsia" w:ascii="宋体" w:hAnsi="宋体" w:cs="仿宋_GB2312"/>
          <w:color w:val="auto"/>
          <w:kern w:val="0"/>
          <w:sz w:val="24"/>
          <w:highlight w:val="none"/>
          <w:lang w:val="en-US" w:eastAsia="zh-CN"/>
        </w:rPr>
        <w:t>供应商</w:t>
      </w:r>
      <w:r>
        <w:rPr>
          <w:rFonts w:hint="eastAsia" w:ascii="宋体" w:hAnsi="宋体" w:cs="仿宋_GB2312"/>
          <w:color w:val="auto"/>
          <w:kern w:val="0"/>
          <w:sz w:val="24"/>
          <w:highlight w:val="none"/>
          <w:lang w:val="zh-CN"/>
        </w:rPr>
        <w:t>加强</w:t>
      </w:r>
      <w:r>
        <w:rPr>
          <w:rFonts w:hint="eastAsia" w:ascii="宋体" w:hAnsi="宋体" w:cs="仿宋_GB2312"/>
          <w:color w:val="auto"/>
          <w:kern w:val="0"/>
          <w:sz w:val="24"/>
          <w:highlight w:val="none"/>
          <w:lang w:val="en-US" w:eastAsia="zh-CN"/>
        </w:rPr>
        <w:t>对所雇佣人员、</w:t>
      </w:r>
      <w:r>
        <w:rPr>
          <w:rFonts w:hint="eastAsia" w:ascii="宋体" w:hAnsi="宋体" w:cs="仿宋_GB2312"/>
          <w:color w:val="auto"/>
          <w:kern w:val="0"/>
          <w:sz w:val="24"/>
          <w:highlight w:val="none"/>
          <w:lang w:val="zh-CN"/>
        </w:rPr>
        <w:t>员工队伍管理。每月不少于二次</w:t>
      </w:r>
      <w:r>
        <w:rPr>
          <w:rFonts w:hint="eastAsia" w:ascii="宋体" w:hAnsi="宋体" w:cs="仿宋_GB2312"/>
          <w:color w:val="auto"/>
          <w:kern w:val="0"/>
          <w:sz w:val="24"/>
          <w:highlight w:val="none"/>
          <w:lang w:val="zh-CN" w:eastAsia="zh-Hans"/>
        </w:rPr>
        <w:t>对员</w:t>
      </w:r>
      <w:r>
        <w:rPr>
          <w:rFonts w:hint="eastAsia" w:ascii="宋体" w:hAnsi="宋体" w:cs="仿宋_GB2312"/>
          <w:color w:val="auto"/>
          <w:kern w:val="0"/>
          <w:sz w:val="24"/>
          <w:highlight w:val="none"/>
          <w:lang w:val="zh-CN"/>
        </w:rPr>
        <w:t>工</w:t>
      </w:r>
      <w:r>
        <w:rPr>
          <w:rFonts w:hint="eastAsia" w:ascii="宋体" w:hAnsi="宋体" w:cs="仿宋_GB2312"/>
          <w:color w:val="auto"/>
          <w:kern w:val="0"/>
          <w:sz w:val="24"/>
          <w:highlight w:val="none"/>
          <w:lang w:val="zh-CN" w:eastAsia="zh-Hans"/>
        </w:rPr>
        <w:t>进行思想素质教育、从业道德教育和业务教育培训</w:t>
      </w:r>
      <w:r>
        <w:rPr>
          <w:rFonts w:hint="eastAsia" w:ascii="宋体" w:hAnsi="宋体" w:cs="仿宋_GB2312"/>
          <w:color w:val="auto"/>
          <w:kern w:val="0"/>
          <w:sz w:val="24"/>
          <w:highlight w:val="none"/>
          <w:lang w:val="zh-CN"/>
        </w:rPr>
        <w:t>。每月每少一次教育学习培训的扣1000元。不发生与工作相关的吃、拿、卡、要等问题，不发生有责纠纷，不发生弄虚作假的行为，不发生克扣员工工资福利等行为，以上行为每出现一次扣2000元，出现三次采购人可立即中止合同。</w:t>
      </w:r>
    </w:p>
    <w:p>
      <w:pPr>
        <w:numPr>
          <w:ilvl w:val="0"/>
          <w:numId w:val="17"/>
        </w:numPr>
        <w:tabs>
          <w:tab w:val="left" w:pos="720"/>
        </w:tabs>
        <w:spacing w:line="360" w:lineRule="auto"/>
        <w:ind w:left="0" w:leftChars="0" w:firstLine="480" w:firstLineChars="200"/>
        <w:rPr>
          <w:rFonts w:hint="eastAsia"/>
          <w:color w:val="auto"/>
          <w:sz w:val="24"/>
          <w:highlight w:val="none"/>
        </w:rPr>
      </w:pPr>
      <w:r>
        <w:rPr>
          <w:rFonts w:hint="eastAsia"/>
          <w:color w:val="auto"/>
          <w:sz w:val="24"/>
          <w:highlight w:val="none"/>
        </w:rPr>
        <w:t>加强档案管理。每月5日前需上报员工的考勤情况登记表、教育学习培训签到单及学习记录。未按时提交，每缺一项扣500元。</w:t>
      </w:r>
    </w:p>
    <w:p>
      <w:pPr>
        <w:numPr>
          <w:ilvl w:val="0"/>
          <w:numId w:val="17"/>
        </w:numPr>
        <w:tabs>
          <w:tab w:val="left" w:pos="720"/>
        </w:tabs>
        <w:spacing w:line="360" w:lineRule="auto"/>
        <w:ind w:left="0" w:leftChars="0" w:firstLine="480" w:firstLineChars="200"/>
        <w:rPr>
          <w:rFonts w:hint="eastAsia" w:ascii="宋体" w:hAnsi="宋体" w:cs="宋体"/>
          <w:bCs/>
          <w:color w:val="auto"/>
          <w:sz w:val="24"/>
          <w:highlight w:val="none"/>
        </w:rPr>
      </w:pPr>
      <w:r>
        <w:rPr>
          <w:rFonts w:hint="eastAsia" w:ascii="宋体" w:hAnsi="宋体" w:cs="仿宋_GB2312"/>
          <w:color w:val="auto"/>
          <w:kern w:val="0"/>
          <w:sz w:val="24"/>
          <w:highlight w:val="none"/>
          <w:lang w:val="zh-CN"/>
        </w:rPr>
        <w:t>运用科技手段提高信息采集工作的质量和智能化管理水平。通过装备车（电动自行车）载自动采集设备、无人机等，提升采集方式信息化，</w:t>
      </w:r>
      <w:r>
        <w:rPr>
          <w:rFonts w:hint="eastAsia" w:ascii="宋体" w:hAnsi="宋体" w:cs="仿宋_GB2312"/>
          <w:color w:val="auto"/>
          <w:kern w:val="0"/>
          <w:sz w:val="24"/>
          <w:highlight w:val="none"/>
          <w:lang w:val="en-US" w:eastAsia="zh-CN"/>
        </w:rPr>
        <w:t>在服务期限内</w:t>
      </w:r>
      <w:r>
        <w:rPr>
          <w:rFonts w:hint="eastAsia" w:ascii="宋体" w:hAnsi="宋体" w:cs="仿宋_GB2312"/>
          <w:color w:val="auto"/>
          <w:kern w:val="0"/>
          <w:sz w:val="24"/>
          <w:highlight w:val="none"/>
          <w:lang w:val="zh-CN"/>
        </w:rPr>
        <w:t>不少于</w:t>
      </w:r>
      <w:r>
        <w:rPr>
          <w:rFonts w:hint="eastAsia" w:ascii="宋体" w:hAnsi="宋体" w:cs="仿宋_GB2312"/>
          <w:color w:val="auto"/>
          <w:kern w:val="0"/>
          <w:sz w:val="24"/>
          <w:highlight w:val="none"/>
          <w:lang w:val="en-US" w:eastAsia="zh-CN"/>
        </w:rPr>
        <w:t>2次</w:t>
      </w:r>
      <w:r>
        <w:rPr>
          <w:rFonts w:hint="eastAsia" w:ascii="宋体" w:hAnsi="宋体" w:cs="仿宋_GB2312"/>
          <w:color w:val="auto"/>
          <w:kern w:val="0"/>
          <w:sz w:val="24"/>
          <w:highlight w:val="none"/>
          <w:lang w:val="zh-CN"/>
        </w:rPr>
        <w:t>。</w:t>
      </w:r>
    </w:p>
    <w:p>
      <w:pPr>
        <w:numPr>
          <w:ilvl w:val="0"/>
          <w:numId w:val="17"/>
        </w:numPr>
        <w:tabs>
          <w:tab w:val="left" w:pos="720"/>
        </w:tabs>
        <w:spacing w:line="360" w:lineRule="auto"/>
        <w:ind w:left="0" w:leftChars="0" w:firstLine="480" w:firstLineChars="200"/>
        <w:jc w:val="left"/>
        <w:rPr>
          <w:rFonts w:hint="eastAsia" w:ascii="宋体" w:hAnsi="宋体" w:cs="宋体"/>
          <w:bCs/>
          <w:color w:val="auto"/>
          <w:sz w:val="24"/>
          <w:highlight w:val="none"/>
        </w:rPr>
      </w:pPr>
      <w:r>
        <w:rPr>
          <w:rFonts w:hint="eastAsia" w:ascii="宋体" w:hAnsi="宋体"/>
          <w:color w:val="auto"/>
          <w:sz w:val="24"/>
          <w:highlight w:val="none"/>
        </w:rPr>
        <w:t>具备现代企业管理制度，具备完善有效的监督、考核、奖惩机制。</w:t>
      </w:r>
    </w:p>
    <w:p>
      <w:pPr>
        <w:numPr>
          <w:ilvl w:val="0"/>
          <w:numId w:val="17"/>
        </w:numPr>
        <w:tabs>
          <w:tab w:val="left" w:pos="720"/>
        </w:tabs>
        <w:spacing w:line="360" w:lineRule="auto"/>
        <w:ind w:left="0" w:leftChars="0"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按照《</w:t>
      </w:r>
      <w:r>
        <w:rPr>
          <w:rFonts w:hint="eastAsia" w:ascii="宋体" w:hAnsi="宋体" w:cs="宋体"/>
          <w:bCs/>
          <w:color w:val="auto"/>
          <w:sz w:val="24"/>
          <w:highlight w:val="none"/>
          <w:lang w:eastAsia="zh-CN"/>
        </w:rPr>
        <w:t>绍兴市</w:t>
      </w:r>
      <w:r>
        <w:rPr>
          <w:rFonts w:hint="eastAsia" w:ascii="宋体" w:hAnsi="宋体" w:cs="宋体"/>
          <w:bCs/>
          <w:color w:val="auto"/>
          <w:sz w:val="24"/>
          <w:highlight w:val="none"/>
        </w:rPr>
        <w:t>智慧城管考核办法》有关规定，确保每月部件类问题占比达</w:t>
      </w:r>
      <w:r>
        <w:rPr>
          <w:rFonts w:hint="eastAsia" w:ascii="宋体" w:hAnsi="宋体" w:cs="宋体"/>
          <w:bCs/>
          <w:color w:val="auto"/>
          <w:sz w:val="24"/>
          <w:highlight w:val="none"/>
          <w:lang w:val="en-US" w:eastAsia="zh-CN"/>
        </w:rPr>
        <w:t>12</w:t>
      </w:r>
      <w:r>
        <w:rPr>
          <w:rFonts w:hint="eastAsia" w:ascii="宋体" w:hAnsi="宋体" w:cs="宋体"/>
          <w:bCs/>
          <w:color w:val="auto"/>
          <w:sz w:val="24"/>
          <w:highlight w:val="none"/>
        </w:rPr>
        <w:t>%以上，</w:t>
      </w:r>
      <w:r>
        <w:rPr>
          <w:rFonts w:hint="eastAsia" w:ascii="宋体" w:hAnsi="宋体" w:cs="宋体"/>
          <w:bCs/>
          <w:color w:val="auto"/>
          <w:sz w:val="24"/>
          <w:highlight w:val="none"/>
          <w:lang w:eastAsia="zh-CN"/>
        </w:rPr>
        <w:t>部件处置难度系数</w:t>
      </w:r>
      <w:r>
        <w:rPr>
          <w:rFonts w:hint="eastAsia" w:ascii="宋体" w:hAnsi="宋体" w:cs="宋体"/>
          <w:bCs/>
          <w:color w:val="auto"/>
          <w:sz w:val="24"/>
          <w:highlight w:val="none"/>
        </w:rPr>
        <w:t>达</w:t>
      </w:r>
      <w:r>
        <w:rPr>
          <w:rFonts w:hint="eastAsia" w:ascii="宋体" w:hAnsi="宋体" w:cs="宋体"/>
          <w:bCs/>
          <w:color w:val="auto"/>
          <w:sz w:val="24"/>
          <w:highlight w:val="none"/>
          <w:lang w:val="en-US" w:eastAsia="zh-CN"/>
        </w:rPr>
        <w:t>0.75</w:t>
      </w:r>
      <w:r>
        <w:rPr>
          <w:rFonts w:hint="eastAsia" w:ascii="宋体" w:hAnsi="宋体" w:cs="宋体"/>
          <w:bCs/>
          <w:color w:val="auto"/>
          <w:sz w:val="24"/>
          <w:highlight w:val="none"/>
        </w:rPr>
        <w:t>以上</w:t>
      </w:r>
      <w:r>
        <w:rPr>
          <w:rFonts w:hint="eastAsia" w:ascii="宋体" w:hAnsi="宋体" w:cs="宋体"/>
          <w:bCs/>
          <w:color w:val="FF0000"/>
          <w:sz w:val="24"/>
          <w:highlight w:val="none"/>
          <w:lang w:eastAsia="zh-CN"/>
        </w:rPr>
        <w:t>，未达到扣</w:t>
      </w:r>
      <w:r>
        <w:rPr>
          <w:rFonts w:hint="eastAsia" w:ascii="宋体" w:hAnsi="宋体" w:cs="宋体"/>
          <w:bCs/>
          <w:color w:val="FF0000"/>
          <w:sz w:val="24"/>
          <w:highlight w:val="none"/>
          <w:lang w:val="en-US" w:eastAsia="zh-CN"/>
        </w:rPr>
        <w:t>1000元</w:t>
      </w:r>
      <w:r>
        <w:rPr>
          <w:rFonts w:hint="eastAsia" w:ascii="宋体" w:hAnsi="宋体" w:cs="宋体"/>
          <w:bCs/>
          <w:color w:val="auto"/>
          <w:sz w:val="24"/>
          <w:highlight w:val="none"/>
          <w:lang w:eastAsia="zh-CN"/>
        </w:rPr>
        <w:t>。</w:t>
      </w:r>
    </w:p>
    <w:p>
      <w:pPr>
        <w:numPr>
          <w:ilvl w:val="0"/>
          <w:numId w:val="17"/>
        </w:numPr>
        <w:tabs>
          <w:tab w:val="left" w:pos="720"/>
        </w:tabs>
        <w:spacing w:line="360" w:lineRule="auto"/>
        <w:ind w:left="0" w:leftChars="0"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确保每月上报问题的部门覆盖率达到</w:t>
      </w:r>
      <w:r>
        <w:rPr>
          <w:rFonts w:hint="eastAsia" w:ascii="宋体" w:hAnsi="宋体" w:cs="宋体"/>
          <w:bCs/>
          <w:color w:val="auto"/>
          <w:sz w:val="24"/>
          <w:highlight w:val="none"/>
          <w:lang w:val="en-US" w:eastAsia="zh-CN"/>
        </w:rPr>
        <w:t>70</w:t>
      </w:r>
      <w:r>
        <w:rPr>
          <w:rFonts w:hint="eastAsia" w:ascii="宋体" w:hAnsi="宋体" w:cs="宋体"/>
          <w:bCs/>
          <w:color w:val="auto"/>
          <w:sz w:val="24"/>
          <w:highlight w:val="none"/>
        </w:rPr>
        <w:t>%以上，</w:t>
      </w:r>
      <w:r>
        <w:rPr>
          <w:rFonts w:hint="eastAsia" w:ascii="宋体" w:hAnsi="宋体" w:cs="宋体"/>
          <w:bCs/>
          <w:color w:val="auto"/>
          <w:sz w:val="24"/>
          <w:highlight w:val="none"/>
          <w:lang w:val="en-US" w:eastAsia="zh-CN"/>
        </w:rPr>
        <w:t>全服务年</w:t>
      </w:r>
      <w:r>
        <w:rPr>
          <w:rFonts w:hint="eastAsia" w:ascii="宋体" w:hAnsi="宋体" w:cs="宋体"/>
          <w:bCs/>
          <w:color w:val="auto"/>
          <w:sz w:val="24"/>
          <w:highlight w:val="none"/>
        </w:rPr>
        <w:t>度</w:t>
      </w:r>
      <w:r>
        <w:rPr>
          <w:rFonts w:hint="eastAsia" w:ascii="宋体" w:hAnsi="宋体" w:cs="宋体"/>
          <w:bCs/>
          <w:color w:val="auto"/>
          <w:sz w:val="24"/>
          <w:highlight w:val="none"/>
          <w:lang w:val="en-US" w:eastAsia="zh-CN"/>
        </w:rPr>
        <w:t>内</w:t>
      </w:r>
      <w:r>
        <w:rPr>
          <w:rFonts w:hint="eastAsia" w:ascii="宋体" w:hAnsi="宋体" w:cs="宋体"/>
          <w:bCs/>
          <w:color w:val="auto"/>
          <w:sz w:val="24"/>
          <w:highlight w:val="none"/>
        </w:rPr>
        <w:t>部门覆盖率达到</w:t>
      </w:r>
      <w:r>
        <w:rPr>
          <w:rFonts w:hint="eastAsia" w:ascii="宋体" w:hAnsi="宋体" w:cs="宋体"/>
          <w:bCs/>
          <w:color w:val="auto"/>
          <w:sz w:val="24"/>
          <w:highlight w:val="none"/>
          <w:lang w:val="en-US" w:eastAsia="zh-CN"/>
        </w:rPr>
        <w:t>85</w:t>
      </w:r>
      <w:r>
        <w:rPr>
          <w:rFonts w:hint="eastAsia" w:ascii="宋体" w:hAnsi="宋体" w:cs="宋体"/>
          <w:bCs/>
          <w:color w:val="auto"/>
          <w:sz w:val="24"/>
          <w:highlight w:val="none"/>
        </w:rPr>
        <w:t>%以上</w:t>
      </w:r>
      <w:r>
        <w:rPr>
          <w:rFonts w:hint="eastAsia" w:ascii="宋体" w:hAnsi="宋体" w:cs="宋体"/>
          <w:bCs/>
          <w:color w:val="FF0000"/>
          <w:sz w:val="24"/>
          <w:highlight w:val="none"/>
          <w:lang w:eastAsia="zh-CN"/>
        </w:rPr>
        <w:t>，未达到</w:t>
      </w:r>
      <w:r>
        <w:rPr>
          <w:rFonts w:hint="eastAsia" w:ascii="宋体" w:hAnsi="宋体" w:cs="宋体"/>
          <w:bCs/>
          <w:color w:val="FF0000"/>
          <w:sz w:val="24"/>
          <w:highlight w:val="none"/>
        </w:rPr>
        <w:t>每</w:t>
      </w:r>
      <w:r>
        <w:rPr>
          <w:rFonts w:hint="eastAsia" w:ascii="宋体" w:hAnsi="宋体" w:cs="宋体"/>
          <w:bCs/>
          <w:color w:val="FF0000"/>
          <w:sz w:val="24"/>
          <w:highlight w:val="none"/>
          <w:lang w:eastAsia="zh-CN"/>
        </w:rPr>
        <w:t>低</w:t>
      </w:r>
      <w:r>
        <w:rPr>
          <w:rFonts w:hint="eastAsia" w:ascii="宋体" w:hAnsi="宋体" w:cs="宋体"/>
          <w:bCs/>
          <w:color w:val="FF0000"/>
          <w:sz w:val="24"/>
          <w:highlight w:val="none"/>
        </w:rPr>
        <w:t>1</w:t>
      </w:r>
      <w:r>
        <w:rPr>
          <w:rFonts w:hint="eastAsia" w:ascii="宋体" w:hAnsi="宋体" w:cs="宋体"/>
          <w:bCs/>
          <w:color w:val="auto"/>
          <w:sz w:val="24"/>
          <w:highlight w:val="none"/>
        </w:rPr>
        <w:t>%</w:t>
      </w:r>
      <w:r>
        <w:rPr>
          <w:rFonts w:hint="eastAsia" w:ascii="宋体" w:hAnsi="宋体" w:cs="宋体"/>
          <w:bCs/>
          <w:color w:val="FF0000"/>
          <w:sz w:val="24"/>
          <w:highlight w:val="none"/>
        </w:rPr>
        <w:t>扣</w:t>
      </w:r>
      <w:r>
        <w:rPr>
          <w:rFonts w:hint="eastAsia" w:ascii="宋体" w:hAnsi="宋体" w:cs="宋体"/>
          <w:bCs/>
          <w:color w:val="FF0000"/>
          <w:sz w:val="24"/>
          <w:highlight w:val="none"/>
          <w:lang w:val="en-US" w:eastAsia="zh-CN"/>
        </w:rPr>
        <w:t>500</w:t>
      </w:r>
      <w:r>
        <w:rPr>
          <w:rFonts w:hint="eastAsia" w:ascii="宋体" w:hAnsi="宋体" w:cs="宋体"/>
          <w:bCs/>
          <w:color w:val="FF0000"/>
          <w:sz w:val="24"/>
          <w:highlight w:val="none"/>
        </w:rPr>
        <w:t>元</w:t>
      </w:r>
      <w:r>
        <w:rPr>
          <w:rFonts w:hint="eastAsia" w:ascii="宋体" w:hAnsi="宋体" w:cs="宋体"/>
          <w:bCs/>
          <w:color w:val="auto"/>
          <w:sz w:val="24"/>
          <w:highlight w:val="none"/>
          <w:lang w:eastAsia="zh-CN"/>
        </w:rPr>
        <w:t>。</w:t>
      </w:r>
    </w:p>
    <w:p>
      <w:pPr>
        <w:numPr>
          <w:ilvl w:val="0"/>
          <w:numId w:val="17"/>
        </w:numPr>
        <w:tabs>
          <w:tab w:val="left" w:pos="720"/>
        </w:tabs>
        <w:spacing w:line="360" w:lineRule="auto"/>
        <w:ind w:left="0" w:leftChars="0"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如因智慧城管运行实际需要，所产生的相关指标变化，</w:t>
      </w:r>
      <w:r>
        <w:rPr>
          <w:rFonts w:hint="eastAsia" w:ascii="宋体" w:hAnsi="宋体" w:cs="宋体"/>
          <w:bCs/>
          <w:color w:val="auto"/>
          <w:sz w:val="24"/>
          <w:highlight w:val="none"/>
          <w:lang w:val="en-US" w:eastAsia="zh-CN"/>
        </w:rPr>
        <w:t>供应商</w:t>
      </w:r>
      <w:r>
        <w:rPr>
          <w:rFonts w:hint="eastAsia" w:ascii="宋体" w:hAnsi="宋体" w:cs="宋体"/>
          <w:bCs/>
          <w:color w:val="auto"/>
          <w:sz w:val="24"/>
          <w:highlight w:val="none"/>
        </w:rPr>
        <w:t>必须无条件接受</w:t>
      </w:r>
      <w:r>
        <w:rPr>
          <w:rFonts w:hint="eastAsia" w:ascii="宋体" w:hAnsi="宋体" w:cs="宋体"/>
          <w:bCs/>
          <w:color w:val="auto"/>
          <w:sz w:val="24"/>
          <w:highlight w:val="none"/>
          <w:lang w:eastAsia="zh-CN"/>
        </w:rPr>
        <w:t>。</w:t>
      </w:r>
    </w:p>
    <w:p>
      <w:pPr>
        <w:numPr>
          <w:ilvl w:val="0"/>
          <w:numId w:val="17"/>
        </w:numPr>
        <w:tabs>
          <w:tab w:val="left" w:pos="720"/>
        </w:tabs>
        <w:spacing w:line="360" w:lineRule="auto"/>
        <w:ind w:left="0" w:leftChars="0"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重大节庆活动、防台防汛抗雪和其他突发性事件等特殊任务需要时，应服从智慧城管中心的统一安排，并无偿提供人员保障</w:t>
      </w:r>
      <w:r>
        <w:rPr>
          <w:rFonts w:hint="eastAsia" w:ascii="宋体" w:hAnsi="宋体" w:cs="宋体"/>
          <w:bCs/>
          <w:color w:val="auto"/>
          <w:sz w:val="24"/>
          <w:highlight w:val="none"/>
          <w:lang w:eastAsia="zh-CN"/>
        </w:rPr>
        <w:t>。</w:t>
      </w:r>
    </w:p>
    <w:p>
      <w:pPr>
        <w:numPr>
          <w:ilvl w:val="0"/>
          <w:numId w:val="17"/>
        </w:numPr>
        <w:tabs>
          <w:tab w:val="left" w:pos="720"/>
        </w:tabs>
        <w:spacing w:line="360" w:lineRule="auto"/>
        <w:ind w:left="0" w:leftChars="0"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发扬精神文明，提倡职业道德，轻微问题（举手之劳）做到及时劝导、处理。</w:t>
      </w:r>
    </w:p>
    <w:p>
      <w:pPr>
        <w:numPr>
          <w:ilvl w:val="0"/>
          <w:numId w:val="18"/>
        </w:numPr>
        <w:spacing w:line="360" w:lineRule="auto"/>
        <w:ind w:left="0" w:leftChars="0"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垃圾箱小门打开（未破损）或盖子未盖；</w:t>
      </w:r>
    </w:p>
    <w:p>
      <w:pPr>
        <w:numPr>
          <w:ilvl w:val="0"/>
          <w:numId w:val="18"/>
        </w:numPr>
        <w:spacing w:line="360" w:lineRule="auto"/>
        <w:ind w:left="0" w:leftChars="0"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垃圾箱外的小袋装垃圾；</w:t>
      </w:r>
    </w:p>
    <w:p>
      <w:pPr>
        <w:numPr>
          <w:ilvl w:val="0"/>
          <w:numId w:val="18"/>
        </w:numPr>
        <w:spacing w:line="360" w:lineRule="auto"/>
        <w:ind w:left="0" w:leftChars="0"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网络通讯交接箱、燃气表箱门打开（门锁、设施未破损）；</w:t>
      </w:r>
    </w:p>
    <w:p>
      <w:pPr>
        <w:numPr>
          <w:ilvl w:val="0"/>
          <w:numId w:val="18"/>
        </w:numPr>
        <w:spacing w:line="360" w:lineRule="auto"/>
        <w:ind w:left="0" w:leftChars="0"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窨井盖轻微错位，在采集员能力范围内；</w:t>
      </w:r>
    </w:p>
    <w:p>
      <w:pPr>
        <w:numPr>
          <w:ilvl w:val="0"/>
          <w:numId w:val="18"/>
        </w:numPr>
        <w:spacing w:line="360" w:lineRule="auto"/>
        <w:ind w:left="0" w:leftChars="0"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绿地或主干道上的小木板广告；</w:t>
      </w:r>
    </w:p>
    <w:p>
      <w:pPr>
        <w:numPr>
          <w:ilvl w:val="0"/>
          <w:numId w:val="18"/>
        </w:numPr>
        <w:spacing w:line="360" w:lineRule="auto"/>
        <w:ind w:left="0" w:leftChars="0"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粘贴不实的单张小广告；</w:t>
      </w:r>
    </w:p>
    <w:p>
      <w:pPr>
        <w:numPr>
          <w:ilvl w:val="0"/>
          <w:numId w:val="18"/>
        </w:numPr>
        <w:spacing w:line="360" w:lineRule="auto"/>
        <w:ind w:left="0" w:leftChars="0"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无故障的公共自行车座凳歪斜；</w:t>
      </w:r>
    </w:p>
    <w:p>
      <w:pPr>
        <w:numPr>
          <w:ilvl w:val="0"/>
          <w:numId w:val="18"/>
        </w:numPr>
        <w:spacing w:line="360" w:lineRule="auto"/>
        <w:ind w:left="0" w:leftChars="0"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非泊车位的停车（车主正准备停）单个现象，自行车停在泊车线外；</w:t>
      </w:r>
    </w:p>
    <w:p>
      <w:pPr>
        <w:numPr>
          <w:ilvl w:val="0"/>
          <w:numId w:val="18"/>
        </w:numPr>
        <w:spacing w:line="360" w:lineRule="auto"/>
        <w:ind w:left="0" w:leftChars="0"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交通护栏轻微移位、脱节、侧倒（非水泥柱等）</w:t>
      </w:r>
    </w:p>
    <w:p>
      <w:pPr>
        <w:numPr>
          <w:ilvl w:val="0"/>
          <w:numId w:val="18"/>
        </w:numPr>
        <w:spacing w:line="360" w:lineRule="auto"/>
        <w:ind w:left="0" w:leftChars="0"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其他区执法局指挥中心（智慧城管）认为应该</w:t>
      </w:r>
      <w:r>
        <w:rPr>
          <w:rFonts w:hint="eastAsia" w:ascii="宋体" w:hAnsi="宋体" w:cs="宋体"/>
          <w:bCs/>
          <w:color w:val="auto"/>
          <w:sz w:val="24"/>
          <w:highlight w:val="none"/>
          <w:lang w:val="en-US" w:eastAsia="zh-CN"/>
        </w:rPr>
        <w:t>由供应商的采集员</w:t>
      </w:r>
      <w:r>
        <w:rPr>
          <w:rFonts w:hint="eastAsia" w:ascii="宋体" w:hAnsi="宋体" w:cs="宋体"/>
          <w:bCs/>
          <w:color w:val="auto"/>
          <w:sz w:val="24"/>
          <w:highlight w:val="none"/>
        </w:rPr>
        <w:t>处置的轻微问题。</w:t>
      </w:r>
    </w:p>
    <w:p>
      <w:pPr>
        <w:numPr>
          <w:ilvl w:val="0"/>
          <w:numId w:val="0"/>
        </w:numPr>
        <w:spacing w:line="360" w:lineRule="auto"/>
        <w:ind w:firstLine="482" w:firstLineChars="200"/>
        <w:rPr>
          <w:rFonts w:hint="eastAsia" w:ascii="宋体" w:hAnsi="宋体"/>
          <w:b/>
          <w:bCs/>
          <w:sz w:val="24"/>
        </w:rPr>
      </w:pPr>
      <w:r>
        <w:rPr>
          <w:rFonts w:hint="eastAsia" w:ascii="宋体" w:hAnsi="宋体"/>
          <w:b/>
          <w:bCs/>
          <w:sz w:val="24"/>
          <w:lang w:eastAsia="zh-CN"/>
        </w:rPr>
        <w:t>三、</w:t>
      </w:r>
      <w:r>
        <w:rPr>
          <w:rFonts w:hint="eastAsia" w:ascii="宋体" w:hAnsi="宋体"/>
          <w:b/>
          <w:bCs/>
          <w:sz w:val="24"/>
          <w:lang w:val="en-US" w:eastAsia="zh-CN"/>
        </w:rPr>
        <w:t>供应商的</w:t>
      </w:r>
      <w:r>
        <w:rPr>
          <w:rFonts w:hint="eastAsia" w:ascii="宋体" w:hAnsi="宋体"/>
          <w:b/>
          <w:bCs/>
          <w:sz w:val="24"/>
        </w:rPr>
        <w:t>工作安排</w:t>
      </w:r>
    </w:p>
    <w:p>
      <w:pPr>
        <w:spacing w:line="360" w:lineRule="auto"/>
        <w:ind w:firstLine="480" w:firstLineChars="200"/>
        <w:rPr>
          <w:rFonts w:hint="eastAsia" w:ascii="宋体" w:hAnsi="宋体" w:cs="宋体"/>
          <w:bCs/>
          <w:sz w:val="24"/>
        </w:rPr>
      </w:pPr>
      <w:r>
        <w:rPr>
          <w:rFonts w:hint="eastAsia" w:ascii="宋体" w:hAnsi="宋体" w:cs="宋体"/>
          <w:bCs/>
          <w:sz w:val="24"/>
        </w:rPr>
        <w:t>项目经理：承担202</w:t>
      </w:r>
      <w:r>
        <w:rPr>
          <w:rFonts w:hint="eastAsia" w:ascii="宋体" w:hAnsi="宋体" w:cs="宋体"/>
          <w:bCs/>
          <w:sz w:val="24"/>
          <w:lang w:val="en-US" w:eastAsia="zh-CN"/>
        </w:rPr>
        <w:t>4</w:t>
      </w:r>
      <w:r>
        <w:rPr>
          <w:rFonts w:hint="eastAsia" w:ascii="宋体" w:hAnsi="宋体" w:cs="宋体"/>
          <w:bCs/>
          <w:sz w:val="24"/>
        </w:rPr>
        <w:t>-202</w:t>
      </w:r>
      <w:r>
        <w:rPr>
          <w:rFonts w:hint="eastAsia" w:ascii="宋体" w:hAnsi="宋体" w:cs="宋体"/>
          <w:bCs/>
          <w:sz w:val="24"/>
          <w:lang w:val="en-US" w:eastAsia="zh-CN"/>
        </w:rPr>
        <w:t>5</w:t>
      </w:r>
      <w:r>
        <w:rPr>
          <w:rFonts w:hint="eastAsia" w:ascii="宋体" w:hAnsi="宋体" w:cs="宋体"/>
          <w:bCs/>
          <w:sz w:val="24"/>
        </w:rPr>
        <w:t>年上虞区智慧城管信息采集项目的整体管理。</w:t>
      </w:r>
    </w:p>
    <w:p>
      <w:pPr>
        <w:spacing w:line="360" w:lineRule="auto"/>
        <w:ind w:firstLine="480" w:firstLineChars="200"/>
        <w:rPr>
          <w:rFonts w:hint="eastAsia" w:ascii="宋体" w:hAnsi="宋体" w:cs="宋体"/>
          <w:bCs/>
          <w:sz w:val="24"/>
        </w:rPr>
      </w:pPr>
      <w:r>
        <w:rPr>
          <w:rFonts w:hint="eastAsia" w:ascii="宋体" w:hAnsi="宋体" w:cs="宋体"/>
          <w:bCs/>
          <w:sz w:val="24"/>
        </w:rPr>
        <w:t>项目管理员：负责202</w:t>
      </w:r>
      <w:r>
        <w:rPr>
          <w:rFonts w:hint="eastAsia" w:ascii="宋体" w:hAnsi="宋体" w:cs="宋体"/>
          <w:bCs/>
          <w:sz w:val="24"/>
          <w:lang w:val="en-US" w:eastAsia="zh-CN"/>
        </w:rPr>
        <w:t>4</w:t>
      </w:r>
      <w:r>
        <w:rPr>
          <w:rFonts w:hint="eastAsia" w:ascii="宋体" w:hAnsi="宋体" w:cs="宋体"/>
          <w:bCs/>
          <w:sz w:val="24"/>
        </w:rPr>
        <w:t>-202</w:t>
      </w:r>
      <w:r>
        <w:rPr>
          <w:rFonts w:hint="eastAsia" w:ascii="宋体" w:hAnsi="宋体" w:cs="宋体"/>
          <w:bCs/>
          <w:sz w:val="24"/>
          <w:lang w:val="en-US" w:eastAsia="zh-CN"/>
        </w:rPr>
        <w:t>5</w:t>
      </w:r>
      <w:r>
        <w:rPr>
          <w:rFonts w:hint="eastAsia" w:ascii="宋体" w:hAnsi="宋体" w:cs="宋体"/>
          <w:bCs/>
          <w:sz w:val="24"/>
        </w:rPr>
        <w:t>年上虞区智慧城管信息采集项目的业务、质量、人员考勤等日常管理。</w:t>
      </w:r>
    </w:p>
    <w:p>
      <w:pPr>
        <w:spacing w:line="360" w:lineRule="auto"/>
        <w:ind w:firstLine="480" w:firstLineChars="200"/>
        <w:rPr>
          <w:rFonts w:hint="eastAsia" w:ascii="宋体" w:hAnsi="宋体" w:cs="宋体"/>
          <w:bCs/>
          <w:sz w:val="24"/>
        </w:rPr>
      </w:pPr>
      <w:r>
        <w:rPr>
          <w:rFonts w:hint="eastAsia" w:ascii="宋体" w:hAnsi="宋体" w:cs="宋体"/>
          <w:bCs/>
          <w:sz w:val="24"/>
        </w:rPr>
        <w:t>信息采集员：负责上虞区建成区和建制镇（乡）街的日常信息采集工作。</w:t>
      </w:r>
    </w:p>
    <w:p>
      <w:pPr>
        <w:numPr>
          <w:ilvl w:val="0"/>
          <w:numId w:val="0"/>
        </w:numPr>
        <w:spacing w:line="360" w:lineRule="auto"/>
        <w:ind w:left="480" w:leftChars="0"/>
        <w:rPr>
          <w:rFonts w:hint="eastAsia" w:ascii="宋体" w:hAnsi="宋体"/>
          <w:b/>
          <w:bCs/>
          <w:sz w:val="24"/>
        </w:rPr>
      </w:pPr>
      <w:r>
        <w:rPr>
          <w:rFonts w:hint="eastAsia" w:ascii="宋体" w:hAnsi="宋体"/>
          <w:b/>
          <w:bCs/>
          <w:sz w:val="24"/>
          <w:lang w:eastAsia="zh-CN"/>
        </w:rPr>
        <w:t>四、</w:t>
      </w:r>
      <w:r>
        <w:rPr>
          <w:rFonts w:hint="eastAsia" w:ascii="宋体" w:hAnsi="宋体"/>
          <w:b/>
          <w:bCs/>
          <w:sz w:val="24"/>
        </w:rPr>
        <w:t>“信息采集器”要求</w:t>
      </w:r>
    </w:p>
    <w:p>
      <w:pPr>
        <w:numPr>
          <w:ilvl w:val="0"/>
          <w:numId w:val="19"/>
        </w:numPr>
        <w:spacing w:line="360" w:lineRule="auto"/>
        <w:ind w:firstLine="480" w:firstLineChars="200"/>
        <w:rPr>
          <w:rFonts w:hint="eastAsia" w:ascii="宋体" w:hAnsi="宋体" w:cs="宋体"/>
          <w:bCs/>
          <w:sz w:val="24"/>
          <w:lang w:val="zh-CN"/>
        </w:rPr>
      </w:pPr>
      <w:r>
        <w:rPr>
          <w:rFonts w:hint="eastAsia" w:ascii="宋体" w:hAnsi="宋体" w:cs="宋体"/>
          <w:bCs/>
          <w:sz w:val="24"/>
          <w:lang w:val="zh-CN"/>
        </w:rPr>
        <w:t>合同签订后，乙方须在五天内，按信息采集配置人数自行足额配置采集器，并保证</w:t>
      </w:r>
      <w:r>
        <w:rPr>
          <w:rFonts w:hint="eastAsia" w:ascii="宋体" w:hAnsi="宋体" w:cs="宋体"/>
          <w:bCs/>
          <w:sz w:val="24"/>
        </w:rPr>
        <w:t>2台备用机，</w:t>
      </w:r>
      <w:r>
        <w:rPr>
          <w:rFonts w:hint="eastAsia" w:ascii="宋体" w:hAnsi="宋体" w:cs="宋体"/>
          <w:bCs/>
          <w:sz w:val="24"/>
          <w:lang w:val="zh-CN"/>
        </w:rPr>
        <w:t>采集器所产生的无线通信运行费均由乙方负责。</w:t>
      </w:r>
    </w:p>
    <w:p>
      <w:pPr>
        <w:numPr>
          <w:ilvl w:val="0"/>
          <w:numId w:val="19"/>
        </w:numPr>
        <w:spacing w:line="360" w:lineRule="auto"/>
        <w:ind w:firstLine="480" w:firstLineChars="200"/>
        <w:rPr>
          <w:rFonts w:hint="eastAsia" w:ascii="宋体" w:hAnsi="宋体" w:cs="宋体"/>
          <w:bCs/>
          <w:sz w:val="24"/>
          <w:lang w:val="zh-CN"/>
        </w:rPr>
      </w:pPr>
      <w:r>
        <w:rPr>
          <w:rFonts w:hint="eastAsia" w:ascii="宋体" w:hAnsi="宋体" w:cs="宋体"/>
          <w:bCs/>
          <w:sz w:val="24"/>
          <w:lang w:val="zh-CN"/>
        </w:rPr>
        <w:t>乙方须保证设备使用过程中的正常使用，一旦发生问题，需及时维修并在此期间使用备用机。</w:t>
      </w:r>
    </w:p>
    <w:p>
      <w:pPr>
        <w:numPr>
          <w:ilvl w:val="0"/>
          <w:numId w:val="19"/>
        </w:numPr>
        <w:spacing w:line="360" w:lineRule="auto"/>
        <w:ind w:firstLine="480" w:firstLineChars="200"/>
        <w:rPr>
          <w:rFonts w:hint="eastAsia" w:ascii="宋体" w:hAnsi="宋体" w:eastAsia="宋体" w:cs="宋体"/>
          <w:color w:val="auto"/>
          <w:sz w:val="24"/>
          <w:szCs w:val="24"/>
        </w:rPr>
      </w:pPr>
      <w:r>
        <w:rPr>
          <w:rFonts w:hint="eastAsia" w:ascii="宋体" w:hAnsi="宋体" w:cs="宋体"/>
          <w:bCs/>
          <w:sz w:val="24"/>
          <w:lang w:val="zh-CN"/>
        </w:rPr>
        <w:t>乙方应加强机具的管理，并落实专人负责，同时要制定采集器管理使用制度，保障信息采集器正常的使用。</w:t>
      </w:r>
    </w:p>
    <w:p>
      <w:pPr>
        <w:numPr>
          <w:ilvl w:val="0"/>
          <w:numId w:val="0"/>
        </w:numPr>
        <w:spacing w:line="360" w:lineRule="auto"/>
        <w:ind w:left="480" w:leftChars="0"/>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五、项目工期</w:t>
      </w:r>
    </w:p>
    <w:p>
      <w:pPr>
        <w:spacing w:line="360" w:lineRule="auto"/>
        <w:ind w:firstLine="480" w:firstLineChars="200"/>
        <w:rPr>
          <w:rFonts w:hint="eastAsia" w:ascii="宋体" w:hAnsi="宋体" w:eastAsia="宋体" w:cs="宋体"/>
          <w:bCs/>
          <w:color w:val="auto"/>
          <w:kern w:val="44"/>
          <w:sz w:val="24"/>
          <w:szCs w:val="24"/>
          <w:lang w:val="en-US" w:eastAsia="zh-CN" w:bidi="ar-SA"/>
        </w:rPr>
      </w:pPr>
      <w:r>
        <w:rPr>
          <w:rFonts w:hint="eastAsia" w:ascii="宋体" w:hAnsi="宋体" w:eastAsia="宋体" w:cs="宋体"/>
          <w:bCs/>
          <w:color w:val="auto"/>
          <w:kern w:val="44"/>
          <w:sz w:val="24"/>
          <w:szCs w:val="24"/>
          <w:lang w:val="en-US" w:eastAsia="zh-CN" w:bidi="ar-SA"/>
        </w:rPr>
        <w:t>项目工期为合同签订之后满一年</w:t>
      </w:r>
      <w:r>
        <w:rPr>
          <w:rFonts w:hint="eastAsia" w:ascii="宋体" w:hAnsi="宋体" w:cs="宋体"/>
          <w:bCs/>
          <w:color w:val="auto"/>
          <w:kern w:val="44"/>
          <w:sz w:val="24"/>
          <w:szCs w:val="24"/>
          <w:lang w:val="en-US" w:eastAsia="zh-CN" w:bidi="ar-SA"/>
        </w:rPr>
        <w:t>。</w:t>
      </w:r>
    </w:p>
    <w:p>
      <w:pPr>
        <w:numPr>
          <w:ilvl w:val="0"/>
          <w:numId w:val="0"/>
        </w:numPr>
        <w:spacing w:line="360" w:lineRule="auto"/>
        <w:ind w:left="480" w:leftChars="0"/>
        <w:rPr>
          <w:rFonts w:hint="eastAsia" w:ascii="宋体" w:hAnsi="宋体" w:eastAsia="宋体" w:cs="Times New Roman"/>
          <w:b/>
          <w:bCs/>
          <w:sz w:val="24"/>
          <w:lang w:val="en-US" w:eastAsia="zh-CN"/>
        </w:rPr>
      </w:pPr>
      <w:bookmarkStart w:id="87" w:name="_Toc119862805"/>
      <w:r>
        <w:rPr>
          <w:rFonts w:hint="eastAsia" w:ascii="宋体" w:hAnsi="宋体" w:eastAsia="宋体" w:cs="Times New Roman"/>
          <w:b/>
          <w:bCs/>
          <w:sz w:val="24"/>
          <w:lang w:val="en-US" w:eastAsia="zh-CN"/>
        </w:rPr>
        <w:t>六、付款方式</w:t>
      </w:r>
      <w:bookmarkEnd w:id="87"/>
    </w:p>
    <w:p>
      <w:pPr>
        <w:pStyle w:val="5"/>
        <w:spacing w:line="360" w:lineRule="auto"/>
        <w:jc w:val="left"/>
        <w:rPr>
          <w:rFonts w:hint="default" w:ascii="宋体" w:hAnsi="宋体" w:eastAsia="宋体" w:cs="宋体"/>
          <w:b w:val="0"/>
          <w:bCs/>
          <w:kern w:val="0"/>
          <w:sz w:val="24"/>
          <w:szCs w:val="20"/>
          <w:lang w:val="en-US" w:eastAsia="zh-CN" w:bidi="ar-SA"/>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b w:val="0"/>
          <w:bCs/>
          <w:kern w:val="0"/>
          <w:sz w:val="24"/>
          <w:szCs w:val="20"/>
          <w:lang w:val="en-US" w:eastAsia="zh-CN" w:bidi="ar-SA"/>
        </w:rPr>
        <w:t xml:space="preserve">   合同生效以及具备实施条件后7个工作日采购人向供应商支付合同总价的20%作为预付款，</w:t>
      </w:r>
      <w:r>
        <w:rPr>
          <w:rFonts w:hint="eastAsia" w:ascii="宋体" w:hAnsi="宋体" w:eastAsia="宋体" w:cs="宋体"/>
          <w:b w:val="0"/>
          <w:bCs w:val="0"/>
          <w:color w:val="auto"/>
          <w:kern w:val="0"/>
          <w:sz w:val="24"/>
          <w:szCs w:val="24"/>
          <w:highlight w:val="none"/>
          <w:lang w:val="en-US" w:eastAsia="zh-CN" w:bidi="ar-SA"/>
        </w:rPr>
        <w:t>预付款</w:t>
      </w:r>
      <w:r>
        <w:rPr>
          <w:rFonts w:hint="eastAsia" w:ascii="宋体" w:hAnsi="宋体" w:cs="宋体"/>
          <w:b w:val="0"/>
          <w:bCs w:val="0"/>
          <w:color w:val="auto"/>
          <w:kern w:val="0"/>
          <w:sz w:val="24"/>
          <w:szCs w:val="24"/>
          <w:highlight w:val="none"/>
          <w:lang w:val="en-US" w:eastAsia="zh-CN" w:bidi="ar-SA"/>
        </w:rPr>
        <w:t>用于抵扣供应商前三个月的服务费用，</w:t>
      </w:r>
      <w:r>
        <w:rPr>
          <w:rFonts w:hint="eastAsia" w:ascii="宋体" w:hAnsi="宋体" w:eastAsia="宋体" w:cs="宋体"/>
          <w:b w:val="0"/>
          <w:bCs w:val="0"/>
          <w:color w:val="auto"/>
          <w:kern w:val="0"/>
          <w:sz w:val="24"/>
          <w:szCs w:val="24"/>
          <w:highlight w:val="none"/>
          <w:lang w:val="en-US" w:eastAsia="zh-CN" w:bidi="ar-SA"/>
        </w:rPr>
        <w:t>若</w:t>
      </w:r>
      <w:r>
        <w:rPr>
          <w:rFonts w:hint="eastAsia" w:ascii="宋体" w:hAnsi="宋体" w:cs="宋体"/>
          <w:b w:val="0"/>
          <w:bCs w:val="0"/>
          <w:color w:val="auto"/>
          <w:kern w:val="0"/>
          <w:sz w:val="24"/>
          <w:szCs w:val="24"/>
          <w:highlight w:val="none"/>
          <w:lang w:val="en-US" w:eastAsia="zh-CN" w:bidi="ar-SA"/>
        </w:rPr>
        <w:t>前三个月</w:t>
      </w:r>
      <w:r>
        <w:rPr>
          <w:rFonts w:hint="eastAsia" w:ascii="宋体" w:hAnsi="宋体" w:eastAsia="宋体" w:cs="宋体"/>
          <w:b w:val="0"/>
          <w:bCs w:val="0"/>
          <w:color w:val="auto"/>
          <w:kern w:val="0"/>
          <w:sz w:val="24"/>
          <w:szCs w:val="24"/>
          <w:highlight w:val="none"/>
          <w:lang w:val="en-US" w:eastAsia="zh-CN" w:bidi="ar-SA"/>
        </w:rPr>
        <w:t>结算的费用未达到合同总价的20%</w:t>
      </w:r>
      <w:r>
        <w:rPr>
          <w:rFonts w:hint="eastAsia" w:ascii="宋体" w:hAnsi="宋体" w:eastAsia="宋体" w:cs="宋体"/>
          <w:b w:val="0"/>
          <w:bCs/>
          <w:kern w:val="0"/>
          <w:sz w:val="24"/>
          <w:szCs w:val="20"/>
          <w:lang w:val="en-US" w:eastAsia="zh-CN" w:bidi="ar-SA"/>
        </w:rPr>
        <w:t>，则预付款多余部分累计至下个月扣回，剩余合同款平均至每月支付</w:t>
      </w:r>
      <w:r>
        <w:rPr>
          <w:rFonts w:hint="eastAsia" w:ascii="宋体" w:hAnsi="宋体" w:cs="宋体"/>
          <w:b w:val="0"/>
          <w:bCs/>
          <w:kern w:val="0"/>
          <w:sz w:val="24"/>
          <w:szCs w:val="20"/>
          <w:lang w:val="en-US" w:eastAsia="zh-CN" w:bidi="ar-SA"/>
        </w:rPr>
        <w:t>一次</w:t>
      </w:r>
      <w:r>
        <w:rPr>
          <w:rFonts w:hint="eastAsia" w:ascii="宋体" w:hAnsi="宋体" w:eastAsia="宋体" w:cs="宋体"/>
          <w:b w:val="0"/>
          <w:bCs/>
          <w:kern w:val="0"/>
          <w:sz w:val="24"/>
          <w:szCs w:val="20"/>
          <w:lang w:val="en-US" w:eastAsia="zh-CN" w:bidi="ar-SA"/>
        </w:rPr>
        <w:t>，直至履约结束。</w:t>
      </w:r>
    </w:p>
    <w:p>
      <w:pPr>
        <w:pStyle w:val="5"/>
        <w:jc w:val="center"/>
        <w:rPr>
          <w:rFonts w:cs="Times New Roman"/>
          <w:color w:val="auto"/>
          <w:sz w:val="36"/>
          <w:szCs w:val="36"/>
        </w:rPr>
      </w:pPr>
      <w:r>
        <w:rPr>
          <w:rFonts w:hint="eastAsia" w:cs="宋体"/>
          <w:color w:val="auto"/>
          <w:sz w:val="36"/>
          <w:szCs w:val="36"/>
        </w:rPr>
        <w:t>第四部分 磋商原则及磋商方法</w:t>
      </w:r>
      <w:bookmarkEnd w:id="84"/>
      <w:bookmarkEnd w:id="85"/>
      <w:bookmarkEnd w:id="86"/>
    </w:p>
    <w:p>
      <w:pPr>
        <w:pStyle w:val="2"/>
        <w:numPr>
          <w:ilvl w:val="0"/>
          <w:numId w:val="20"/>
        </w:numPr>
        <w:jc w:val="center"/>
        <w:rPr>
          <w:rFonts w:cs="Times New Roman"/>
          <w:color w:val="auto"/>
        </w:rPr>
      </w:pPr>
      <w:bookmarkStart w:id="88" w:name="_Toc1265"/>
      <w:r>
        <w:rPr>
          <w:rFonts w:hint="eastAsia"/>
          <w:color w:val="auto"/>
        </w:rPr>
        <w:t xml:space="preserve"> </w:t>
      </w:r>
      <w:bookmarkStart w:id="89" w:name="_Toc3582"/>
      <w:bookmarkStart w:id="90" w:name="_Toc24094"/>
      <w:r>
        <w:rPr>
          <w:rFonts w:hint="eastAsia"/>
          <w:color w:val="auto"/>
        </w:rPr>
        <w:t>磋商原则</w:t>
      </w:r>
      <w:bookmarkEnd w:id="88"/>
      <w:bookmarkEnd w:id="89"/>
      <w:bookmarkEnd w:id="90"/>
    </w:p>
    <w:p>
      <w:pPr>
        <w:pStyle w:val="3"/>
        <w:spacing w:line="336" w:lineRule="auto"/>
        <w:ind w:firstLine="480" w:firstLineChars="200"/>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、本次竞争性磋商本着公平、公正、科学、择优的原则，邀请各磋商方参加报价。</w:t>
      </w:r>
    </w:p>
    <w:p>
      <w:pPr>
        <w:pStyle w:val="3"/>
        <w:spacing w:line="336" w:lineRule="auto"/>
        <w:ind w:firstLine="480" w:firstLineChars="200"/>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、磋商小组将严格按照竞争性磋商文件的要求，对供应商的响应性文件进行认真评审；磋商小组对响应性文件的评审仅依据响应性文件本身，而不依据响应性文件以外的任何因素。</w:t>
      </w:r>
    </w:p>
    <w:p>
      <w:pPr>
        <w:pStyle w:val="3"/>
        <w:spacing w:line="336" w:lineRule="auto"/>
        <w:ind w:firstLine="480" w:firstLineChars="200"/>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、磋商小组按照统一的磋商原则和磋商方法，用同一标准对所有响应性文件进行评审。</w:t>
      </w:r>
    </w:p>
    <w:p>
      <w:pPr>
        <w:pStyle w:val="15"/>
        <w:spacing w:line="336" w:lineRule="auto"/>
        <w:ind w:firstLine="482" w:firstLineChars="200"/>
        <w:rPr>
          <w:rFonts w:hAnsi="宋体" w:cs="Times New Roman"/>
          <w:b/>
          <w:bCs/>
          <w:color w:val="auto"/>
          <w:sz w:val="24"/>
          <w:szCs w:val="24"/>
        </w:rPr>
      </w:pPr>
      <w:r>
        <w:rPr>
          <w:rFonts w:hAnsi="宋体"/>
          <w:b/>
          <w:bCs/>
          <w:color w:val="auto"/>
          <w:sz w:val="24"/>
          <w:szCs w:val="24"/>
        </w:rPr>
        <w:t>4</w:t>
      </w:r>
      <w:r>
        <w:rPr>
          <w:rFonts w:hint="eastAsia" w:hAnsi="宋体"/>
          <w:b/>
          <w:bCs/>
          <w:color w:val="auto"/>
          <w:sz w:val="24"/>
          <w:szCs w:val="24"/>
        </w:rPr>
        <w:t>、评审</w:t>
      </w:r>
    </w:p>
    <w:p>
      <w:pPr>
        <w:pStyle w:val="15"/>
        <w:spacing w:line="336" w:lineRule="auto"/>
        <w:ind w:firstLine="480" w:firstLineChars="200"/>
        <w:rPr>
          <w:rFonts w:hAnsi="宋体" w:cs="Times New Roman"/>
          <w:color w:val="auto"/>
          <w:sz w:val="24"/>
          <w:szCs w:val="24"/>
        </w:rPr>
      </w:pPr>
      <w:r>
        <w:rPr>
          <w:rFonts w:hAnsi="宋体"/>
          <w:color w:val="auto"/>
          <w:sz w:val="24"/>
          <w:szCs w:val="24"/>
        </w:rPr>
        <w:t>4.1</w:t>
      </w:r>
      <w:r>
        <w:rPr>
          <w:rFonts w:hint="eastAsia" w:hAnsi="宋体"/>
          <w:color w:val="auto"/>
          <w:sz w:val="24"/>
          <w:szCs w:val="24"/>
        </w:rPr>
        <w:t>在磋商响应截止时间前按规定提交响应文件的供应商在三家（含）以上的，由采购人或采购代理机构组织进行开标。</w:t>
      </w:r>
    </w:p>
    <w:p>
      <w:pPr>
        <w:pStyle w:val="15"/>
        <w:spacing w:line="336" w:lineRule="auto"/>
        <w:ind w:firstLine="482" w:firstLineChars="200"/>
        <w:rPr>
          <w:rFonts w:hAnsi="宋体" w:cs="Times New Roman"/>
          <w:color w:val="auto"/>
          <w:sz w:val="24"/>
          <w:szCs w:val="24"/>
        </w:rPr>
      </w:pPr>
      <w:r>
        <w:rPr>
          <w:rFonts w:hAnsi="宋体"/>
          <w:b/>
          <w:bCs/>
          <w:color w:val="auto"/>
          <w:sz w:val="24"/>
          <w:szCs w:val="24"/>
        </w:rPr>
        <w:t>4.2</w:t>
      </w:r>
      <w:r>
        <w:rPr>
          <w:rFonts w:hint="eastAsia" w:hAnsi="宋体"/>
          <w:b/>
          <w:bCs/>
          <w:color w:val="auto"/>
          <w:sz w:val="24"/>
          <w:szCs w:val="24"/>
        </w:rPr>
        <w:t>供应商登录政采云平台，用“项目采购</w:t>
      </w:r>
      <w:r>
        <w:rPr>
          <w:rFonts w:hAnsi="宋体"/>
          <w:b/>
          <w:bCs/>
          <w:color w:val="auto"/>
          <w:sz w:val="24"/>
          <w:szCs w:val="24"/>
        </w:rPr>
        <w:t>-</w:t>
      </w:r>
      <w:r>
        <w:rPr>
          <w:rFonts w:hint="eastAsia" w:hAnsi="宋体"/>
          <w:b/>
          <w:bCs/>
          <w:color w:val="auto"/>
          <w:sz w:val="24"/>
          <w:szCs w:val="24"/>
        </w:rPr>
        <w:t>开标评标”功能对电子磋商响应文件进行在线解密。在线解密电子磋商响应文件时间为开标时间起</w:t>
      </w:r>
      <w:r>
        <w:rPr>
          <w:rFonts w:hAnsi="宋体"/>
          <w:b/>
          <w:bCs/>
          <w:color w:val="auto"/>
          <w:sz w:val="24"/>
          <w:szCs w:val="24"/>
        </w:rPr>
        <w:t>30</w:t>
      </w:r>
      <w:r>
        <w:rPr>
          <w:rFonts w:hint="eastAsia" w:hAnsi="宋体"/>
          <w:b/>
          <w:bCs/>
          <w:color w:val="auto"/>
          <w:sz w:val="24"/>
          <w:szCs w:val="24"/>
        </w:rPr>
        <w:t>分钟内。若电子磋商响应文件解密失败，则由采购代理机构工作人员上传供应商提供的备份文件。</w:t>
      </w:r>
      <w:r>
        <w:rPr>
          <w:rFonts w:hint="eastAsia" w:hAnsi="宋体"/>
          <w:color w:val="auto"/>
          <w:sz w:val="24"/>
          <w:szCs w:val="24"/>
        </w:rPr>
        <w:t>备份文件（后缀名为</w:t>
      </w:r>
      <w:r>
        <w:rPr>
          <w:rFonts w:hAnsi="宋体"/>
          <w:color w:val="auto"/>
          <w:sz w:val="24"/>
          <w:szCs w:val="24"/>
        </w:rPr>
        <w:t>.bfbs</w:t>
      </w:r>
      <w:r>
        <w:rPr>
          <w:rFonts w:hint="eastAsia" w:hAnsi="宋体"/>
          <w:color w:val="auto"/>
          <w:sz w:val="24"/>
          <w:szCs w:val="24"/>
        </w:rPr>
        <w:t>）须存储在</w:t>
      </w:r>
      <w:r>
        <w:rPr>
          <w:rFonts w:hAnsi="宋体"/>
          <w:color w:val="auto"/>
          <w:sz w:val="24"/>
          <w:szCs w:val="24"/>
        </w:rPr>
        <w:t>U</w:t>
      </w:r>
      <w:r>
        <w:rPr>
          <w:rFonts w:hint="eastAsia" w:hAnsi="宋体"/>
          <w:color w:val="auto"/>
          <w:sz w:val="24"/>
          <w:szCs w:val="24"/>
        </w:rPr>
        <w:t>盘中，与上传的电子磋商响应文件一致，用信封进行密封并盖章</w:t>
      </w:r>
      <w:r>
        <w:rPr>
          <w:rFonts w:hint="eastAsia" w:hAnsi="宋体"/>
          <w:b/>
          <w:bCs/>
          <w:color w:val="auto"/>
          <w:sz w:val="24"/>
          <w:szCs w:val="24"/>
        </w:rPr>
        <w:t>（信封内仅需放入存储备份文件的</w:t>
      </w:r>
      <w:r>
        <w:rPr>
          <w:rFonts w:hAnsi="宋体"/>
          <w:b/>
          <w:bCs/>
          <w:color w:val="auto"/>
          <w:sz w:val="24"/>
          <w:szCs w:val="24"/>
        </w:rPr>
        <w:t>U</w:t>
      </w:r>
      <w:r>
        <w:rPr>
          <w:rFonts w:hint="eastAsia" w:hAnsi="宋体"/>
          <w:b/>
          <w:bCs/>
          <w:color w:val="auto"/>
          <w:sz w:val="24"/>
          <w:szCs w:val="24"/>
        </w:rPr>
        <w:t>盘）</w:t>
      </w:r>
      <w:r>
        <w:rPr>
          <w:rFonts w:hint="eastAsia" w:hAnsi="宋体"/>
          <w:color w:val="auto"/>
          <w:sz w:val="24"/>
          <w:szCs w:val="24"/>
        </w:rPr>
        <w:t>，由授权代表在磋商响应截止时间前递交至开标地点。</w:t>
      </w:r>
    </w:p>
    <w:p>
      <w:pPr>
        <w:pStyle w:val="15"/>
        <w:spacing w:line="336" w:lineRule="auto"/>
        <w:ind w:firstLine="480" w:firstLineChars="200"/>
        <w:rPr>
          <w:rFonts w:hAnsi="宋体" w:cs="Times New Roman"/>
          <w:color w:val="auto"/>
          <w:sz w:val="24"/>
          <w:szCs w:val="24"/>
        </w:rPr>
      </w:pPr>
      <w:r>
        <w:rPr>
          <w:rFonts w:hAnsi="宋体"/>
          <w:color w:val="auto"/>
          <w:sz w:val="24"/>
          <w:szCs w:val="24"/>
        </w:rPr>
        <w:t>4.3</w:t>
      </w:r>
      <w:r>
        <w:rPr>
          <w:rFonts w:hint="eastAsia" w:hAnsi="宋体"/>
          <w:color w:val="auto"/>
          <w:sz w:val="24"/>
          <w:szCs w:val="24"/>
        </w:rPr>
        <w:t>采购人按磋商文件规定的时间、地点公开开标。开标仪式由采购人或采购代理机构主持及有关人员参加。</w:t>
      </w:r>
    </w:p>
    <w:p>
      <w:pPr>
        <w:pStyle w:val="53"/>
        <w:spacing w:before="0" w:line="336" w:lineRule="auto"/>
        <w:ind w:firstLine="480"/>
        <w:rPr>
          <w:rFonts w:ascii="宋体"/>
          <w:color w:val="auto"/>
        </w:rPr>
      </w:pPr>
      <w:r>
        <w:rPr>
          <w:rFonts w:ascii="宋体" w:hAnsi="宋体" w:cs="宋体"/>
          <w:color w:val="auto"/>
        </w:rPr>
        <w:t>4.4</w:t>
      </w:r>
      <w:r>
        <w:rPr>
          <w:rFonts w:hint="eastAsia" w:ascii="宋体" w:hAnsi="宋体" w:cs="宋体"/>
          <w:color w:val="auto"/>
        </w:rPr>
        <w:t>本项目为电子投标项目，供应商一般不需要参加现场投标和开标，若供应商需要指派授权代表递交备份文件，则授权代表应随身携带法定代表人授权书原件于</w:t>
      </w:r>
      <w:r>
        <w:rPr>
          <w:rFonts w:hint="eastAsia" w:hAnsi="宋体" w:cs="宋体"/>
          <w:color w:val="auto"/>
        </w:rPr>
        <w:t>磋商响应</w:t>
      </w:r>
      <w:r>
        <w:rPr>
          <w:rFonts w:hint="eastAsia" w:ascii="宋体" w:hAnsi="宋体" w:cs="宋体"/>
          <w:color w:val="auto"/>
        </w:rPr>
        <w:t>截止时间前到达开标地点递交备份文件。若电子磋商响应文件正常解锁，则</w:t>
      </w:r>
      <w:r>
        <w:rPr>
          <w:rFonts w:ascii="宋体" w:hAnsi="宋体" w:cs="宋体"/>
          <w:color w:val="auto"/>
        </w:rPr>
        <w:t>U</w:t>
      </w:r>
      <w:r>
        <w:rPr>
          <w:rFonts w:hint="eastAsia" w:ascii="宋体" w:hAnsi="宋体" w:cs="宋体"/>
          <w:color w:val="auto"/>
        </w:rPr>
        <w:t>盘退还给供应商；若解锁失败，则由采购代理机构将</w:t>
      </w:r>
      <w:r>
        <w:rPr>
          <w:rFonts w:ascii="宋体" w:hAnsi="宋体" w:cs="宋体"/>
          <w:color w:val="auto"/>
        </w:rPr>
        <w:t>U</w:t>
      </w:r>
      <w:r>
        <w:rPr>
          <w:rFonts w:hint="eastAsia" w:ascii="宋体" w:hAnsi="宋体" w:cs="宋体"/>
          <w:color w:val="auto"/>
        </w:rPr>
        <w:t>盘中的备份文件上传，该</w:t>
      </w:r>
      <w:r>
        <w:rPr>
          <w:rFonts w:ascii="宋体" w:hAnsi="宋体" w:cs="宋体"/>
          <w:color w:val="auto"/>
        </w:rPr>
        <w:t>U</w:t>
      </w:r>
      <w:r>
        <w:rPr>
          <w:rFonts w:hint="eastAsia" w:ascii="宋体" w:hAnsi="宋体" w:cs="宋体"/>
          <w:color w:val="auto"/>
        </w:rPr>
        <w:t>盘将由采购代理机构保存。</w:t>
      </w:r>
    </w:p>
    <w:p>
      <w:pPr>
        <w:pStyle w:val="53"/>
        <w:spacing w:before="0" w:line="336" w:lineRule="auto"/>
        <w:ind w:firstLine="480"/>
        <w:rPr>
          <w:rFonts w:ascii="宋体"/>
          <w:color w:val="auto"/>
        </w:rPr>
      </w:pPr>
      <w:r>
        <w:rPr>
          <w:rFonts w:ascii="宋体" w:hAnsi="宋体" w:cs="宋体"/>
          <w:color w:val="auto"/>
        </w:rPr>
        <w:t>4.5</w:t>
      </w:r>
      <w:r>
        <w:rPr>
          <w:rFonts w:hint="eastAsia" w:ascii="宋体" w:hAnsi="宋体" w:cs="宋体"/>
          <w:color w:val="auto"/>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36" w:lineRule="auto"/>
        <w:ind w:firstLine="480"/>
        <w:rPr>
          <w:rFonts w:ascii="宋体"/>
          <w:color w:val="auto"/>
          <w:sz w:val="24"/>
          <w:szCs w:val="24"/>
        </w:rPr>
      </w:pPr>
      <w:r>
        <w:rPr>
          <w:rFonts w:ascii="宋体" w:hAnsi="宋体" w:cs="宋体"/>
          <w:color w:val="auto"/>
          <w:sz w:val="24"/>
          <w:szCs w:val="24"/>
        </w:rPr>
        <w:t>5</w:t>
      </w:r>
      <w:r>
        <w:rPr>
          <w:rFonts w:hint="eastAsia" w:ascii="宋体" w:hAnsi="宋体" w:cs="宋体"/>
          <w:color w:val="auto"/>
          <w:sz w:val="24"/>
          <w:szCs w:val="24"/>
        </w:rPr>
        <w:t>、组建磋商小组</w:t>
      </w:r>
    </w:p>
    <w:p>
      <w:pPr>
        <w:pStyle w:val="53"/>
        <w:spacing w:before="0" w:line="336" w:lineRule="auto"/>
        <w:ind w:firstLine="480"/>
        <w:rPr>
          <w:rFonts w:ascii="宋体"/>
          <w:color w:val="auto"/>
        </w:rPr>
      </w:pPr>
      <w:r>
        <w:rPr>
          <w:rFonts w:ascii="宋体" w:hAnsi="宋体" w:cs="宋体"/>
          <w:color w:val="auto"/>
        </w:rPr>
        <w:t>5.1</w:t>
      </w:r>
      <w:r>
        <w:rPr>
          <w:rFonts w:hint="eastAsia" w:ascii="宋体" w:hAnsi="宋体" w:cs="宋体"/>
          <w:color w:val="auto"/>
        </w:rPr>
        <w:t>磋商小组由采购人代表和评审专家共</w:t>
      </w:r>
      <w:r>
        <w:rPr>
          <w:rFonts w:ascii="宋体" w:hAnsi="宋体" w:cs="宋体"/>
          <w:color w:val="auto"/>
        </w:rPr>
        <w:t>3</w:t>
      </w:r>
      <w:r>
        <w:rPr>
          <w:rFonts w:hint="eastAsia" w:ascii="宋体" w:hAnsi="宋体" w:cs="宋体"/>
          <w:color w:val="auto"/>
        </w:rPr>
        <w:t>人或以上单数组成，其中评审专家人数不少于磋商小组成员总数的</w:t>
      </w:r>
      <w:r>
        <w:rPr>
          <w:rFonts w:ascii="宋体" w:hAnsi="宋体" w:cs="宋体"/>
          <w:color w:val="auto"/>
        </w:rPr>
        <w:t>2/3</w:t>
      </w:r>
      <w:r>
        <w:rPr>
          <w:rFonts w:hint="eastAsia" w:ascii="宋体" w:hAnsi="宋体" w:cs="宋体"/>
          <w:color w:val="auto"/>
        </w:rPr>
        <w:t>。</w:t>
      </w:r>
    </w:p>
    <w:p>
      <w:pPr>
        <w:pStyle w:val="53"/>
        <w:tabs>
          <w:tab w:val="left" w:pos="0"/>
        </w:tabs>
        <w:spacing w:before="0" w:line="336" w:lineRule="auto"/>
        <w:ind w:firstLine="480"/>
        <w:rPr>
          <w:rFonts w:ascii="宋体"/>
          <w:color w:val="auto"/>
          <w:lang w:val="zh-CN"/>
        </w:rPr>
      </w:pPr>
      <w:r>
        <w:rPr>
          <w:rFonts w:ascii="宋体" w:hAnsi="宋体" w:cs="宋体"/>
          <w:color w:val="auto"/>
        </w:rPr>
        <w:t>5.2</w:t>
      </w:r>
      <w:r>
        <w:rPr>
          <w:rFonts w:hint="eastAsia" w:ascii="宋体" w:hAnsi="宋体" w:cs="宋体"/>
          <w:color w:val="auto"/>
          <w:lang w:val="zh-CN"/>
        </w:rPr>
        <w:t>评标工作由评标委员会负责，并推选产生的组长主持；</w:t>
      </w:r>
    </w:p>
    <w:p>
      <w:pPr>
        <w:pStyle w:val="3"/>
        <w:spacing w:line="336" w:lineRule="auto"/>
        <w:ind w:firstLine="480" w:firstLineChars="200"/>
        <w:rPr>
          <w:rFonts w:ascii="宋体"/>
          <w:color w:val="auto"/>
          <w:sz w:val="24"/>
          <w:szCs w:val="24"/>
        </w:rPr>
      </w:pPr>
      <w:r>
        <w:rPr>
          <w:rFonts w:ascii="宋体" w:hAnsi="宋体" w:cs="宋体"/>
          <w:color w:val="auto"/>
          <w:sz w:val="24"/>
          <w:szCs w:val="24"/>
        </w:rPr>
        <w:t>5.3</w:t>
      </w:r>
      <w:r>
        <w:rPr>
          <w:rFonts w:hint="eastAsia" w:ascii="宋体" w:hAnsi="宋体" w:cs="宋体"/>
          <w:color w:val="auto"/>
          <w:sz w:val="24"/>
          <w:szCs w:val="24"/>
          <w:lang w:val="zh-CN"/>
        </w:rPr>
        <w:t>本次评标为在线评标。</w:t>
      </w:r>
    </w:p>
    <w:p>
      <w:pPr>
        <w:pStyle w:val="2"/>
        <w:numPr>
          <w:ilvl w:val="0"/>
          <w:numId w:val="20"/>
        </w:numPr>
        <w:jc w:val="center"/>
        <w:rPr>
          <w:rFonts w:cs="Times New Roman"/>
          <w:color w:val="auto"/>
        </w:rPr>
      </w:pPr>
      <w:r>
        <w:rPr>
          <w:color w:val="auto"/>
        </w:rPr>
        <w:t xml:space="preserve"> </w:t>
      </w:r>
      <w:bookmarkStart w:id="91" w:name="_Toc4456"/>
      <w:bookmarkStart w:id="92" w:name="_Toc10093"/>
      <w:bookmarkStart w:id="93" w:name="_Toc7206"/>
      <w:r>
        <w:rPr>
          <w:rFonts w:hint="eastAsia"/>
          <w:color w:val="auto"/>
        </w:rPr>
        <w:t>磋商程序</w:t>
      </w:r>
      <w:bookmarkEnd w:id="91"/>
      <w:bookmarkEnd w:id="92"/>
      <w:bookmarkEnd w:id="93"/>
    </w:p>
    <w:p>
      <w:pPr>
        <w:snapToGrid w:val="0"/>
        <w:spacing w:line="336" w:lineRule="auto"/>
        <w:ind w:firstLine="480"/>
        <w:rPr>
          <w:rFonts w:ascii="宋体" w:hAnsi="宋体" w:cs="宋体"/>
          <w:b/>
          <w:bCs/>
          <w:color w:val="auto"/>
          <w:sz w:val="24"/>
          <w:szCs w:val="24"/>
        </w:rPr>
      </w:pPr>
      <w:r>
        <w:rPr>
          <w:rFonts w:hint="eastAsia" w:ascii="宋体" w:hAnsi="宋体" w:cs="宋体"/>
          <w:b/>
          <w:bCs/>
          <w:color w:val="auto"/>
          <w:sz w:val="24"/>
          <w:szCs w:val="24"/>
        </w:rPr>
        <w:t>1、对所有响应文件的初审</w:t>
      </w:r>
    </w:p>
    <w:p>
      <w:pPr>
        <w:adjustRightInd w:val="0"/>
        <w:snapToGrid w:val="0"/>
        <w:spacing w:line="336" w:lineRule="auto"/>
        <w:ind w:firstLine="480"/>
        <w:rPr>
          <w:rFonts w:ascii="宋体" w:hAnsi="宋体" w:cs="宋体"/>
          <w:color w:val="auto"/>
          <w:sz w:val="24"/>
          <w:szCs w:val="24"/>
        </w:rPr>
      </w:pPr>
      <w:r>
        <w:rPr>
          <w:rFonts w:hint="eastAsia" w:ascii="宋体" w:hAnsi="宋体" w:cs="宋体"/>
          <w:color w:val="auto"/>
          <w:sz w:val="24"/>
          <w:szCs w:val="24"/>
        </w:rPr>
        <w:t>1.1资格审查</w:t>
      </w:r>
    </w:p>
    <w:p>
      <w:pPr>
        <w:adjustRightInd w:val="0"/>
        <w:snapToGrid w:val="0"/>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（1）开标后，磋商小组将依法对供应商的资格进行审查。</w:t>
      </w:r>
    </w:p>
    <w:p>
      <w:pPr>
        <w:adjustRightInd w:val="0"/>
        <w:snapToGrid w:val="0"/>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（2）磋商小组依据法律法规和磋商文件的规定，对供应商的基本资格条件、特定资格条件进行审查。</w:t>
      </w:r>
    </w:p>
    <w:p>
      <w:pPr>
        <w:adjustRightInd w:val="0"/>
        <w:snapToGrid w:val="0"/>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（3）供应商未按照磋商文件要求提供与基本资格条件、特定资格条件相应的有效资格证明材料的，视为供应商不具备磋商文件中规定的资格要求，其磋商无效。并将无效原由告知相关供应商.</w:t>
      </w:r>
    </w:p>
    <w:p>
      <w:pPr>
        <w:wordWrap w:val="0"/>
        <w:adjustRightInd w:val="0"/>
        <w:snapToGrid w:val="0"/>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4）采购人或采购代理机构将通过“信用中国”网站(www.creditchina.gov.cn)、中国政府采购网(www.ccgp.gov.cn)渠道查询供应商磋商开标后评标前的信用记录，经查询供应商列入失信被执行人名单、重大税收违法案件当事人名单、政府采购严重违法失信行为记录名单的，其磋商无效。</w:t>
      </w:r>
    </w:p>
    <w:p>
      <w:pPr>
        <w:adjustRightInd w:val="0"/>
        <w:snapToGrid w:val="0"/>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（5）磋商小组出具《供应商资格审查意见表》，供应商未按照磋商文件要求提供与基本资格条件、特定资格条件相应的有效资格证明材料的，视为供应商不具备磋商文件中规定的资格要求，其磋商无效。</w:t>
      </w:r>
    </w:p>
    <w:p>
      <w:pPr>
        <w:adjustRightInd w:val="0"/>
        <w:snapToGrid w:val="0"/>
        <w:spacing w:line="336" w:lineRule="auto"/>
        <w:ind w:firstLine="480"/>
        <w:rPr>
          <w:rFonts w:ascii="宋体" w:hAnsi="宋体" w:cs="宋体"/>
          <w:color w:val="auto"/>
          <w:sz w:val="24"/>
          <w:szCs w:val="24"/>
        </w:rPr>
      </w:pPr>
      <w:r>
        <w:rPr>
          <w:rFonts w:hint="eastAsia" w:ascii="宋体" w:hAnsi="宋体" w:cs="宋体"/>
          <w:color w:val="auto"/>
          <w:sz w:val="24"/>
          <w:szCs w:val="24"/>
        </w:rPr>
        <w:t>1.2符合性审查：磋商小组依据磋商文件的规定，从响应文件的有效性、完整性和对磋商文件的响应程度进行审查，以确定是否对磋商文件的要求作出实质性响应。出现以下情况的，视为符合性不通过，磋商无效。</w:t>
      </w:r>
    </w:p>
    <w:p>
      <w:pPr>
        <w:adjustRightInd w:val="0"/>
        <w:snapToGrid w:val="0"/>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（1）响应文件无法定代表人或其委托授权代表签名或盖章。</w:t>
      </w:r>
    </w:p>
    <w:p>
      <w:pPr>
        <w:adjustRightInd w:val="0"/>
        <w:snapToGrid w:val="0"/>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（2）响应文件内容虚假的。</w:t>
      </w:r>
    </w:p>
    <w:p>
      <w:pPr>
        <w:adjustRightInd w:val="0"/>
        <w:snapToGrid w:val="0"/>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（3）响应文件有采购人不能接受的附加条件的。</w:t>
      </w:r>
    </w:p>
    <w:p>
      <w:pPr>
        <w:adjustRightInd w:val="0"/>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（4）磋商有效期、服务期等商务条款不能满足磋商文件要求的。</w:t>
      </w:r>
    </w:p>
    <w:p>
      <w:pPr>
        <w:widowControl/>
        <w:spacing w:line="336" w:lineRule="auto"/>
        <w:ind w:firstLine="482"/>
        <w:jc w:val="left"/>
        <w:rPr>
          <w:rFonts w:ascii="宋体" w:hAnsi="宋体" w:cs="宋体"/>
          <w:color w:val="auto"/>
          <w:sz w:val="24"/>
          <w:szCs w:val="24"/>
        </w:rPr>
      </w:pPr>
      <w:r>
        <w:rPr>
          <w:rFonts w:hint="eastAsia" w:ascii="宋体" w:hAnsi="宋体" w:cs="宋体"/>
          <w:color w:val="auto"/>
          <w:sz w:val="24"/>
          <w:szCs w:val="24"/>
        </w:rPr>
        <w:t>（5）投标价格超出预算或最高限价，导致采购单位无法支付的。</w:t>
      </w:r>
    </w:p>
    <w:p>
      <w:pPr>
        <w:widowControl/>
        <w:spacing w:line="336" w:lineRule="auto"/>
        <w:ind w:firstLine="482"/>
        <w:jc w:val="left"/>
        <w:rPr>
          <w:rFonts w:ascii="宋体" w:hAnsi="宋体" w:cs="宋体"/>
          <w:color w:val="auto"/>
          <w:sz w:val="24"/>
          <w:szCs w:val="24"/>
        </w:rPr>
      </w:pPr>
      <w:r>
        <w:rPr>
          <w:rFonts w:hint="eastAsia" w:ascii="宋体" w:hAnsi="宋体" w:cs="宋体"/>
          <w:color w:val="auto"/>
          <w:sz w:val="24"/>
          <w:szCs w:val="24"/>
        </w:rPr>
        <w:t>（6）磋商文件明确规定的其他无效条款的。</w:t>
      </w:r>
    </w:p>
    <w:p>
      <w:pPr>
        <w:adjustRightInd w:val="0"/>
        <w:snapToGrid w:val="0"/>
        <w:spacing w:line="336" w:lineRule="auto"/>
        <w:ind w:firstLine="480"/>
        <w:rPr>
          <w:rFonts w:ascii="宋体" w:hAnsi="宋体" w:cs="宋体"/>
          <w:color w:val="auto"/>
          <w:sz w:val="24"/>
          <w:szCs w:val="24"/>
        </w:rPr>
      </w:pPr>
      <w:r>
        <w:rPr>
          <w:rFonts w:hint="eastAsia" w:ascii="宋体" w:hAnsi="宋体" w:cs="宋体"/>
          <w:color w:val="auto"/>
          <w:sz w:val="24"/>
          <w:szCs w:val="24"/>
        </w:rPr>
        <w:t>1.3 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53"/>
        <w:tabs>
          <w:tab w:val="left" w:pos="0"/>
        </w:tabs>
        <w:spacing w:before="0" w:line="336" w:lineRule="auto"/>
        <w:ind w:firstLine="480"/>
        <w:rPr>
          <w:rFonts w:ascii="宋体" w:hAnsi="宋体" w:cs="宋体"/>
          <w:color w:val="auto"/>
        </w:rPr>
      </w:pPr>
      <w:r>
        <w:rPr>
          <w:rFonts w:hint="eastAsia" w:ascii="宋体" w:hAnsi="宋体" w:cs="宋体"/>
          <w:color w:val="auto"/>
        </w:rPr>
        <w:t>1.4磋商小组要求供应商澄清、说明或者更正响应文件应当以书面形式发出。供应商的澄清、说明或者更正应当由法定代表人或其授权代表签字或者加盖公章。由授权代表签字的，应当附法定代表人授权书。</w:t>
      </w:r>
    </w:p>
    <w:p>
      <w:pPr>
        <w:snapToGrid w:val="0"/>
        <w:spacing w:line="336" w:lineRule="auto"/>
        <w:ind w:firstLine="480"/>
        <w:rPr>
          <w:rFonts w:ascii="宋体" w:hAnsi="宋体" w:cs="宋体"/>
          <w:b/>
          <w:bCs/>
          <w:color w:val="auto"/>
          <w:sz w:val="24"/>
          <w:szCs w:val="24"/>
          <w:lang w:val="zh-CN"/>
        </w:rPr>
      </w:pPr>
      <w:r>
        <w:rPr>
          <w:rFonts w:hint="eastAsia" w:ascii="宋体" w:hAnsi="宋体" w:cs="宋体"/>
          <w:b/>
          <w:bCs/>
          <w:color w:val="auto"/>
          <w:sz w:val="24"/>
          <w:szCs w:val="24"/>
        </w:rPr>
        <w:t>2</w:t>
      </w:r>
      <w:r>
        <w:rPr>
          <w:rFonts w:hint="eastAsia" w:ascii="宋体" w:hAnsi="宋体" w:cs="宋体"/>
          <w:b/>
          <w:bCs/>
          <w:color w:val="auto"/>
          <w:sz w:val="24"/>
          <w:szCs w:val="24"/>
          <w:lang w:val="zh-CN"/>
        </w:rPr>
        <w:t>、磋商</w:t>
      </w:r>
    </w:p>
    <w:p>
      <w:pPr>
        <w:snapToGrid w:val="0"/>
        <w:spacing w:line="336" w:lineRule="auto"/>
        <w:ind w:firstLine="480"/>
        <w:rPr>
          <w:rFonts w:ascii="宋体" w:hAnsi="宋体" w:cs="宋体"/>
          <w:color w:val="auto"/>
          <w:sz w:val="24"/>
          <w:szCs w:val="24"/>
        </w:rPr>
      </w:pPr>
      <w:r>
        <w:rPr>
          <w:rFonts w:hint="eastAsia" w:ascii="宋体" w:hAnsi="宋体" w:cs="宋体"/>
          <w:color w:val="auto"/>
          <w:sz w:val="24"/>
          <w:szCs w:val="24"/>
        </w:rPr>
        <w:t>2.1 初审合格的供应商进入下一步的磋商活动。</w:t>
      </w:r>
    </w:p>
    <w:p>
      <w:pPr>
        <w:snapToGrid w:val="0"/>
        <w:spacing w:line="336" w:lineRule="auto"/>
        <w:ind w:firstLine="480"/>
        <w:rPr>
          <w:rFonts w:ascii="宋体" w:hAnsi="宋体" w:cs="宋体"/>
          <w:color w:val="auto"/>
          <w:sz w:val="24"/>
          <w:szCs w:val="24"/>
        </w:rPr>
      </w:pPr>
      <w:r>
        <w:rPr>
          <w:rFonts w:hint="eastAsia" w:ascii="宋体" w:hAnsi="宋体" w:cs="宋体"/>
          <w:color w:val="auto"/>
          <w:sz w:val="24"/>
          <w:szCs w:val="24"/>
        </w:rPr>
        <w:t>2.2 磋商小组所有成员应当集中与单一供应商分别进行磋商，并给予所有参加磋商的供应商平等的磋商机会。</w:t>
      </w:r>
    </w:p>
    <w:p>
      <w:pPr>
        <w:snapToGrid w:val="0"/>
        <w:spacing w:line="336" w:lineRule="auto"/>
        <w:ind w:firstLine="480"/>
        <w:rPr>
          <w:rFonts w:ascii="宋体" w:hAnsi="宋体" w:cs="宋体"/>
          <w:color w:val="auto"/>
          <w:sz w:val="24"/>
          <w:szCs w:val="24"/>
        </w:rPr>
      </w:pPr>
      <w:r>
        <w:rPr>
          <w:rFonts w:hint="eastAsia" w:ascii="宋体" w:hAnsi="宋体" w:cs="宋体"/>
          <w:color w:val="auto"/>
          <w:sz w:val="24"/>
          <w:szCs w:val="24"/>
        </w:rPr>
        <w:t xml:space="preserve">2.3 以递交响应文件的时间先后决定磋商顺序。磋商时先听取由供应商拟派的项目负责人就项目采购的重点内容进行磋商，磋商过程中由磋商小组成员提出相关问题，并由供应商拟派项目负责人进行回复与承诺。 </w:t>
      </w:r>
    </w:p>
    <w:p>
      <w:pPr>
        <w:snapToGrid w:val="0"/>
        <w:spacing w:line="336" w:lineRule="auto"/>
        <w:ind w:firstLine="480"/>
        <w:rPr>
          <w:rFonts w:ascii="宋体" w:hAnsi="宋体" w:cs="宋体"/>
          <w:color w:val="auto"/>
          <w:sz w:val="24"/>
          <w:szCs w:val="24"/>
        </w:rPr>
      </w:pPr>
      <w:r>
        <w:rPr>
          <w:rFonts w:hint="eastAsia" w:ascii="宋体" w:hAnsi="宋体" w:cs="宋体"/>
          <w:color w:val="auto"/>
          <w:sz w:val="24"/>
          <w:szCs w:val="24"/>
        </w:rPr>
        <w:t>2.4 在磋商过程中，磋商小组可以根据磋商文件和磋商情况实质性变动采购需求中的技术、服务要求以及合同草案条款。实质性变动的内容，须经采购人代表确认。</w:t>
      </w:r>
    </w:p>
    <w:p>
      <w:pPr>
        <w:snapToGrid w:val="0"/>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2.5 磋商文件作出的实质性变动是磋商文件的有效组成部分，磋商小组应当及时以书面形式同时通知所有参加磋商的供应商。</w:t>
      </w:r>
    </w:p>
    <w:p>
      <w:pPr>
        <w:snapToGrid w:val="0"/>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2.6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snapToGrid w:val="0"/>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2.7 符合《政府采购竞争性磋商采购方式管理暂行办法》（财库〔2014〕214号）第三条第四项即“市场竞争不充分的科研项目，以及需要扶持的科技成果转化项目”情形的，提交最后报价的供应商可以为2家。</w:t>
      </w:r>
    </w:p>
    <w:p>
      <w:pPr>
        <w:snapToGrid w:val="0"/>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2.8 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napToGrid w:val="0"/>
        <w:spacing w:line="336" w:lineRule="auto"/>
        <w:ind w:firstLine="480"/>
        <w:rPr>
          <w:rFonts w:ascii="宋体" w:hAnsi="宋体" w:cs="宋体"/>
          <w:b/>
          <w:bCs/>
          <w:color w:val="auto"/>
          <w:sz w:val="24"/>
          <w:szCs w:val="24"/>
          <w:lang w:val="zh-CN"/>
        </w:rPr>
      </w:pPr>
      <w:r>
        <w:rPr>
          <w:rFonts w:hint="eastAsia" w:ascii="宋体" w:hAnsi="宋体" w:cs="宋体"/>
          <w:b/>
          <w:bCs/>
          <w:color w:val="auto"/>
          <w:sz w:val="24"/>
          <w:szCs w:val="24"/>
        </w:rPr>
        <w:t>3</w:t>
      </w:r>
      <w:r>
        <w:rPr>
          <w:rFonts w:hint="eastAsia" w:ascii="宋体" w:hAnsi="宋体" w:cs="宋体"/>
          <w:b/>
          <w:bCs/>
          <w:color w:val="auto"/>
          <w:sz w:val="24"/>
          <w:szCs w:val="24"/>
          <w:lang w:val="zh-CN"/>
        </w:rPr>
        <w:t>、最后报价</w:t>
      </w:r>
    </w:p>
    <w:p>
      <w:pPr>
        <w:snapToGrid w:val="0"/>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3.1商务技术汇总后，供应商开启报价文件，磋商小组应当要求所有实质性响应的供应商在规定时间内提交最后报价。</w:t>
      </w:r>
    </w:p>
    <w:p>
      <w:pPr>
        <w:snapToGrid w:val="0"/>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3.2最后报价是供应商响应文件的有效组成部分，若最后报价高于响应文件报价文件报价，则以第一次报价计入评分。</w:t>
      </w:r>
    </w:p>
    <w:p>
      <w:pPr>
        <w:snapToGrid w:val="0"/>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3.3已提交响应文件的供应商，在提交最后报价之前，若因磋商文件实质性变动导致供应商无法满足采购需求的，允许供应商退出磋商。</w:t>
      </w:r>
    </w:p>
    <w:p>
      <w:pPr>
        <w:pStyle w:val="3"/>
        <w:spacing w:line="336"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4、电子评标</w:t>
      </w:r>
    </w:p>
    <w:p>
      <w:pPr>
        <w:pStyle w:val="3"/>
        <w:spacing w:line="336" w:lineRule="auto"/>
        <w:ind w:firstLine="0"/>
        <w:rPr>
          <w:rFonts w:ascii="宋体" w:hAnsi="宋体" w:cs="宋体"/>
          <w:color w:val="auto"/>
          <w:sz w:val="24"/>
          <w:szCs w:val="24"/>
        </w:rPr>
      </w:pPr>
      <w:r>
        <w:rPr>
          <w:rFonts w:hint="eastAsia" w:ascii="宋体" w:hAnsi="宋体" w:cs="宋体"/>
          <w:color w:val="auto"/>
          <w:sz w:val="24"/>
          <w:szCs w:val="24"/>
        </w:rPr>
        <w:t xml:space="preserve">    4.1磋商活动由采购代理机构主持,磋商响应截止时间后,供应商登录政采云平台对电子响应文件进行在线解密；</w:t>
      </w:r>
    </w:p>
    <w:p>
      <w:pPr>
        <w:pStyle w:val="3"/>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4.2响应文件解密结束,开启响应文件,磋商小组对资格和商务技术响应文件进行资格审查和符合性审查；</w:t>
      </w:r>
    </w:p>
    <w:p>
      <w:pPr>
        <w:pStyle w:val="3"/>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4.3供应商按递交磋商响应文件的前后顺序决定磋商的顺序,就价格、服务等认为需要磋商的内容进行磋商,供应商逐家回答磋商小组的提问,供应商作出最终承诺；</w:t>
      </w:r>
    </w:p>
    <w:p>
      <w:pPr>
        <w:pStyle w:val="3"/>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4.4磋商小组对商务技术响应文件进行评审；</w:t>
      </w:r>
    </w:p>
    <w:p>
      <w:pPr>
        <w:pStyle w:val="3"/>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4.5商务技术汇总后，供应商开启报价文件，进行磋商二次报价（最终报价），</w:t>
      </w:r>
      <w:r>
        <w:rPr>
          <w:rFonts w:hint="eastAsia" w:ascii="宋体" w:hAnsi="宋体" w:cs="宋体"/>
          <w:b/>
          <w:bCs/>
          <w:color w:val="auto"/>
          <w:sz w:val="24"/>
          <w:szCs w:val="24"/>
        </w:rPr>
        <w:t>如果供应商在规定时间30分钟内未提交第二次报价，视该供应商放弃本次投标，作无效标处理</w:t>
      </w:r>
      <w:r>
        <w:rPr>
          <w:rFonts w:hint="eastAsia" w:ascii="宋体" w:hAnsi="宋体" w:cs="宋体"/>
          <w:color w:val="auto"/>
          <w:sz w:val="24"/>
          <w:szCs w:val="24"/>
        </w:rPr>
        <w:t>；</w:t>
      </w:r>
    </w:p>
    <w:p>
      <w:pPr>
        <w:pStyle w:val="3"/>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4.6在系统上开启最终报价情况；</w:t>
      </w:r>
    </w:p>
    <w:p>
      <w:pPr>
        <w:pStyle w:val="3"/>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4.7磋商小组对报价情况进行评审；</w:t>
      </w:r>
    </w:p>
    <w:p>
      <w:pPr>
        <w:pStyle w:val="3"/>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4.8在系统上公开资格和商务技术评审结果；</w:t>
      </w:r>
    </w:p>
    <w:p>
      <w:pPr>
        <w:pStyle w:val="3"/>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4.9在系统上公布评审结果。</w:t>
      </w:r>
    </w:p>
    <w:p>
      <w:pPr>
        <w:pStyle w:val="3"/>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4.10开标会结束。</w:t>
      </w:r>
    </w:p>
    <w:p>
      <w:pPr>
        <w:snapToGrid w:val="0"/>
        <w:spacing w:line="336" w:lineRule="auto"/>
        <w:ind w:firstLine="480" w:firstLineChars="200"/>
        <w:rPr>
          <w:rFonts w:ascii="宋体" w:hAnsi="宋体" w:cs="宋体"/>
          <w:b/>
          <w:bCs/>
          <w:color w:val="auto"/>
          <w:sz w:val="24"/>
          <w:szCs w:val="24"/>
        </w:rPr>
      </w:pPr>
      <w:r>
        <w:rPr>
          <w:rFonts w:hint="eastAsia" w:ascii="宋体" w:hAnsi="宋体" w:cs="宋体"/>
          <w:color w:val="auto"/>
          <w:sz w:val="24"/>
          <w:szCs w:val="24"/>
        </w:rPr>
        <w:t>特别说明:政采云如对电子化开标及评审程序有调整的,按调整后的程序操作。</w:t>
      </w:r>
    </w:p>
    <w:p>
      <w:pPr>
        <w:snapToGrid w:val="0"/>
        <w:spacing w:line="336"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5.综合评分</w:t>
      </w:r>
    </w:p>
    <w:p>
      <w:pPr>
        <w:tabs>
          <w:tab w:val="left" w:pos="-1080"/>
          <w:tab w:val="left" w:pos="180"/>
          <w:tab w:val="left" w:pos="1080"/>
        </w:tabs>
        <w:snapToGrid w:val="0"/>
        <w:spacing w:line="336" w:lineRule="auto"/>
        <w:ind w:firstLine="480"/>
        <w:rPr>
          <w:rFonts w:ascii="宋体" w:hAnsi="宋体" w:cs="宋体"/>
          <w:color w:val="auto"/>
          <w:sz w:val="24"/>
          <w:szCs w:val="24"/>
        </w:rPr>
      </w:pPr>
      <w:r>
        <w:rPr>
          <w:rFonts w:hint="eastAsia" w:ascii="宋体" w:hAnsi="宋体" w:cs="宋体"/>
          <w:color w:val="auto"/>
          <w:sz w:val="24"/>
          <w:szCs w:val="24"/>
        </w:rPr>
        <w:t>5.1本评标办法采用综合评标法，由商务技术分和报价分合计组成，其中商务技术分</w:t>
      </w:r>
      <w:r>
        <w:rPr>
          <w:rFonts w:hint="eastAsia" w:ascii="宋体" w:hAnsi="宋体" w:cs="宋体"/>
          <w:color w:val="auto"/>
          <w:sz w:val="24"/>
          <w:szCs w:val="24"/>
          <w:u w:val="single"/>
        </w:rPr>
        <w:t xml:space="preserve"> 80 </w:t>
      </w:r>
      <w:r>
        <w:rPr>
          <w:rFonts w:hint="eastAsia" w:ascii="宋体" w:hAnsi="宋体" w:cs="宋体"/>
          <w:color w:val="auto"/>
          <w:sz w:val="24"/>
          <w:szCs w:val="24"/>
        </w:rPr>
        <w:t>分、报价分</w:t>
      </w:r>
      <w:r>
        <w:rPr>
          <w:rFonts w:hint="eastAsia" w:ascii="宋体" w:hAnsi="宋体" w:cs="宋体"/>
          <w:color w:val="auto"/>
          <w:sz w:val="24"/>
          <w:szCs w:val="24"/>
          <w:u w:val="single"/>
        </w:rPr>
        <w:t xml:space="preserve"> 20 </w:t>
      </w:r>
      <w:r>
        <w:rPr>
          <w:rFonts w:hint="eastAsia" w:ascii="宋体" w:hAnsi="宋体" w:cs="宋体"/>
          <w:color w:val="auto"/>
          <w:sz w:val="24"/>
          <w:szCs w:val="24"/>
        </w:rPr>
        <w:t>分；满分为100分。</w:t>
      </w:r>
    </w:p>
    <w:p>
      <w:pPr>
        <w:spacing w:line="336" w:lineRule="auto"/>
        <w:ind w:firstLine="480"/>
        <w:rPr>
          <w:rFonts w:ascii="宋体" w:hAnsi="宋体" w:cs="宋体"/>
          <w:color w:val="auto"/>
          <w:sz w:val="24"/>
          <w:szCs w:val="24"/>
        </w:rPr>
      </w:pPr>
      <w:r>
        <w:rPr>
          <w:rFonts w:hint="eastAsia" w:ascii="宋体" w:hAnsi="宋体" w:cs="宋体"/>
          <w:color w:val="auto"/>
          <w:sz w:val="24"/>
          <w:szCs w:val="24"/>
        </w:rPr>
        <w:t>5.2经初步评审合格的响应文件，磋商小组根据竞争性磋商文件确定的评审标准和方法，对其商务技术部分作进一步评审、比较、打分。</w:t>
      </w:r>
    </w:p>
    <w:p>
      <w:pPr>
        <w:pStyle w:val="15"/>
        <w:spacing w:line="336" w:lineRule="auto"/>
        <w:ind w:firstLine="480" w:firstLineChars="200"/>
        <w:rPr>
          <w:rFonts w:hAnsi="宋体"/>
          <w:color w:val="auto"/>
          <w:sz w:val="24"/>
          <w:szCs w:val="24"/>
        </w:rPr>
      </w:pPr>
      <w:r>
        <w:rPr>
          <w:rFonts w:hint="eastAsia" w:hAnsi="宋体"/>
          <w:color w:val="auto"/>
          <w:sz w:val="24"/>
          <w:szCs w:val="24"/>
        </w:rPr>
        <w:t>5.3磋商小组成员首先分别对每个供应商商务技术部分进行评审打分，然后计算出算术平均值（保留2位小数），即为供应商的商务技术得分，后计算二次报价，计算公式：投标价格分=(最佳报价/投标报价)*价格权值*100。综合得分=商务技术分+报价分，以综合得分（保留2位小数）由高到低进行排序后推荐第一名为成交供应商候选人；得分相同的，按报价由低到高的顺序排列；得分且报价相同的，在响应文件满足磋商文件全部实质性要求前提下，按照评审因素的量化指标评审得分最高的供应商；确定成交供应商候选人，并提交评审结果。</w:t>
      </w:r>
    </w:p>
    <w:p>
      <w:pPr>
        <w:pStyle w:val="15"/>
        <w:spacing w:line="336" w:lineRule="auto"/>
        <w:ind w:left="400" w:leftChars="200"/>
        <w:rPr>
          <w:rFonts w:hAnsi="宋体"/>
          <w:b/>
          <w:bCs/>
          <w:color w:val="auto"/>
          <w:sz w:val="24"/>
          <w:szCs w:val="24"/>
        </w:rPr>
      </w:pPr>
      <w:r>
        <w:rPr>
          <w:rFonts w:hint="eastAsia" w:hAnsi="宋体"/>
          <w:b/>
          <w:bCs/>
          <w:color w:val="auto"/>
          <w:sz w:val="24"/>
          <w:szCs w:val="24"/>
        </w:rPr>
        <w:t>6、修正原则</w:t>
      </w:r>
    </w:p>
    <w:p>
      <w:pPr>
        <w:pStyle w:val="53"/>
        <w:spacing w:before="0" w:line="336" w:lineRule="auto"/>
        <w:ind w:left="400" w:leftChars="200" w:firstLine="0" w:firstLineChars="0"/>
        <w:rPr>
          <w:rFonts w:ascii="宋体" w:hAnsi="宋体" w:cs="宋体"/>
          <w:color w:val="auto"/>
          <w:lang w:val="zh-CN"/>
        </w:rPr>
      </w:pPr>
      <w:r>
        <w:rPr>
          <w:rFonts w:hint="eastAsia" w:ascii="宋体" w:hAnsi="宋体" w:cs="宋体"/>
          <w:color w:val="auto"/>
        </w:rPr>
        <w:t>响应</w:t>
      </w:r>
      <w:r>
        <w:rPr>
          <w:rFonts w:hint="eastAsia" w:ascii="宋体" w:hAnsi="宋体" w:cs="宋体"/>
          <w:color w:val="auto"/>
          <w:lang w:val="zh-CN"/>
        </w:rPr>
        <w:t>文件报价出现前后不一致的，按照下列规定修正：</w:t>
      </w:r>
    </w:p>
    <w:p>
      <w:pPr>
        <w:pStyle w:val="53"/>
        <w:tabs>
          <w:tab w:val="left" w:pos="0"/>
        </w:tabs>
        <w:spacing w:before="0" w:line="336" w:lineRule="auto"/>
        <w:ind w:firstLine="480"/>
        <w:rPr>
          <w:rFonts w:ascii="宋体" w:hAnsi="宋体" w:cs="宋体"/>
          <w:color w:val="auto"/>
          <w:lang w:val="zh-CN"/>
        </w:rPr>
      </w:pPr>
      <w:r>
        <w:rPr>
          <w:rFonts w:hint="eastAsia" w:ascii="宋体" w:hAnsi="宋体" w:cs="宋体"/>
          <w:color w:val="auto"/>
        </w:rPr>
        <w:t>6.1响应</w:t>
      </w:r>
      <w:r>
        <w:rPr>
          <w:rFonts w:hint="eastAsia" w:ascii="宋体" w:hAnsi="宋体" w:cs="宋体"/>
          <w:color w:val="auto"/>
          <w:lang w:val="zh-CN"/>
        </w:rPr>
        <w:t>文件中</w:t>
      </w:r>
      <w:r>
        <w:rPr>
          <w:rFonts w:hint="eastAsia" w:ascii="宋体" w:hAnsi="宋体" w:cs="宋体"/>
          <w:color w:val="auto"/>
        </w:rPr>
        <w:t>报价</w:t>
      </w:r>
      <w:r>
        <w:rPr>
          <w:rFonts w:hint="eastAsia" w:ascii="宋体" w:hAnsi="宋体" w:cs="宋体"/>
          <w:color w:val="auto"/>
          <w:lang w:val="zh-CN"/>
        </w:rPr>
        <w:t>一览表内容与</w:t>
      </w:r>
      <w:r>
        <w:rPr>
          <w:rFonts w:hint="eastAsia" w:ascii="宋体" w:hAnsi="宋体" w:cs="宋体"/>
          <w:color w:val="auto"/>
        </w:rPr>
        <w:t>响应</w:t>
      </w:r>
      <w:r>
        <w:rPr>
          <w:rFonts w:hint="eastAsia" w:ascii="宋体" w:hAnsi="宋体" w:cs="宋体"/>
          <w:color w:val="auto"/>
          <w:lang w:val="zh-CN"/>
        </w:rPr>
        <w:t>文件中相应内容不一致的，以</w:t>
      </w:r>
      <w:r>
        <w:rPr>
          <w:rFonts w:hint="eastAsia" w:ascii="宋体" w:hAnsi="宋体" w:cs="宋体"/>
          <w:color w:val="auto"/>
        </w:rPr>
        <w:t>报价</w:t>
      </w:r>
      <w:r>
        <w:rPr>
          <w:rFonts w:hint="eastAsia" w:ascii="宋体" w:hAnsi="宋体" w:cs="宋体"/>
          <w:color w:val="auto"/>
          <w:lang w:val="zh-CN"/>
        </w:rPr>
        <w:t>一览表为准；</w:t>
      </w:r>
    </w:p>
    <w:p>
      <w:pPr>
        <w:pStyle w:val="53"/>
        <w:tabs>
          <w:tab w:val="left" w:pos="0"/>
        </w:tabs>
        <w:spacing w:before="0" w:line="336" w:lineRule="auto"/>
        <w:ind w:firstLine="480"/>
        <w:rPr>
          <w:rFonts w:ascii="宋体" w:hAnsi="宋体" w:cs="宋体"/>
          <w:color w:val="auto"/>
          <w:lang w:val="zh-CN"/>
        </w:rPr>
      </w:pPr>
      <w:r>
        <w:rPr>
          <w:rFonts w:hint="eastAsia" w:ascii="宋体" w:hAnsi="宋体" w:cs="宋体"/>
          <w:color w:val="auto"/>
        </w:rPr>
        <w:t>6.2</w:t>
      </w:r>
      <w:r>
        <w:rPr>
          <w:rFonts w:hint="eastAsia" w:ascii="宋体" w:hAnsi="宋体" w:cs="宋体"/>
          <w:color w:val="auto"/>
          <w:lang w:val="zh-CN"/>
        </w:rPr>
        <w:t>大写金额和小写金额不一致的，以大写金额为准；</w:t>
      </w:r>
    </w:p>
    <w:p>
      <w:pPr>
        <w:pStyle w:val="53"/>
        <w:tabs>
          <w:tab w:val="left" w:pos="0"/>
        </w:tabs>
        <w:spacing w:before="0" w:line="336" w:lineRule="auto"/>
        <w:ind w:firstLine="480"/>
        <w:rPr>
          <w:rFonts w:ascii="宋体" w:hAnsi="宋体" w:cs="宋体"/>
          <w:color w:val="auto"/>
          <w:lang w:val="zh-CN"/>
        </w:rPr>
      </w:pPr>
      <w:r>
        <w:rPr>
          <w:rFonts w:hint="eastAsia" w:ascii="宋体" w:hAnsi="宋体" w:cs="宋体"/>
          <w:color w:val="auto"/>
        </w:rPr>
        <w:t>6.3</w:t>
      </w:r>
      <w:r>
        <w:rPr>
          <w:rFonts w:hint="eastAsia" w:ascii="宋体" w:hAnsi="宋体" w:cs="宋体"/>
          <w:color w:val="auto"/>
          <w:lang w:val="zh-CN"/>
        </w:rPr>
        <w:t>单价金额小数点或者百分比有明显错位的，以</w:t>
      </w:r>
      <w:r>
        <w:rPr>
          <w:rFonts w:hint="eastAsia" w:ascii="宋体" w:hAnsi="宋体" w:cs="宋体"/>
          <w:color w:val="auto"/>
        </w:rPr>
        <w:t>报价</w:t>
      </w:r>
      <w:r>
        <w:rPr>
          <w:rFonts w:hint="eastAsia" w:ascii="宋体" w:hAnsi="宋体" w:cs="宋体"/>
          <w:color w:val="auto"/>
          <w:lang w:val="zh-CN"/>
        </w:rPr>
        <w:t>一览表的总价为准，并修改单价；</w:t>
      </w:r>
    </w:p>
    <w:p>
      <w:pPr>
        <w:pStyle w:val="53"/>
        <w:tabs>
          <w:tab w:val="left" w:pos="0"/>
        </w:tabs>
        <w:spacing w:before="0" w:line="336" w:lineRule="auto"/>
        <w:ind w:firstLine="480"/>
        <w:rPr>
          <w:rFonts w:ascii="宋体" w:hAnsi="宋体" w:cs="宋体"/>
          <w:color w:val="auto"/>
          <w:lang w:val="zh-CN"/>
        </w:rPr>
      </w:pPr>
      <w:r>
        <w:rPr>
          <w:rFonts w:hint="eastAsia" w:ascii="宋体" w:hAnsi="宋体" w:cs="宋体"/>
          <w:color w:val="auto"/>
        </w:rPr>
        <w:t>6.4</w:t>
      </w:r>
      <w:r>
        <w:rPr>
          <w:rFonts w:hint="eastAsia" w:ascii="宋体" w:hAnsi="宋体" w:cs="宋体"/>
          <w:color w:val="auto"/>
          <w:lang w:val="zh-CN"/>
        </w:rPr>
        <w:t>总价金额与按单价汇总金额不一致的，以单价金额计算结果为准。</w:t>
      </w:r>
    </w:p>
    <w:p>
      <w:pPr>
        <w:pStyle w:val="53"/>
        <w:spacing w:before="0" w:line="336" w:lineRule="auto"/>
        <w:ind w:firstLine="480"/>
        <w:rPr>
          <w:rFonts w:ascii="宋体" w:hAnsi="宋体" w:cs="宋体"/>
          <w:color w:val="auto"/>
          <w:lang w:val="zh-CN"/>
        </w:rPr>
      </w:pPr>
      <w:r>
        <w:rPr>
          <w:rFonts w:hint="eastAsia" w:ascii="宋体" w:hAnsi="宋体" w:cs="宋体"/>
          <w:color w:val="auto"/>
          <w:lang w:val="zh-CN"/>
        </w:rPr>
        <w:t>同时出现两种以上不一致的，按照前款规定的顺序修正。修正后的报价按照财政部公布第87号令 《政府采购产品和服务招标投标管理办法》第五十一条第二款的规定经</w:t>
      </w:r>
      <w:r>
        <w:rPr>
          <w:rFonts w:hint="eastAsia" w:ascii="宋体" w:hAnsi="宋体" w:cs="宋体"/>
          <w:color w:val="auto"/>
        </w:rPr>
        <w:t>供应商</w:t>
      </w:r>
      <w:r>
        <w:rPr>
          <w:rFonts w:hint="eastAsia" w:ascii="宋体" w:hAnsi="宋体" w:cs="宋体"/>
          <w:color w:val="auto"/>
          <w:lang w:val="zh-CN"/>
        </w:rPr>
        <w:t>确认后产生约束力，</w:t>
      </w:r>
      <w:r>
        <w:rPr>
          <w:rFonts w:hint="eastAsia" w:ascii="宋体" w:hAnsi="宋体" w:cs="宋体"/>
          <w:color w:val="auto"/>
        </w:rPr>
        <w:t>供应商</w:t>
      </w:r>
      <w:r>
        <w:rPr>
          <w:rFonts w:hint="eastAsia" w:ascii="宋体" w:hAnsi="宋体" w:cs="宋体"/>
          <w:color w:val="auto"/>
          <w:lang w:val="zh-CN"/>
        </w:rPr>
        <w:t>不确认的，其</w:t>
      </w:r>
      <w:r>
        <w:rPr>
          <w:rFonts w:hint="eastAsia" w:ascii="宋体" w:hAnsi="宋体" w:cs="宋体"/>
          <w:color w:val="auto"/>
        </w:rPr>
        <w:t>磋商</w:t>
      </w:r>
      <w:r>
        <w:rPr>
          <w:rFonts w:hint="eastAsia" w:ascii="宋体" w:hAnsi="宋体" w:cs="宋体"/>
          <w:color w:val="auto"/>
          <w:lang w:val="zh-CN"/>
        </w:rPr>
        <w:t>无效。</w:t>
      </w:r>
    </w:p>
    <w:p>
      <w:pPr>
        <w:pStyle w:val="15"/>
        <w:spacing w:line="336" w:lineRule="auto"/>
        <w:ind w:left="400" w:leftChars="200"/>
        <w:rPr>
          <w:rFonts w:hAnsi="宋体"/>
          <w:b/>
          <w:bCs/>
          <w:color w:val="auto"/>
          <w:sz w:val="24"/>
          <w:szCs w:val="24"/>
        </w:rPr>
      </w:pPr>
      <w:r>
        <w:rPr>
          <w:rFonts w:hint="eastAsia" w:hAnsi="宋体"/>
          <w:b/>
          <w:bCs/>
          <w:color w:val="auto"/>
          <w:sz w:val="24"/>
          <w:szCs w:val="24"/>
        </w:rPr>
        <w:t>7、响应文件的澄清</w:t>
      </w:r>
    </w:p>
    <w:p>
      <w:pPr>
        <w:pStyle w:val="53"/>
        <w:tabs>
          <w:tab w:val="left" w:pos="0"/>
        </w:tabs>
        <w:spacing w:before="0" w:line="336" w:lineRule="auto"/>
        <w:ind w:firstLine="480"/>
        <w:rPr>
          <w:rFonts w:ascii="宋体" w:hAnsi="宋体" w:cs="宋体"/>
          <w:color w:val="auto"/>
          <w:lang w:val="zh-CN"/>
        </w:rPr>
      </w:pPr>
      <w:r>
        <w:rPr>
          <w:rFonts w:hint="eastAsia" w:ascii="宋体" w:hAnsi="宋体" w:cs="宋体"/>
          <w:color w:val="auto"/>
        </w:rPr>
        <w:t>7.1</w:t>
      </w:r>
      <w:r>
        <w:rPr>
          <w:rFonts w:hint="eastAsia" w:ascii="宋体" w:hAnsi="宋体" w:cs="宋体"/>
          <w:color w:val="auto"/>
          <w:lang w:val="zh-CN"/>
        </w:rPr>
        <w:t>评审中因</w:t>
      </w:r>
      <w:r>
        <w:rPr>
          <w:rFonts w:hint="eastAsia" w:ascii="宋体" w:hAnsi="宋体" w:cs="宋体"/>
          <w:color w:val="auto"/>
        </w:rPr>
        <w:t>响应</w:t>
      </w:r>
      <w:r>
        <w:rPr>
          <w:rFonts w:hint="eastAsia" w:ascii="宋体" w:hAnsi="宋体" w:cs="宋体"/>
          <w:color w:val="auto"/>
          <w:lang w:val="zh-CN"/>
        </w:rPr>
        <w:t>文件含义不明、表述不一致或有明显计算错误等内容需要供应商作出澄清、说明或者补正的，</w:t>
      </w:r>
      <w:r>
        <w:rPr>
          <w:rFonts w:hint="eastAsia" w:ascii="宋体" w:hAnsi="宋体" w:cs="宋体"/>
          <w:color w:val="auto"/>
        </w:rPr>
        <w:t>磋商小组</w:t>
      </w:r>
      <w:r>
        <w:rPr>
          <w:rFonts w:hint="eastAsia" w:ascii="宋体" w:hAnsi="宋体" w:cs="宋体"/>
          <w:color w:val="auto"/>
          <w:lang w:val="zh-CN"/>
        </w:rPr>
        <w:t>和供应商应当通过政采云平台交换数据电文，给予供应商提交澄清说明或补正的时间不少于半小时，供应商已经明确表示澄清说明或补正完毕的除外。</w:t>
      </w:r>
    </w:p>
    <w:p>
      <w:pPr>
        <w:spacing w:line="336" w:lineRule="auto"/>
        <w:ind w:firstLine="480" w:firstLineChars="200"/>
        <w:rPr>
          <w:rFonts w:ascii="宋体"/>
          <w:color w:val="auto"/>
          <w:sz w:val="24"/>
          <w:szCs w:val="24"/>
        </w:rPr>
      </w:pPr>
      <w:r>
        <w:rPr>
          <w:rFonts w:hint="eastAsia" w:ascii="宋体" w:hAnsi="宋体" w:cs="宋体"/>
          <w:color w:val="auto"/>
          <w:sz w:val="24"/>
          <w:szCs w:val="24"/>
          <w:lang w:val="zh-CN"/>
        </w:rPr>
        <w:t>供应商通过政采云平台交换的数据电文必须进行电子签章。</w:t>
      </w:r>
    </w:p>
    <w:p>
      <w:pPr>
        <w:pStyle w:val="2"/>
        <w:numPr>
          <w:ilvl w:val="0"/>
          <w:numId w:val="20"/>
        </w:numPr>
        <w:jc w:val="center"/>
        <w:rPr>
          <w:rFonts w:cs="Times New Roman"/>
          <w:color w:val="auto"/>
        </w:rPr>
      </w:pPr>
      <w:r>
        <w:rPr>
          <w:color w:val="auto"/>
        </w:rPr>
        <w:t xml:space="preserve"> </w:t>
      </w:r>
      <w:bookmarkStart w:id="94" w:name="_Toc18583"/>
      <w:bookmarkStart w:id="95" w:name="_Toc1778"/>
      <w:bookmarkStart w:id="96" w:name="_Toc12816"/>
      <w:r>
        <w:rPr>
          <w:rFonts w:hint="eastAsia"/>
          <w:color w:val="auto"/>
        </w:rPr>
        <w:t>注意事项</w:t>
      </w:r>
      <w:bookmarkEnd w:id="94"/>
      <w:bookmarkEnd w:id="95"/>
      <w:bookmarkEnd w:id="96"/>
    </w:p>
    <w:p>
      <w:pPr>
        <w:pStyle w:val="3"/>
        <w:spacing w:line="336" w:lineRule="auto"/>
        <w:rPr>
          <w:b/>
          <w:bCs/>
          <w:color w:val="auto"/>
          <w:sz w:val="24"/>
          <w:szCs w:val="24"/>
        </w:rPr>
      </w:pPr>
      <w:r>
        <w:rPr>
          <w:rFonts w:hint="eastAsia" w:cs="宋体"/>
          <w:b/>
          <w:bCs/>
          <w:color w:val="auto"/>
          <w:sz w:val="24"/>
          <w:szCs w:val="24"/>
        </w:rPr>
        <w:t>评审时如发现供应商的报价明显低于其他通过符合性审查供应商的报价，有可能影响产品质量或者不能诚信履约的，磋商小组可要求该供应商书面说明并提供相关证明材料。该供应商不能合理说明原因并提供证明材料的，评审小组应将该供应商的磋商响应文件作无效处理，同时采购组织机构应将该情况报同级财政部门，并视情将其列入不良供应商名单。</w:t>
      </w:r>
    </w:p>
    <w:p>
      <w:pPr>
        <w:pStyle w:val="2"/>
        <w:numPr>
          <w:ilvl w:val="0"/>
          <w:numId w:val="21"/>
        </w:numPr>
        <w:jc w:val="center"/>
        <w:rPr>
          <w:rFonts w:cs="Times New Roman"/>
          <w:color w:val="auto"/>
        </w:rPr>
      </w:pPr>
      <w:r>
        <w:rPr>
          <w:color w:val="auto"/>
        </w:rPr>
        <w:t xml:space="preserve"> </w:t>
      </w:r>
      <w:bookmarkStart w:id="97" w:name="_Toc6127"/>
      <w:bookmarkStart w:id="98" w:name="_Toc13782"/>
      <w:bookmarkStart w:id="99" w:name="_Toc29650"/>
      <w:r>
        <w:rPr>
          <w:rFonts w:hint="eastAsia"/>
          <w:color w:val="auto"/>
        </w:rPr>
        <w:t>评分细则</w:t>
      </w:r>
      <w:bookmarkEnd w:id="97"/>
      <w:bookmarkEnd w:id="98"/>
      <w:bookmarkEnd w:id="99"/>
    </w:p>
    <w:p>
      <w:pPr>
        <w:spacing w:line="360" w:lineRule="auto"/>
        <w:ind w:firstLine="482" w:firstLineChars="200"/>
        <w:rPr>
          <w:rFonts w:ascii="宋体"/>
          <w:b/>
          <w:bCs/>
          <w:color w:val="auto"/>
          <w:sz w:val="24"/>
          <w:szCs w:val="24"/>
        </w:rPr>
      </w:pPr>
      <w:r>
        <w:rPr>
          <w:rFonts w:hint="eastAsia" w:ascii="宋体" w:hAnsi="宋体" w:cs="宋体"/>
          <w:b/>
          <w:bCs/>
          <w:color w:val="auto"/>
          <w:sz w:val="24"/>
          <w:szCs w:val="24"/>
        </w:rPr>
        <w:t>一、报价文件评分标准（</w:t>
      </w:r>
      <w:r>
        <w:rPr>
          <w:rFonts w:ascii="宋体" w:hAnsi="宋体" w:cs="宋体"/>
          <w:b/>
          <w:bCs/>
          <w:color w:val="auto"/>
          <w:sz w:val="24"/>
          <w:szCs w:val="24"/>
          <w:u w:val="single"/>
        </w:rPr>
        <w:t xml:space="preserve"> </w:t>
      </w:r>
      <w:r>
        <w:rPr>
          <w:rFonts w:hint="eastAsia" w:ascii="宋体" w:hAnsi="宋体" w:cs="宋体"/>
          <w:b/>
          <w:bCs/>
          <w:color w:val="auto"/>
          <w:sz w:val="24"/>
          <w:szCs w:val="24"/>
          <w:u w:val="single"/>
        </w:rPr>
        <w:t>20</w:t>
      </w:r>
      <w:r>
        <w:rPr>
          <w:rFonts w:ascii="宋体" w:hAnsi="宋体" w:cs="宋体"/>
          <w:b/>
          <w:bCs/>
          <w:color w:val="auto"/>
          <w:sz w:val="24"/>
          <w:szCs w:val="24"/>
          <w:u w:val="single"/>
        </w:rPr>
        <w:t xml:space="preserve"> </w:t>
      </w:r>
      <w:r>
        <w:rPr>
          <w:rFonts w:hint="eastAsia" w:ascii="宋体" w:hAnsi="宋体" w:cs="宋体"/>
          <w:b/>
          <w:bCs/>
          <w:color w:val="auto"/>
          <w:sz w:val="24"/>
          <w:szCs w:val="24"/>
        </w:rPr>
        <w:t>分）</w:t>
      </w:r>
    </w:p>
    <w:p>
      <w:pPr>
        <w:spacing w:line="360" w:lineRule="auto"/>
        <w:ind w:firstLine="480" w:firstLineChars="200"/>
        <w:rPr>
          <w:rFonts w:ascii="宋体"/>
          <w:color w:val="auto"/>
          <w:sz w:val="24"/>
          <w:szCs w:val="24"/>
        </w:rPr>
      </w:pPr>
      <w:r>
        <w:rPr>
          <w:rFonts w:hint="eastAsia" w:ascii="宋体" w:hAnsi="宋体" w:cs="宋体"/>
          <w:color w:val="auto"/>
          <w:sz w:val="24"/>
          <w:szCs w:val="24"/>
        </w:rPr>
        <w:t>报价文件主要是对供应商的有效报价进行评议，其评分标准及分值设置规则如下：</w:t>
      </w:r>
    </w:p>
    <w:p>
      <w:pPr>
        <w:spacing w:line="360" w:lineRule="auto"/>
        <w:ind w:firstLine="480" w:firstLineChars="200"/>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、本次采购最高限价规定如下：</w:t>
      </w:r>
    </w:p>
    <w:p>
      <w:pPr>
        <w:spacing w:line="360" w:lineRule="auto"/>
        <w:ind w:firstLine="480" w:firstLineChars="200"/>
        <w:rPr>
          <w:rFonts w:hint="eastAsia" w:ascii="宋体" w:hAnsi="宋体" w:cs="宋体"/>
          <w:b/>
          <w:bCs/>
          <w:color w:val="auto"/>
          <w:sz w:val="24"/>
          <w:szCs w:val="24"/>
        </w:rPr>
      </w:pPr>
      <w:r>
        <w:rPr>
          <w:rFonts w:hint="eastAsia" w:ascii="宋体" w:hAnsi="宋体" w:cs="宋体"/>
          <w:color w:val="auto"/>
          <w:sz w:val="24"/>
          <w:szCs w:val="24"/>
        </w:rPr>
        <w:t>本项目投标报价的最高限价</w:t>
      </w:r>
      <w:r>
        <w:rPr>
          <w:rFonts w:hint="eastAsia" w:ascii="宋体" w:hAnsi="宋体" w:cs="宋体"/>
          <w:b/>
          <w:bCs/>
          <w:color w:val="auto"/>
          <w:sz w:val="24"/>
          <w:szCs w:val="24"/>
        </w:rPr>
        <w:t>为人民币</w:t>
      </w:r>
      <w:r>
        <w:rPr>
          <w:rFonts w:hint="eastAsia" w:ascii="宋体" w:hAnsi="宋体" w:cs="宋体"/>
          <w:b/>
          <w:bCs/>
          <w:color w:val="auto"/>
          <w:sz w:val="24"/>
          <w:szCs w:val="24"/>
          <w:u w:val="single"/>
          <w:lang w:val="en-US" w:eastAsia="zh-CN"/>
        </w:rPr>
        <w:t>捌拾万元</w:t>
      </w:r>
      <w:r>
        <w:rPr>
          <w:rFonts w:hint="eastAsia" w:ascii="宋体" w:hAnsi="宋体"/>
          <w:b/>
          <w:color w:val="auto"/>
          <w:sz w:val="24"/>
          <w:szCs w:val="21"/>
          <w:u w:val="single"/>
        </w:rPr>
        <w:t>整</w:t>
      </w:r>
      <w:r>
        <w:rPr>
          <w:rFonts w:hint="eastAsia" w:ascii="宋体" w:hAnsi="宋体" w:cs="宋体"/>
          <w:b/>
          <w:bCs/>
          <w:color w:val="auto"/>
          <w:sz w:val="24"/>
          <w:szCs w:val="24"/>
        </w:rPr>
        <w:t>（小写</w:t>
      </w:r>
      <w:r>
        <w:rPr>
          <w:rFonts w:hint="eastAsia" w:ascii="宋体" w:hAnsi="宋体" w:cs="宋体"/>
          <w:b/>
          <w:bCs/>
          <w:color w:val="auto"/>
          <w:sz w:val="24"/>
          <w:szCs w:val="24"/>
          <w:u w:val="single"/>
        </w:rPr>
        <w:t xml:space="preserve"> </w:t>
      </w:r>
      <w:r>
        <w:rPr>
          <w:rFonts w:hint="eastAsia" w:ascii="宋体" w:hAnsi="宋体" w:cs="宋体"/>
          <w:b/>
          <w:bCs/>
          <w:color w:val="auto"/>
          <w:sz w:val="24"/>
          <w:szCs w:val="24"/>
          <w:u w:val="single"/>
          <w:lang w:val="en-US" w:eastAsia="zh-CN"/>
        </w:rPr>
        <w:t>800000</w:t>
      </w:r>
      <w:r>
        <w:rPr>
          <w:rFonts w:hint="eastAsia" w:ascii="宋体" w:hAnsi="宋体" w:cs="宋体"/>
          <w:b/>
          <w:bCs/>
          <w:color w:val="auto"/>
          <w:sz w:val="24"/>
          <w:szCs w:val="24"/>
          <w:u w:val="single"/>
        </w:rPr>
        <w:t xml:space="preserve">.00 </w:t>
      </w:r>
      <w:r>
        <w:rPr>
          <w:rFonts w:hint="eastAsia" w:ascii="宋体" w:hAnsi="宋体" w:cs="宋体"/>
          <w:b/>
          <w:bCs/>
          <w:color w:val="auto"/>
          <w:sz w:val="24"/>
          <w:szCs w:val="24"/>
        </w:rPr>
        <w:t>元）。</w:t>
      </w:r>
    </w:p>
    <w:p>
      <w:pPr>
        <w:spacing w:line="360" w:lineRule="auto"/>
        <w:ind w:firstLine="480" w:firstLineChars="200"/>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、供应商的报价在最高限价内的，为有效报价。</w:t>
      </w:r>
    </w:p>
    <w:p>
      <w:pPr>
        <w:spacing w:line="360" w:lineRule="auto"/>
        <w:ind w:firstLine="480" w:firstLineChars="200"/>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、本次评标设有最佳报价。最佳报价确定方式：根据所有入围供应商有效报价中的最低报价作为最佳报价。</w:t>
      </w:r>
    </w:p>
    <w:p>
      <w:pPr>
        <w:spacing w:line="360" w:lineRule="auto"/>
        <w:ind w:firstLine="480" w:firstLineChars="200"/>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、最佳报价者的报价分为满分，其他供应商的有效报价与最佳报价相比，按下列方法计算其报价分：</w:t>
      </w:r>
    </w:p>
    <w:p>
      <w:pPr>
        <w:spacing w:line="360" w:lineRule="auto"/>
        <w:ind w:firstLine="480" w:firstLineChars="200"/>
        <w:rPr>
          <w:rFonts w:ascii="宋体"/>
          <w:color w:val="auto"/>
          <w:sz w:val="24"/>
          <w:szCs w:val="24"/>
        </w:rPr>
      </w:pPr>
      <w:r>
        <w:rPr>
          <w:rFonts w:hint="eastAsia" w:ascii="宋体" w:hAnsi="宋体" w:cs="宋体"/>
          <w:color w:val="auto"/>
          <w:sz w:val="24"/>
          <w:szCs w:val="24"/>
        </w:rPr>
        <w:t>投标价格分</w:t>
      </w:r>
      <w:r>
        <w:rPr>
          <w:rFonts w:ascii="宋体" w:hAnsi="宋体" w:cs="宋体"/>
          <w:color w:val="auto"/>
          <w:sz w:val="24"/>
          <w:szCs w:val="24"/>
        </w:rPr>
        <w:t>=(</w:t>
      </w:r>
      <w:r>
        <w:rPr>
          <w:rFonts w:hint="eastAsia" w:ascii="宋体" w:hAnsi="宋体" w:cs="宋体"/>
          <w:color w:val="auto"/>
          <w:sz w:val="24"/>
          <w:szCs w:val="24"/>
        </w:rPr>
        <w:t>最佳报价</w:t>
      </w:r>
      <w:r>
        <w:rPr>
          <w:rFonts w:ascii="宋体" w:hAnsi="宋体" w:cs="宋体"/>
          <w:color w:val="auto"/>
          <w:sz w:val="24"/>
          <w:szCs w:val="24"/>
        </w:rPr>
        <w:t>/</w:t>
      </w:r>
      <w:r>
        <w:rPr>
          <w:rFonts w:hint="eastAsia" w:ascii="宋体" w:hAnsi="宋体" w:cs="宋体"/>
          <w:color w:val="auto"/>
          <w:sz w:val="24"/>
          <w:szCs w:val="24"/>
        </w:rPr>
        <w:t>投标报价</w:t>
      </w:r>
      <w:r>
        <w:rPr>
          <w:rFonts w:ascii="宋体" w:hAnsi="宋体" w:cs="宋体"/>
          <w:color w:val="auto"/>
          <w:sz w:val="24"/>
          <w:szCs w:val="24"/>
        </w:rPr>
        <w:t>)*</w:t>
      </w:r>
      <w:r>
        <w:rPr>
          <w:rFonts w:hint="eastAsia" w:ascii="宋体" w:hAnsi="宋体" w:cs="宋体"/>
          <w:color w:val="auto"/>
          <w:sz w:val="24"/>
          <w:szCs w:val="24"/>
        </w:rPr>
        <w:t>价格权值</w:t>
      </w:r>
      <w:r>
        <w:rPr>
          <w:rFonts w:ascii="宋体" w:hAnsi="宋体" w:cs="宋体"/>
          <w:color w:val="auto"/>
          <w:sz w:val="24"/>
          <w:szCs w:val="24"/>
        </w:rPr>
        <w:t>*100</w:t>
      </w:r>
      <w:r>
        <w:rPr>
          <w:rFonts w:hint="eastAsia" w:ascii="宋体" w:hAnsi="宋体" w:cs="宋体"/>
          <w:color w:val="auto"/>
          <w:sz w:val="24"/>
          <w:szCs w:val="24"/>
        </w:rPr>
        <w:t>。</w:t>
      </w:r>
    </w:p>
    <w:p>
      <w:pPr>
        <w:spacing w:line="360" w:lineRule="auto"/>
        <w:ind w:firstLine="480" w:firstLineChars="200"/>
        <w:rPr>
          <w:rFonts w:ascii="宋体"/>
          <w:color w:val="auto"/>
          <w:sz w:val="24"/>
          <w:szCs w:val="24"/>
        </w:rPr>
      </w:pPr>
      <w:r>
        <w:rPr>
          <w:rFonts w:ascii="宋体" w:hAnsi="宋体" w:cs="宋体"/>
          <w:color w:val="auto"/>
          <w:sz w:val="24"/>
          <w:szCs w:val="24"/>
        </w:rPr>
        <w:t>5</w:t>
      </w:r>
      <w:r>
        <w:rPr>
          <w:rFonts w:hint="eastAsia" w:ascii="宋体" w:hAnsi="宋体" w:cs="宋体"/>
          <w:color w:val="auto"/>
          <w:sz w:val="24"/>
          <w:szCs w:val="24"/>
        </w:rPr>
        <w:t>、当报价一览表与磋商报价明细表报价不一致时，以报价一览表为准，磋商报价明细表报价予以修正并由授权代表签字确认，拒绝修正或确认的，则做无效标处理。</w:t>
      </w:r>
    </w:p>
    <w:p>
      <w:pPr>
        <w:spacing w:line="360" w:lineRule="auto"/>
        <w:ind w:firstLine="480" w:firstLineChars="200"/>
        <w:rPr>
          <w:rFonts w:ascii="宋体"/>
          <w:color w:val="auto"/>
          <w:sz w:val="24"/>
          <w:szCs w:val="24"/>
        </w:rPr>
      </w:pPr>
      <w:r>
        <w:rPr>
          <w:rFonts w:ascii="宋体" w:hAnsi="宋体" w:cs="宋体"/>
          <w:color w:val="auto"/>
          <w:sz w:val="24"/>
          <w:szCs w:val="24"/>
        </w:rPr>
        <w:t>6</w:t>
      </w:r>
      <w:r>
        <w:rPr>
          <w:rFonts w:hint="eastAsia" w:ascii="宋体" w:hAnsi="宋体" w:cs="宋体"/>
          <w:color w:val="auto"/>
          <w:sz w:val="24"/>
          <w:szCs w:val="24"/>
        </w:rPr>
        <w:t>、响应文件只允许有一个报价，磋商报价应按磋商文件中相关附表格式填报，该磋商报价应与明细报价汇总相等，且不允许出现报价优惠、赠送等字样（明细出现“</w:t>
      </w:r>
      <w:r>
        <w:rPr>
          <w:rFonts w:ascii="宋体" w:cs="宋体"/>
          <w:color w:val="auto"/>
          <w:sz w:val="24"/>
          <w:szCs w:val="24"/>
        </w:rPr>
        <w:t>0</w:t>
      </w:r>
      <w:r>
        <w:rPr>
          <w:rFonts w:hint="eastAsia" w:ascii="宋体" w:hAnsi="宋体" w:cs="宋体"/>
          <w:color w:val="auto"/>
          <w:sz w:val="24"/>
          <w:szCs w:val="24"/>
        </w:rPr>
        <w:t>”元，视同赠送）</w:t>
      </w:r>
      <w:r>
        <w:rPr>
          <w:rFonts w:ascii="宋体" w:cs="宋体"/>
          <w:color w:val="auto"/>
          <w:sz w:val="24"/>
          <w:szCs w:val="24"/>
        </w:rPr>
        <w:t>,</w:t>
      </w:r>
      <w:r>
        <w:rPr>
          <w:rFonts w:hint="eastAsia" w:ascii="宋体" w:hAnsi="宋体" w:cs="宋体"/>
          <w:color w:val="auto"/>
          <w:sz w:val="24"/>
          <w:szCs w:val="24"/>
        </w:rPr>
        <w:t>如出现则做</w:t>
      </w:r>
      <w:r>
        <w:rPr>
          <w:rFonts w:hint="eastAsia" w:ascii="宋体" w:hAnsi="宋体" w:cs="宋体"/>
          <w:b/>
          <w:bCs/>
          <w:color w:val="auto"/>
          <w:sz w:val="24"/>
          <w:szCs w:val="24"/>
        </w:rPr>
        <w:t>无效响应</w:t>
      </w:r>
      <w:r>
        <w:rPr>
          <w:rFonts w:hint="eastAsia" w:ascii="宋体" w:hAnsi="宋体" w:cs="宋体"/>
          <w:color w:val="auto"/>
          <w:sz w:val="24"/>
          <w:szCs w:val="24"/>
        </w:rPr>
        <w:t>处理。</w:t>
      </w:r>
    </w:p>
    <w:p>
      <w:pPr>
        <w:autoSpaceDE w:val="0"/>
        <w:autoSpaceDN w:val="0"/>
        <w:spacing w:line="360" w:lineRule="auto"/>
        <w:ind w:firstLine="482"/>
        <w:rPr>
          <w:rFonts w:ascii="宋体"/>
          <w:color w:val="auto"/>
          <w:sz w:val="24"/>
          <w:szCs w:val="24"/>
        </w:rPr>
      </w:pPr>
      <w:r>
        <w:rPr>
          <w:rFonts w:ascii="宋体" w:hAnsi="宋体" w:cs="宋体"/>
          <w:color w:val="auto"/>
          <w:sz w:val="24"/>
          <w:szCs w:val="24"/>
        </w:rPr>
        <w:t>7</w:t>
      </w:r>
      <w:r>
        <w:rPr>
          <w:rFonts w:hint="eastAsia" w:ascii="宋体" w:hAnsi="宋体" w:cs="宋体"/>
          <w:color w:val="auto"/>
          <w:sz w:val="24"/>
          <w:szCs w:val="24"/>
        </w:rPr>
        <w:t>、</w:t>
      </w:r>
      <w:r>
        <w:rPr>
          <w:rFonts w:hint="eastAsia" w:ascii="宋体" w:hAnsi="宋体" w:cs="宋体"/>
          <w:b/>
          <w:bCs/>
          <w:color w:val="auto"/>
          <w:sz w:val="24"/>
          <w:szCs w:val="24"/>
        </w:rPr>
        <w:t>投标价格的合理性</w:t>
      </w:r>
      <w:r>
        <w:rPr>
          <w:rFonts w:hint="eastAsia" w:ascii="宋体" w:hAnsi="宋体" w:cs="宋体"/>
          <w:color w:val="auto"/>
          <w:sz w:val="24"/>
          <w:szCs w:val="24"/>
        </w:rPr>
        <w:t>：</w:t>
      </w:r>
      <w:r>
        <w:rPr>
          <w:rFonts w:hint="eastAsia" w:ascii="Arial" w:hAnsi="Arial" w:cs="宋体"/>
          <w:color w:val="auto"/>
          <w:sz w:val="24"/>
          <w:szCs w:val="24"/>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响应处理。</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8、</w:t>
      </w:r>
      <w:r>
        <w:rPr>
          <w:rFonts w:hint="eastAsia" w:ascii="宋体" w:hAnsi="宋体"/>
          <w:color w:val="auto"/>
          <w:sz w:val="24"/>
          <w:szCs w:val="21"/>
        </w:rPr>
        <w:t>价格扣除：根据工信部等部委发布的《关于印发中小企业划型标准规定的通知》（工信部联企业〔2011〕300号），根据具体品目确定相应标准。符合上述条件的中小微型企业应按照招标文件的格式要求提供《中小企业声明函》及其相关的充分的证明材料。符合《关于促进残疾人就业政府采购政策的通知》（财库〔2017〕141号）规定的条件并提供《残疾人福利性单位声明函》的残疾人福利性单位视同小型</w:t>
      </w:r>
      <w:r>
        <w:rPr>
          <w:rFonts w:hint="eastAsia" w:ascii="宋体" w:hAnsi="宋体" w:cs="宋体"/>
          <w:color w:val="auto"/>
          <w:sz w:val="24"/>
          <w:szCs w:val="24"/>
        </w:rPr>
        <w:t>、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根据</w:t>
      </w:r>
      <w:r>
        <w:rPr>
          <w:rFonts w:hint="eastAsia" w:ascii="宋体" w:hAnsi="宋体" w:cs="宋体"/>
          <w:color w:val="auto"/>
          <w:sz w:val="24"/>
          <w:szCs w:val="24"/>
          <w:lang w:val="en-US" w:eastAsia="zh-CN"/>
        </w:rPr>
        <w:t>财政部</w:t>
      </w:r>
      <w:r>
        <w:rPr>
          <w:rFonts w:hint="eastAsia" w:ascii="宋体" w:hAnsi="宋体" w:cs="宋体"/>
          <w:color w:val="auto"/>
          <w:sz w:val="24"/>
          <w:szCs w:val="24"/>
        </w:rPr>
        <w:t>的《关于进一步加大政府采购支持中小企业力度的通知》（</w:t>
      </w:r>
      <w:r>
        <w:rPr>
          <w:rFonts w:hint="eastAsia" w:ascii="宋体" w:hAnsi="宋体" w:cs="宋体"/>
          <w:color w:val="auto"/>
          <w:sz w:val="24"/>
          <w:szCs w:val="24"/>
          <w:lang w:val="en-US" w:eastAsia="zh-CN"/>
        </w:rPr>
        <w:t>财库</w:t>
      </w:r>
      <w:r>
        <w:rPr>
          <w:rFonts w:hint="eastAsia" w:ascii="宋体" w:hAnsi="宋体" w:cs="宋体"/>
          <w:color w:val="auto"/>
          <w:sz w:val="24"/>
          <w:szCs w:val="24"/>
        </w:rPr>
        <w:t>〔2022〕</w:t>
      </w:r>
      <w:r>
        <w:rPr>
          <w:rFonts w:hint="eastAsia" w:ascii="宋体" w:hAnsi="宋体" w:cs="宋体"/>
          <w:color w:val="auto"/>
          <w:sz w:val="24"/>
          <w:szCs w:val="24"/>
          <w:lang w:val="en-US" w:eastAsia="zh-CN"/>
        </w:rPr>
        <w:t>19</w:t>
      </w:r>
      <w:r>
        <w:rPr>
          <w:rFonts w:hint="eastAsia" w:ascii="宋体" w:hAnsi="宋体" w:cs="宋体"/>
          <w:color w:val="auto"/>
          <w:sz w:val="24"/>
          <w:szCs w:val="24"/>
        </w:rPr>
        <w:t>号）规定，货物和服务项目中未预留份额专门面向中小企业采购的，以及预留份额项目中的非预留部分采购包，采购单位、采购代理机构应结合项目实际，对符合规定的小微企业报价按</w:t>
      </w:r>
      <w:r>
        <w:rPr>
          <w:rFonts w:hint="eastAsia" w:ascii="宋体" w:hAnsi="宋体" w:cs="宋体"/>
          <w:color w:val="auto"/>
          <w:sz w:val="24"/>
          <w:szCs w:val="24"/>
          <w:lang w:val="en-US" w:eastAsia="zh-CN"/>
        </w:rPr>
        <w:t>10%-</w:t>
      </w:r>
      <w:r>
        <w:rPr>
          <w:rFonts w:hint="eastAsia" w:ascii="宋体" w:hAnsi="宋体" w:cs="宋体"/>
          <w:color w:val="auto"/>
          <w:sz w:val="24"/>
          <w:szCs w:val="24"/>
        </w:rPr>
        <w:t>20%给予扣除，用扣除后的价格参加评审；对于联合协议或者分包意向协议约定小微企业的合同份额占到合同总金额30%以上的，采购单位、采购代理机构应结合项目实际，对联合体或者大中型企业的报价按</w:t>
      </w:r>
      <w:r>
        <w:rPr>
          <w:rFonts w:hint="eastAsia" w:ascii="宋体" w:hAnsi="宋体" w:cs="宋体"/>
          <w:color w:val="auto"/>
          <w:sz w:val="24"/>
          <w:szCs w:val="24"/>
          <w:lang w:val="en-US" w:eastAsia="zh-CN"/>
        </w:rPr>
        <w:t>4%—</w:t>
      </w:r>
      <w:r>
        <w:rPr>
          <w:rFonts w:hint="eastAsia" w:ascii="宋体" w:hAnsi="宋体" w:cs="宋体"/>
          <w:color w:val="auto"/>
          <w:sz w:val="24"/>
          <w:szCs w:val="24"/>
        </w:rPr>
        <w:t>6%给予扣除，用扣除后的价格参加评审。（中标价及合同价仍以其投标报价为准）</w:t>
      </w:r>
    </w:p>
    <w:p>
      <w:pPr>
        <w:spacing w:line="360" w:lineRule="auto"/>
        <w:ind w:firstLine="480" w:firstLineChars="200"/>
        <w:rPr>
          <w:rFonts w:ascii="Arial" w:hAnsi="Arial" w:cs="宋体"/>
          <w:color w:val="auto"/>
          <w:sz w:val="24"/>
          <w:szCs w:val="24"/>
        </w:rPr>
      </w:pPr>
      <w:r>
        <w:rPr>
          <w:rFonts w:hint="eastAsia" w:ascii="宋体" w:hAnsi="宋体" w:cs="宋体"/>
          <w:color w:val="auto"/>
          <w:sz w:val="24"/>
          <w:szCs w:val="24"/>
        </w:rPr>
        <w:t>组成联合体或者接受分包的小微企业与联合体内其他企业、分包企业之间存在直接控股、管理关系的，不享受价格</w:t>
      </w:r>
      <w:r>
        <w:rPr>
          <w:rFonts w:hint="eastAsia" w:ascii="Arial" w:hAnsi="Arial" w:cs="宋体"/>
          <w:color w:val="auto"/>
          <w:sz w:val="24"/>
          <w:szCs w:val="24"/>
        </w:rPr>
        <w:t>扣除优惠政策。联合体各方均为小型、微型企业的，联合体视同为小型、微型企业。</w:t>
      </w:r>
    </w:p>
    <w:p>
      <w:pPr>
        <w:spacing w:line="360" w:lineRule="auto"/>
        <w:ind w:firstLine="482" w:firstLineChars="200"/>
        <w:outlineLvl w:val="1"/>
        <w:rPr>
          <w:rFonts w:ascii="宋体"/>
          <w:b/>
          <w:bCs/>
          <w:color w:val="auto"/>
          <w:sz w:val="24"/>
          <w:szCs w:val="24"/>
        </w:rPr>
      </w:pPr>
      <w:bookmarkStart w:id="100" w:name="_Toc29672"/>
      <w:bookmarkStart w:id="101" w:name="_Toc20488"/>
      <w:r>
        <w:rPr>
          <w:rFonts w:hint="eastAsia" w:ascii="宋体" w:hAnsi="宋体" w:cs="宋体"/>
          <w:b/>
          <w:bCs/>
          <w:color w:val="auto"/>
          <w:sz w:val="24"/>
          <w:szCs w:val="24"/>
        </w:rPr>
        <w:t>二、商务技术文件评标内容及标准（</w:t>
      </w:r>
      <w:r>
        <w:rPr>
          <w:rFonts w:ascii="宋体" w:hAnsi="宋体" w:cs="宋体"/>
          <w:b/>
          <w:bCs/>
          <w:color w:val="auto"/>
          <w:sz w:val="24"/>
          <w:szCs w:val="24"/>
          <w:u w:val="single"/>
        </w:rPr>
        <w:t xml:space="preserve"> </w:t>
      </w:r>
      <w:r>
        <w:rPr>
          <w:rFonts w:hint="eastAsia" w:ascii="宋体" w:hAnsi="宋体" w:cs="宋体"/>
          <w:b/>
          <w:bCs/>
          <w:color w:val="auto"/>
          <w:sz w:val="24"/>
          <w:szCs w:val="24"/>
          <w:u w:val="single"/>
        </w:rPr>
        <w:t>80</w:t>
      </w:r>
      <w:r>
        <w:rPr>
          <w:rFonts w:ascii="宋体" w:hAnsi="宋体" w:cs="宋体"/>
          <w:b/>
          <w:bCs/>
          <w:color w:val="auto"/>
          <w:sz w:val="24"/>
          <w:szCs w:val="24"/>
          <w:u w:val="single"/>
        </w:rPr>
        <w:t xml:space="preserve"> </w:t>
      </w:r>
      <w:r>
        <w:rPr>
          <w:rFonts w:hint="eastAsia" w:ascii="宋体" w:hAnsi="宋体" w:cs="宋体"/>
          <w:b/>
          <w:bCs/>
          <w:color w:val="auto"/>
          <w:sz w:val="24"/>
          <w:szCs w:val="24"/>
        </w:rPr>
        <w:t>分）</w:t>
      </w:r>
      <w:bookmarkEnd w:id="100"/>
      <w:bookmarkEnd w:id="101"/>
    </w:p>
    <w:p>
      <w:pPr>
        <w:ind w:firstLine="482" w:firstLineChars="200"/>
      </w:pPr>
      <w:r>
        <w:rPr>
          <w:rFonts w:hint="eastAsia" w:ascii="宋体" w:hAnsi="宋体" w:cs="宋体"/>
          <w:b/>
          <w:bCs/>
          <w:color w:val="auto"/>
          <w:sz w:val="24"/>
          <w:szCs w:val="24"/>
        </w:rPr>
        <w:t>1、评分细则</w:t>
      </w:r>
    </w:p>
    <w:tbl>
      <w:tblPr>
        <w:tblStyle w:val="25"/>
        <w:tblpPr w:leftFromText="180" w:rightFromText="180" w:vertAnchor="text" w:horzAnchor="page" w:tblpXSpec="center" w:tblpY="707"/>
        <w:tblOverlap w:val="never"/>
        <w:tblW w:w="89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1240"/>
        <w:gridCol w:w="6171"/>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jc w:val="center"/>
        </w:trPr>
        <w:tc>
          <w:tcPr>
            <w:tcW w:w="794" w:type="dxa"/>
            <w:noWrap w:val="0"/>
            <w:vAlign w:val="center"/>
          </w:tcPr>
          <w:p>
            <w:pPr>
              <w:shd w:val="clear" w:color="auto" w:fill="auto"/>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项目</w:t>
            </w:r>
          </w:p>
        </w:tc>
        <w:tc>
          <w:tcPr>
            <w:tcW w:w="1240" w:type="dxa"/>
            <w:noWrap w:val="0"/>
            <w:vAlign w:val="center"/>
          </w:tcPr>
          <w:p>
            <w:pPr>
              <w:shd w:val="clear" w:color="auto" w:fill="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评分内容</w:t>
            </w:r>
          </w:p>
        </w:tc>
        <w:tc>
          <w:tcPr>
            <w:tcW w:w="6171" w:type="dxa"/>
            <w:noWrap w:val="0"/>
            <w:vAlign w:val="center"/>
          </w:tcPr>
          <w:p>
            <w:pPr>
              <w:shd w:val="clear" w:color="auto" w:fill="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计分办法</w:t>
            </w:r>
          </w:p>
        </w:tc>
        <w:tc>
          <w:tcPr>
            <w:tcW w:w="708" w:type="dxa"/>
            <w:noWrap w:val="0"/>
            <w:vAlign w:val="center"/>
          </w:tcPr>
          <w:p>
            <w:pPr>
              <w:shd w:val="clear" w:color="auto" w:fill="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jc w:val="center"/>
        </w:trPr>
        <w:tc>
          <w:tcPr>
            <w:tcW w:w="794" w:type="dxa"/>
            <w:vMerge w:val="restart"/>
            <w:noWrap w:val="0"/>
            <w:vAlign w:val="center"/>
          </w:tcPr>
          <w:p>
            <w:pPr>
              <w:shd w:val="clear" w:color="auto" w:fill="auto"/>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技术</w:t>
            </w:r>
          </w:p>
        </w:tc>
        <w:tc>
          <w:tcPr>
            <w:tcW w:w="1240" w:type="dxa"/>
            <w:vMerge w:val="restart"/>
            <w:noWrap w:val="0"/>
            <w:vAlign w:val="center"/>
          </w:tcPr>
          <w:p>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项目管理团队</w:t>
            </w:r>
          </w:p>
        </w:tc>
        <w:tc>
          <w:tcPr>
            <w:tcW w:w="6171" w:type="dxa"/>
            <w:noWrap w:val="0"/>
            <w:vAlign w:val="center"/>
          </w:tcPr>
          <w:p>
            <w:pPr>
              <w:shd w:val="clear" w:color="auto" w:fill="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根据拟派的项目经理的学历、证书、工作经验等方面进行综合评议（0-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pPr>
              <w:pStyle w:val="38"/>
              <w:shd w:val="clear" w:color="auto" w:fill="auto"/>
              <w:spacing w:line="360" w:lineRule="auto"/>
              <w:ind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须</w:t>
            </w:r>
            <w:r>
              <w:rPr>
                <w:rFonts w:hint="eastAsia" w:ascii="宋体" w:hAnsi="宋体" w:eastAsia="宋体" w:cs="宋体"/>
                <w:b/>
                <w:bCs/>
                <w:color w:val="auto"/>
                <w:kern w:val="0"/>
                <w:sz w:val="24"/>
                <w:szCs w:val="24"/>
                <w:highlight w:val="none"/>
              </w:rPr>
              <w:t>提供</w:t>
            </w:r>
            <w:r>
              <w:rPr>
                <w:rFonts w:hint="eastAsia" w:ascii="宋体" w:hAnsi="宋体" w:eastAsia="宋体" w:cs="宋体"/>
                <w:b/>
                <w:bCs/>
                <w:color w:val="auto"/>
                <w:sz w:val="24"/>
                <w:szCs w:val="24"/>
                <w:highlight w:val="none"/>
              </w:rPr>
              <w:t>相关证明材料复印件扫描件社保证明并加盖投标人CA章。</w:t>
            </w:r>
          </w:p>
        </w:tc>
        <w:tc>
          <w:tcPr>
            <w:tcW w:w="708" w:type="dxa"/>
            <w:noWrap w:val="0"/>
            <w:vAlign w:val="center"/>
          </w:tcPr>
          <w:p>
            <w:pPr>
              <w:shd w:val="clear" w:color="auto" w:fill="auto"/>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jc w:val="center"/>
        </w:trPr>
        <w:tc>
          <w:tcPr>
            <w:tcW w:w="794" w:type="dxa"/>
            <w:vMerge w:val="continue"/>
            <w:noWrap w:val="0"/>
            <w:vAlign w:val="center"/>
          </w:tcPr>
          <w:p>
            <w:pPr>
              <w:shd w:val="clear" w:color="auto" w:fill="auto"/>
              <w:spacing w:line="360" w:lineRule="auto"/>
              <w:jc w:val="center"/>
              <w:rPr>
                <w:rFonts w:hint="eastAsia" w:ascii="宋体" w:hAnsi="宋体" w:eastAsia="宋体" w:cs="宋体"/>
                <w:color w:val="auto"/>
                <w:sz w:val="24"/>
                <w:szCs w:val="24"/>
                <w:highlight w:val="none"/>
              </w:rPr>
            </w:pPr>
          </w:p>
        </w:tc>
        <w:tc>
          <w:tcPr>
            <w:tcW w:w="1240" w:type="dxa"/>
            <w:vMerge w:val="continue"/>
            <w:noWrap w:val="0"/>
            <w:vAlign w:val="center"/>
          </w:tcPr>
          <w:p>
            <w:pPr>
              <w:shd w:val="clear" w:color="auto" w:fill="auto"/>
              <w:spacing w:line="360" w:lineRule="auto"/>
              <w:jc w:val="center"/>
              <w:rPr>
                <w:rFonts w:hint="eastAsia" w:ascii="宋体" w:hAnsi="宋体" w:eastAsia="宋体" w:cs="宋体"/>
                <w:color w:val="auto"/>
                <w:sz w:val="24"/>
                <w:szCs w:val="24"/>
                <w:highlight w:val="none"/>
              </w:rPr>
            </w:pPr>
          </w:p>
        </w:tc>
        <w:tc>
          <w:tcPr>
            <w:tcW w:w="6171" w:type="dxa"/>
            <w:noWrap w:val="0"/>
            <w:vAlign w:val="center"/>
          </w:tcPr>
          <w:p>
            <w:pPr>
              <w:shd w:val="clear" w:color="auto" w:fill="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根据拟派的项目管理人员的学历、证书、工作经验等方面进行综合评议0-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pPr>
              <w:pStyle w:val="38"/>
              <w:shd w:val="clear" w:color="auto" w:fill="auto"/>
              <w:spacing w:line="360" w:lineRule="auto"/>
              <w:ind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须</w:t>
            </w:r>
            <w:r>
              <w:rPr>
                <w:rFonts w:hint="eastAsia" w:ascii="宋体" w:hAnsi="宋体" w:eastAsia="宋体" w:cs="宋体"/>
                <w:b/>
                <w:bCs/>
                <w:color w:val="auto"/>
                <w:kern w:val="0"/>
                <w:sz w:val="24"/>
                <w:szCs w:val="24"/>
                <w:highlight w:val="none"/>
              </w:rPr>
              <w:t>提供</w:t>
            </w:r>
            <w:r>
              <w:rPr>
                <w:rFonts w:hint="eastAsia" w:ascii="宋体" w:hAnsi="宋体" w:eastAsia="宋体" w:cs="宋体"/>
                <w:b/>
                <w:bCs/>
                <w:color w:val="auto"/>
                <w:sz w:val="24"/>
                <w:szCs w:val="24"/>
                <w:highlight w:val="none"/>
              </w:rPr>
              <w:t>相关证明材料复印件扫描件或图片及社保证明并加盖投标人CA章。</w:t>
            </w:r>
          </w:p>
        </w:tc>
        <w:tc>
          <w:tcPr>
            <w:tcW w:w="708" w:type="dxa"/>
            <w:noWrap w:val="0"/>
            <w:vAlign w:val="center"/>
          </w:tcPr>
          <w:p>
            <w:pPr>
              <w:shd w:val="clear" w:color="auto" w:fill="auto"/>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jc w:val="center"/>
        </w:trPr>
        <w:tc>
          <w:tcPr>
            <w:tcW w:w="794" w:type="dxa"/>
            <w:vMerge w:val="continue"/>
            <w:noWrap w:val="0"/>
            <w:vAlign w:val="center"/>
          </w:tcPr>
          <w:p>
            <w:pPr>
              <w:shd w:val="clear" w:color="auto" w:fill="auto"/>
              <w:spacing w:line="360" w:lineRule="auto"/>
              <w:jc w:val="center"/>
              <w:rPr>
                <w:rFonts w:hint="eastAsia" w:ascii="宋体" w:hAnsi="宋体" w:eastAsia="宋体" w:cs="宋体"/>
                <w:color w:val="auto"/>
                <w:sz w:val="24"/>
                <w:szCs w:val="24"/>
                <w:highlight w:val="none"/>
              </w:rPr>
            </w:pPr>
          </w:p>
        </w:tc>
        <w:tc>
          <w:tcPr>
            <w:tcW w:w="1240" w:type="dxa"/>
            <w:noWrap w:val="0"/>
            <w:vAlign w:val="center"/>
          </w:tcPr>
          <w:p>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现场测评分析</w:t>
            </w:r>
          </w:p>
        </w:tc>
        <w:tc>
          <w:tcPr>
            <w:tcW w:w="6171" w:type="dxa"/>
            <w:noWrap w:val="0"/>
            <w:vAlign w:val="center"/>
          </w:tcPr>
          <w:p>
            <w:pPr>
              <w:shd w:val="clear" w:color="auto" w:fill="auto"/>
              <w:spacing w:line="360" w:lineRule="auto"/>
              <w:rPr>
                <w:rFonts w:hint="eastAsia" w:ascii="宋体" w:hAnsi="宋体" w:eastAsia="宋体" w:cs="宋体"/>
                <w:color w:val="auto"/>
                <w:sz w:val="24"/>
                <w:szCs w:val="24"/>
                <w:highlight w:val="none"/>
              </w:rPr>
            </w:pPr>
            <w:r>
              <w:rPr>
                <w:rFonts w:hint="eastAsia" w:hAnsi="宋体"/>
                <w:kern w:val="0"/>
                <w:sz w:val="24"/>
                <w:szCs w:val="24"/>
              </w:rPr>
              <w:t>评委根据</w:t>
            </w:r>
            <w:r>
              <w:rPr>
                <w:rFonts w:hint="eastAsia" w:hAnsi="宋体"/>
                <w:bCs/>
                <w:kern w:val="0"/>
                <w:sz w:val="24"/>
                <w:szCs w:val="24"/>
              </w:rPr>
              <w:t>投标人自行组织对上虞区智慧城管信息采集区域进行现场踏勘，根据踏勘结果出具的现场测评结果和分析，</w:t>
            </w:r>
            <w:r>
              <w:rPr>
                <w:rFonts w:hint="eastAsia"/>
                <w:kern w:val="0"/>
                <w:sz w:val="24"/>
                <w:szCs w:val="24"/>
              </w:rPr>
              <w:t>进行综合评分</w:t>
            </w:r>
            <w:r>
              <w:rPr>
                <w:rStyle w:val="78"/>
                <w:rFonts w:hint="eastAsia"/>
                <w:kern w:val="0"/>
                <w:sz w:val="24"/>
                <w:szCs w:val="24"/>
              </w:rPr>
              <w:t>。</w:t>
            </w:r>
          </w:p>
        </w:tc>
        <w:tc>
          <w:tcPr>
            <w:tcW w:w="708" w:type="dxa"/>
            <w:noWrap w:val="0"/>
            <w:vAlign w:val="center"/>
          </w:tcPr>
          <w:p>
            <w:pPr>
              <w:shd w:val="clear" w:color="auto" w:fill="auto"/>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794" w:type="dxa"/>
            <w:vMerge w:val="continue"/>
            <w:noWrap w:val="0"/>
            <w:vAlign w:val="center"/>
          </w:tcPr>
          <w:p>
            <w:pPr>
              <w:shd w:val="clear" w:color="auto" w:fill="auto"/>
              <w:spacing w:line="360" w:lineRule="auto"/>
              <w:jc w:val="center"/>
              <w:rPr>
                <w:rFonts w:hint="eastAsia" w:ascii="宋体" w:hAnsi="宋体" w:eastAsia="宋体" w:cs="宋体"/>
                <w:color w:val="auto"/>
                <w:sz w:val="24"/>
                <w:szCs w:val="24"/>
                <w:highlight w:val="none"/>
              </w:rPr>
            </w:pPr>
          </w:p>
        </w:tc>
        <w:tc>
          <w:tcPr>
            <w:tcW w:w="1240" w:type="dxa"/>
            <w:vMerge w:val="restart"/>
            <w:noWrap w:val="0"/>
            <w:vAlign w:val="center"/>
          </w:tcPr>
          <w:p>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项目启动和网格划分方案</w:t>
            </w:r>
          </w:p>
        </w:tc>
        <w:tc>
          <w:tcPr>
            <w:tcW w:w="6171" w:type="dxa"/>
            <w:noWrap w:val="0"/>
            <w:vAlign w:val="center"/>
          </w:tcPr>
          <w:p>
            <w:pPr>
              <w:shd w:val="clear" w:color="auto" w:fill="auto"/>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有项目启动实施进度表，项目启动措施、启动保障方案，并符合项目启动要求</w:t>
            </w:r>
            <w:r>
              <w:rPr>
                <w:rFonts w:hint="eastAsia" w:ascii="宋体" w:hAnsi="宋体" w:cs="宋体"/>
                <w:color w:val="auto"/>
                <w:sz w:val="24"/>
                <w:szCs w:val="24"/>
                <w:highlight w:val="none"/>
                <w:lang w:eastAsia="zh-CN"/>
              </w:rPr>
              <w:t>。</w:t>
            </w:r>
          </w:p>
        </w:tc>
        <w:tc>
          <w:tcPr>
            <w:tcW w:w="708" w:type="dxa"/>
            <w:noWrap w:val="0"/>
            <w:vAlign w:val="center"/>
          </w:tcPr>
          <w:p>
            <w:pPr>
              <w:shd w:val="clear" w:color="auto" w:fill="auto"/>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94" w:type="dxa"/>
            <w:vMerge w:val="continue"/>
            <w:noWrap w:val="0"/>
            <w:vAlign w:val="center"/>
          </w:tcPr>
          <w:p>
            <w:pPr>
              <w:shd w:val="clear" w:color="auto" w:fill="auto"/>
              <w:spacing w:line="360" w:lineRule="auto"/>
              <w:jc w:val="center"/>
              <w:rPr>
                <w:rFonts w:hint="eastAsia" w:ascii="宋体" w:hAnsi="宋体" w:eastAsia="宋体" w:cs="宋体"/>
                <w:color w:val="auto"/>
                <w:sz w:val="24"/>
                <w:szCs w:val="24"/>
                <w:highlight w:val="none"/>
              </w:rPr>
            </w:pPr>
          </w:p>
        </w:tc>
        <w:tc>
          <w:tcPr>
            <w:tcW w:w="1240" w:type="dxa"/>
            <w:vMerge w:val="continue"/>
            <w:noWrap w:val="0"/>
            <w:vAlign w:val="center"/>
          </w:tcPr>
          <w:p>
            <w:pPr>
              <w:shd w:val="clear" w:color="auto" w:fill="auto"/>
              <w:spacing w:line="360" w:lineRule="auto"/>
              <w:jc w:val="center"/>
              <w:rPr>
                <w:rFonts w:hint="eastAsia" w:ascii="宋体" w:hAnsi="宋体" w:eastAsia="宋体" w:cs="宋体"/>
                <w:color w:val="auto"/>
                <w:sz w:val="24"/>
                <w:szCs w:val="24"/>
                <w:highlight w:val="none"/>
              </w:rPr>
            </w:pPr>
          </w:p>
        </w:tc>
        <w:tc>
          <w:tcPr>
            <w:tcW w:w="6171" w:type="dxa"/>
            <w:noWrap w:val="0"/>
            <w:vAlign w:val="center"/>
          </w:tcPr>
          <w:p>
            <w:pPr>
              <w:shd w:val="clear" w:color="auto" w:fill="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提出合理的工作网格划分方案，实现采集区域全覆盖，设定合理的采集巡查频率和密度，符合巡查要求。</w:t>
            </w:r>
          </w:p>
        </w:tc>
        <w:tc>
          <w:tcPr>
            <w:tcW w:w="708" w:type="dxa"/>
            <w:noWrap w:val="0"/>
            <w:vAlign w:val="center"/>
          </w:tcPr>
          <w:p>
            <w:pPr>
              <w:shd w:val="clear" w:color="auto" w:fill="auto"/>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2" w:hRule="atLeast"/>
          <w:jc w:val="center"/>
        </w:trPr>
        <w:tc>
          <w:tcPr>
            <w:tcW w:w="794" w:type="dxa"/>
            <w:vMerge w:val="continue"/>
            <w:noWrap w:val="0"/>
            <w:vAlign w:val="center"/>
          </w:tcPr>
          <w:p>
            <w:pPr>
              <w:shd w:val="clear" w:color="auto" w:fill="auto"/>
              <w:spacing w:line="360" w:lineRule="auto"/>
              <w:rPr>
                <w:rFonts w:hint="eastAsia" w:ascii="宋体" w:hAnsi="宋体" w:eastAsia="宋体" w:cs="宋体"/>
                <w:color w:val="auto"/>
                <w:sz w:val="24"/>
                <w:szCs w:val="24"/>
                <w:highlight w:val="none"/>
              </w:rPr>
            </w:pPr>
          </w:p>
        </w:tc>
        <w:tc>
          <w:tcPr>
            <w:tcW w:w="1240" w:type="dxa"/>
            <w:noWrap w:val="0"/>
            <w:vAlign w:val="center"/>
          </w:tcPr>
          <w:p>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人员配置方案</w:t>
            </w:r>
          </w:p>
        </w:tc>
        <w:tc>
          <w:tcPr>
            <w:tcW w:w="6171" w:type="dxa"/>
            <w:noWrap w:val="0"/>
            <w:vAlign w:val="center"/>
          </w:tcPr>
          <w:p>
            <w:pPr>
              <w:shd w:val="clear" w:color="auto" w:fill="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实行层级管理体系，有本项目层级管理图，建立本项目人员配置方案，进行岗位分工和建立岗位职责。</w:t>
            </w:r>
          </w:p>
        </w:tc>
        <w:tc>
          <w:tcPr>
            <w:tcW w:w="708" w:type="dxa"/>
            <w:noWrap w:val="0"/>
            <w:vAlign w:val="center"/>
          </w:tcPr>
          <w:p>
            <w:pPr>
              <w:shd w:val="clear" w:color="auto" w:fill="auto"/>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94" w:type="dxa"/>
            <w:vMerge w:val="continue"/>
            <w:noWrap w:val="0"/>
            <w:vAlign w:val="center"/>
          </w:tcPr>
          <w:p>
            <w:pPr>
              <w:shd w:val="clear" w:color="auto" w:fill="auto"/>
              <w:spacing w:line="360" w:lineRule="auto"/>
              <w:jc w:val="center"/>
              <w:rPr>
                <w:rFonts w:hint="eastAsia" w:ascii="宋体" w:hAnsi="宋体" w:eastAsia="宋体" w:cs="宋体"/>
                <w:color w:val="auto"/>
                <w:sz w:val="24"/>
                <w:szCs w:val="24"/>
                <w:highlight w:val="none"/>
              </w:rPr>
            </w:pPr>
          </w:p>
        </w:tc>
        <w:tc>
          <w:tcPr>
            <w:tcW w:w="1240" w:type="dxa"/>
            <w:vMerge w:val="restart"/>
            <w:noWrap w:val="0"/>
            <w:vAlign w:val="center"/>
          </w:tcPr>
          <w:p>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巡查采集保障方案及应急服务保障预案</w:t>
            </w:r>
          </w:p>
        </w:tc>
        <w:tc>
          <w:tcPr>
            <w:tcW w:w="6171" w:type="dxa"/>
            <w:noWrap w:val="0"/>
            <w:vAlign w:val="center"/>
          </w:tcPr>
          <w:p>
            <w:pPr>
              <w:shd w:val="clear" w:color="auto" w:fill="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根据投标人提出全覆盖、巡查覆盖频次、徒步巡查频次和及时核查巡查方案进行综合评议。</w:t>
            </w:r>
          </w:p>
        </w:tc>
        <w:tc>
          <w:tcPr>
            <w:tcW w:w="708" w:type="dxa"/>
            <w:noWrap w:val="0"/>
            <w:vAlign w:val="center"/>
          </w:tcPr>
          <w:p>
            <w:pPr>
              <w:shd w:val="clear" w:color="auto" w:fill="auto"/>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2" w:hRule="atLeast"/>
          <w:jc w:val="center"/>
        </w:trPr>
        <w:tc>
          <w:tcPr>
            <w:tcW w:w="794" w:type="dxa"/>
            <w:vMerge w:val="continue"/>
            <w:noWrap w:val="0"/>
            <w:vAlign w:val="center"/>
          </w:tcPr>
          <w:p>
            <w:pPr>
              <w:shd w:val="clear" w:color="auto" w:fill="auto"/>
              <w:spacing w:line="360" w:lineRule="auto"/>
              <w:jc w:val="center"/>
              <w:rPr>
                <w:rFonts w:hint="eastAsia" w:ascii="宋体" w:hAnsi="宋体" w:eastAsia="宋体" w:cs="宋体"/>
                <w:color w:val="auto"/>
                <w:sz w:val="24"/>
                <w:szCs w:val="24"/>
                <w:highlight w:val="none"/>
              </w:rPr>
            </w:pPr>
          </w:p>
        </w:tc>
        <w:tc>
          <w:tcPr>
            <w:tcW w:w="1240" w:type="dxa"/>
            <w:vMerge w:val="continue"/>
            <w:noWrap w:val="0"/>
            <w:vAlign w:val="center"/>
          </w:tcPr>
          <w:p>
            <w:pPr>
              <w:shd w:val="clear" w:color="auto" w:fill="auto"/>
              <w:spacing w:line="360" w:lineRule="auto"/>
              <w:jc w:val="center"/>
              <w:rPr>
                <w:rFonts w:hint="eastAsia" w:ascii="宋体" w:hAnsi="宋体" w:eastAsia="宋体" w:cs="宋体"/>
                <w:color w:val="auto"/>
                <w:sz w:val="24"/>
                <w:szCs w:val="24"/>
                <w:highlight w:val="none"/>
              </w:rPr>
            </w:pPr>
          </w:p>
        </w:tc>
        <w:tc>
          <w:tcPr>
            <w:tcW w:w="6171" w:type="dxa"/>
            <w:noWrap w:val="0"/>
            <w:vAlign w:val="center"/>
          </w:tcPr>
          <w:p>
            <w:pPr>
              <w:shd w:val="clear" w:color="auto" w:fill="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建立智慧城管信息采集应急保障预案，预案是否合理可行，具备创新性进行综合评议。</w:t>
            </w:r>
          </w:p>
        </w:tc>
        <w:tc>
          <w:tcPr>
            <w:tcW w:w="708" w:type="dxa"/>
            <w:noWrap w:val="0"/>
            <w:vAlign w:val="center"/>
          </w:tcPr>
          <w:p>
            <w:pPr>
              <w:shd w:val="clear" w:color="auto" w:fill="auto"/>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jc w:val="center"/>
        </w:trPr>
        <w:tc>
          <w:tcPr>
            <w:tcW w:w="794" w:type="dxa"/>
            <w:vMerge w:val="continue"/>
            <w:noWrap w:val="0"/>
            <w:vAlign w:val="center"/>
          </w:tcPr>
          <w:p>
            <w:pPr>
              <w:shd w:val="clear" w:color="auto" w:fill="auto"/>
              <w:spacing w:line="360" w:lineRule="auto"/>
              <w:jc w:val="center"/>
              <w:rPr>
                <w:rFonts w:hint="eastAsia" w:ascii="宋体" w:hAnsi="宋体" w:eastAsia="宋体" w:cs="宋体"/>
                <w:color w:val="auto"/>
                <w:sz w:val="24"/>
                <w:szCs w:val="24"/>
                <w:highlight w:val="none"/>
              </w:rPr>
            </w:pPr>
          </w:p>
        </w:tc>
        <w:tc>
          <w:tcPr>
            <w:tcW w:w="1240" w:type="dxa"/>
            <w:vMerge w:val="continue"/>
            <w:noWrap w:val="0"/>
            <w:vAlign w:val="center"/>
          </w:tcPr>
          <w:p>
            <w:pPr>
              <w:shd w:val="clear" w:color="auto" w:fill="auto"/>
              <w:spacing w:line="360" w:lineRule="auto"/>
              <w:jc w:val="center"/>
              <w:rPr>
                <w:rFonts w:hint="eastAsia" w:ascii="宋体" w:hAnsi="宋体" w:eastAsia="宋体" w:cs="宋体"/>
                <w:color w:val="auto"/>
                <w:sz w:val="24"/>
                <w:szCs w:val="24"/>
                <w:highlight w:val="none"/>
              </w:rPr>
            </w:pPr>
          </w:p>
        </w:tc>
        <w:tc>
          <w:tcPr>
            <w:tcW w:w="6171" w:type="dxa"/>
            <w:noWrap w:val="0"/>
            <w:vAlign w:val="center"/>
          </w:tcPr>
          <w:p>
            <w:pPr>
              <w:shd w:val="clear" w:color="auto" w:fill="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建立“文明城市创建”等重大活动任务保障的预案，预案是否合理可行，具备创新性进行综合评议。</w:t>
            </w:r>
          </w:p>
        </w:tc>
        <w:tc>
          <w:tcPr>
            <w:tcW w:w="708" w:type="dxa"/>
            <w:noWrap w:val="0"/>
            <w:vAlign w:val="center"/>
          </w:tcPr>
          <w:p>
            <w:pPr>
              <w:shd w:val="clear" w:color="auto" w:fill="auto"/>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794" w:type="dxa"/>
            <w:vMerge w:val="continue"/>
            <w:noWrap w:val="0"/>
            <w:vAlign w:val="center"/>
          </w:tcPr>
          <w:p>
            <w:pPr>
              <w:shd w:val="clear" w:color="auto" w:fill="auto"/>
              <w:spacing w:line="360" w:lineRule="auto"/>
              <w:jc w:val="center"/>
              <w:rPr>
                <w:rFonts w:hint="eastAsia" w:ascii="宋体" w:hAnsi="宋体" w:eastAsia="宋体" w:cs="宋体"/>
                <w:color w:val="auto"/>
                <w:sz w:val="24"/>
                <w:szCs w:val="24"/>
                <w:highlight w:val="none"/>
              </w:rPr>
            </w:pPr>
          </w:p>
        </w:tc>
        <w:tc>
          <w:tcPr>
            <w:tcW w:w="1240" w:type="dxa"/>
            <w:noWrap w:val="0"/>
            <w:vAlign w:val="center"/>
          </w:tcPr>
          <w:p>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“信息采集器”管理办法</w:t>
            </w:r>
          </w:p>
        </w:tc>
        <w:tc>
          <w:tcPr>
            <w:tcW w:w="6171" w:type="dxa"/>
            <w:noWrap w:val="0"/>
            <w:vAlign w:val="center"/>
          </w:tcPr>
          <w:p>
            <w:pPr>
              <w:shd w:val="clear" w:color="auto" w:fill="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严格按照采集器管理要求制定采集器管理办法，制定采集器统一维护流程，根据投标人提供的采购流程进行综合评议。</w:t>
            </w:r>
          </w:p>
        </w:tc>
        <w:tc>
          <w:tcPr>
            <w:tcW w:w="708" w:type="dxa"/>
            <w:noWrap w:val="0"/>
            <w:vAlign w:val="center"/>
          </w:tcPr>
          <w:p>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4" w:hRule="atLeast"/>
          <w:jc w:val="center"/>
        </w:trPr>
        <w:tc>
          <w:tcPr>
            <w:tcW w:w="794" w:type="dxa"/>
            <w:vMerge w:val="continue"/>
            <w:noWrap w:val="0"/>
            <w:vAlign w:val="center"/>
          </w:tcPr>
          <w:p>
            <w:pPr>
              <w:shd w:val="clear" w:color="auto" w:fill="auto"/>
              <w:spacing w:line="360" w:lineRule="auto"/>
              <w:jc w:val="center"/>
              <w:rPr>
                <w:rFonts w:hint="eastAsia" w:ascii="宋体" w:hAnsi="宋体" w:eastAsia="宋体" w:cs="宋体"/>
                <w:color w:val="auto"/>
                <w:sz w:val="24"/>
                <w:szCs w:val="24"/>
                <w:highlight w:val="none"/>
              </w:rPr>
            </w:pPr>
          </w:p>
        </w:tc>
        <w:tc>
          <w:tcPr>
            <w:tcW w:w="1240" w:type="dxa"/>
            <w:vMerge w:val="restart"/>
            <w:noWrap w:val="0"/>
            <w:vAlign w:val="center"/>
          </w:tcPr>
          <w:p>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内部管理制度和员工考核管理办法</w:t>
            </w:r>
          </w:p>
        </w:tc>
        <w:tc>
          <w:tcPr>
            <w:tcW w:w="6171" w:type="dxa"/>
            <w:noWrap w:val="0"/>
            <w:vAlign w:val="center"/>
          </w:tcPr>
          <w:p>
            <w:pPr>
              <w:shd w:val="clear" w:color="auto" w:fill="auto"/>
              <w:spacing w:line="360" w:lineRule="auto"/>
              <w:rPr>
                <w:rFonts w:hint="eastAsia" w:ascii="宋体" w:hAnsi="宋体" w:eastAsia="宋体" w:cs="宋体"/>
                <w:color w:val="auto"/>
                <w:sz w:val="24"/>
                <w:szCs w:val="24"/>
                <w:highlight w:val="none"/>
              </w:rPr>
            </w:pPr>
            <w:r>
              <w:rPr>
                <w:rStyle w:val="78"/>
                <w:rFonts w:hint="eastAsia" w:ascii="Times New Roman" w:hAnsi="Times New Roman" w:eastAsia="宋体" w:cs="Times New Roman"/>
                <w:kern w:val="0"/>
                <w:sz w:val="24"/>
                <w:szCs w:val="24"/>
              </w:rPr>
              <w:t>评委根据本项目制定的</w:t>
            </w:r>
            <w:r>
              <w:rPr>
                <w:kern w:val="0"/>
                <w:sz w:val="24"/>
                <w:szCs w:val="24"/>
              </w:rPr>
              <w:t>管理制度</w:t>
            </w:r>
            <w:r>
              <w:rPr>
                <w:rFonts w:hint="eastAsia"/>
                <w:kern w:val="0"/>
                <w:sz w:val="24"/>
                <w:szCs w:val="24"/>
              </w:rPr>
              <w:t>（</w:t>
            </w:r>
            <w:r>
              <w:rPr>
                <w:kern w:val="0"/>
                <w:sz w:val="24"/>
                <w:szCs w:val="24"/>
              </w:rPr>
              <w:t>包括行为规范、行政制度等</w:t>
            </w:r>
            <w:r>
              <w:rPr>
                <w:rFonts w:hint="eastAsia"/>
                <w:kern w:val="0"/>
                <w:sz w:val="24"/>
                <w:szCs w:val="24"/>
              </w:rPr>
              <w:t>）的科学、合理性进行综合评分</w:t>
            </w:r>
            <w:r>
              <w:rPr>
                <w:rStyle w:val="78"/>
                <w:rFonts w:hint="eastAsia" w:ascii="Times New Roman" w:hAnsi="Times New Roman" w:eastAsia="宋体" w:cs="Times New Roman"/>
                <w:kern w:val="0"/>
                <w:sz w:val="24"/>
                <w:szCs w:val="24"/>
              </w:rPr>
              <w:t>。</w:t>
            </w:r>
          </w:p>
        </w:tc>
        <w:tc>
          <w:tcPr>
            <w:tcW w:w="708" w:type="dxa"/>
            <w:noWrap w:val="0"/>
            <w:vAlign w:val="center"/>
          </w:tcPr>
          <w:p>
            <w:pPr>
              <w:shd w:val="clear" w:color="auto" w:fill="auto"/>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4" w:hRule="atLeast"/>
          <w:jc w:val="center"/>
        </w:trPr>
        <w:tc>
          <w:tcPr>
            <w:tcW w:w="794" w:type="dxa"/>
            <w:vMerge w:val="continue"/>
            <w:noWrap w:val="0"/>
            <w:vAlign w:val="center"/>
          </w:tcPr>
          <w:p>
            <w:pPr>
              <w:shd w:val="clear" w:color="auto" w:fill="auto"/>
              <w:spacing w:line="360" w:lineRule="auto"/>
              <w:jc w:val="center"/>
              <w:rPr>
                <w:rFonts w:hint="eastAsia" w:ascii="宋体" w:hAnsi="宋体" w:eastAsia="宋体" w:cs="宋体"/>
                <w:color w:val="auto"/>
                <w:sz w:val="24"/>
                <w:szCs w:val="24"/>
                <w:highlight w:val="none"/>
              </w:rPr>
            </w:pPr>
          </w:p>
        </w:tc>
        <w:tc>
          <w:tcPr>
            <w:tcW w:w="1240" w:type="dxa"/>
            <w:vMerge w:val="continue"/>
            <w:noWrap w:val="0"/>
            <w:vAlign w:val="center"/>
          </w:tcPr>
          <w:p>
            <w:pPr>
              <w:shd w:val="clear" w:color="auto" w:fill="auto"/>
              <w:spacing w:line="360" w:lineRule="auto"/>
              <w:jc w:val="center"/>
              <w:rPr>
                <w:rFonts w:hint="eastAsia" w:ascii="宋体" w:hAnsi="宋体" w:eastAsia="宋体" w:cs="宋体"/>
                <w:color w:val="auto"/>
                <w:sz w:val="24"/>
                <w:szCs w:val="24"/>
                <w:highlight w:val="none"/>
              </w:rPr>
            </w:pPr>
          </w:p>
        </w:tc>
        <w:tc>
          <w:tcPr>
            <w:tcW w:w="6171" w:type="dxa"/>
            <w:noWrap w:val="0"/>
            <w:vAlign w:val="center"/>
          </w:tcPr>
          <w:p>
            <w:pPr>
              <w:shd w:val="clear" w:color="auto" w:fill="auto"/>
              <w:spacing w:line="360" w:lineRule="auto"/>
              <w:rPr>
                <w:rFonts w:hint="eastAsia" w:ascii="宋体" w:hAnsi="宋体" w:eastAsia="宋体" w:cs="宋体"/>
                <w:color w:val="auto"/>
                <w:sz w:val="24"/>
                <w:szCs w:val="24"/>
                <w:highlight w:val="none"/>
              </w:rPr>
            </w:pPr>
            <w:r>
              <w:rPr>
                <w:rStyle w:val="78"/>
                <w:rFonts w:hint="eastAsia" w:ascii="Times New Roman" w:hAnsi="Times New Roman" w:eastAsia="宋体" w:cs="Times New Roman"/>
                <w:kern w:val="0"/>
                <w:sz w:val="24"/>
                <w:szCs w:val="24"/>
              </w:rPr>
              <w:t>评委根据本项目制定的</w:t>
            </w:r>
            <w:r>
              <w:rPr>
                <w:kern w:val="0"/>
                <w:sz w:val="24"/>
                <w:szCs w:val="24"/>
              </w:rPr>
              <w:t>员工考核管理办法</w:t>
            </w:r>
            <w:r>
              <w:rPr>
                <w:rFonts w:hint="eastAsia"/>
                <w:kern w:val="0"/>
                <w:sz w:val="24"/>
                <w:szCs w:val="24"/>
              </w:rPr>
              <w:t>（</w:t>
            </w:r>
            <w:r>
              <w:rPr>
                <w:kern w:val="0"/>
                <w:sz w:val="24"/>
                <w:szCs w:val="24"/>
              </w:rPr>
              <w:t>制定岗位考核办法，考核办法包括：采集员考核办法、管理人员考核办法</w:t>
            </w:r>
            <w:r>
              <w:rPr>
                <w:rFonts w:hint="eastAsia"/>
                <w:kern w:val="0"/>
                <w:sz w:val="24"/>
                <w:szCs w:val="24"/>
              </w:rPr>
              <w:t>等；</w:t>
            </w:r>
            <w:r>
              <w:rPr>
                <w:kern w:val="0"/>
                <w:sz w:val="24"/>
                <w:szCs w:val="24"/>
              </w:rPr>
              <w:t>采集员考核办法、管理人员考核办法</w:t>
            </w:r>
            <w:r>
              <w:rPr>
                <w:rFonts w:hint="eastAsia"/>
                <w:kern w:val="0"/>
                <w:sz w:val="24"/>
                <w:szCs w:val="24"/>
              </w:rPr>
              <w:t>等）的科学、合理性进行综合评分</w:t>
            </w:r>
            <w:r>
              <w:rPr>
                <w:rStyle w:val="78"/>
                <w:rFonts w:hint="eastAsia" w:ascii="Times New Roman" w:hAnsi="Times New Roman" w:eastAsia="宋体" w:cs="Times New Roman"/>
                <w:kern w:val="0"/>
                <w:sz w:val="24"/>
                <w:szCs w:val="24"/>
              </w:rPr>
              <w:t>。</w:t>
            </w:r>
          </w:p>
        </w:tc>
        <w:tc>
          <w:tcPr>
            <w:tcW w:w="708" w:type="dxa"/>
            <w:noWrap w:val="0"/>
            <w:vAlign w:val="center"/>
          </w:tcPr>
          <w:p>
            <w:pPr>
              <w:shd w:val="clear" w:color="auto" w:fill="auto"/>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2" w:hRule="atLeast"/>
          <w:jc w:val="center"/>
        </w:trPr>
        <w:tc>
          <w:tcPr>
            <w:tcW w:w="794" w:type="dxa"/>
            <w:vMerge w:val="continue"/>
            <w:noWrap w:val="0"/>
            <w:vAlign w:val="center"/>
          </w:tcPr>
          <w:p>
            <w:pPr>
              <w:shd w:val="clear" w:color="auto" w:fill="auto"/>
              <w:spacing w:line="360" w:lineRule="auto"/>
              <w:jc w:val="center"/>
              <w:rPr>
                <w:rFonts w:hint="eastAsia" w:ascii="宋体" w:hAnsi="宋体" w:eastAsia="宋体" w:cs="宋体"/>
                <w:color w:val="auto"/>
                <w:sz w:val="24"/>
                <w:szCs w:val="24"/>
                <w:highlight w:val="none"/>
              </w:rPr>
            </w:pPr>
          </w:p>
        </w:tc>
        <w:tc>
          <w:tcPr>
            <w:tcW w:w="1240" w:type="dxa"/>
            <w:vMerge w:val="restart"/>
            <w:noWrap w:val="0"/>
            <w:vAlign w:val="center"/>
          </w:tcPr>
          <w:p>
            <w:pPr>
              <w:shd w:val="clear" w:color="auto" w:fill="auto"/>
              <w:spacing w:line="360" w:lineRule="auto"/>
              <w:jc w:val="center"/>
              <w:rPr>
                <w:rFonts w:hint="eastAsia" w:ascii="宋体" w:hAnsi="宋体" w:eastAsia="宋体" w:cs="宋体"/>
                <w:color w:val="auto"/>
                <w:sz w:val="24"/>
                <w:szCs w:val="24"/>
                <w:highlight w:val="none"/>
              </w:rPr>
            </w:pPr>
          </w:p>
          <w:p>
            <w:pPr>
              <w:shd w:val="clear" w:color="auto" w:fill="auto"/>
              <w:spacing w:line="360" w:lineRule="auto"/>
              <w:jc w:val="center"/>
              <w:rPr>
                <w:rFonts w:hint="eastAsia" w:ascii="宋体" w:hAnsi="宋体" w:eastAsia="宋体" w:cs="宋体"/>
                <w:color w:val="auto"/>
                <w:sz w:val="24"/>
                <w:szCs w:val="24"/>
                <w:highlight w:val="none"/>
              </w:rPr>
            </w:pPr>
          </w:p>
          <w:p>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信息采集质量校核机制</w:t>
            </w:r>
          </w:p>
        </w:tc>
        <w:tc>
          <w:tcPr>
            <w:tcW w:w="6171" w:type="dxa"/>
            <w:noWrap w:val="0"/>
            <w:vAlign w:val="center"/>
          </w:tcPr>
          <w:p>
            <w:pPr>
              <w:shd w:val="clear" w:color="auto" w:fill="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设立质量管理专门机构，并建立质量管理制度和流程，对漏报、投诉等问题实行跟踪、反馈制度，确保处置、回复、满意率均达100％。根据投标人提供的质量管理制度、流程进行综合评议。</w:t>
            </w:r>
          </w:p>
        </w:tc>
        <w:tc>
          <w:tcPr>
            <w:tcW w:w="708" w:type="dxa"/>
            <w:noWrap w:val="0"/>
            <w:vAlign w:val="center"/>
          </w:tcPr>
          <w:p>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jc w:val="center"/>
        </w:trPr>
        <w:tc>
          <w:tcPr>
            <w:tcW w:w="794" w:type="dxa"/>
            <w:vMerge w:val="continue"/>
            <w:noWrap w:val="0"/>
            <w:vAlign w:val="center"/>
          </w:tcPr>
          <w:p>
            <w:pPr>
              <w:shd w:val="clear" w:color="auto" w:fill="auto"/>
              <w:spacing w:line="360" w:lineRule="auto"/>
              <w:jc w:val="center"/>
              <w:rPr>
                <w:rFonts w:hint="eastAsia" w:ascii="宋体" w:hAnsi="宋体" w:eastAsia="宋体" w:cs="宋体"/>
                <w:color w:val="auto"/>
                <w:sz w:val="24"/>
                <w:szCs w:val="24"/>
                <w:highlight w:val="none"/>
              </w:rPr>
            </w:pPr>
          </w:p>
        </w:tc>
        <w:tc>
          <w:tcPr>
            <w:tcW w:w="1240" w:type="dxa"/>
            <w:vMerge w:val="continue"/>
            <w:noWrap w:val="0"/>
            <w:vAlign w:val="center"/>
          </w:tcPr>
          <w:p>
            <w:pPr>
              <w:shd w:val="clear" w:color="auto" w:fill="auto"/>
              <w:spacing w:line="360" w:lineRule="auto"/>
              <w:jc w:val="center"/>
              <w:rPr>
                <w:rFonts w:hint="eastAsia" w:ascii="宋体" w:hAnsi="宋体" w:eastAsia="宋体" w:cs="宋体"/>
                <w:color w:val="auto"/>
                <w:sz w:val="24"/>
                <w:szCs w:val="24"/>
                <w:highlight w:val="none"/>
              </w:rPr>
            </w:pPr>
          </w:p>
        </w:tc>
        <w:tc>
          <w:tcPr>
            <w:tcW w:w="6171" w:type="dxa"/>
            <w:noWrap w:val="0"/>
            <w:vAlign w:val="center"/>
          </w:tcPr>
          <w:p>
            <w:pPr>
              <w:shd w:val="clear" w:color="auto" w:fill="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建立质量管控和处罚机制，在机制设定上预防触碰三条高压线（防止虚假信息、防止吃拿卡要、有责投诉）。根据投标人提供的质量管控和处罚机制进行综合评议）。</w:t>
            </w:r>
          </w:p>
        </w:tc>
        <w:tc>
          <w:tcPr>
            <w:tcW w:w="708" w:type="dxa"/>
            <w:noWrap w:val="0"/>
            <w:vAlign w:val="center"/>
          </w:tcPr>
          <w:p>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jc w:val="center"/>
        </w:trPr>
        <w:tc>
          <w:tcPr>
            <w:tcW w:w="794" w:type="dxa"/>
            <w:vMerge w:val="continue"/>
            <w:noWrap w:val="0"/>
            <w:vAlign w:val="center"/>
          </w:tcPr>
          <w:p>
            <w:pPr>
              <w:shd w:val="clear" w:color="auto" w:fill="auto"/>
              <w:spacing w:line="360" w:lineRule="auto"/>
              <w:jc w:val="center"/>
              <w:rPr>
                <w:rFonts w:hint="eastAsia" w:ascii="宋体" w:hAnsi="宋体" w:eastAsia="宋体" w:cs="宋体"/>
                <w:color w:val="auto"/>
                <w:sz w:val="24"/>
                <w:szCs w:val="24"/>
                <w:highlight w:val="none"/>
              </w:rPr>
            </w:pPr>
          </w:p>
        </w:tc>
        <w:tc>
          <w:tcPr>
            <w:tcW w:w="1240" w:type="dxa"/>
            <w:noWrap w:val="0"/>
            <w:vAlign w:val="center"/>
          </w:tcPr>
          <w:p>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创新采集方式及可实现程度</w:t>
            </w:r>
          </w:p>
        </w:tc>
        <w:tc>
          <w:tcPr>
            <w:tcW w:w="6171" w:type="dxa"/>
            <w:noWrap w:val="0"/>
            <w:vAlign w:val="center"/>
          </w:tcPr>
          <w:p>
            <w:pPr>
              <w:shd w:val="clear" w:color="auto" w:fill="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根据投标人提出的创新性信息采集方式以及可实现程度进行综合评议（如利用无人机巡查，车载视频监控系统等）。</w:t>
            </w:r>
          </w:p>
        </w:tc>
        <w:tc>
          <w:tcPr>
            <w:tcW w:w="708" w:type="dxa"/>
            <w:noWrap w:val="0"/>
            <w:vAlign w:val="center"/>
          </w:tcPr>
          <w:p>
            <w:pPr>
              <w:shd w:val="clear" w:color="auto" w:fill="auto"/>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794" w:type="dxa"/>
            <w:vMerge w:val="continue"/>
            <w:noWrap w:val="0"/>
            <w:vAlign w:val="center"/>
          </w:tcPr>
          <w:p>
            <w:pPr>
              <w:shd w:val="clear" w:color="auto" w:fill="auto"/>
              <w:spacing w:line="360" w:lineRule="auto"/>
              <w:jc w:val="center"/>
              <w:rPr>
                <w:rFonts w:hint="eastAsia" w:ascii="宋体" w:hAnsi="宋体" w:eastAsia="宋体" w:cs="宋体"/>
                <w:color w:val="auto"/>
                <w:sz w:val="24"/>
                <w:szCs w:val="24"/>
                <w:highlight w:val="none"/>
              </w:rPr>
            </w:pPr>
          </w:p>
        </w:tc>
        <w:tc>
          <w:tcPr>
            <w:tcW w:w="1240" w:type="dxa"/>
            <w:noWrap w:val="0"/>
            <w:vAlign w:val="center"/>
          </w:tcPr>
          <w:p>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培训方案</w:t>
            </w:r>
          </w:p>
        </w:tc>
        <w:tc>
          <w:tcPr>
            <w:tcW w:w="6171" w:type="dxa"/>
            <w:noWrap w:val="0"/>
            <w:vAlign w:val="center"/>
          </w:tcPr>
          <w:p>
            <w:pPr>
              <w:shd w:val="clear" w:color="auto" w:fill="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根据投标人提供的培训方案，培训内容如岗位标准、专业知识、职业道德规范、应急保障等，培训方式如理论学习、实践操作，是否有定期培训和考试制度等方面进行综合评议。</w:t>
            </w:r>
          </w:p>
        </w:tc>
        <w:tc>
          <w:tcPr>
            <w:tcW w:w="708" w:type="dxa"/>
            <w:noWrap w:val="0"/>
            <w:vAlign w:val="center"/>
          </w:tcPr>
          <w:p>
            <w:pPr>
              <w:shd w:val="clear" w:color="auto" w:fill="auto"/>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794" w:type="dxa"/>
            <w:vMerge w:val="continue"/>
            <w:noWrap w:val="0"/>
            <w:vAlign w:val="center"/>
          </w:tcPr>
          <w:p>
            <w:pPr>
              <w:shd w:val="clear" w:color="auto" w:fill="auto"/>
              <w:spacing w:line="360" w:lineRule="auto"/>
              <w:jc w:val="center"/>
              <w:rPr>
                <w:rFonts w:hint="eastAsia" w:ascii="宋体" w:hAnsi="宋体" w:eastAsia="宋体" w:cs="宋体"/>
                <w:color w:val="auto"/>
                <w:sz w:val="24"/>
                <w:szCs w:val="24"/>
                <w:highlight w:val="none"/>
              </w:rPr>
            </w:pPr>
          </w:p>
        </w:tc>
        <w:tc>
          <w:tcPr>
            <w:tcW w:w="1240" w:type="dxa"/>
            <w:noWrap w:val="0"/>
            <w:vAlign w:val="center"/>
          </w:tcPr>
          <w:p>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宣传</w:t>
            </w:r>
          </w:p>
        </w:tc>
        <w:tc>
          <w:tcPr>
            <w:tcW w:w="6171" w:type="dxa"/>
            <w:noWrap w:val="0"/>
            <w:vAlign w:val="center"/>
          </w:tcPr>
          <w:p>
            <w:pPr>
              <w:shd w:val="clear" w:color="auto" w:fill="auto"/>
              <w:spacing w:line="360" w:lineRule="auto"/>
              <w:rPr>
                <w:rFonts w:hint="eastAsia" w:ascii="宋体" w:hAnsi="宋体" w:eastAsia="宋体" w:cs="宋体"/>
                <w:b/>
                <w:bCs/>
                <w:color w:val="auto"/>
                <w:sz w:val="24"/>
                <w:szCs w:val="24"/>
                <w:highlight w:val="none"/>
              </w:rPr>
            </w:pPr>
            <w:r>
              <w:rPr>
                <w:rStyle w:val="78"/>
                <w:rFonts w:hAnsi="宋体"/>
                <w:kern w:val="0"/>
                <w:sz w:val="24"/>
                <w:szCs w:val="24"/>
              </w:rPr>
              <w:t>评委根据</w:t>
            </w:r>
            <w:r>
              <w:rPr>
                <w:rFonts w:hint="eastAsia" w:hAnsi="宋体"/>
                <w:kern w:val="0"/>
                <w:sz w:val="24"/>
                <w:szCs w:val="24"/>
              </w:rPr>
              <w:t>投标人的</w:t>
            </w:r>
            <w:r>
              <w:rPr>
                <w:rFonts w:hint="eastAsia" w:ascii="宋体" w:hAnsi="宋体" w:cs="宋体"/>
                <w:kern w:val="0"/>
                <w:sz w:val="24"/>
                <w:szCs w:val="24"/>
              </w:rPr>
              <w:t>宣传保障方案</w:t>
            </w:r>
            <w:r>
              <w:rPr>
                <w:rFonts w:hint="eastAsia" w:hAnsi="宋体"/>
                <w:kern w:val="0"/>
                <w:sz w:val="24"/>
                <w:szCs w:val="24"/>
              </w:rPr>
              <w:t>对智慧城管宣传工作方面的保障能力（包括发布渠道、形式、时效、内容、范围、次数等方面），进行综合打分。</w:t>
            </w:r>
          </w:p>
        </w:tc>
        <w:tc>
          <w:tcPr>
            <w:tcW w:w="708" w:type="dxa"/>
            <w:noWrap w:val="0"/>
            <w:vAlign w:val="center"/>
          </w:tcPr>
          <w:p>
            <w:pPr>
              <w:shd w:val="clear" w:color="auto" w:fill="auto"/>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794" w:type="dxa"/>
            <w:vMerge w:val="restart"/>
            <w:noWrap w:val="0"/>
            <w:vAlign w:val="center"/>
          </w:tcPr>
          <w:p>
            <w:pPr>
              <w:shd w:val="clear" w:color="auto" w:fill="auto"/>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商务资信</w:t>
            </w:r>
          </w:p>
        </w:tc>
        <w:tc>
          <w:tcPr>
            <w:tcW w:w="1240" w:type="dxa"/>
            <w:noWrap w:val="0"/>
            <w:vAlign w:val="center"/>
          </w:tcPr>
          <w:p>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业绩</w:t>
            </w:r>
          </w:p>
        </w:tc>
        <w:tc>
          <w:tcPr>
            <w:tcW w:w="6171" w:type="dxa"/>
            <w:noWrap w:val="0"/>
            <w:vAlign w:val="center"/>
          </w:tcPr>
          <w:p>
            <w:pPr>
              <w:spacing w:line="360" w:lineRule="auto"/>
              <w:rPr>
                <w:rFonts w:hint="eastAsia" w:ascii="宋体" w:hAnsi="宋体" w:eastAsia="宋体" w:cs="宋体"/>
                <w:bCs/>
                <w:kern w:val="0"/>
                <w:sz w:val="24"/>
                <w:szCs w:val="24"/>
              </w:rPr>
            </w:pPr>
            <w:r>
              <w:rPr>
                <w:rFonts w:hint="eastAsia" w:ascii="宋体" w:hAnsi="宋体" w:eastAsia="宋体" w:cs="宋体"/>
                <w:bCs/>
                <w:kern w:val="0"/>
                <w:sz w:val="24"/>
                <w:szCs w:val="24"/>
              </w:rPr>
              <w:t>投标人提供自20</w:t>
            </w:r>
            <w:r>
              <w:rPr>
                <w:rFonts w:hint="eastAsia" w:ascii="宋体" w:hAnsi="宋体" w:eastAsia="宋体" w:cs="宋体"/>
                <w:bCs/>
                <w:kern w:val="0"/>
                <w:sz w:val="24"/>
                <w:szCs w:val="24"/>
                <w:lang w:val="en-US" w:eastAsia="zh-CN"/>
              </w:rPr>
              <w:t>2</w:t>
            </w:r>
            <w:r>
              <w:rPr>
                <w:rFonts w:hint="eastAsia" w:ascii="宋体" w:hAnsi="宋体" w:cs="宋体"/>
                <w:bCs/>
                <w:kern w:val="0"/>
                <w:sz w:val="24"/>
                <w:szCs w:val="24"/>
                <w:lang w:val="en-US" w:eastAsia="zh-CN"/>
              </w:rPr>
              <w:t>1</w:t>
            </w:r>
            <w:r>
              <w:rPr>
                <w:rFonts w:hint="eastAsia" w:ascii="宋体" w:hAnsi="宋体" w:eastAsia="宋体" w:cs="宋体"/>
                <w:bCs/>
                <w:kern w:val="0"/>
                <w:sz w:val="24"/>
                <w:szCs w:val="24"/>
              </w:rPr>
              <w:t>年1月1日以来（以合同签订时间为准）</w:t>
            </w:r>
            <w:r>
              <w:rPr>
                <w:rFonts w:hint="eastAsia" w:ascii="宋体" w:hAnsi="宋体" w:cs="宋体"/>
                <w:bCs/>
                <w:kern w:val="0"/>
                <w:sz w:val="24"/>
                <w:szCs w:val="24"/>
                <w:lang w:val="en-US" w:eastAsia="zh-CN"/>
              </w:rPr>
              <w:t>有类似</w:t>
            </w:r>
            <w:r>
              <w:rPr>
                <w:rFonts w:hint="eastAsia" w:ascii="宋体" w:hAnsi="宋体" w:eastAsia="宋体" w:cs="宋体"/>
                <w:bCs/>
                <w:kern w:val="0"/>
                <w:sz w:val="24"/>
                <w:szCs w:val="24"/>
              </w:rPr>
              <w:t>项目</w:t>
            </w:r>
            <w:r>
              <w:rPr>
                <w:rFonts w:hint="eastAsia" w:ascii="宋体" w:hAnsi="宋体" w:cs="宋体"/>
                <w:bCs/>
                <w:kern w:val="0"/>
                <w:sz w:val="24"/>
                <w:szCs w:val="24"/>
                <w:lang w:val="en-US" w:eastAsia="zh-CN"/>
              </w:rPr>
              <w:t>的</w:t>
            </w:r>
            <w:r>
              <w:rPr>
                <w:rFonts w:hint="eastAsia" w:ascii="宋体" w:hAnsi="宋体" w:eastAsia="宋体" w:cs="宋体"/>
                <w:bCs/>
                <w:kern w:val="0"/>
                <w:sz w:val="24"/>
                <w:szCs w:val="24"/>
              </w:rPr>
              <w:t>，每提供一个得0.5分，最多得</w:t>
            </w:r>
            <w:r>
              <w:rPr>
                <w:rFonts w:hint="eastAsia" w:ascii="宋体" w:hAnsi="宋体" w:eastAsia="宋体" w:cs="宋体"/>
                <w:bCs/>
                <w:kern w:val="0"/>
                <w:sz w:val="24"/>
                <w:szCs w:val="24"/>
                <w:lang w:val="en-US" w:eastAsia="zh-CN"/>
              </w:rPr>
              <w:t>2</w:t>
            </w:r>
            <w:r>
              <w:rPr>
                <w:rFonts w:hint="eastAsia" w:ascii="宋体" w:hAnsi="宋体" w:eastAsia="宋体" w:cs="宋体"/>
                <w:bCs/>
                <w:kern w:val="0"/>
                <w:sz w:val="24"/>
                <w:szCs w:val="24"/>
              </w:rPr>
              <w:t>分。</w:t>
            </w:r>
          </w:p>
          <w:p>
            <w:pPr>
              <w:spacing w:line="360" w:lineRule="auto"/>
              <w:rPr>
                <w:rStyle w:val="78"/>
                <w:rFonts w:hAnsi="宋体"/>
                <w:kern w:val="0"/>
                <w:sz w:val="24"/>
                <w:szCs w:val="24"/>
              </w:rPr>
            </w:pPr>
            <w:r>
              <w:rPr>
                <w:rStyle w:val="78"/>
                <w:rFonts w:hint="eastAsia" w:ascii="宋体" w:hAnsi="宋体" w:eastAsia="宋体" w:cs="宋体"/>
                <w:kern w:val="0"/>
                <w:sz w:val="24"/>
                <w:szCs w:val="24"/>
              </w:rPr>
              <w:t>需提供合同及中标通知书扫描件并加盖公章。</w:t>
            </w:r>
          </w:p>
        </w:tc>
        <w:tc>
          <w:tcPr>
            <w:tcW w:w="708" w:type="dxa"/>
            <w:noWrap w:val="0"/>
            <w:vAlign w:val="center"/>
          </w:tcPr>
          <w:p>
            <w:pPr>
              <w:shd w:val="clear" w:color="auto" w:fill="auto"/>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794" w:type="dxa"/>
            <w:vMerge w:val="continue"/>
            <w:noWrap w:val="0"/>
            <w:vAlign w:val="center"/>
          </w:tcPr>
          <w:p>
            <w:pPr>
              <w:shd w:val="clear" w:color="auto" w:fill="auto"/>
              <w:spacing w:line="360" w:lineRule="auto"/>
              <w:jc w:val="center"/>
              <w:rPr>
                <w:rFonts w:hint="eastAsia" w:ascii="宋体" w:hAnsi="宋体" w:eastAsia="宋体" w:cs="宋体"/>
                <w:color w:val="auto"/>
                <w:sz w:val="24"/>
                <w:szCs w:val="24"/>
                <w:highlight w:val="none"/>
              </w:rPr>
            </w:pPr>
          </w:p>
        </w:tc>
        <w:tc>
          <w:tcPr>
            <w:tcW w:w="1240" w:type="dxa"/>
            <w:noWrap w:val="0"/>
            <w:vAlign w:val="center"/>
          </w:tcPr>
          <w:p>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证书</w:t>
            </w:r>
          </w:p>
        </w:tc>
        <w:tc>
          <w:tcPr>
            <w:tcW w:w="6171" w:type="dxa"/>
            <w:noWrap w:val="0"/>
            <w:vAlign w:val="center"/>
          </w:tcPr>
          <w:p>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供应商具有有效</w:t>
            </w:r>
            <w:r>
              <w:rPr>
                <w:rFonts w:hint="eastAsia" w:ascii="宋体" w:hAnsi="宋体" w:eastAsia="宋体" w:cs="宋体"/>
                <w:snapToGrid w:val="0"/>
                <w:color w:val="auto"/>
                <w:kern w:val="0"/>
                <w:sz w:val="24"/>
                <w:szCs w:val="24"/>
                <w:highlight w:val="none"/>
                <w:lang w:val="en-US" w:eastAsia="zh-CN"/>
              </w:rPr>
              <w:t>期内</w:t>
            </w:r>
            <w:r>
              <w:rPr>
                <w:rFonts w:hint="eastAsia" w:ascii="宋体" w:hAnsi="宋体" w:eastAsia="宋体" w:cs="宋体"/>
                <w:snapToGrid w:val="0"/>
                <w:color w:val="auto"/>
                <w:kern w:val="0"/>
                <w:sz w:val="24"/>
                <w:szCs w:val="24"/>
                <w:highlight w:val="none"/>
              </w:rPr>
              <w:t>的质量管理体系认证证书得1分；具有有效</w:t>
            </w:r>
            <w:r>
              <w:rPr>
                <w:rFonts w:hint="eastAsia" w:ascii="宋体" w:hAnsi="宋体" w:eastAsia="宋体" w:cs="宋体"/>
                <w:snapToGrid w:val="0"/>
                <w:color w:val="auto"/>
                <w:kern w:val="0"/>
                <w:sz w:val="24"/>
                <w:szCs w:val="24"/>
                <w:highlight w:val="none"/>
                <w:lang w:val="en-US" w:eastAsia="zh-CN"/>
              </w:rPr>
              <w:t>期内</w:t>
            </w:r>
            <w:r>
              <w:rPr>
                <w:rFonts w:hint="eastAsia" w:ascii="宋体" w:hAnsi="宋体" w:eastAsia="宋体" w:cs="宋体"/>
                <w:snapToGrid w:val="0"/>
                <w:color w:val="auto"/>
                <w:kern w:val="0"/>
                <w:sz w:val="24"/>
                <w:szCs w:val="24"/>
                <w:highlight w:val="none"/>
              </w:rPr>
              <w:t>的环境管理体系认证证书得1分；具有有效</w:t>
            </w:r>
            <w:r>
              <w:rPr>
                <w:rFonts w:hint="eastAsia" w:ascii="宋体" w:hAnsi="宋体" w:eastAsia="宋体" w:cs="宋体"/>
                <w:snapToGrid w:val="0"/>
                <w:color w:val="auto"/>
                <w:kern w:val="0"/>
                <w:sz w:val="24"/>
                <w:szCs w:val="24"/>
                <w:highlight w:val="none"/>
                <w:lang w:val="en-US" w:eastAsia="zh-CN"/>
              </w:rPr>
              <w:t>期内</w:t>
            </w:r>
            <w:r>
              <w:rPr>
                <w:rFonts w:hint="eastAsia" w:ascii="宋体" w:hAnsi="宋体" w:eastAsia="宋体" w:cs="宋体"/>
                <w:snapToGrid w:val="0"/>
                <w:color w:val="auto"/>
                <w:kern w:val="0"/>
                <w:sz w:val="24"/>
                <w:szCs w:val="24"/>
                <w:highlight w:val="none"/>
              </w:rPr>
              <w:t>的职业健康安全管理体系认证证书得1分；具有有效</w:t>
            </w:r>
            <w:r>
              <w:rPr>
                <w:rFonts w:hint="eastAsia" w:ascii="宋体" w:hAnsi="宋体" w:eastAsia="宋体" w:cs="宋体"/>
                <w:snapToGrid w:val="0"/>
                <w:color w:val="auto"/>
                <w:kern w:val="0"/>
                <w:sz w:val="24"/>
                <w:szCs w:val="24"/>
                <w:highlight w:val="none"/>
                <w:lang w:val="en-US" w:eastAsia="zh-CN"/>
              </w:rPr>
              <w:t>期内</w:t>
            </w:r>
            <w:r>
              <w:rPr>
                <w:rFonts w:hint="eastAsia" w:ascii="宋体" w:hAnsi="宋体" w:eastAsia="宋体" w:cs="宋体"/>
                <w:snapToGrid w:val="0"/>
                <w:color w:val="auto"/>
                <w:kern w:val="0"/>
                <w:sz w:val="24"/>
                <w:szCs w:val="24"/>
                <w:highlight w:val="none"/>
              </w:rPr>
              <w:t>的信息安全管理体系认证证书得1分；具有有效</w:t>
            </w:r>
            <w:r>
              <w:rPr>
                <w:rFonts w:hint="eastAsia" w:ascii="宋体" w:hAnsi="宋体" w:eastAsia="宋体" w:cs="宋体"/>
                <w:snapToGrid w:val="0"/>
                <w:color w:val="auto"/>
                <w:kern w:val="0"/>
                <w:sz w:val="24"/>
                <w:szCs w:val="24"/>
                <w:highlight w:val="none"/>
                <w:lang w:val="en-US" w:eastAsia="zh-CN"/>
              </w:rPr>
              <w:t>期内</w:t>
            </w:r>
            <w:r>
              <w:rPr>
                <w:rFonts w:hint="eastAsia" w:ascii="宋体" w:hAnsi="宋体" w:eastAsia="宋体" w:cs="宋体"/>
                <w:snapToGrid w:val="0"/>
                <w:color w:val="auto"/>
                <w:kern w:val="0"/>
                <w:sz w:val="24"/>
                <w:szCs w:val="24"/>
                <w:highlight w:val="none"/>
              </w:rPr>
              <w:t>的信息技术服务管理体系认证证书得1分；</w:t>
            </w:r>
          </w:p>
          <w:p>
            <w:pPr>
              <w:shd w:val="clear" w:color="auto" w:fill="auto"/>
              <w:spacing w:line="360" w:lineRule="auto"/>
              <w:jc w:val="left"/>
              <w:rPr>
                <w:rStyle w:val="78"/>
                <w:rFonts w:hAnsi="宋体"/>
                <w:kern w:val="0"/>
                <w:sz w:val="24"/>
                <w:szCs w:val="24"/>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eastAsia="zh-CN"/>
              </w:rPr>
              <w:t>响应</w:t>
            </w:r>
            <w:r>
              <w:rPr>
                <w:rFonts w:hint="eastAsia" w:ascii="宋体" w:hAnsi="宋体" w:eastAsia="宋体" w:cs="宋体"/>
                <w:snapToGrid w:val="0"/>
                <w:color w:val="auto"/>
                <w:kern w:val="0"/>
                <w:sz w:val="24"/>
                <w:szCs w:val="24"/>
                <w:highlight w:val="none"/>
              </w:rPr>
              <w:t>文件提供认证证书复印件，并加盖公章。）</w:t>
            </w:r>
          </w:p>
        </w:tc>
        <w:tc>
          <w:tcPr>
            <w:tcW w:w="708" w:type="dxa"/>
            <w:noWrap w:val="0"/>
            <w:vAlign w:val="center"/>
          </w:tcPr>
          <w:p>
            <w:pPr>
              <w:shd w:val="clear" w:color="auto" w:fill="auto"/>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r>
    </w:tbl>
    <w:p>
      <w:pPr>
        <w:pStyle w:val="9"/>
        <w:rPr>
          <w:color w:val="auto"/>
        </w:rPr>
      </w:pPr>
    </w:p>
    <w:p>
      <w:pPr>
        <w:spacing w:line="360" w:lineRule="auto"/>
        <w:ind w:firstLine="480" w:firstLineChars="200"/>
        <w:rPr>
          <w:rFonts w:ascii="宋体"/>
          <w:color w:val="auto"/>
          <w:sz w:val="24"/>
          <w:szCs w:val="24"/>
        </w:rPr>
      </w:pPr>
      <w:bookmarkStart w:id="102" w:name="_Toc4517"/>
      <w:bookmarkStart w:id="103" w:name="_Toc8033"/>
      <w:r>
        <w:rPr>
          <w:rFonts w:hint="eastAsia" w:ascii="宋体" w:hAnsi="宋体" w:cs="宋体"/>
          <w:color w:val="auto"/>
          <w:sz w:val="24"/>
          <w:szCs w:val="24"/>
        </w:rPr>
        <w:t>注：</w:t>
      </w:r>
    </w:p>
    <w:p>
      <w:pPr>
        <w:spacing w:line="360" w:lineRule="auto"/>
        <w:ind w:firstLine="480" w:firstLineChars="200"/>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、评标委员会各成员应当独立对每个供应商的响应文件进行评价，并汇总每个供应商的得分。资信分为客观分，也需独立进行评价并核对分值，最终分值需一致。</w:t>
      </w:r>
    </w:p>
    <w:p>
      <w:pPr>
        <w:spacing w:line="360" w:lineRule="auto"/>
        <w:ind w:firstLine="480" w:firstLineChars="200"/>
        <w:rPr>
          <w:color w:val="auto"/>
        </w:rPr>
      </w:pPr>
      <w:r>
        <w:rPr>
          <w:rFonts w:ascii="宋体" w:hAnsi="宋体" w:cs="宋体"/>
          <w:color w:val="auto"/>
          <w:sz w:val="24"/>
          <w:szCs w:val="24"/>
        </w:rPr>
        <w:t>2</w:t>
      </w:r>
      <w:r>
        <w:rPr>
          <w:rFonts w:hint="eastAsia" w:ascii="宋体" w:hAnsi="宋体" w:cs="宋体"/>
          <w:color w:val="auto"/>
          <w:sz w:val="24"/>
          <w:szCs w:val="24"/>
        </w:rPr>
        <w:t>、所有文件、合同、证书、资质等需要真实有效。成交供应商在中标后签订合同时需提供以上证明文件原件，若发现资料作假的取消中标资格。</w:t>
      </w:r>
    </w:p>
    <w:p>
      <w:pPr>
        <w:rPr>
          <w:rFonts w:cs="宋体"/>
          <w:color w:val="auto"/>
          <w:sz w:val="36"/>
          <w:szCs w:val="36"/>
        </w:rPr>
      </w:pPr>
      <w:r>
        <w:rPr>
          <w:rFonts w:hint="eastAsia" w:cs="宋体"/>
          <w:color w:val="auto"/>
          <w:sz w:val="36"/>
          <w:szCs w:val="36"/>
        </w:rPr>
        <w:br w:type="page"/>
      </w:r>
    </w:p>
    <w:p>
      <w:pPr>
        <w:pStyle w:val="5"/>
        <w:jc w:val="center"/>
        <w:rPr>
          <w:rFonts w:ascii="宋体" w:cs="Times New Roman"/>
          <w:color w:val="auto"/>
        </w:rPr>
      </w:pPr>
      <w:bookmarkStart w:id="104" w:name="_Toc29701"/>
      <w:bookmarkStart w:id="105" w:name="_Toc32092"/>
      <w:r>
        <w:rPr>
          <w:rFonts w:hint="eastAsia" w:cs="宋体"/>
          <w:color w:val="auto"/>
          <w:sz w:val="36"/>
          <w:szCs w:val="36"/>
        </w:rPr>
        <w:t>第五部分</w:t>
      </w:r>
      <w:r>
        <w:rPr>
          <w:color w:val="auto"/>
          <w:sz w:val="36"/>
          <w:szCs w:val="36"/>
        </w:rPr>
        <w:t xml:space="preserve"> </w:t>
      </w:r>
      <w:r>
        <w:rPr>
          <w:rFonts w:hint="eastAsia" w:cs="宋体"/>
          <w:color w:val="auto"/>
          <w:sz w:val="36"/>
          <w:szCs w:val="36"/>
        </w:rPr>
        <w:t>采购合同</w:t>
      </w:r>
      <w:bookmarkEnd w:id="102"/>
      <w:bookmarkEnd w:id="103"/>
      <w:bookmarkEnd w:id="104"/>
      <w:bookmarkEnd w:id="105"/>
    </w:p>
    <w:p>
      <w:pPr>
        <w:pStyle w:val="5"/>
        <w:jc w:val="both"/>
        <w:rPr>
          <w:rFonts w:hint="eastAsia" w:ascii="宋体" w:hAnsi="宋体" w:eastAsia="宋体" w:cs="宋体"/>
          <w:color w:val="auto"/>
          <w:sz w:val="24"/>
          <w:szCs w:val="24"/>
        </w:rPr>
      </w:pPr>
    </w:p>
    <w:p>
      <w:pPr>
        <w:pStyle w:val="15"/>
        <w:shd w:val="clear" w:color="auto" w:fill="auto"/>
        <w:snapToGrid w:val="0"/>
        <w:spacing w:before="0" w:beforeLines="0" w:after="0" w:afterLines="0"/>
        <w:jc w:val="center"/>
        <w:rPr>
          <w:rFonts w:hint="eastAsia" w:hAnsi="宋体"/>
          <w:b/>
          <w:color w:val="auto"/>
          <w:sz w:val="32"/>
          <w:szCs w:val="32"/>
          <w:highlight w:val="none"/>
        </w:rPr>
      </w:pPr>
    </w:p>
    <w:p>
      <w:pPr>
        <w:shd w:val="clear" w:color="auto" w:fill="auto"/>
        <w:autoSpaceDE w:val="0"/>
        <w:autoSpaceDN w:val="0"/>
        <w:spacing w:line="360" w:lineRule="auto"/>
        <w:textAlignment w:val="bottom"/>
        <w:rPr>
          <w:rFonts w:hint="eastAsia" w:ascii="宋体" w:hAnsi="宋体"/>
          <w:b/>
          <w:color w:val="auto"/>
          <w:szCs w:val="21"/>
          <w:highlight w:val="none"/>
          <w:u w:val="single"/>
        </w:rPr>
      </w:pPr>
      <w:r>
        <w:rPr>
          <w:rFonts w:hint="eastAsia" w:ascii="宋体" w:hAnsi="宋体"/>
          <w:color w:val="auto"/>
          <w:sz w:val="32"/>
          <w:szCs w:val="32"/>
          <w:highlight w:val="none"/>
        </w:rPr>
        <w:t xml:space="preserve"> </w:t>
      </w:r>
      <w:r>
        <w:rPr>
          <w:rFonts w:hint="eastAsia" w:ascii="宋体" w:hAnsi="宋体"/>
          <w:b/>
          <w:color w:val="auto"/>
          <w:szCs w:val="21"/>
          <w:highlight w:val="none"/>
          <w:u w:val="single"/>
        </w:rPr>
        <w:t>备注：合同以双方签字盖章的文本为准，投标文件中各项招标需求均可在签订合同时列入或以更优的投标文件承诺内容列入。</w:t>
      </w:r>
    </w:p>
    <w:p>
      <w:pPr>
        <w:shd w:val="clear" w:color="auto" w:fill="auto"/>
        <w:adjustRightInd w:val="0"/>
        <w:snapToGrid w:val="0"/>
        <w:spacing w:line="360" w:lineRule="auto"/>
        <w:jc w:val="center"/>
        <w:rPr>
          <w:rFonts w:hint="eastAsia" w:ascii="宋体" w:hAnsi="宋体"/>
          <w:color w:val="auto"/>
          <w:sz w:val="32"/>
          <w:szCs w:val="32"/>
          <w:highlight w:val="none"/>
        </w:rPr>
      </w:pPr>
      <w:r>
        <w:rPr>
          <w:rFonts w:hint="eastAsia" w:ascii="宋体" w:hAnsi="宋体" w:cs="宋体"/>
          <w:b/>
          <w:color w:val="auto"/>
          <w:sz w:val="32"/>
          <w:szCs w:val="32"/>
          <w:highlight w:val="none"/>
        </w:rPr>
        <w:t xml:space="preserve"> （以最终合同为准）</w:t>
      </w:r>
    </w:p>
    <w:p>
      <w:pPr>
        <w:shd w:val="clear" w:color="auto" w:fill="auto"/>
        <w:adjustRightInd w:val="0"/>
        <w:snapToGrid w:val="0"/>
        <w:spacing w:line="360" w:lineRule="auto"/>
        <w:jc w:val="center"/>
        <w:rPr>
          <w:rFonts w:hint="eastAsia" w:ascii="宋体" w:hAnsi="宋体"/>
          <w:color w:val="auto"/>
          <w:sz w:val="32"/>
          <w:szCs w:val="32"/>
          <w:highlight w:val="none"/>
        </w:rPr>
      </w:pPr>
    </w:p>
    <w:p>
      <w:pPr>
        <w:shd w:val="clear" w:color="auto" w:fill="auto"/>
        <w:adjustRightInd w:val="0"/>
        <w:snapToGrid w:val="0"/>
        <w:spacing w:line="360" w:lineRule="auto"/>
        <w:jc w:val="center"/>
        <w:rPr>
          <w:rFonts w:hint="eastAsia" w:ascii="宋体" w:hAnsi="宋体"/>
          <w:color w:val="auto"/>
          <w:sz w:val="32"/>
          <w:szCs w:val="32"/>
          <w:highlight w:val="none"/>
        </w:rPr>
      </w:pPr>
    </w:p>
    <w:p>
      <w:pPr>
        <w:shd w:val="clear" w:color="auto" w:fill="auto"/>
        <w:adjustRightInd w:val="0"/>
        <w:snapToGrid w:val="0"/>
        <w:spacing w:line="360" w:lineRule="auto"/>
        <w:jc w:val="center"/>
        <w:rPr>
          <w:rFonts w:hint="eastAsia" w:ascii="宋体" w:hAnsi="宋体"/>
          <w:color w:val="auto"/>
          <w:sz w:val="32"/>
          <w:szCs w:val="32"/>
          <w:highlight w:val="none"/>
        </w:rPr>
      </w:pPr>
    </w:p>
    <w:p>
      <w:pPr>
        <w:shd w:val="clear" w:color="auto" w:fill="auto"/>
        <w:adjustRightInd w:val="0"/>
        <w:snapToGrid w:val="0"/>
        <w:spacing w:line="360" w:lineRule="auto"/>
        <w:jc w:val="center"/>
        <w:rPr>
          <w:rFonts w:hint="eastAsia" w:ascii="宋体" w:hAnsi="宋体"/>
          <w:color w:val="auto"/>
          <w:sz w:val="32"/>
          <w:szCs w:val="32"/>
          <w:highlight w:val="none"/>
        </w:rPr>
      </w:pPr>
    </w:p>
    <w:p>
      <w:pPr>
        <w:shd w:val="clear" w:color="auto" w:fill="auto"/>
        <w:spacing w:line="360" w:lineRule="auto"/>
        <w:ind w:left="2560" w:hanging="2560" w:hangingChars="800"/>
        <w:rPr>
          <w:rFonts w:hint="eastAsia" w:ascii="宋体" w:hAnsi="宋体" w:eastAsia="宋体"/>
          <w:color w:val="auto"/>
          <w:sz w:val="32"/>
          <w:szCs w:val="32"/>
          <w:highlight w:val="none"/>
          <w:lang w:eastAsia="zh-CN"/>
        </w:rPr>
      </w:pPr>
      <w:r>
        <w:rPr>
          <w:rFonts w:hint="eastAsia" w:ascii="宋体" w:hAnsi="宋体"/>
          <w:color w:val="auto"/>
          <w:sz w:val="32"/>
          <w:szCs w:val="32"/>
          <w:highlight w:val="none"/>
        </w:rPr>
        <w:t xml:space="preserve">项 目 名 称 </w:t>
      </w:r>
      <w:r>
        <w:rPr>
          <w:rFonts w:ascii="宋体" w:hAnsi="宋体"/>
          <w:color w:val="auto"/>
          <w:sz w:val="32"/>
          <w:szCs w:val="32"/>
          <w:highlight w:val="none"/>
        </w:rPr>
        <w:t xml:space="preserve"> </w:t>
      </w:r>
      <w:r>
        <w:rPr>
          <w:rFonts w:hint="eastAsia" w:ascii="宋体" w:hAnsi="宋体"/>
          <w:color w:val="auto"/>
          <w:sz w:val="32"/>
          <w:szCs w:val="32"/>
          <w:highlight w:val="none"/>
        </w:rPr>
        <w:t>：</w:t>
      </w:r>
      <w:r>
        <w:rPr>
          <w:rFonts w:hint="eastAsia" w:ascii="宋体" w:hAnsi="宋体"/>
          <w:color w:val="auto"/>
          <w:sz w:val="32"/>
          <w:szCs w:val="32"/>
          <w:highlight w:val="none"/>
          <w:lang w:eastAsia="zh-CN"/>
        </w:rPr>
        <w:t xml:space="preserve">2024年上虞区智慧城管信息采集项目 </w:t>
      </w:r>
    </w:p>
    <w:p>
      <w:pPr>
        <w:shd w:val="clear" w:color="auto" w:fill="auto"/>
        <w:spacing w:line="360" w:lineRule="auto"/>
        <w:ind w:left="2560" w:hanging="2560" w:hangingChars="800"/>
        <w:rPr>
          <w:rFonts w:ascii="宋体" w:hAnsi="宋体"/>
          <w:color w:val="auto"/>
          <w:sz w:val="32"/>
          <w:szCs w:val="32"/>
          <w:highlight w:val="none"/>
        </w:rPr>
      </w:pPr>
      <w:r>
        <w:rPr>
          <w:rFonts w:hint="eastAsia" w:ascii="宋体" w:hAnsi="宋体"/>
          <w:color w:val="auto"/>
          <w:sz w:val="32"/>
          <w:szCs w:val="32"/>
          <w:highlight w:val="none"/>
        </w:rPr>
        <w:t>项 目 编 号  ：</w:t>
      </w:r>
      <w:r>
        <w:rPr>
          <w:rFonts w:hint="eastAsia" w:ascii="宋体" w:hAnsi="宋体"/>
          <w:color w:val="auto"/>
          <w:sz w:val="32"/>
          <w:szCs w:val="32"/>
          <w:highlight w:val="none"/>
          <w:u w:val="single"/>
        </w:rPr>
        <w:t xml:space="preserve"> </w:t>
      </w:r>
      <w:r>
        <w:rPr>
          <w:rFonts w:ascii="宋体" w:hAnsi="宋体"/>
          <w:color w:val="auto"/>
          <w:sz w:val="32"/>
          <w:szCs w:val="32"/>
          <w:highlight w:val="none"/>
          <w:u w:val="single"/>
        </w:rPr>
        <w:t xml:space="preserve"> </w:t>
      </w:r>
      <w:r>
        <w:rPr>
          <w:rFonts w:hint="eastAsia" w:ascii="宋体" w:hAnsi="宋体"/>
          <w:color w:val="auto"/>
          <w:sz w:val="32"/>
          <w:szCs w:val="32"/>
          <w:highlight w:val="none"/>
          <w:u w:val="single"/>
        </w:rPr>
        <w:t xml:space="preserve">                              </w:t>
      </w:r>
    </w:p>
    <w:p>
      <w:pPr>
        <w:shd w:val="clear" w:color="auto" w:fill="auto"/>
        <w:spacing w:line="360" w:lineRule="auto"/>
        <w:rPr>
          <w:rFonts w:ascii="宋体" w:hAnsi="宋体"/>
          <w:color w:val="auto"/>
          <w:sz w:val="32"/>
          <w:szCs w:val="32"/>
          <w:highlight w:val="none"/>
        </w:rPr>
      </w:pPr>
      <w:r>
        <w:rPr>
          <w:rFonts w:ascii="宋体" w:hAnsi="宋体"/>
          <w:color w:val="auto"/>
          <w:sz w:val="32"/>
          <w:szCs w:val="32"/>
          <w:highlight w:val="none"/>
        </w:rPr>
        <w:t>甲方（采购人）：</w:t>
      </w:r>
      <w:r>
        <w:rPr>
          <w:rFonts w:ascii="宋体" w:hAnsi="宋体"/>
          <w:color w:val="auto"/>
          <w:sz w:val="32"/>
          <w:szCs w:val="32"/>
          <w:highlight w:val="none"/>
          <w:u w:val="single"/>
        </w:rPr>
        <w:t xml:space="preserve">      </w:t>
      </w:r>
      <w:r>
        <w:rPr>
          <w:rFonts w:hint="eastAsia" w:ascii="宋体" w:hAnsi="宋体"/>
          <w:color w:val="auto"/>
          <w:sz w:val="32"/>
          <w:szCs w:val="32"/>
          <w:highlight w:val="none"/>
          <w:u w:val="single"/>
        </w:rPr>
        <w:t xml:space="preserve">            </w:t>
      </w:r>
      <w:r>
        <w:rPr>
          <w:rFonts w:ascii="宋体" w:hAnsi="宋体"/>
          <w:color w:val="auto"/>
          <w:sz w:val="32"/>
          <w:szCs w:val="32"/>
          <w:highlight w:val="none"/>
          <w:u w:val="single"/>
        </w:rPr>
        <w:t xml:space="preserve">              </w:t>
      </w:r>
    </w:p>
    <w:p>
      <w:pPr>
        <w:shd w:val="clear" w:color="auto" w:fill="auto"/>
        <w:spacing w:line="360" w:lineRule="auto"/>
        <w:rPr>
          <w:rFonts w:ascii="宋体" w:hAnsi="宋体"/>
          <w:color w:val="auto"/>
          <w:sz w:val="32"/>
          <w:szCs w:val="32"/>
          <w:highlight w:val="none"/>
        </w:rPr>
      </w:pPr>
      <w:r>
        <w:rPr>
          <w:rFonts w:ascii="宋体" w:hAnsi="宋体"/>
          <w:color w:val="auto"/>
          <w:sz w:val="32"/>
          <w:szCs w:val="32"/>
          <w:highlight w:val="none"/>
        </w:rPr>
        <w:t>乙方（</w:t>
      </w:r>
      <w:r>
        <w:rPr>
          <w:rFonts w:hint="eastAsia" w:ascii="宋体" w:hAnsi="宋体"/>
          <w:color w:val="auto"/>
          <w:sz w:val="32"/>
          <w:szCs w:val="32"/>
          <w:highlight w:val="none"/>
          <w:lang w:eastAsia="zh-CN"/>
        </w:rPr>
        <w:t>供应商</w:t>
      </w:r>
      <w:r>
        <w:rPr>
          <w:rFonts w:ascii="宋体" w:hAnsi="宋体"/>
          <w:color w:val="auto"/>
          <w:sz w:val="32"/>
          <w:szCs w:val="32"/>
          <w:highlight w:val="none"/>
        </w:rPr>
        <w:t>）：</w:t>
      </w:r>
      <w:r>
        <w:rPr>
          <w:rFonts w:hint="eastAsia" w:ascii="宋体" w:hAnsi="宋体"/>
          <w:color w:val="auto"/>
          <w:sz w:val="32"/>
          <w:szCs w:val="32"/>
          <w:highlight w:val="none"/>
          <w:u w:val="single"/>
        </w:rPr>
        <w:t xml:space="preserve">                             </w:t>
      </w:r>
      <w:r>
        <w:rPr>
          <w:rFonts w:ascii="宋体" w:hAnsi="宋体"/>
          <w:color w:val="auto"/>
          <w:sz w:val="32"/>
          <w:szCs w:val="32"/>
          <w:highlight w:val="none"/>
          <w:u w:val="single"/>
        </w:rPr>
        <w:t xml:space="preserve">   </w:t>
      </w:r>
    </w:p>
    <w:p>
      <w:pPr>
        <w:shd w:val="clear" w:color="auto" w:fill="auto"/>
        <w:spacing w:line="360" w:lineRule="auto"/>
        <w:rPr>
          <w:rFonts w:ascii="宋体" w:hAnsi="宋体"/>
          <w:color w:val="auto"/>
          <w:sz w:val="32"/>
          <w:szCs w:val="32"/>
          <w:highlight w:val="none"/>
        </w:rPr>
      </w:pPr>
      <w:r>
        <w:rPr>
          <w:rFonts w:hint="eastAsia" w:ascii="宋体" w:hAnsi="宋体"/>
          <w:color w:val="auto"/>
          <w:sz w:val="32"/>
          <w:szCs w:val="32"/>
          <w:highlight w:val="none"/>
        </w:rPr>
        <w:t xml:space="preserve">签 订 地 点 </w:t>
      </w:r>
      <w:r>
        <w:rPr>
          <w:rFonts w:ascii="宋体" w:hAnsi="宋体"/>
          <w:color w:val="auto"/>
          <w:sz w:val="32"/>
          <w:szCs w:val="32"/>
          <w:highlight w:val="none"/>
        </w:rPr>
        <w:t xml:space="preserve"> </w:t>
      </w:r>
      <w:r>
        <w:rPr>
          <w:rFonts w:hint="eastAsia" w:ascii="宋体" w:hAnsi="宋体"/>
          <w:color w:val="auto"/>
          <w:sz w:val="32"/>
          <w:szCs w:val="32"/>
          <w:highlight w:val="none"/>
        </w:rPr>
        <w:t>：</w:t>
      </w:r>
      <w:r>
        <w:rPr>
          <w:rFonts w:ascii="宋体" w:hAnsi="宋体"/>
          <w:color w:val="auto"/>
          <w:sz w:val="32"/>
          <w:szCs w:val="32"/>
          <w:highlight w:val="none"/>
          <w:u w:val="single"/>
        </w:rPr>
        <w:t xml:space="preserve">                           </w:t>
      </w:r>
    </w:p>
    <w:p>
      <w:pPr>
        <w:shd w:val="clear" w:color="auto" w:fill="auto"/>
        <w:adjustRightInd w:val="0"/>
        <w:snapToGrid w:val="0"/>
        <w:spacing w:line="360" w:lineRule="auto"/>
        <w:rPr>
          <w:rFonts w:hint="eastAsia" w:ascii="宋体" w:hAnsi="宋体"/>
          <w:color w:val="auto"/>
          <w:sz w:val="32"/>
          <w:szCs w:val="32"/>
          <w:highlight w:val="none"/>
        </w:rPr>
      </w:pPr>
      <w:r>
        <w:rPr>
          <w:rFonts w:hint="eastAsia" w:ascii="宋体" w:hAnsi="宋体"/>
          <w:color w:val="auto"/>
          <w:sz w:val="32"/>
          <w:szCs w:val="32"/>
          <w:highlight w:val="none"/>
        </w:rPr>
        <w:t xml:space="preserve">签 订 日 期 </w:t>
      </w:r>
      <w:r>
        <w:rPr>
          <w:rFonts w:ascii="宋体" w:hAnsi="宋体"/>
          <w:color w:val="auto"/>
          <w:sz w:val="32"/>
          <w:szCs w:val="32"/>
          <w:highlight w:val="none"/>
        </w:rPr>
        <w:t xml:space="preserve"> </w:t>
      </w:r>
      <w:r>
        <w:rPr>
          <w:rFonts w:hint="eastAsia" w:ascii="宋体" w:hAnsi="宋体"/>
          <w:color w:val="auto"/>
          <w:sz w:val="32"/>
          <w:szCs w:val="32"/>
          <w:highlight w:val="none"/>
        </w:rPr>
        <w:t>：</w:t>
      </w:r>
      <w:r>
        <w:rPr>
          <w:rFonts w:hint="eastAsia" w:ascii="宋体" w:hAnsi="宋体"/>
          <w:color w:val="auto"/>
          <w:sz w:val="32"/>
          <w:szCs w:val="32"/>
          <w:highlight w:val="none"/>
          <w:u w:val="single"/>
        </w:rPr>
        <w:t>202</w:t>
      </w:r>
      <w:r>
        <w:rPr>
          <w:rFonts w:hint="eastAsia" w:ascii="宋体" w:hAnsi="宋体"/>
          <w:color w:val="auto"/>
          <w:sz w:val="32"/>
          <w:szCs w:val="32"/>
          <w:highlight w:val="none"/>
          <w:u w:val="single"/>
          <w:lang w:val="en-US" w:eastAsia="zh-CN"/>
        </w:rPr>
        <w:t>4</w:t>
      </w:r>
      <w:r>
        <w:rPr>
          <w:rFonts w:hint="eastAsia" w:ascii="宋体" w:hAnsi="宋体"/>
          <w:color w:val="auto"/>
          <w:sz w:val="32"/>
          <w:szCs w:val="32"/>
          <w:highlight w:val="none"/>
          <w:u w:val="single"/>
        </w:rPr>
        <w:t xml:space="preserve">年  月 </w:t>
      </w:r>
      <w:r>
        <w:rPr>
          <w:rFonts w:ascii="宋体" w:hAnsi="宋体"/>
          <w:color w:val="auto"/>
          <w:sz w:val="32"/>
          <w:szCs w:val="32"/>
          <w:highlight w:val="none"/>
          <w:u w:val="single"/>
        </w:rPr>
        <w:t xml:space="preserve">   </w:t>
      </w:r>
      <w:r>
        <w:rPr>
          <w:rFonts w:hint="eastAsia" w:ascii="宋体" w:hAnsi="宋体"/>
          <w:color w:val="auto"/>
          <w:sz w:val="32"/>
          <w:szCs w:val="32"/>
          <w:highlight w:val="none"/>
          <w:u w:val="single"/>
        </w:rPr>
        <w:t xml:space="preserve">               </w:t>
      </w:r>
      <w:r>
        <w:rPr>
          <w:rFonts w:ascii="宋体" w:hAnsi="宋体"/>
          <w:color w:val="auto"/>
          <w:sz w:val="32"/>
          <w:szCs w:val="32"/>
          <w:highlight w:val="none"/>
          <w:u w:val="single"/>
        </w:rPr>
        <w:t xml:space="preserve">  </w:t>
      </w:r>
    </w:p>
    <w:p>
      <w:pPr>
        <w:shd w:val="clear" w:color="auto" w:fill="auto"/>
        <w:spacing w:line="360" w:lineRule="auto"/>
        <w:contextualSpacing/>
        <w:rPr>
          <w:rFonts w:ascii="宋体" w:hAnsi="宋体" w:cs="宋体"/>
          <w:b/>
          <w:color w:val="auto"/>
          <w:sz w:val="32"/>
          <w:szCs w:val="32"/>
          <w:highlight w:val="none"/>
        </w:rPr>
      </w:pPr>
    </w:p>
    <w:p>
      <w:pPr>
        <w:pStyle w:val="12"/>
        <w:shd w:val="clear" w:color="auto" w:fill="auto"/>
        <w:rPr>
          <w:rFonts w:hAnsi="宋体" w:cs="宋体"/>
          <w:b/>
          <w:color w:val="auto"/>
          <w:sz w:val="32"/>
          <w:szCs w:val="32"/>
          <w:highlight w:val="none"/>
        </w:rPr>
      </w:pPr>
    </w:p>
    <w:p>
      <w:pPr>
        <w:pStyle w:val="12"/>
        <w:shd w:val="clear" w:color="auto" w:fill="auto"/>
        <w:rPr>
          <w:rFonts w:hAnsi="宋体" w:cs="宋体"/>
          <w:b/>
          <w:color w:val="auto"/>
          <w:sz w:val="32"/>
          <w:szCs w:val="32"/>
          <w:highlight w:val="none"/>
        </w:rPr>
      </w:pPr>
    </w:p>
    <w:p>
      <w:pPr>
        <w:pStyle w:val="13"/>
      </w:pPr>
    </w:p>
    <w:p>
      <w:pPr>
        <w:pStyle w:val="13"/>
        <w:rPr>
          <w:color w:val="auto"/>
        </w:rPr>
      </w:pPr>
    </w:p>
    <w:p>
      <w:pPr>
        <w:pStyle w:val="12"/>
        <w:shd w:val="clear" w:color="auto" w:fill="auto"/>
        <w:rPr>
          <w:rFonts w:hAnsi="宋体" w:cs="宋体"/>
          <w:b/>
          <w:color w:val="auto"/>
          <w:sz w:val="32"/>
          <w:szCs w:val="32"/>
          <w:highlight w:val="none"/>
        </w:rPr>
      </w:pPr>
    </w:p>
    <w:p>
      <w:pPr>
        <w:pStyle w:val="12"/>
        <w:shd w:val="clear" w:color="auto" w:fill="auto"/>
        <w:rPr>
          <w:rFonts w:hint="eastAsia" w:ascii="宋体" w:hAnsi="宋体" w:eastAsia="宋体" w:cs="宋体"/>
          <w:b/>
          <w:color w:val="auto"/>
          <w:sz w:val="24"/>
          <w:szCs w:val="24"/>
          <w:highlight w:val="none"/>
        </w:rPr>
      </w:pPr>
    </w:p>
    <w:p>
      <w:pPr>
        <w:pStyle w:val="15"/>
        <w:shd w:val="clear" w:color="auto" w:fill="auto"/>
        <w:adjustRightInd w:val="0"/>
        <w:snapToGrid w:val="0"/>
        <w:spacing w:before="120" w:after="12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hAnsi="宋体" w:cs="宋体"/>
          <w:color w:val="auto"/>
          <w:sz w:val="24"/>
          <w:szCs w:val="24"/>
          <w:highlight w:val="none"/>
          <w:lang w:eastAsia="zh-CN"/>
        </w:rPr>
        <w:t>2024</w:t>
      </w:r>
      <w:r>
        <w:rPr>
          <w:rFonts w:hint="eastAsia" w:ascii="宋体" w:hAnsi="宋体" w:cs="宋体"/>
          <w:bCs/>
          <w:sz w:val="24"/>
        </w:rPr>
        <w:t>-202</w:t>
      </w:r>
      <w:r>
        <w:rPr>
          <w:rFonts w:hint="eastAsia" w:ascii="宋体" w:hAnsi="宋体" w:cs="宋体"/>
          <w:bCs/>
          <w:sz w:val="24"/>
          <w:lang w:val="en-US" w:eastAsia="zh-CN"/>
        </w:rPr>
        <w:t>5</w:t>
      </w:r>
      <w:r>
        <w:rPr>
          <w:rFonts w:hint="eastAsia" w:hAnsi="宋体" w:cs="宋体"/>
          <w:color w:val="auto"/>
          <w:sz w:val="24"/>
          <w:szCs w:val="24"/>
          <w:highlight w:val="none"/>
          <w:lang w:eastAsia="zh-CN"/>
        </w:rPr>
        <w:t>年上虞区智慧城管信息采集项目</w:t>
      </w:r>
      <w:r>
        <w:rPr>
          <w:rFonts w:hint="eastAsia" w:hAnsi="宋体" w:eastAsia="宋体" w:cs="宋体"/>
          <w:color w:val="auto"/>
          <w:sz w:val="24"/>
          <w:szCs w:val="24"/>
          <w:highlight w:val="none"/>
          <w:lang w:eastAsia="zh-CN"/>
        </w:rPr>
        <w:t xml:space="preserve"> </w:t>
      </w:r>
    </w:p>
    <w:p>
      <w:pPr>
        <w:pStyle w:val="15"/>
        <w:shd w:val="clear" w:color="auto" w:fill="auto"/>
        <w:adjustRightInd w:val="0"/>
        <w:snapToGrid w:val="0"/>
        <w:spacing w:before="120"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项目编号： </w:t>
      </w:r>
    </w:p>
    <w:p>
      <w:pPr>
        <w:pStyle w:val="15"/>
        <w:shd w:val="clear" w:color="auto" w:fill="auto"/>
        <w:adjustRightInd w:val="0"/>
        <w:snapToGrid w:val="0"/>
        <w:spacing w:before="120"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hAnsi="宋体" w:cs="宋体"/>
          <w:color w:val="auto"/>
          <w:sz w:val="24"/>
          <w:szCs w:val="24"/>
          <w:highlight w:val="none"/>
          <w:lang w:eastAsia="zh-CN"/>
        </w:rPr>
        <w:t>采购人</w:t>
      </w:r>
      <w:r>
        <w:rPr>
          <w:rFonts w:hint="eastAsia" w:ascii="宋体" w:hAnsi="宋体" w:eastAsia="宋体" w:cs="宋体"/>
          <w:color w:val="auto"/>
          <w:sz w:val="24"/>
          <w:szCs w:val="24"/>
          <w:highlight w:val="none"/>
        </w:rPr>
        <w:t>）</w:t>
      </w:r>
    </w:p>
    <w:p>
      <w:pPr>
        <w:pStyle w:val="15"/>
        <w:shd w:val="clear" w:color="auto" w:fill="auto"/>
        <w:adjustRightInd w:val="0"/>
        <w:snapToGrid w:val="0"/>
        <w:spacing w:before="120"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hAnsi="宋体" w:cs="宋体"/>
          <w:color w:val="auto"/>
          <w:sz w:val="24"/>
          <w:szCs w:val="24"/>
          <w:highlight w:val="none"/>
          <w:lang w:eastAsia="zh-CN"/>
        </w:rPr>
        <w:t>供应商</w:t>
      </w:r>
      <w:r>
        <w:rPr>
          <w:rFonts w:hint="eastAsia" w:ascii="宋体" w:hAnsi="宋体" w:eastAsia="宋体" w:cs="宋体"/>
          <w:color w:val="auto"/>
          <w:sz w:val="24"/>
          <w:szCs w:val="24"/>
          <w:highlight w:val="none"/>
        </w:rPr>
        <w:t>）</w:t>
      </w:r>
    </w:p>
    <w:p>
      <w:pPr>
        <w:pStyle w:val="15"/>
        <w:shd w:val="clear" w:color="auto" w:fill="auto"/>
        <w:adjustRightInd w:val="0"/>
        <w:snapToGrid w:val="0"/>
        <w:spacing w:before="120"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甲、乙双方关于</w:t>
      </w:r>
      <w:r>
        <w:rPr>
          <w:rFonts w:hint="eastAsia" w:hAnsi="宋体" w:cs="宋体"/>
          <w:color w:val="auto"/>
          <w:sz w:val="24"/>
          <w:szCs w:val="24"/>
          <w:highlight w:val="none"/>
          <w:lang w:eastAsia="zh-CN"/>
        </w:rPr>
        <w:t>2024</w:t>
      </w:r>
      <w:r>
        <w:rPr>
          <w:rFonts w:hint="eastAsia" w:ascii="宋体" w:hAnsi="宋体" w:cs="宋体"/>
          <w:bCs/>
          <w:sz w:val="24"/>
        </w:rPr>
        <w:t>-202</w:t>
      </w:r>
      <w:r>
        <w:rPr>
          <w:rFonts w:hint="eastAsia" w:ascii="宋体" w:hAnsi="宋体" w:cs="宋体"/>
          <w:bCs/>
          <w:sz w:val="24"/>
          <w:lang w:val="en-US" w:eastAsia="zh-CN"/>
        </w:rPr>
        <w:t>5</w:t>
      </w:r>
      <w:r>
        <w:rPr>
          <w:rFonts w:hint="eastAsia" w:hAnsi="宋体" w:cs="宋体"/>
          <w:color w:val="auto"/>
          <w:sz w:val="24"/>
          <w:szCs w:val="24"/>
          <w:highlight w:val="none"/>
          <w:lang w:eastAsia="zh-CN"/>
        </w:rPr>
        <w:t>年上虞区智慧城管信息采集项目</w:t>
      </w:r>
      <w:r>
        <w:rPr>
          <w:rFonts w:hint="eastAsia" w:ascii="宋体" w:hAnsi="宋体" w:eastAsia="宋体" w:cs="宋体"/>
          <w:color w:val="auto"/>
          <w:sz w:val="24"/>
          <w:szCs w:val="24"/>
          <w:highlight w:val="none"/>
        </w:rPr>
        <w:t>政府采购招标的结果，在</w:t>
      </w:r>
      <w:r>
        <w:rPr>
          <w:rFonts w:hint="eastAsia" w:ascii="宋体" w:hAnsi="宋体" w:eastAsia="宋体" w:cs="宋体"/>
          <w:color w:val="auto"/>
          <w:sz w:val="24"/>
          <w:szCs w:val="24"/>
          <w:highlight w:val="none"/>
          <w:lang w:val="en-US" w:eastAsia="zh-CN"/>
        </w:rPr>
        <w:t>绍兴市上虞</w:t>
      </w:r>
      <w:r>
        <w:rPr>
          <w:rFonts w:hint="eastAsia" w:ascii="宋体" w:hAnsi="宋体" w:eastAsia="宋体" w:cs="宋体"/>
          <w:color w:val="auto"/>
          <w:sz w:val="24"/>
          <w:szCs w:val="24"/>
          <w:highlight w:val="none"/>
        </w:rPr>
        <w:t>区签署本合同</w:t>
      </w:r>
      <w:r>
        <w:rPr>
          <w:rFonts w:hint="eastAsia" w:hAnsi="宋体" w:cs="宋体"/>
          <w:color w:val="auto"/>
          <w:sz w:val="24"/>
          <w:szCs w:val="24"/>
          <w:highlight w:val="none"/>
          <w:lang w:eastAsia="zh-CN"/>
        </w:rPr>
        <w:t>，约定由乙方向甲方提供“2024年上虞区智慧城管信息采集项目”所对应的服务</w:t>
      </w:r>
      <w:r>
        <w:rPr>
          <w:rFonts w:hint="eastAsia" w:ascii="宋体" w:hAnsi="宋体" w:eastAsia="宋体" w:cs="宋体"/>
          <w:color w:val="auto"/>
          <w:sz w:val="24"/>
          <w:szCs w:val="24"/>
          <w:highlight w:val="none"/>
        </w:rPr>
        <w:t>。</w:t>
      </w:r>
    </w:p>
    <w:p>
      <w:pPr>
        <w:pStyle w:val="15"/>
        <w:numPr>
          <w:ilvl w:val="0"/>
          <w:numId w:val="22"/>
        </w:numPr>
        <w:shd w:val="clear" w:color="auto" w:fill="auto"/>
        <w:adjustRightInd w:val="0"/>
        <w:snapToGrid w:val="0"/>
        <w:spacing w:before="120" w:after="120" w:line="360" w:lineRule="auto"/>
        <w:ind w:firstLine="482" w:firstLineChars="200"/>
        <w:rPr>
          <w:rFonts w:hint="eastAsia" w:ascii="宋体" w:hAnsi="宋体" w:eastAsia="宋体" w:cs="宋体"/>
          <w:b/>
          <w:color w:val="auto"/>
          <w:sz w:val="24"/>
          <w:szCs w:val="24"/>
          <w:highlight w:val="none"/>
        </w:rPr>
      </w:pPr>
      <w:r>
        <w:rPr>
          <w:rFonts w:hint="eastAsia" w:hAnsi="宋体" w:cs="宋体"/>
          <w:b/>
          <w:color w:val="auto"/>
          <w:sz w:val="24"/>
          <w:szCs w:val="24"/>
          <w:highlight w:val="none"/>
          <w:lang w:eastAsia="zh-CN"/>
        </w:rPr>
        <w:t>乙方提供的</w:t>
      </w:r>
      <w:r>
        <w:rPr>
          <w:rFonts w:hint="eastAsia" w:ascii="宋体" w:hAnsi="宋体" w:eastAsia="宋体" w:cs="宋体"/>
          <w:b/>
          <w:color w:val="auto"/>
          <w:sz w:val="24"/>
          <w:szCs w:val="24"/>
          <w:highlight w:val="none"/>
        </w:rPr>
        <w:t>服务内容</w:t>
      </w:r>
    </w:p>
    <w:p>
      <w:pPr>
        <w:numPr>
          <w:ilvl w:val="0"/>
          <w:numId w:val="23"/>
        </w:numPr>
        <w:spacing w:line="360" w:lineRule="auto"/>
        <w:ind w:left="0" w:leftChars="0" w:firstLine="420" w:firstLineChars="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项目内容及范围</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1、内容：</w:t>
      </w:r>
    </w:p>
    <w:p>
      <w:pPr>
        <w:numPr>
          <w:ilvl w:val="0"/>
          <w:numId w:val="24"/>
        </w:numPr>
        <w:spacing w:line="360" w:lineRule="auto"/>
        <w:ind w:left="0" w:leftChars="0"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依据管理标准，负责对城市事件动态问题及城市部件完好信息的限时采集；</w:t>
      </w:r>
    </w:p>
    <w:p>
      <w:pPr>
        <w:numPr>
          <w:ilvl w:val="0"/>
          <w:numId w:val="24"/>
        </w:numPr>
        <w:spacing w:line="360" w:lineRule="auto"/>
        <w:ind w:left="0" w:leftChars="0" w:firstLine="480" w:firstLineChars="200"/>
        <w:rPr>
          <w:rFonts w:hint="eastAsia" w:ascii="宋体" w:hAnsi="宋体" w:cs="宋体"/>
          <w:bCs/>
          <w:color w:val="auto"/>
          <w:sz w:val="24"/>
          <w:highlight w:val="none"/>
        </w:rPr>
      </w:pPr>
      <w:r>
        <w:rPr>
          <w:rFonts w:hint="eastAsia" w:ascii="宋体" w:hAnsi="宋体" w:cs="宋体"/>
          <w:bCs/>
          <w:color w:val="auto"/>
          <w:sz w:val="24"/>
          <w:highlight w:val="none"/>
          <w:lang w:eastAsia="zh-CN"/>
        </w:rPr>
        <w:t>对</w:t>
      </w:r>
      <w:r>
        <w:rPr>
          <w:rFonts w:hint="eastAsia" w:ascii="宋体" w:hAnsi="宋体" w:cs="宋体"/>
          <w:bCs/>
          <w:color w:val="auto"/>
          <w:sz w:val="24"/>
          <w:highlight w:val="none"/>
        </w:rPr>
        <w:t>视频抓拍、微信</w:t>
      </w:r>
      <w:r>
        <w:rPr>
          <w:rFonts w:hint="eastAsia" w:ascii="宋体" w:hAnsi="宋体" w:cs="宋体"/>
          <w:bCs/>
          <w:color w:val="auto"/>
          <w:sz w:val="24"/>
          <w:highlight w:val="none"/>
          <w:lang w:eastAsia="zh-CN"/>
        </w:rPr>
        <w:t>上报</w:t>
      </w:r>
      <w:r>
        <w:rPr>
          <w:rFonts w:hint="eastAsia" w:ascii="宋体" w:hAnsi="宋体" w:cs="宋体"/>
          <w:bCs/>
          <w:color w:val="auto"/>
          <w:sz w:val="24"/>
          <w:highlight w:val="none"/>
        </w:rPr>
        <w:t>、“</w:t>
      </w:r>
      <w:r>
        <w:rPr>
          <w:rFonts w:hint="eastAsia" w:ascii="宋体" w:hAnsi="宋体" w:cs="宋体"/>
          <w:bCs/>
          <w:color w:val="auto"/>
          <w:sz w:val="24"/>
          <w:highlight w:val="none"/>
          <w:lang w:eastAsia="zh-CN"/>
        </w:rPr>
        <w:t>上虞</w:t>
      </w:r>
      <w:r>
        <w:rPr>
          <w:rFonts w:hint="eastAsia" w:ascii="宋体" w:hAnsi="宋体" w:cs="宋体"/>
          <w:bCs/>
          <w:color w:val="auto"/>
          <w:sz w:val="24"/>
          <w:highlight w:val="none"/>
          <w:lang w:val="en-US" w:eastAsia="zh-CN"/>
        </w:rPr>
        <w:t>e城事</w:t>
      </w:r>
      <w:r>
        <w:rPr>
          <w:rFonts w:hint="eastAsia" w:ascii="宋体" w:hAnsi="宋体" w:cs="宋体"/>
          <w:bCs/>
          <w:color w:val="auto"/>
          <w:sz w:val="24"/>
          <w:highlight w:val="none"/>
        </w:rPr>
        <w:t>”等途径反馈问题进行核查；</w:t>
      </w:r>
    </w:p>
    <w:p>
      <w:pPr>
        <w:numPr>
          <w:ilvl w:val="0"/>
          <w:numId w:val="24"/>
        </w:numPr>
        <w:spacing w:line="360" w:lineRule="auto"/>
        <w:ind w:left="0" w:leftChars="0"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对所发现问题结案前进行核实；</w:t>
      </w:r>
    </w:p>
    <w:p>
      <w:pPr>
        <w:numPr>
          <w:ilvl w:val="0"/>
          <w:numId w:val="24"/>
        </w:numPr>
        <w:spacing w:line="360" w:lineRule="auto"/>
        <w:ind w:left="0" w:leftChars="0"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对智慧城管实施区域内新增部件及时采集、上报；</w:t>
      </w:r>
    </w:p>
    <w:p>
      <w:pPr>
        <w:numPr>
          <w:ilvl w:val="0"/>
          <w:numId w:val="24"/>
        </w:numPr>
        <w:spacing w:line="360" w:lineRule="auto"/>
        <w:ind w:left="0" w:leftChars="0"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根据需要协助政府部门做好城市管理其他相关工作。</w:t>
      </w:r>
    </w:p>
    <w:p>
      <w:pPr>
        <w:numPr>
          <w:ilvl w:val="-1"/>
          <w:numId w:val="0"/>
        </w:num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2、信息采集</w:t>
      </w:r>
      <w:r>
        <w:rPr>
          <w:rFonts w:hint="eastAsia" w:ascii="宋体" w:hAnsi="宋体" w:cs="宋体"/>
          <w:bCs/>
          <w:color w:val="auto"/>
          <w:sz w:val="24"/>
          <w:highlight w:val="none"/>
        </w:rPr>
        <w:t>范围：</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上虞</w:t>
      </w:r>
      <w:r>
        <w:rPr>
          <w:rFonts w:hint="eastAsia" w:ascii="宋体" w:hAnsi="宋体" w:cs="宋体"/>
          <w:bCs/>
          <w:color w:val="auto"/>
          <w:sz w:val="24"/>
          <w:highlight w:val="none"/>
          <w:lang w:eastAsia="zh-CN"/>
        </w:rPr>
        <w:t>区建成区和建制镇（乡）街全覆盖</w:t>
      </w:r>
      <w:r>
        <w:rPr>
          <w:rFonts w:hint="eastAsia" w:ascii="宋体" w:hAnsi="宋体" w:cs="宋体"/>
          <w:bCs/>
          <w:color w:val="auto"/>
          <w:sz w:val="24"/>
          <w:highlight w:val="none"/>
        </w:rPr>
        <w:t>。</w:t>
      </w:r>
      <w:r>
        <w:rPr>
          <w:rFonts w:hint="eastAsia" w:ascii="宋体" w:hAnsi="宋体" w:cs="宋体"/>
          <w:bCs/>
          <w:color w:val="auto"/>
          <w:sz w:val="24"/>
          <w:highlight w:val="none"/>
          <w:lang w:eastAsia="zh-CN"/>
        </w:rPr>
        <w:t>其中</w:t>
      </w:r>
      <w:r>
        <w:rPr>
          <w:rFonts w:hint="eastAsia" w:ascii="宋体" w:hAnsi="宋体" w:cs="宋体"/>
          <w:bCs/>
          <w:color w:val="auto"/>
          <w:sz w:val="24"/>
          <w:highlight w:val="none"/>
        </w:rPr>
        <w:t>上虞城区四环以内范围</w:t>
      </w:r>
      <w:r>
        <w:rPr>
          <w:rFonts w:hint="eastAsia" w:ascii="宋体" w:hAnsi="宋体" w:cs="宋体"/>
          <w:bCs/>
          <w:color w:val="auto"/>
          <w:sz w:val="24"/>
          <w:highlight w:val="none"/>
          <w:lang w:eastAsia="zh-CN"/>
        </w:rPr>
        <w:t>为核心区域，</w:t>
      </w:r>
      <w:r>
        <w:rPr>
          <w:rFonts w:hint="eastAsia" w:ascii="宋体" w:hAnsi="宋体" w:cs="宋体"/>
          <w:bCs/>
          <w:color w:val="auto"/>
          <w:sz w:val="24"/>
          <w:highlight w:val="none"/>
        </w:rPr>
        <w:t>东关街道、崧厦街道、道墟街道、小越街道、梁湖街道建成区范围</w:t>
      </w:r>
      <w:r>
        <w:rPr>
          <w:rFonts w:hint="eastAsia" w:ascii="宋体" w:hAnsi="宋体" w:cs="宋体"/>
          <w:bCs/>
          <w:color w:val="auto"/>
          <w:sz w:val="24"/>
          <w:highlight w:val="none"/>
          <w:lang w:eastAsia="zh-CN"/>
        </w:rPr>
        <w:t>为次核心区域，其他区域为非核心区域。</w:t>
      </w:r>
    </w:p>
    <w:p>
      <w:pPr>
        <w:numPr>
          <w:ilvl w:val="0"/>
          <w:numId w:val="23"/>
        </w:numPr>
        <w:spacing w:line="360" w:lineRule="auto"/>
        <w:ind w:left="0" w:leftChars="0" w:firstLine="420" w:firstLineChars="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相关要求及计扣方法</w:t>
      </w:r>
    </w:p>
    <w:p>
      <w:pPr>
        <w:numPr>
          <w:ilvl w:val="0"/>
          <w:numId w:val="25"/>
        </w:numPr>
        <w:tabs>
          <w:tab w:val="left" w:pos="720"/>
        </w:tabs>
        <w:spacing w:line="360" w:lineRule="auto"/>
        <w:ind w:left="0" w:leftChars="0" w:firstLine="480" w:firstLineChars="200"/>
        <w:rPr>
          <w:rFonts w:ascii="宋体" w:hAnsi="宋体" w:cs="仿宋_GB2312"/>
          <w:color w:val="auto"/>
          <w:kern w:val="0"/>
          <w:sz w:val="24"/>
          <w:highlight w:val="none"/>
          <w:lang w:val="zh-CN"/>
        </w:rPr>
      </w:pPr>
      <w:r>
        <w:rPr>
          <w:rFonts w:hint="eastAsia" w:ascii="宋体" w:hAnsi="宋体" w:cs="宋体"/>
          <w:bCs/>
          <w:color w:val="auto"/>
          <w:sz w:val="24"/>
          <w:highlight w:val="none"/>
          <w:lang w:eastAsia="zh-CN"/>
        </w:rPr>
        <w:t>服务</w:t>
      </w:r>
      <w:r>
        <w:rPr>
          <w:rFonts w:hint="eastAsia" w:ascii="宋体" w:hAnsi="宋体" w:cs="宋体"/>
          <w:bCs/>
          <w:color w:val="auto"/>
          <w:sz w:val="24"/>
          <w:highlight w:val="none"/>
        </w:rPr>
        <w:t>期限内保证上传有效问题信息</w:t>
      </w:r>
      <w:r>
        <w:rPr>
          <w:rFonts w:hint="eastAsia" w:ascii="宋体" w:hAnsi="宋体" w:cs="宋体"/>
          <w:bCs/>
          <w:color w:val="auto"/>
          <w:sz w:val="24"/>
          <w:highlight w:val="none"/>
          <w:lang w:eastAsia="zh-CN"/>
        </w:rPr>
        <w:t>（不包括快速上报信息）</w:t>
      </w:r>
      <w:r>
        <w:rPr>
          <w:rFonts w:hint="eastAsia" w:ascii="宋体" w:hAnsi="宋体" w:cs="宋体"/>
          <w:bCs/>
          <w:color w:val="auto"/>
          <w:sz w:val="24"/>
          <w:highlight w:val="none"/>
        </w:rPr>
        <w:t>不少于3</w:t>
      </w: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rPr>
        <w:t>00件/月，其中公安、执法、住建三部门以外部门信息数量不少于500件/月</w:t>
      </w:r>
      <w:r>
        <w:rPr>
          <w:rFonts w:hint="eastAsia" w:ascii="宋体" w:hAnsi="宋体" w:cs="宋体"/>
          <w:bCs/>
          <w:color w:val="auto"/>
          <w:sz w:val="24"/>
          <w:highlight w:val="none"/>
          <w:lang w:eastAsia="zh-CN"/>
        </w:rPr>
        <w:t>。</w:t>
      </w:r>
    </w:p>
    <w:p>
      <w:pPr>
        <w:numPr>
          <w:ilvl w:val="0"/>
          <w:numId w:val="25"/>
        </w:numPr>
        <w:tabs>
          <w:tab w:val="left" w:pos="720"/>
        </w:tabs>
        <w:spacing w:line="360" w:lineRule="auto"/>
        <w:ind w:left="0" w:leftChars="0" w:firstLine="480" w:firstLineChars="200"/>
        <w:rPr>
          <w:rFonts w:ascii="宋体" w:hAnsi="宋体" w:cs="仿宋_GB2312"/>
          <w:color w:val="auto"/>
          <w:kern w:val="0"/>
          <w:sz w:val="24"/>
          <w:highlight w:val="none"/>
          <w:lang w:val="zh-CN"/>
        </w:rPr>
      </w:pPr>
      <w:r>
        <w:rPr>
          <w:rFonts w:hint="eastAsia" w:ascii="宋体" w:hAnsi="宋体"/>
          <w:color w:val="auto"/>
          <w:sz w:val="24"/>
          <w:highlight w:val="none"/>
        </w:rPr>
        <w:t>保证上传各类数据的准确性：</w:t>
      </w:r>
      <w:r>
        <w:rPr>
          <w:rFonts w:hint="eastAsia" w:ascii="宋体" w:hAnsi="宋体" w:cs="宋体"/>
          <w:bCs/>
          <w:color w:val="auto"/>
          <w:sz w:val="24"/>
          <w:highlight w:val="none"/>
        </w:rPr>
        <w:t>要求上传信息（包括核查和核实）差错率（按月统计）不超过</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%。月计扣办法：差错率(含不立案)每增加1</w:t>
      </w:r>
      <w:r>
        <w:rPr>
          <w:rFonts w:hint="eastAsia" w:ascii="宋体" w:hAnsi="宋体" w:cs="宋体"/>
          <w:bCs/>
          <w:color w:val="auto"/>
          <w:sz w:val="24"/>
          <w:highlight w:val="none"/>
          <w:lang w:val="en-US" w:eastAsia="zh-CN"/>
        </w:rPr>
        <w:t>%</w:t>
      </w:r>
      <w:r>
        <w:rPr>
          <w:rFonts w:hint="eastAsia" w:ascii="宋体" w:hAnsi="宋体" w:cs="宋体"/>
          <w:bCs/>
          <w:color w:val="auto"/>
          <w:sz w:val="24"/>
          <w:highlight w:val="none"/>
        </w:rPr>
        <w:t>扣</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00元，以此类推。</w:t>
      </w:r>
      <w:r>
        <w:rPr>
          <w:rFonts w:hint="eastAsia" w:ascii="宋体" w:hAnsi="宋体" w:cs="宋体"/>
          <w:bCs/>
          <w:color w:val="FF0000"/>
          <w:sz w:val="24"/>
          <w:highlight w:val="none"/>
        </w:rPr>
        <w:t>若上传产生重大差错且产生较大影响，一经核实，每件扣</w:t>
      </w:r>
      <w:r>
        <w:rPr>
          <w:rFonts w:hint="eastAsia" w:ascii="宋体" w:hAnsi="宋体" w:cs="宋体"/>
          <w:bCs/>
          <w:color w:val="FF0000"/>
          <w:sz w:val="24"/>
          <w:highlight w:val="none"/>
          <w:lang w:val="en-US" w:eastAsia="zh-CN"/>
        </w:rPr>
        <w:t>1000</w:t>
      </w:r>
      <w:r>
        <w:rPr>
          <w:rFonts w:hint="eastAsia" w:ascii="宋体" w:hAnsi="宋体" w:cs="宋体"/>
          <w:bCs/>
          <w:color w:val="FF0000"/>
          <w:sz w:val="24"/>
          <w:highlight w:val="none"/>
        </w:rPr>
        <w:t>元</w:t>
      </w:r>
      <w:r>
        <w:rPr>
          <w:rFonts w:hint="eastAsia" w:ascii="宋体" w:hAnsi="宋体" w:cs="宋体"/>
          <w:bCs/>
          <w:color w:val="auto"/>
          <w:sz w:val="24"/>
          <w:highlight w:val="none"/>
        </w:rPr>
        <w:t>。</w:t>
      </w:r>
    </w:p>
    <w:p>
      <w:pPr>
        <w:numPr>
          <w:ilvl w:val="0"/>
          <w:numId w:val="25"/>
        </w:numPr>
        <w:tabs>
          <w:tab w:val="left" w:pos="720"/>
        </w:tabs>
        <w:spacing w:line="360" w:lineRule="auto"/>
        <w:ind w:left="0" w:leftChars="0" w:firstLine="480" w:firstLineChars="200"/>
        <w:rPr>
          <w:rFonts w:hint="eastAsia"/>
          <w:color w:val="auto"/>
          <w:sz w:val="24"/>
          <w:highlight w:val="none"/>
        </w:rPr>
      </w:pPr>
      <w:r>
        <w:rPr>
          <w:rFonts w:hint="eastAsia" w:ascii="宋体" w:hAnsi="宋体" w:cs="仿宋_GB2312"/>
          <w:color w:val="auto"/>
          <w:kern w:val="0"/>
          <w:sz w:val="24"/>
          <w:highlight w:val="none"/>
          <w:lang w:val="zh-CN"/>
        </w:rPr>
        <w:t>巡查密度要求：</w:t>
      </w:r>
      <w:r>
        <w:rPr>
          <w:rFonts w:hint="eastAsia" w:ascii="宋体" w:hAnsi="宋体" w:cs="宋体"/>
          <w:bCs/>
          <w:color w:val="auto"/>
          <w:sz w:val="24"/>
          <w:highlight w:val="none"/>
        </w:rPr>
        <w:t>在单元网格的基础上划分工作责任网格，原则上每个工作责任网格配置固定人员，设定固定巡查路线，保证巡查间隔时间</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核心区域1次/4小时，次核心区域1次/周，非核心区域1次/季度</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。月计扣办法：</w:t>
      </w:r>
      <w:r>
        <w:rPr>
          <w:rFonts w:hint="eastAsia" w:ascii="宋体" w:hAnsi="宋体" w:cs="宋体"/>
          <w:bCs/>
          <w:color w:val="auto"/>
          <w:sz w:val="24"/>
          <w:highlight w:val="none"/>
          <w:lang w:eastAsia="zh-CN"/>
        </w:rPr>
        <w:t>每缺</w:t>
      </w:r>
      <w:r>
        <w:rPr>
          <w:rFonts w:hint="eastAsia" w:ascii="宋体" w:hAnsi="宋体" w:cs="宋体"/>
          <w:bCs/>
          <w:color w:val="auto"/>
          <w:sz w:val="24"/>
          <w:highlight w:val="none"/>
          <w:lang w:val="en-US" w:eastAsia="zh-CN"/>
        </w:rPr>
        <w:t>1次</w:t>
      </w:r>
      <w:r>
        <w:rPr>
          <w:rFonts w:hint="eastAsia" w:ascii="宋体" w:hAnsi="宋体" w:cs="宋体"/>
          <w:bCs/>
          <w:color w:val="auto"/>
          <w:sz w:val="24"/>
          <w:highlight w:val="none"/>
        </w:rPr>
        <w:t>扣300元</w:t>
      </w:r>
      <w:r>
        <w:rPr>
          <w:rFonts w:hint="eastAsia" w:ascii="宋体" w:hAnsi="宋体" w:cs="宋体"/>
          <w:bCs/>
          <w:color w:val="auto"/>
          <w:sz w:val="24"/>
          <w:highlight w:val="none"/>
          <w:lang w:eastAsia="zh-CN"/>
        </w:rPr>
        <w:t>。</w:t>
      </w:r>
    </w:p>
    <w:p>
      <w:pPr>
        <w:numPr>
          <w:ilvl w:val="0"/>
          <w:numId w:val="25"/>
        </w:numPr>
        <w:tabs>
          <w:tab w:val="left" w:pos="720"/>
        </w:tabs>
        <w:spacing w:line="360" w:lineRule="auto"/>
        <w:ind w:left="0" w:leftChars="0" w:firstLine="480" w:firstLineChars="200"/>
        <w:rPr>
          <w:rFonts w:hint="eastAsia"/>
          <w:color w:val="auto"/>
          <w:sz w:val="24"/>
          <w:highlight w:val="none"/>
        </w:rPr>
      </w:pPr>
      <w:r>
        <w:rPr>
          <w:rFonts w:hint="eastAsia" w:ascii="宋体" w:hAnsi="宋体" w:cs="宋体"/>
          <w:bCs/>
          <w:color w:val="auto"/>
          <w:sz w:val="24"/>
          <w:highlight w:val="none"/>
        </w:rPr>
        <w:t>人员配置要求：</w:t>
      </w:r>
      <w:r>
        <w:rPr>
          <w:rFonts w:hint="eastAsia" w:ascii="宋体" w:hAnsi="宋体" w:cs="宋体"/>
          <w:bCs/>
          <w:color w:val="auto"/>
          <w:sz w:val="24"/>
          <w:highlight w:val="none"/>
          <w:lang w:val="en-US" w:eastAsia="zh-CN"/>
        </w:rPr>
        <w:t>每个工作网格需安排固定采集人员</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如出现人员离岗等特殊情况，</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应及时上报采购人，并在7个工作日内配备到位，未按规定时间配备到位的，每人次扣1000元。</w:t>
      </w:r>
    </w:p>
    <w:p>
      <w:pPr>
        <w:numPr>
          <w:ilvl w:val="0"/>
          <w:numId w:val="25"/>
        </w:numPr>
        <w:tabs>
          <w:tab w:val="left" w:pos="720"/>
        </w:tabs>
        <w:spacing w:line="360" w:lineRule="auto"/>
        <w:ind w:left="0" w:leftChars="0" w:firstLine="480" w:firstLineChars="200"/>
        <w:rPr>
          <w:rFonts w:hint="eastAsia"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巡查数据传输时间，每天8:00-18:00，因工作需要或季节变化视情适当调整，节假日和双休日原则上不休息，中心发出的核查、核定指令回复时间，8:30-12:00和14:00-17:00内需在1小时内予以回复，城郊结合部核查指令需在当日予以回复，突发、重大事件核查指令需在30分钟内予以回复，其余事件段以限定事件为准，回复准时率为92%(含)。及时率下降1%扣300元。核查回复率必须达到98%以上（含），每下降1%扣500元，以此类推。</w:t>
      </w:r>
    </w:p>
    <w:p>
      <w:pPr>
        <w:numPr>
          <w:ilvl w:val="0"/>
          <w:numId w:val="25"/>
        </w:numPr>
        <w:tabs>
          <w:tab w:val="left" w:pos="720"/>
        </w:tabs>
        <w:spacing w:line="360" w:lineRule="auto"/>
        <w:ind w:left="0" w:leftChars="0" w:firstLine="480" w:firstLineChars="200"/>
        <w:rPr>
          <w:rFonts w:hint="eastAsia"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上报案卷及时准确，工作时间和区域内发生新闻曝光、社会反映较大的问题而信息采集员未作上报的，每发生一次扣500元。</w:t>
      </w:r>
    </w:p>
    <w:p>
      <w:pPr>
        <w:numPr>
          <w:ilvl w:val="0"/>
          <w:numId w:val="25"/>
        </w:numPr>
        <w:tabs>
          <w:tab w:val="left" w:pos="720"/>
        </w:tabs>
        <w:spacing w:line="360" w:lineRule="auto"/>
        <w:ind w:left="0" w:leftChars="0" w:firstLine="480" w:firstLineChars="200"/>
        <w:rPr>
          <w:rFonts w:hint="eastAsia"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加强信息质量管理，提高业务水平。建立管理人员定人定岗制度，未建立的扣1000元。建立重点区域信息采集制度，未建立的扣1000元。工作做到有计划有总结，每月5日前需提供本月工作计划，未提供每次扣1000元；每月5日前需提供上个月的工作总结，要对上一个月的案卷上报内容、分类、区域等情况进行分析，未提拱每次扣1000元；年度提供详细工作总结报告，未提供的扣5000元。</w:t>
      </w:r>
    </w:p>
    <w:p>
      <w:pPr>
        <w:numPr>
          <w:ilvl w:val="0"/>
          <w:numId w:val="25"/>
        </w:numPr>
        <w:tabs>
          <w:tab w:val="left" w:pos="720"/>
        </w:tabs>
        <w:spacing w:line="360" w:lineRule="auto"/>
        <w:ind w:left="0" w:leftChars="0" w:firstLine="480" w:firstLineChars="200"/>
        <w:rPr>
          <w:rFonts w:hint="eastAsia"/>
          <w:color w:val="auto"/>
          <w:sz w:val="24"/>
          <w:highlight w:val="none"/>
        </w:rPr>
      </w:pPr>
      <w:r>
        <w:rPr>
          <w:rFonts w:hint="eastAsia" w:ascii="宋体" w:hAnsi="宋体" w:cs="仿宋_GB2312"/>
          <w:color w:val="auto"/>
          <w:kern w:val="0"/>
          <w:sz w:val="24"/>
          <w:highlight w:val="none"/>
          <w:lang w:val="zh-CN"/>
        </w:rPr>
        <w:t>乙方加强对所雇佣人员、员工队伍管理。每月不少于二次</w:t>
      </w:r>
      <w:r>
        <w:rPr>
          <w:rFonts w:hint="eastAsia" w:ascii="宋体" w:hAnsi="宋体" w:cs="仿宋_GB2312"/>
          <w:color w:val="auto"/>
          <w:kern w:val="0"/>
          <w:sz w:val="24"/>
          <w:highlight w:val="none"/>
          <w:lang w:val="zh-CN" w:eastAsia="zh-Hans"/>
        </w:rPr>
        <w:t>对员</w:t>
      </w:r>
      <w:r>
        <w:rPr>
          <w:rFonts w:hint="eastAsia" w:ascii="宋体" w:hAnsi="宋体" w:cs="仿宋_GB2312"/>
          <w:color w:val="auto"/>
          <w:kern w:val="0"/>
          <w:sz w:val="24"/>
          <w:highlight w:val="none"/>
          <w:lang w:val="zh-CN"/>
        </w:rPr>
        <w:t>工</w:t>
      </w:r>
      <w:r>
        <w:rPr>
          <w:rFonts w:hint="eastAsia" w:ascii="宋体" w:hAnsi="宋体" w:cs="仿宋_GB2312"/>
          <w:color w:val="auto"/>
          <w:kern w:val="0"/>
          <w:sz w:val="24"/>
          <w:highlight w:val="none"/>
          <w:lang w:val="zh-CN" w:eastAsia="zh-Hans"/>
        </w:rPr>
        <w:t>进行思想素质教育、从业道德教育和业务教育培训</w:t>
      </w:r>
      <w:r>
        <w:rPr>
          <w:rFonts w:hint="eastAsia" w:ascii="宋体" w:hAnsi="宋体" w:cs="仿宋_GB2312"/>
          <w:color w:val="auto"/>
          <w:kern w:val="0"/>
          <w:sz w:val="24"/>
          <w:highlight w:val="none"/>
          <w:lang w:val="zh-CN"/>
        </w:rPr>
        <w:t>。每月每少一次教育学习培训的扣1000元。不发生与工作相关的吃、拿、卡、要等问题，不发生有责纠纷，不发生弄虚作假的行为，不发生克扣员工工资福利等行为，以上行为每出现一次扣2000元，出现三次采购人可立即中止合同。</w:t>
      </w:r>
    </w:p>
    <w:p>
      <w:pPr>
        <w:numPr>
          <w:ilvl w:val="0"/>
          <w:numId w:val="25"/>
        </w:numPr>
        <w:tabs>
          <w:tab w:val="left" w:pos="720"/>
        </w:tabs>
        <w:spacing w:line="360" w:lineRule="auto"/>
        <w:ind w:left="0" w:leftChars="0" w:firstLine="480" w:firstLineChars="200"/>
        <w:rPr>
          <w:rFonts w:hint="eastAsia"/>
          <w:color w:val="auto"/>
          <w:sz w:val="24"/>
          <w:highlight w:val="none"/>
        </w:rPr>
      </w:pPr>
      <w:r>
        <w:rPr>
          <w:rFonts w:hint="eastAsia"/>
          <w:color w:val="auto"/>
          <w:sz w:val="24"/>
          <w:highlight w:val="none"/>
        </w:rPr>
        <w:t>加强档案管理。每月5日前需上报员工的考勤情况登记表、教育学习培训签到单及学习记录。未按时提交，每缺一项扣500元。</w:t>
      </w:r>
    </w:p>
    <w:p>
      <w:pPr>
        <w:numPr>
          <w:ilvl w:val="0"/>
          <w:numId w:val="25"/>
        </w:numPr>
        <w:tabs>
          <w:tab w:val="left" w:pos="720"/>
        </w:tabs>
        <w:spacing w:line="360" w:lineRule="auto"/>
        <w:ind w:left="0" w:leftChars="0" w:firstLine="480" w:firstLineChars="200"/>
        <w:rPr>
          <w:rFonts w:hint="eastAsia"/>
          <w:color w:val="auto"/>
          <w:sz w:val="24"/>
          <w:highlight w:val="none"/>
        </w:rPr>
      </w:pPr>
      <w:r>
        <w:rPr>
          <w:rFonts w:hint="eastAsia" w:ascii="宋体" w:hAnsi="宋体" w:cs="仿宋_GB2312"/>
          <w:color w:val="auto"/>
          <w:kern w:val="0"/>
          <w:sz w:val="24"/>
          <w:highlight w:val="none"/>
          <w:lang w:val="zh-CN"/>
        </w:rPr>
        <w:t>运用科技手段提高信息采集工作的质量和智能化管理水平。通过装备车（电动自行车）载自动采集设备、无人机等，提升采集方式信息化，在服务期限内不少于</w:t>
      </w:r>
      <w:r>
        <w:rPr>
          <w:rFonts w:hint="eastAsia" w:ascii="宋体" w:hAnsi="宋体" w:cs="仿宋_GB2312"/>
          <w:color w:val="auto"/>
          <w:kern w:val="0"/>
          <w:sz w:val="24"/>
          <w:highlight w:val="none"/>
          <w:lang w:val="en-US" w:eastAsia="zh-CN"/>
        </w:rPr>
        <w:t>2次</w:t>
      </w:r>
      <w:r>
        <w:rPr>
          <w:rFonts w:hint="eastAsia" w:ascii="宋体" w:hAnsi="宋体" w:cs="仿宋_GB2312"/>
          <w:color w:val="auto"/>
          <w:kern w:val="0"/>
          <w:sz w:val="24"/>
          <w:highlight w:val="none"/>
          <w:lang w:val="zh-CN"/>
        </w:rPr>
        <w:t>。</w:t>
      </w:r>
    </w:p>
    <w:p>
      <w:pPr>
        <w:numPr>
          <w:ilvl w:val="0"/>
          <w:numId w:val="25"/>
        </w:numPr>
        <w:tabs>
          <w:tab w:val="left" w:pos="720"/>
        </w:tabs>
        <w:spacing w:line="360" w:lineRule="auto"/>
        <w:ind w:left="0" w:leftChars="0" w:firstLine="480" w:firstLineChars="200"/>
        <w:rPr>
          <w:rFonts w:hint="eastAsia" w:ascii="宋体" w:hAnsi="宋体" w:cs="宋体"/>
          <w:bCs/>
          <w:color w:val="auto"/>
          <w:sz w:val="24"/>
          <w:highlight w:val="none"/>
        </w:rPr>
      </w:pPr>
      <w:r>
        <w:rPr>
          <w:rFonts w:hint="eastAsia" w:ascii="宋体" w:hAnsi="宋体"/>
          <w:color w:val="auto"/>
          <w:sz w:val="24"/>
          <w:highlight w:val="none"/>
        </w:rPr>
        <w:t>具备现代企业管理制度，具备完善有效的监督、考核、奖惩机制。</w:t>
      </w:r>
    </w:p>
    <w:p>
      <w:pPr>
        <w:numPr>
          <w:ilvl w:val="0"/>
          <w:numId w:val="25"/>
        </w:numPr>
        <w:tabs>
          <w:tab w:val="left" w:pos="720"/>
        </w:tabs>
        <w:spacing w:line="360" w:lineRule="auto"/>
        <w:ind w:left="0" w:leftChars="0"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按照《</w:t>
      </w:r>
      <w:r>
        <w:rPr>
          <w:rFonts w:hint="eastAsia" w:ascii="宋体" w:hAnsi="宋体" w:cs="宋体"/>
          <w:bCs/>
          <w:color w:val="auto"/>
          <w:sz w:val="24"/>
          <w:highlight w:val="none"/>
          <w:lang w:eastAsia="zh-CN"/>
        </w:rPr>
        <w:t>绍兴市</w:t>
      </w:r>
      <w:r>
        <w:rPr>
          <w:rFonts w:hint="eastAsia" w:ascii="宋体" w:hAnsi="宋体" w:cs="宋体"/>
          <w:bCs/>
          <w:color w:val="auto"/>
          <w:sz w:val="24"/>
          <w:highlight w:val="none"/>
        </w:rPr>
        <w:t>智慧城管考核办法》有关规定，确保每月部件类问题占比达</w:t>
      </w:r>
      <w:r>
        <w:rPr>
          <w:rFonts w:hint="eastAsia" w:ascii="宋体" w:hAnsi="宋体" w:cs="宋体"/>
          <w:bCs/>
          <w:color w:val="auto"/>
          <w:sz w:val="24"/>
          <w:highlight w:val="none"/>
          <w:lang w:val="en-US" w:eastAsia="zh-CN"/>
        </w:rPr>
        <w:t>12</w:t>
      </w:r>
      <w:r>
        <w:rPr>
          <w:rFonts w:hint="eastAsia" w:ascii="宋体" w:hAnsi="宋体" w:cs="宋体"/>
          <w:bCs/>
          <w:color w:val="auto"/>
          <w:sz w:val="24"/>
          <w:highlight w:val="none"/>
        </w:rPr>
        <w:t>%以上，</w:t>
      </w:r>
      <w:r>
        <w:rPr>
          <w:rFonts w:hint="eastAsia" w:ascii="宋体" w:hAnsi="宋体" w:cs="宋体"/>
          <w:bCs/>
          <w:color w:val="auto"/>
          <w:sz w:val="24"/>
          <w:highlight w:val="none"/>
          <w:lang w:eastAsia="zh-CN"/>
        </w:rPr>
        <w:t>部件处置难度系数</w:t>
      </w:r>
      <w:r>
        <w:rPr>
          <w:rFonts w:hint="eastAsia" w:ascii="宋体" w:hAnsi="宋体" w:cs="宋体"/>
          <w:bCs/>
          <w:color w:val="auto"/>
          <w:sz w:val="24"/>
          <w:highlight w:val="none"/>
        </w:rPr>
        <w:t>达</w:t>
      </w:r>
      <w:r>
        <w:rPr>
          <w:rFonts w:hint="eastAsia" w:ascii="宋体" w:hAnsi="宋体" w:cs="宋体"/>
          <w:bCs/>
          <w:color w:val="auto"/>
          <w:sz w:val="24"/>
          <w:highlight w:val="none"/>
          <w:lang w:val="en-US" w:eastAsia="zh-CN"/>
        </w:rPr>
        <w:t>0.75</w:t>
      </w:r>
      <w:r>
        <w:rPr>
          <w:rFonts w:hint="eastAsia" w:ascii="宋体" w:hAnsi="宋体" w:cs="宋体"/>
          <w:bCs/>
          <w:color w:val="auto"/>
          <w:sz w:val="24"/>
          <w:highlight w:val="none"/>
        </w:rPr>
        <w:t>以上</w:t>
      </w:r>
      <w:r>
        <w:rPr>
          <w:rFonts w:hint="eastAsia" w:ascii="宋体" w:hAnsi="宋体" w:cs="宋体"/>
          <w:bCs/>
          <w:color w:val="FF0000"/>
          <w:sz w:val="24"/>
          <w:highlight w:val="none"/>
          <w:lang w:eastAsia="zh-CN"/>
        </w:rPr>
        <w:t>，未达到扣</w:t>
      </w:r>
      <w:r>
        <w:rPr>
          <w:rFonts w:hint="eastAsia" w:ascii="宋体" w:hAnsi="宋体" w:cs="宋体"/>
          <w:bCs/>
          <w:color w:val="FF0000"/>
          <w:sz w:val="24"/>
          <w:highlight w:val="none"/>
          <w:lang w:val="en-US" w:eastAsia="zh-CN"/>
        </w:rPr>
        <w:t>1000元</w:t>
      </w:r>
      <w:r>
        <w:rPr>
          <w:rFonts w:hint="eastAsia" w:ascii="宋体" w:hAnsi="宋体" w:cs="宋体"/>
          <w:bCs/>
          <w:color w:val="auto"/>
          <w:sz w:val="24"/>
          <w:highlight w:val="none"/>
          <w:lang w:eastAsia="zh-CN"/>
        </w:rPr>
        <w:t>。</w:t>
      </w:r>
    </w:p>
    <w:p>
      <w:pPr>
        <w:numPr>
          <w:ilvl w:val="0"/>
          <w:numId w:val="25"/>
        </w:numPr>
        <w:tabs>
          <w:tab w:val="left" w:pos="720"/>
        </w:tabs>
        <w:spacing w:line="360" w:lineRule="auto"/>
        <w:ind w:left="0" w:leftChars="0"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确保每月上报问题的部门覆盖率达到</w:t>
      </w:r>
      <w:r>
        <w:rPr>
          <w:rFonts w:hint="eastAsia" w:ascii="宋体" w:hAnsi="宋体" w:cs="宋体"/>
          <w:bCs/>
          <w:color w:val="auto"/>
          <w:sz w:val="24"/>
          <w:highlight w:val="none"/>
          <w:lang w:val="en-US" w:eastAsia="zh-CN"/>
        </w:rPr>
        <w:t>70</w:t>
      </w:r>
      <w:r>
        <w:rPr>
          <w:rFonts w:hint="eastAsia" w:ascii="宋体" w:hAnsi="宋体" w:cs="宋体"/>
          <w:bCs/>
          <w:color w:val="auto"/>
          <w:sz w:val="24"/>
          <w:highlight w:val="none"/>
        </w:rPr>
        <w:t>%以上，全</w:t>
      </w:r>
      <w:r>
        <w:rPr>
          <w:rFonts w:hint="eastAsia" w:ascii="宋体" w:hAnsi="宋体" w:cs="宋体"/>
          <w:bCs/>
          <w:color w:val="auto"/>
          <w:sz w:val="24"/>
          <w:highlight w:val="none"/>
          <w:lang w:eastAsia="zh-CN"/>
        </w:rPr>
        <w:t>服务</w:t>
      </w:r>
      <w:r>
        <w:rPr>
          <w:rFonts w:hint="eastAsia" w:ascii="宋体" w:hAnsi="宋体" w:cs="宋体"/>
          <w:bCs/>
          <w:color w:val="auto"/>
          <w:sz w:val="24"/>
          <w:highlight w:val="none"/>
        </w:rPr>
        <w:t>年度</w:t>
      </w:r>
      <w:r>
        <w:rPr>
          <w:rFonts w:hint="eastAsia" w:ascii="宋体" w:hAnsi="宋体" w:cs="宋体"/>
          <w:bCs/>
          <w:color w:val="auto"/>
          <w:sz w:val="24"/>
          <w:highlight w:val="none"/>
          <w:lang w:eastAsia="zh-CN"/>
        </w:rPr>
        <w:t>内</w:t>
      </w:r>
      <w:r>
        <w:rPr>
          <w:rFonts w:hint="eastAsia" w:ascii="宋体" w:hAnsi="宋体" w:cs="宋体"/>
          <w:bCs/>
          <w:color w:val="auto"/>
          <w:sz w:val="24"/>
          <w:highlight w:val="none"/>
        </w:rPr>
        <w:t>部门覆盖率达到</w:t>
      </w:r>
      <w:r>
        <w:rPr>
          <w:rFonts w:hint="eastAsia" w:ascii="宋体" w:hAnsi="宋体" w:cs="宋体"/>
          <w:bCs/>
          <w:color w:val="auto"/>
          <w:sz w:val="24"/>
          <w:highlight w:val="none"/>
          <w:lang w:val="en-US" w:eastAsia="zh-CN"/>
        </w:rPr>
        <w:t>85</w:t>
      </w:r>
      <w:r>
        <w:rPr>
          <w:rFonts w:hint="eastAsia" w:ascii="宋体" w:hAnsi="宋体" w:cs="宋体"/>
          <w:bCs/>
          <w:color w:val="auto"/>
          <w:sz w:val="24"/>
          <w:highlight w:val="none"/>
        </w:rPr>
        <w:t>%以上</w:t>
      </w:r>
      <w:r>
        <w:rPr>
          <w:rFonts w:hint="eastAsia" w:ascii="宋体" w:hAnsi="宋体" w:cs="宋体"/>
          <w:bCs/>
          <w:color w:val="FF0000"/>
          <w:sz w:val="24"/>
          <w:highlight w:val="none"/>
          <w:lang w:eastAsia="zh-CN"/>
        </w:rPr>
        <w:t>，未达到</w:t>
      </w:r>
      <w:r>
        <w:rPr>
          <w:rFonts w:hint="eastAsia" w:ascii="宋体" w:hAnsi="宋体" w:cs="宋体"/>
          <w:bCs/>
          <w:color w:val="FF0000"/>
          <w:sz w:val="24"/>
          <w:highlight w:val="none"/>
        </w:rPr>
        <w:t>每</w:t>
      </w:r>
      <w:r>
        <w:rPr>
          <w:rFonts w:hint="eastAsia" w:ascii="宋体" w:hAnsi="宋体" w:cs="宋体"/>
          <w:bCs/>
          <w:color w:val="FF0000"/>
          <w:sz w:val="24"/>
          <w:highlight w:val="none"/>
          <w:lang w:eastAsia="zh-CN"/>
        </w:rPr>
        <w:t>低</w:t>
      </w:r>
      <w:r>
        <w:rPr>
          <w:rFonts w:hint="eastAsia" w:ascii="宋体" w:hAnsi="宋体" w:cs="宋体"/>
          <w:bCs/>
          <w:color w:val="FF0000"/>
          <w:sz w:val="24"/>
          <w:highlight w:val="none"/>
        </w:rPr>
        <w:t>1</w:t>
      </w:r>
      <w:r>
        <w:rPr>
          <w:rFonts w:hint="eastAsia" w:ascii="宋体" w:hAnsi="宋体" w:cs="宋体"/>
          <w:bCs/>
          <w:color w:val="FF0000"/>
          <w:sz w:val="24"/>
          <w:highlight w:val="none"/>
          <w:lang w:val="en-US" w:eastAsia="zh-CN"/>
        </w:rPr>
        <w:t>%</w:t>
      </w:r>
      <w:r>
        <w:rPr>
          <w:rFonts w:hint="eastAsia" w:ascii="宋体" w:hAnsi="宋体" w:cs="宋体"/>
          <w:bCs/>
          <w:color w:val="FF0000"/>
          <w:sz w:val="24"/>
          <w:highlight w:val="none"/>
        </w:rPr>
        <w:t>扣</w:t>
      </w:r>
      <w:r>
        <w:rPr>
          <w:rFonts w:hint="eastAsia" w:ascii="宋体" w:hAnsi="宋体" w:cs="宋体"/>
          <w:bCs/>
          <w:color w:val="FF0000"/>
          <w:sz w:val="24"/>
          <w:highlight w:val="none"/>
          <w:lang w:val="en-US" w:eastAsia="zh-CN"/>
        </w:rPr>
        <w:t>500</w:t>
      </w:r>
      <w:r>
        <w:rPr>
          <w:rFonts w:hint="eastAsia" w:ascii="宋体" w:hAnsi="宋体" w:cs="宋体"/>
          <w:bCs/>
          <w:color w:val="FF0000"/>
          <w:sz w:val="24"/>
          <w:highlight w:val="none"/>
        </w:rPr>
        <w:t>元</w:t>
      </w:r>
      <w:r>
        <w:rPr>
          <w:rFonts w:hint="eastAsia" w:ascii="宋体" w:hAnsi="宋体" w:cs="宋体"/>
          <w:bCs/>
          <w:color w:val="auto"/>
          <w:sz w:val="24"/>
          <w:highlight w:val="none"/>
          <w:lang w:eastAsia="zh-CN"/>
        </w:rPr>
        <w:t>。</w:t>
      </w:r>
    </w:p>
    <w:p>
      <w:pPr>
        <w:numPr>
          <w:ilvl w:val="0"/>
          <w:numId w:val="25"/>
        </w:numPr>
        <w:tabs>
          <w:tab w:val="left" w:pos="720"/>
        </w:tabs>
        <w:spacing w:line="360" w:lineRule="auto"/>
        <w:ind w:left="0" w:leftChars="0"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如因智慧城管运行实际需要，所产生的相关指标变化，</w:t>
      </w:r>
      <w:r>
        <w:rPr>
          <w:rFonts w:hint="eastAsia" w:ascii="宋体" w:hAnsi="宋体" w:cs="宋体"/>
          <w:bCs/>
          <w:color w:val="auto"/>
          <w:sz w:val="24"/>
          <w:highlight w:val="none"/>
          <w:lang w:eastAsia="zh-CN"/>
        </w:rPr>
        <w:t>乙方</w:t>
      </w:r>
      <w:r>
        <w:rPr>
          <w:rFonts w:hint="eastAsia" w:ascii="宋体" w:hAnsi="宋体" w:cs="宋体"/>
          <w:bCs/>
          <w:color w:val="auto"/>
          <w:sz w:val="24"/>
          <w:highlight w:val="none"/>
        </w:rPr>
        <w:t>必须无条件接受</w:t>
      </w:r>
      <w:r>
        <w:rPr>
          <w:rFonts w:hint="eastAsia" w:ascii="宋体" w:hAnsi="宋体" w:cs="宋体"/>
          <w:bCs/>
          <w:color w:val="auto"/>
          <w:sz w:val="24"/>
          <w:highlight w:val="none"/>
          <w:lang w:eastAsia="zh-CN"/>
        </w:rPr>
        <w:t>。</w:t>
      </w:r>
    </w:p>
    <w:p>
      <w:pPr>
        <w:numPr>
          <w:ilvl w:val="0"/>
          <w:numId w:val="25"/>
        </w:numPr>
        <w:tabs>
          <w:tab w:val="left" w:pos="720"/>
        </w:tabs>
        <w:spacing w:line="360" w:lineRule="auto"/>
        <w:ind w:left="0" w:leftChars="0"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重大节庆活动、防台防汛抗雪和其他突发性事件等特殊任务需要时，应服从智慧城管中心的统一安排，并无偿提供人员保障</w:t>
      </w:r>
      <w:r>
        <w:rPr>
          <w:rFonts w:hint="eastAsia" w:ascii="宋体" w:hAnsi="宋体" w:cs="宋体"/>
          <w:bCs/>
          <w:color w:val="auto"/>
          <w:sz w:val="24"/>
          <w:highlight w:val="none"/>
          <w:lang w:eastAsia="zh-CN"/>
        </w:rPr>
        <w:t>。</w:t>
      </w:r>
    </w:p>
    <w:p>
      <w:pPr>
        <w:numPr>
          <w:ilvl w:val="0"/>
          <w:numId w:val="25"/>
        </w:numPr>
        <w:tabs>
          <w:tab w:val="left" w:pos="720"/>
        </w:tabs>
        <w:spacing w:line="360" w:lineRule="auto"/>
        <w:ind w:left="0" w:leftChars="0"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发扬精神文明，提倡职业道德，轻微问题（举手之劳）做到及时劝导、处理。</w:t>
      </w:r>
    </w:p>
    <w:p>
      <w:pPr>
        <w:numPr>
          <w:ilvl w:val="0"/>
          <w:numId w:val="26"/>
        </w:numPr>
        <w:spacing w:line="360" w:lineRule="auto"/>
        <w:ind w:left="0" w:leftChars="0"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垃圾箱小门打开（未破损）或盖子未盖；</w:t>
      </w:r>
    </w:p>
    <w:p>
      <w:pPr>
        <w:numPr>
          <w:ilvl w:val="0"/>
          <w:numId w:val="26"/>
        </w:numPr>
        <w:spacing w:line="360" w:lineRule="auto"/>
        <w:ind w:left="0" w:leftChars="0"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垃圾箱外的小袋装垃圾；</w:t>
      </w:r>
    </w:p>
    <w:p>
      <w:pPr>
        <w:numPr>
          <w:ilvl w:val="0"/>
          <w:numId w:val="26"/>
        </w:numPr>
        <w:spacing w:line="360" w:lineRule="auto"/>
        <w:ind w:left="0" w:leftChars="0"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网络通讯交接箱、燃气表箱门打开（门锁、设施未破损）；</w:t>
      </w:r>
    </w:p>
    <w:p>
      <w:pPr>
        <w:numPr>
          <w:ilvl w:val="0"/>
          <w:numId w:val="26"/>
        </w:numPr>
        <w:spacing w:line="360" w:lineRule="auto"/>
        <w:ind w:left="0" w:leftChars="0"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窨井盖轻微错位，在采集员能力范围内；</w:t>
      </w:r>
    </w:p>
    <w:p>
      <w:pPr>
        <w:numPr>
          <w:ilvl w:val="0"/>
          <w:numId w:val="26"/>
        </w:numPr>
        <w:spacing w:line="360" w:lineRule="auto"/>
        <w:ind w:left="0" w:leftChars="0"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绿地或主干道上的小木板广告；</w:t>
      </w:r>
    </w:p>
    <w:p>
      <w:pPr>
        <w:numPr>
          <w:ilvl w:val="0"/>
          <w:numId w:val="26"/>
        </w:numPr>
        <w:spacing w:line="360" w:lineRule="auto"/>
        <w:ind w:left="0" w:leftChars="0"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粘贴不实的单张小广告；</w:t>
      </w:r>
    </w:p>
    <w:p>
      <w:pPr>
        <w:numPr>
          <w:ilvl w:val="0"/>
          <w:numId w:val="26"/>
        </w:numPr>
        <w:spacing w:line="360" w:lineRule="auto"/>
        <w:ind w:left="0" w:leftChars="0"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无故障的公共自行车座凳歪斜；</w:t>
      </w:r>
    </w:p>
    <w:p>
      <w:pPr>
        <w:numPr>
          <w:ilvl w:val="0"/>
          <w:numId w:val="26"/>
        </w:numPr>
        <w:spacing w:line="360" w:lineRule="auto"/>
        <w:ind w:left="0" w:leftChars="0"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非泊车位的停车（车主正准备停）单个现象，自行车停在泊车线外；</w:t>
      </w:r>
    </w:p>
    <w:p>
      <w:pPr>
        <w:numPr>
          <w:ilvl w:val="0"/>
          <w:numId w:val="26"/>
        </w:numPr>
        <w:spacing w:line="360" w:lineRule="auto"/>
        <w:ind w:left="0" w:leftChars="0"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交通护栏轻微移位、脱节、侧倒（非水泥柱等）</w:t>
      </w:r>
    </w:p>
    <w:p>
      <w:pPr>
        <w:numPr>
          <w:ilvl w:val="0"/>
          <w:numId w:val="26"/>
        </w:numPr>
        <w:spacing w:line="360" w:lineRule="auto"/>
        <w:ind w:left="0" w:leftChars="0"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其他区执法局指挥中心（智慧城管）认为应该</w:t>
      </w:r>
      <w:r>
        <w:rPr>
          <w:rFonts w:hint="eastAsia" w:ascii="宋体" w:hAnsi="宋体" w:cs="宋体"/>
          <w:bCs/>
          <w:color w:val="auto"/>
          <w:sz w:val="24"/>
          <w:highlight w:val="none"/>
          <w:lang w:eastAsia="zh-CN"/>
        </w:rPr>
        <w:t>由乙方的</w:t>
      </w:r>
      <w:r>
        <w:rPr>
          <w:rFonts w:hint="eastAsia" w:ascii="宋体" w:hAnsi="宋体" w:cs="宋体"/>
          <w:bCs/>
          <w:color w:val="auto"/>
          <w:sz w:val="24"/>
          <w:highlight w:val="none"/>
        </w:rPr>
        <w:t>采集员处置的轻微问题。</w:t>
      </w:r>
    </w:p>
    <w:p>
      <w:pPr>
        <w:numPr>
          <w:ilvl w:val="0"/>
          <w:numId w:val="23"/>
        </w:numPr>
        <w:spacing w:line="360" w:lineRule="auto"/>
        <w:ind w:left="0" w:leftChars="0" w:firstLine="420" w:firstLineChars="0"/>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乙方人员的</w:t>
      </w:r>
      <w:r>
        <w:rPr>
          <w:rFonts w:hint="eastAsia" w:ascii="宋体" w:hAnsi="宋体" w:eastAsia="宋体" w:cs="宋体"/>
          <w:b/>
          <w:bCs/>
          <w:color w:val="auto"/>
          <w:sz w:val="24"/>
          <w:highlight w:val="none"/>
          <w:lang w:eastAsia="zh-CN"/>
        </w:rPr>
        <w:t>工作安排</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项目经理：承担</w:t>
      </w:r>
      <w:r>
        <w:rPr>
          <w:rFonts w:hint="eastAsia" w:ascii="宋体" w:hAnsi="宋体" w:cs="宋体"/>
          <w:bCs/>
          <w:sz w:val="24"/>
        </w:rPr>
        <w:t>202</w:t>
      </w:r>
      <w:r>
        <w:rPr>
          <w:rFonts w:hint="eastAsia" w:ascii="宋体" w:hAnsi="宋体" w:cs="宋体"/>
          <w:bCs/>
          <w:sz w:val="24"/>
          <w:lang w:val="en-US" w:eastAsia="zh-CN"/>
        </w:rPr>
        <w:t>4</w:t>
      </w:r>
      <w:r>
        <w:rPr>
          <w:rFonts w:hint="eastAsia" w:ascii="宋体" w:hAnsi="宋体" w:cs="宋体"/>
          <w:bCs/>
          <w:sz w:val="24"/>
        </w:rPr>
        <w:t>-202</w:t>
      </w:r>
      <w:r>
        <w:rPr>
          <w:rFonts w:hint="eastAsia" w:ascii="宋体" w:hAnsi="宋体" w:cs="宋体"/>
          <w:bCs/>
          <w:sz w:val="24"/>
          <w:lang w:val="en-US" w:eastAsia="zh-CN"/>
        </w:rPr>
        <w:t>5</w:t>
      </w:r>
      <w:r>
        <w:rPr>
          <w:rFonts w:hint="eastAsia" w:ascii="宋体" w:hAnsi="宋体" w:cs="宋体"/>
          <w:bCs/>
          <w:color w:val="auto"/>
          <w:sz w:val="24"/>
          <w:highlight w:val="none"/>
        </w:rPr>
        <w:t>年上虞区智慧城管信息采集项目的整体管理。</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项目管理员：负责</w:t>
      </w:r>
      <w:r>
        <w:rPr>
          <w:rFonts w:hint="eastAsia" w:ascii="宋体" w:hAnsi="宋体" w:cs="宋体"/>
          <w:bCs/>
          <w:sz w:val="24"/>
        </w:rPr>
        <w:t>202</w:t>
      </w:r>
      <w:r>
        <w:rPr>
          <w:rFonts w:hint="eastAsia" w:ascii="宋体" w:hAnsi="宋体" w:cs="宋体"/>
          <w:bCs/>
          <w:sz w:val="24"/>
          <w:lang w:val="en-US" w:eastAsia="zh-CN"/>
        </w:rPr>
        <w:t>4</w:t>
      </w:r>
      <w:r>
        <w:rPr>
          <w:rFonts w:hint="eastAsia" w:ascii="宋体" w:hAnsi="宋体" w:cs="宋体"/>
          <w:bCs/>
          <w:sz w:val="24"/>
        </w:rPr>
        <w:t>-202</w:t>
      </w:r>
      <w:r>
        <w:rPr>
          <w:rFonts w:hint="eastAsia" w:ascii="宋体" w:hAnsi="宋体" w:cs="宋体"/>
          <w:bCs/>
          <w:sz w:val="24"/>
          <w:lang w:val="en-US" w:eastAsia="zh-CN"/>
        </w:rPr>
        <w:t>5</w:t>
      </w:r>
      <w:r>
        <w:rPr>
          <w:rFonts w:hint="eastAsia" w:ascii="宋体" w:hAnsi="宋体" w:cs="宋体"/>
          <w:bCs/>
          <w:color w:val="auto"/>
          <w:sz w:val="24"/>
          <w:highlight w:val="none"/>
        </w:rPr>
        <w:t>年上虞区智慧城管信息采集项目的业务、质量、人员考勤等日常管理。</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信息采集员：负责上虞区建成区和建制镇（乡）街的日常信息采集工作。</w:t>
      </w:r>
    </w:p>
    <w:p>
      <w:pPr>
        <w:numPr>
          <w:ilvl w:val="0"/>
          <w:numId w:val="23"/>
        </w:numPr>
        <w:spacing w:line="360" w:lineRule="auto"/>
        <w:ind w:left="0" w:leftChars="0" w:firstLine="420" w:firstLineChars="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“信息采集器”要求</w:t>
      </w:r>
    </w:p>
    <w:p>
      <w:pPr>
        <w:numPr>
          <w:ilvl w:val="0"/>
          <w:numId w:val="27"/>
        </w:numPr>
        <w:spacing w:line="360" w:lineRule="auto"/>
        <w:ind w:left="0" w:leftChars="0" w:firstLine="480" w:firstLineChars="200"/>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合同签订后，乙方须在五天内，按信息采集配置人数自行足额配置采集器，并保证</w:t>
      </w:r>
      <w:r>
        <w:rPr>
          <w:rFonts w:hint="eastAsia" w:ascii="宋体" w:hAnsi="宋体" w:cs="宋体"/>
          <w:bCs/>
          <w:color w:val="auto"/>
          <w:sz w:val="24"/>
          <w:highlight w:val="none"/>
        </w:rPr>
        <w:t>2台备用机，</w:t>
      </w:r>
      <w:r>
        <w:rPr>
          <w:rFonts w:hint="eastAsia" w:ascii="宋体" w:hAnsi="宋体" w:cs="宋体"/>
          <w:bCs/>
          <w:color w:val="auto"/>
          <w:sz w:val="24"/>
          <w:highlight w:val="none"/>
          <w:lang w:val="zh-CN"/>
        </w:rPr>
        <w:t>采集器所产生的无线通信运行费均由乙方负责。</w:t>
      </w:r>
    </w:p>
    <w:p>
      <w:pPr>
        <w:numPr>
          <w:ilvl w:val="0"/>
          <w:numId w:val="27"/>
        </w:numPr>
        <w:spacing w:line="360" w:lineRule="auto"/>
        <w:ind w:left="0" w:leftChars="0" w:firstLine="480" w:firstLineChars="200"/>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乙方须保证设备使用过程中的正常使用，一旦发生问题，需及时维修并在此期间使用备用机。</w:t>
      </w:r>
    </w:p>
    <w:p>
      <w:pPr>
        <w:numPr>
          <w:ilvl w:val="0"/>
          <w:numId w:val="27"/>
        </w:numPr>
        <w:spacing w:line="360" w:lineRule="auto"/>
        <w:ind w:left="0" w:leftChars="0" w:firstLine="480" w:firstLineChars="200"/>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乙方应加强机具的管理，并落实专人负责，同时要制定采集器管理使用制度，保障信息采集器正常的使用。</w:t>
      </w:r>
    </w:p>
    <w:p>
      <w:pPr>
        <w:numPr>
          <w:ilvl w:val="0"/>
          <w:numId w:val="23"/>
        </w:numPr>
        <w:spacing w:line="360" w:lineRule="auto"/>
        <w:ind w:left="0" w:leftChars="0" w:firstLine="420" w:firstLineChars="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其他要求</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1、乙方对在详查工作中使用或获得的、属于国家秘密的文件资料、信息数据，必须严格执行国家有关保密法律法规，确保不发生失泄密问题，否则甲方有权对因此造成的损失追究责任。</w:t>
      </w:r>
    </w:p>
    <w:p>
      <w:pPr>
        <w:spacing w:line="360" w:lineRule="auto"/>
        <w:ind w:firstLine="480" w:firstLineChars="200"/>
        <w:rPr>
          <w:rFonts w:hint="eastAsia" w:ascii="宋体" w:hAnsi="宋体" w:cs="宋体"/>
          <w:bCs/>
          <w:color w:val="auto"/>
          <w:sz w:val="24"/>
          <w:highlight w:val="none"/>
          <w:lang w:val="zh-CN"/>
        </w:rPr>
      </w:pPr>
      <w:r>
        <w:rPr>
          <w:rFonts w:hint="eastAsia" w:ascii="宋体" w:hAnsi="宋体" w:cs="宋体"/>
          <w:bCs/>
          <w:color w:val="auto"/>
          <w:sz w:val="24"/>
          <w:highlight w:val="none"/>
        </w:rPr>
        <w:t>2、</w:t>
      </w:r>
      <w:r>
        <w:rPr>
          <w:rFonts w:hint="eastAsia" w:ascii="宋体" w:hAnsi="宋体" w:cs="宋体"/>
          <w:bCs/>
          <w:color w:val="auto"/>
          <w:sz w:val="24"/>
          <w:highlight w:val="none"/>
          <w:lang w:val="zh-CN"/>
        </w:rPr>
        <w:t>甲方应向乙方提供有关信息采集标准、工作流程以及相关设备使用的说明。</w:t>
      </w:r>
    </w:p>
    <w:p>
      <w:pPr>
        <w:spacing w:line="360" w:lineRule="auto"/>
        <w:ind w:firstLine="480" w:firstLineChars="200"/>
        <w:rPr>
          <w:rFonts w:hint="eastAsia" w:ascii="宋体" w:hAnsi="宋体" w:cs="宋体"/>
          <w:bCs/>
          <w:color w:val="auto"/>
          <w:sz w:val="24"/>
          <w:highlight w:val="none"/>
          <w:lang w:val="zh-CN"/>
        </w:rPr>
      </w:pPr>
      <w:r>
        <w:rPr>
          <w:rFonts w:hint="eastAsia" w:ascii="宋体" w:hAnsi="宋体" w:cs="宋体"/>
          <w:bCs/>
          <w:color w:val="auto"/>
          <w:sz w:val="24"/>
          <w:highlight w:val="none"/>
        </w:rPr>
        <w:t>3、</w:t>
      </w:r>
      <w:r>
        <w:rPr>
          <w:rFonts w:hint="eastAsia" w:ascii="宋体" w:hAnsi="宋体" w:cs="宋体"/>
          <w:bCs/>
          <w:color w:val="auto"/>
          <w:sz w:val="24"/>
          <w:highlight w:val="none"/>
          <w:lang w:val="zh-CN"/>
        </w:rPr>
        <w:t>甲方还应将属乙方管理所需要的相关信息无偿提供，乙方按月提出自查表，甲方每月考核结果，采集中使用的设备均由乙方自行解决。</w:t>
      </w:r>
    </w:p>
    <w:p>
      <w:pPr>
        <w:spacing w:line="360" w:lineRule="auto"/>
        <w:ind w:firstLine="480" w:firstLineChars="200"/>
        <w:rPr>
          <w:rFonts w:hint="eastAsia" w:ascii="宋体" w:hAnsi="宋体" w:cs="宋体"/>
          <w:bCs/>
          <w:color w:val="auto"/>
          <w:sz w:val="24"/>
          <w:highlight w:val="none"/>
          <w:lang w:val="zh-CN"/>
        </w:rPr>
      </w:pPr>
      <w:r>
        <w:rPr>
          <w:rFonts w:hint="eastAsia" w:ascii="宋体" w:hAnsi="宋体" w:cs="宋体"/>
          <w:bCs/>
          <w:color w:val="auto"/>
          <w:sz w:val="24"/>
          <w:highlight w:val="none"/>
        </w:rPr>
        <w:t>4、</w:t>
      </w:r>
      <w:r>
        <w:rPr>
          <w:rFonts w:hint="eastAsia" w:ascii="宋体" w:hAnsi="宋体" w:cs="宋体"/>
          <w:bCs/>
          <w:color w:val="auto"/>
          <w:sz w:val="24"/>
          <w:highlight w:val="none"/>
          <w:lang w:val="zh-CN"/>
        </w:rPr>
        <w:t>日常工作中，乙方应及时对甲方提出需反馈的意见在限定时间内作出答复。</w:t>
      </w:r>
    </w:p>
    <w:p>
      <w:pPr>
        <w:spacing w:line="360" w:lineRule="auto"/>
        <w:ind w:firstLine="480" w:firstLineChars="200"/>
        <w:rPr>
          <w:rFonts w:hint="eastAsia" w:ascii="宋体" w:hAnsi="宋体" w:cs="宋体"/>
          <w:bCs/>
          <w:color w:val="auto"/>
          <w:sz w:val="24"/>
          <w:highlight w:val="none"/>
          <w:lang w:val="zh-CN"/>
        </w:rPr>
      </w:pPr>
      <w:r>
        <w:rPr>
          <w:rFonts w:hint="eastAsia" w:ascii="宋体" w:hAnsi="宋体" w:cs="宋体"/>
          <w:bCs/>
          <w:color w:val="auto"/>
          <w:sz w:val="24"/>
          <w:highlight w:val="none"/>
        </w:rPr>
        <w:t>5、</w:t>
      </w:r>
      <w:r>
        <w:rPr>
          <w:rFonts w:hint="eastAsia" w:ascii="宋体" w:hAnsi="宋体" w:cs="宋体"/>
          <w:bCs/>
          <w:color w:val="auto"/>
          <w:sz w:val="24"/>
          <w:highlight w:val="none"/>
          <w:lang w:val="zh-CN"/>
        </w:rPr>
        <w:t>甲方除按信息采集考核结果支付本合同约定的服务费外，不再承担其他费用。乙方员工所涉及的薪酬、社保、医疗和工伤等“五金”问题，均由</w:t>
      </w:r>
      <w:r>
        <w:rPr>
          <w:rFonts w:hint="eastAsia" w:ascii="宋体" w:hAnsi="宋体" w:cs="宋体"/>
          <w:bCs/>
          <w:color w:val="auto"/>
          <w:sz w:val="24"/>
          <w:highlight w:val="none"/>
          <w:lang w:val="en-US" w:eastAsia="zh-CN"/>
        </w:rPr>
        <w:t>乙方</w:t>
      </w:r>
      <w:r>
        <w:rPr>
          <w:rFonts w:hint="eastAsia" w:ascii="宋体" w:hAnsi="宋体" w:cs="宋体"/>
          <w:bCs/>
          <w:color w:val="auto"/>
          <w:sz w:val="24"/>
          <w:highlight w:val="none"/>
          <w:lang w:val="zh-CN"/>
        </w:rPr>
        <w:t>负责。乙方应确保员工收入不低于上虞最低工资标准。</w:t>
      </w:r>
    </w:p>
    <w:p>
      <w:pPr>
        <w:spacing w:line="360" w:lineRule="auto"/>
        <w:ind w:firstLine="480" w:firstLineChars="200"/>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6、供应商提供相关媒体发布渠道，保障智慧城管宣传需要，供应商在服务期内至少在两种以上媒体渠道各投放一次智慧城管宣传公益广告，完成采购人交办的其他智慧城管宣传发布任务。</w:t>
      </w:r>
    </w:p>
    <w:p>
      <w:pPr>
        <w:spacing w:line="360" w:lineRule="auto"/>
        <w:ind w:firstLine="480" w:firstLineChars="200"/>
        <w:rPr>
          <w:rFonts w:hint="eastAsia" w:ascii="宋体" w:hAnsi="宋体" w:cs="宋体"/>
          <w:bCs/>
          <w:color w:val="auto"/>
          <w:sz w:val="24"/>
          <w:szCs w:val="22"/>
          <w:highlight w:val="none"/>
          <w:lang w:val="en-US" w:eastAsia="zh-CN"/>
        </w:rPr>
      </w:pPr>
      <w:r>
        <w:rPr>
          <w:rFonts w:hint="eastAsia" w:ascii="宋体" w:hAnsi="宋体" w:cs="宋体"/>
          <w:bCs/>
          <w:color w:val="auto"/>
          <w:sz w:val="24"/>
          <w:szCs w:val="22"/>
          <w:highlight w:val="none"/>
          <w:lang w:val="en-US" w:eastAsia="zh-CN"/>
        </w:rPr>
        <w:t xml:space="preserve">7、 </w:t>
      </w:r>
      <w:r>
        <w:rPr>
          <w:rFonts w:hint="eastAsia" w:ascii="宋体" w:hAnsi="宋体" w:cs="宋体"/>
          <w:bCs/>
          <w:color w:val="auto"/>
          <w:sz w:val="24"/>
          <w:szCs w:val="22"/>
          <w:highlight w:val="none"/>
        </w:rPr>
        <w:t>本合同履行期间，甲方与乙方</w:t>
      </w:r>
      <w:r>
        <w:rPr>
          <w:rFonts w:hint="eastAsia" w:ascii="宋体" w:hAnsi="宋体" w:cs="宋体"/>
          <w:bCs/>
          <w:color w:val="auto"/>
          <w:sz w:val="24"/>
          <w:szCs w:val="22"/>
          <w:highlight w:val="none"/>
          <w:lang w:val="en-US" w:eastAsia="zh-CN"/>
        </w:rPr>
        <w:t>工作人员</w:t>
      </w:r>
      <w:r>
        <w:rPr>
          <w:rFonts w:hint="eastAsia" w:ascii="宋体" w:hAnsi="宋体" w:cs="宋体"/>
          <w:bCs/>
          <w:color w:val="auto"/>
          <w:sz w:val="24"/>
          <w:szCs w:val="22"/>
          <w:highlight w:val="none"/>
        </w:rPr>
        <w:t>不存在任何劳动、劳务或雇佣关系，</w:t>
      </w:r>
      <w:r>
        <w:rPr>
          <w:rFonts w:hint="eastAsia" w:ascii="宋体" w:hAnsi="宋体" w:cs="宋体"/>
          <w:bCs/>
          <w:color w:val="auto"/>
          <w:sz w:val="24"/>
          <w:szCs w:val="22"/>
          <w:highlight w:val="none"/>
          <w:lang w:val="en-US" w:eastAsia="zh-CN"/>
        </w:rPr>
        <w:t>乙方在履行本合同内容的过程中应做好安全防护工作，若发生安全事故导致甲方、乙方、第三方人身伤亡，财产损失的，由乙方承担一切责任与费用，甲方概不承担任何责任。</w:t>
      </w:r>
    </w:p>
    <w:p>
      <w:pPr>
        <w:pStyle w:val="2"/>
        <w:rPr>
          <w:rFonts w:hint="eastAsia"/>
          <w:lang w:val="en-US" w:eastAsia="zh-CN"/>
        </w:rPr>
      </w:pPr>
    </w:p>
    <w:p>
      <w:pPr>
        <w:spacing w:line="360" w:lineRule="auto"/>
        <w:ind w:firstLine="480" w:firstLineChars="200"/>
        <w:rPr>
          <w:rFonts w:hint="eastAsia" w:ascii="宋体" w:hAnsi="宋体" w:cs="宋体"/>
          <w:bCs/>
          <w:color w:val="auto"/>
          <w:sz w:val="24"/>
          <w:highlight w:val="none"/>
          <w:lang w:val="zh-CN"/>
        </w:rPr>
      </w:pP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lang w:val="zh-CN"/>
        </w:rPr>
        <w:t>、完成采购人交办的其他城市管理相关工作任务。</w:t>
      </w:r>
    </w:p>
    <w:p>
      <w:pPr>
        <w:pStyle w:val="2"/>
        <w:rPr>
          <w:rFonts w:hint="eastAsia" w:eastAsia="宋体"/>
          <w:lang w:val="en-US" w:eastAsia="zh-CN"/>
        </w:rPr>
      </w:pPr>
    </w:p>
    <w:p>
      <w:pPr>
        <w:pStyle w:val="15"/>
        <w:numPr>
          <w:ilvl w:val="0"/>
          <w:numId w:val="22"/>
        </w:numPr>
        <w:shd w:val="clear" w:color="auto" w:fill="auto"/>
        <w:adjustRightInd w:val="0"/>
        <w:snapToGrid w:val="0"/>
        <w:spacing w:before="120" w:after="12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合同金额</w:t>
      </w:r>
    </w:p>
    <w:p>
      <w:pPr>
        <w:pStyle w:val="15"/>
        <w:shd w:val="clear" w:color="auto" w:fill="auto"/>
        <w:adjustRightInd w:val="0"/>
        <w:snapToGrid w:val="0"/>
        <w:spacing w:before="120"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本合同金额为（大写）：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元）人民币。</w:t>
      </w:r>
    </w:p>
    <w:p>
      <w:pPr>
        <w:pStyle w:val="15"/>
        <w:numPr>
          <w:ilvl w:val="0"/>
          <w:numId w:val="22"/>
        </w:numPr>
        <w:shd w:val="clear" w:color="auto" w:fill="auto"/>
        <w:adjustRightInd w:val="0"/>
        <w:snapToGrid w:val="0"/>
        <w:spacing w:before="120" w:after="120"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服务要求</w:t>
      </w:r>
    </w:p>
    <w:p>
      <w:pPr>
        <w:pStyle w:val="15"/>
        <w:numPr>
          <w:ilvl w:val="0"/>
          <w:numId w:val="28"/>
        </w:numPr>
        <w:shd w:val="clear" w:color="auto" w:fill="auto"/>
        <w:adjustRightInd w:val="0"/>
        <w:snapToGrid w:val="0"/>
        <w:spacing w:before="120" w:after="120" w:line="360" w:lineRule="auto"/>
        <w:ind w:left="0" w:leftChars="0"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乙方应按采购文件规定的时间和具体要求提供并完成约定服务内容。</w:t>
      </w:r>
    </w:p>
    <w:p>
      <w:pPr>
        <w:pStyle w:val="15"/>
        <w:numPr>
          <w:ilvl w:val="0"/>
          <w:numId w:val="28"/>
        </w:numPr>
        <w:shd w:val="clear" w:color="auto" w:fill="auto"/>
        <w:adjustRightInd w:val="0"/>
        <w:snapToGrid w:val="0"/>
        <w:spacing w:before="120" w:after="120" w:line="360" w:lineRule="auto"/>
        <w:ind w:left="0" w:leftChars="0"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乙方应保证“</w:t>
      </w:r>
      <w:r>
        <w:rPr>
          <w:rFonts w:hint="eastAsia" w:hAnsi="宋体" w:cs="宋体"/>
          <w:color w:val="auto"/>
          <w:sz w:val="24"/>
          <w:szCs w:val="24"/>
          <w:highlight w:val="none"/>
          <w:lang w:eastAsia="zh-CN"/>
        </w:rPr>
        <w:t>2024年上虞区智慧城管信息采集项目</w:t>
      </w:r>
      <w:r>
        <w:rPr>
          <w:rFonts w:hint="eastAsia"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”的顺利</w:t>
      </w:r>
      <w:r>
        <w:rPr>
          <w:rFonts w:hint="eastAsia" w:hAnsi="宋体" w:cs="宋体"/>
          <w:color w:val="auto"/>
          <w:sz w:val="24"/>
          <w:szCs w:val="24"/>
          <w:highlight w:val="none"/>
          <w:lang w:eastAsia="zh-CN"/>
        </w:rPr>
        <w:t>开展</w:t>
      </w:r>
      <w:r>
        <w:rPr>
          <w:rFonts w:hint="eastAsia" w:ascii="宋体" w:hAnsi="宋体" w:eastAsia="宋体" w:cs="宋体"/>
          <w:color w:val="auto"/>
          <w:sz w:val="24"/>
          <w:szCs w:val="24"/>
          <w:highlight w:val="none"/>
        </w:rPr>
        <w:t>并保证全部活动安全进行。</w:t>
      </w:r>
    </w:p>
    <w:p>
      <w:pPr>
        <w:pStyle w:val="15"/>
        <w:numPr>
          <w:ilvl w:val="0"/>
          <w:numId w:val="28"/>
        </w:numPr>
        <w:shd w:val="clear" w:color="auto" w:fill="auto"/>
        <w:adjustRightInd w:val="0"/>
        <w:snapToGrid w:val="0"/>
        <w:spacing w:before="120" w:after="120" w:line="360" w:lineRule="auto"/>
        <w:ind w:left="0" w:leftChars="0"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乙方应对服务过程中接触到的甲方或相关方的保密信息承担保密义务。</w:t>
      </w:r>
      <w:r>
        <w:rPr>
          <w:rFonts w:hint="eastAsia" w:hAnsi="宋体" w:cs="宋体"/>
          <w:color w:val="auto"/>
          <w:sz w:val="24"/>
          <w:szCs w:val="24"/>
          <w:highlight w:val="none"/>
          <w:lang w:eastAsia="zh-CN"/>
        </w:rPr>
        <w:t>该保密义务不应本合同终止而终止。</w:t>
      </w:r>
    </w:p>
    <w:p>
      <w:pPr>
        <w:pStyle w:val="15"/>
        <w:numPr>
          <w:ilvl w:val="0"/>
          <w:numId w:val="22"/>
        </w:numPr>
        <w:shd w:val="clear" w:color="auto" w:fill="auto"/>
        <w:adjustRightInd w:val="0"/>
        <w:snapToGrid w:val="0"/>
        <w:spacing w:before="120" w:after="120"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不侵权</w:t>
      </w:r>
    </w:p>
    <w:p>
      <w:pPr>
        <w:pStyle w:val="15"/>
        <w:shd w:val="clear" w:color="auto" w:fill="auto"/>
        <w:adjustRightInd w:val="0"/>
        <w:snapToGrid w:val="0"/>
        <w:spacing w:before="120"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乙方应保证提供的服务过程和服务成果不会侵犯任何第三方的知识产权及其他权利。若因此导致甲方遭到索赔或起诉，甲方有权要求乙方承担全部赔偿责任。</w:t>
      </w:r>
    </w:p>
    <w:p>
      <w:pPr>
        <w:pStyle w:val="15"/>
        <w:numPr>
          <w:ilvl w:val="0"/>
          <w:numId w:val="22"/>
        </w:numPr>
        <w:shd w:val="clear" w:color="auto" w:fill="auto"/>
        <w:adjustRightInd w:val="0"/>
        <w:snapToGrid w:val="0"/>
        <w:spacing w:before="120" w:after="120"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合同履行时间及履行地点</w:t>
      </w:r>
    </w:p>
    <w:p>
      <w:pPr>
        <w:pStyle w:val="15"/>
        <w:numPr>
          <w:ilvl w:val="0"/>
          <w:numId w:val="29"/>
        </w:numPr>
        <w:shd w:val="clear" w:color="auto" w:fill="auto"/>
        <w:adjustRightInd w:val="0"/>
        <w:snapToGrid w:val="0"/>
        <w:spacing w:before="120" w:after="120" w:line="360" w:lineRule="auto"/>
        <w:ind w:left="0" w:leftChars="0"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履行时间： </w:t>
      </w:r>
    </w:p>
    <w:p>
      <w:pPr>
        <w:pStyle w:val="15"/>
        <w:numPr>
          <w:ilvl w:val="0"/>
          <w:numId w:val="29"/>
        </w:numPr>
        <w:shd w:val="clear" w:color="auto" w:fill="auto"/>
        <w:adjustRightInd w:val="0"/>
        <w:snapToGrid w:val="0"/>
        <w:spacing w:before="120" w:after="120" w:line="360" w:lineRule="auto"/>
        <w:ind w:left="0" w:leftChars="0"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履行地点： </w:t>
      </w:r>
    </w:p>
    <w:p>
      <w:pPr>
        <w:pStyle w:val="15"/>
        <w:numPr>
          <w:ilvl w:val="0"/>
          <w:numId w:val="22"/>
        </w:numPr>
        <w:shd w:val="clear" w:color="auto" w:fill="auto"/>
        <w:adjustRightInd w:val="0"/>
        <w:snapToGrid w:val="0"/>
        <w:spacing w:before="120" w:after="120" w:line="360" w:lineRule="auto"/>
        <w:ind w:firstLine="482" w:firstLineChars="200"/>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lang w:eastAsia="zh-CN"/>
        </w:rPr>
        <w:t xml:space="preserve">履约保证金: </w:t>
      </w:r>
      <w:r>
        <w:rPr>
          <w:rFonts w:hint="eastAsia"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在收到中标通知书后，需向</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 xml:space="preserve">合同款  1%  </w:t>
      </w:r>
      <w:r>
        <w:rPr>
          <w:rFonts w:hint="eastAsia" w:ascii="宋体" w:hAnsi="宋体" w:eastAsia="宋体" w:cs="宋体"/>
          <w:color w:val="auto"/>
          <w:sz w:val="24"/>
          <w:szCs w:val="24"/>
          <w:highlight w:val="none"/>
        </w:rPr>
        <w:t>的履约保证金，在乙方与甲方签订合同前递交，合同期满后或提前终止合同后一个月内向乙方无息退还</w:t>
      </w:r>
      <w:r>
        <w:rPr>
          <w:rFonts w:hint="eastAsia" w:hAnsi="宋体" w:cs="宋体"/>
          <w:color w:val="auto"/>
          <w:sz w:val="24"/>
          <w:szCs w:val="24"/>
          <w:highlight w:val="none"/>
          <w:lang w:eastAsia="zh-CN"/>
        </w:rPr>
        <w:t>剩余部分的</w:t>
      </w:r>
      <w:r>
        <w:rPr>
          <w:rFonts w:hint="eastAsia" w:ascii="宋体" w:hAnsi="宋体" w:eastAsia="宋体" w:cs="宋体"/>
          <w:color w:val="auto"/>
          <w:sz w:val="24"/>
          <w:szCs w:val="24"/>
          <w:highlight w:val="none"/>
        </w:rPr>
        <w:t>履约保证金。（乙方应当以支票、汇票、本票或者金融机构、保险公司、担保机构出具的保函等非现金形式提交）。</w:t>
      </w:r>
    </w:p>
    <w:p>
      <w:pPr>
        <w:pStyle w:val="15"/>
        <w:numPr>
          <w:ilvl w:val="0"/>
          <w:numId w:val="22"/>
        </w:numPr>
        <w:shd w:val="clear" w:color="auto" w:fill="auto"/>
        <w:adjustRightInd w:val="0"/>
        <w:snapToGrid w:val="0"/>
        <w:spacing w:before="120" w:after="120"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验收要求</w:t>
      </w:r>
      <w:r>
        <w:rPr>
          <w:rFonts w:hint="eastAsia" w:ascii="宋体" w:hAnsi="宋体" w:eastAsia="宋体" w:cs="宋体"/>
          <w:b/>
          <w:color w:val="auto"/>
          <w:sz w:val="24"/>
          <w:szCs w:val="24"/>
          <w:highlight w:val="none"/>
          <w:lang w:val="en-US" w:eastAsia="zh-CN"/>
        </w:rPr>
        <w:t>及考核</w:t>
      </w:r>
      <w:r>
        <w:rPr>
          <w:rFonts w:hint="eastAsia" w:ascii="宋体" w:hAnsi="宋体" w:eastAsia="宋体" w:cs="宋体"/>
          <w:b/>
          <w:color w:val="auto"/>
          <w:sz w:val="24"/>
          <w:szCs w:val="24"/>
          <w:highlight w:val="none"/>
          <w:lang w:eastAsia="zh-CN"/>
        </w:rPr>
        <w:t xml:space="preserve">： </w:t>
      </w:r>
    </w:p>
    <w:p>
      <w:pPr>
        <w:shd w:val="clear" w:color="auto" w:fill="auto"/>
        <w:adjustRightInd w:val="0"/>
        <w:snapToGrid w:val="0"/>
        <w:spacing w:line="360" w:lineRule="auto"/>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项目结束后，将由甲方按招标文件及合同要求进行验收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验收合格报告作为项目支付的依据。</w:t>
      </w:r>
    </w:p>
    <w:p>
      <w:pPr>
        <w:pStyle w:val="15"/>
        <w:numPr>
          <w:ilvl w:val="0"/>
          <w:numId w:val="22"/>
        </w:numPr>
        <w:shd w:val="clear" w:color="auto" w:fill="auto"/>
        <w:adjustRightInd w:val="0"/>
        <w:snapToGrid w:val="0"/>
        <w:spacing w:before="120" w:after="120"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款项支付</w:t>
      </w:r>
      <w:r>
        <w:rPr>
          <w:rFonts w:hint="eastAsia" w:hAnsi="宋体" w:cs="宋体"/>
          <w:b/>
          <w:color w:val="auto"/>
          <w:sz w:val="24"/>
          <w:szCs w:val="24"/>
          <w:highlight w:val="none"/>
          <w:lang w:eastAsia="zh-CN"/>
        </w:rPr>
        <w:t>：</w:t>
      </w:r>
    </w:p>
    <w:p>
      <w:pPr>
        <w:pStyle w:val="5"/>
        <w:spacing w:line="360" w:lineRule="auto"/>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b w:val="0"/>
          <w:bCs/>
          <w:kern w:val="0"/>
          <w:sz w:val="24"/>
          <w:szCs w:val="20"/>
          <w:lang w:val="en-US" w:eastAsia="zh-CN" w:bidi="ar-SA"/>
        </w:rPr>
        <w:t xml:space="preserve">   </w:t>
      </w:r>
      <w:r>
        <w:rPr>
          <w:rFonts w:hint="eastAsia" w:ascii="宋体" w:hAnsi="宋体" w:eastAsia="宋体" w:cs="宋体"/>
          <w:b w:val="0"/>
          <w:bCs w:val="0"/>
          <w:color w:val="auto"/>
          <w:kern w:val="0"/>
          <w:sz w:val="24"/>
          <w:szCs w:val="24"/>
          <w:highlight w:val="none"/>
          <w:lang w:val="en-US" w:eastAsia="zh-CN" w:bidi="ar-SA"/>
        </w:rPr>
        <w:t>合同生效以及具备实施条件后7个工作日采购人向供应商支付合同总价的20%作为预付款，预付款</w:t>
      </w:r>
      <w:r>
        <w:rPr>
          <w:rFonts w:hint="eastAsia" w:ascii="宋体" w:hAnsi="宋体" w:cs="宋体"/>
          <w:b w:val="0"/>
          <w:bCs w:val="0"/>
          <w:color w:val="auto"/>
          <w:kern w:val="0"/>
          <w:sz w:val="24"/>
          <w:szCs w:val="24"/>
          <w:highlight w:val="none"/>
          <w:lang w:val="en-US" w:eastAsia="zh-CN" w:bidi="ar-SA"/>
        </w:rPr>
        <w:t>用于抵扣供应商前三个月的服务费用，</w:t>
      </w:r>
      <w:r>
        <w:rPr>
          <w:rFonts w:hint="eastAsia" w:ascii="宋体" w:hAnsi="宋体" w:eastAsia="宋体" w:cs="宋体"/>
          <w:b w:val="0"/>
          <w:bCs w:val="0"/>
          <w:color w:val="auto"/>
          <w:kern w:val="0"/>
          <w:sz w:val="24"/>
          <w:szCs w:val="24"/>
          <w:highlight w:val="none"/>
          <w:lang w:val="en-US" w:eastAsia="zh-CN" w:bidi="ar-SA"/>
        </w:rPr>
        <w:t>若</w:t>
      </w:r>
      <w:r>
        <w:rPr>
          <w:rFonts w:hint="eastAsia" w:ascii="宋体" w:hAnsi="宋体" w:cs="宋体"/>
          <w:b w:val="0"/>
          <w:bCs w:val="0"/>
          <w:color w:val="auto"/>
          <w:kern w:val="0"/>
          <w:sz w:val="24"/>
          <w:szCs w:val="24"/>
          <w:highlight w:val="none"/>
          <w:lang w:val="en-US" w:eastAsia="zh-CN" w:bidi="ar-SA"/>
        </w:rPr>
        <w:t>前三个月</w:t>
      </w:r>
      <w:r>
        <w:rPr>
          <w:rFonts w:hint="eastAsia" w:ascii="宋体" w:hAnsi="宋体" w:eastAsia="宋体" w:cs="宋体"/>
          <w:b w:val="0"/>
          <w:bCs w:val="0"/>
          <w:color w:val="auto"/>
          <w:kern w:val="0"/>
          <w:sz w:val="24"/>
          <w:szCs w:val="24"/>
          <w:highlight w:val="none"/>
          <w:lang w:val="en-US" w:eastAsia="zh-CN" w:bidi="ar-SA"/>
        </w:rPr>
        <w:t>结算的费用未达到合同总价的20%，则预付款多余部分累计至下个月扣回，剩余合同款平均至每月支付</w:t>
      </w:r>
      <w:r>
        <w:rPr>
          <w:rFonts w:hint="eastAsia" w:ascii="宋体" w:hAnsi="宋体" w:cs="宋体"/>
          <w:b w:val="0"/>
          <w:bCs w:val="0"/>
          <w:color w:val="auto"/>
          <w:kern w:val="0"/>
          <w:sz w:val="24"/>
          <w:szCs w:val="24"/>
          <w:highlight w:val="none"/>
          <w:lang w:val="en-US" w:eastAsia="zh-CN" w:bidi="ar-SA"/>
        </w:rPr>
        <w:t>一次</w:t>
      </w:r>
      <w:r>
        <w:rPr>
          <w:rFonts w:hint="eastAsia" w:ascii="宋体" w:hAnsi="宋体" w:eastAsia="宋体" w:cs="宋体"/>
          <w:b w:val="0"/>
          <w:bCs w:val="0"/>
          <w:color w:val="auto"/>
          <w:kern w:val="0"/>
          <w:sz w:val="24"/>
          <w:szCs w:val="24"/>
          <w:highlight w:val="none"/>
          <w:lang w:val="en-US" w:eastAsia="zh-CN" w:bidi="ar-SA"/>
        </w:rPr>
        <w:t>，直至履约结束。</w:t>
      </w:r>
    </w:p>
    <w:p>
      <w:pPr>
        <w:spacing w:line="360" w:lineRule="auto"/>
        <w:ind w:firstLine="480" w:firstLineChars="200"/>
        <w:rPr>
          <w:rFonts w:hint="eastAsia" w:ascii="宋体" w:hAnsi="宋体" w:eastAsia="宋体" w:cs="宋体"/>
          <w:bCs/>
          <w:color w:val="auto"/>
          <w:sz w:val="24"/>
          <w:szCs w:val="22"/>
          <w:highlight w:val="none"/>
          <w:lang w:val="en-US" w:eastAsia="zh-CN"/>
        </w:rPr>
      </w:pPr>
      <w:r>
        <w:rPr>
          <w:rFonts w:hint="eastAsia" w:ascii="宋体" w:hAnsi="宋体" w:cs="宋体"/>
          <w:bCs/>
          <w:color w:val="auto"/>
          <w:sz w:val="24"/>
          <w:szCs w:val="22"/>
          <w:highlight w:val="none"/>
        </w:rPr>
        <w:t>在甲方</w:t>
      </w:r>
      <w:r>
        <w:rPr>
          <w:rFonts w:hint="eastAsia" w:ascii="宋体" w:hAnsi="宋体" w:cs="宋体"/>
          <w:bCs/>
          <w:color w:val="auto"/>
          <w:sz w:val="24"/>
          <w:szCs w:val="22"/>
          <w:highlight w:val="none"/>
          <w:lang w:eastAsia="zh-CN"/>
        </w:rPr>
        <w:t>每次</w:t>
      </w:r>
      <w:r>
        <w:rPr>
          <w:rFonts w:hint="eastAsia" w:ascii="宋体" w:hAnsi="宋体" w:cs="宋体"/>
          <w:bCs/>
          <w:color w:val="auto"/>
          <w:sz w:val="24"/>
          <w:szCs w:val="22"/>
          <w:highlight w:val="none"/>
        </w:rPr>
        <w:t>付款前，乙方须向甲方提供</w:t>
      </w:r>
      <w:r>
        <w:rPr>
          <w:rFonts w:hint="eastAsia" w:ascii="宋体" w:hAnsi="宋体" w:cs="宋体"/>
          <w:bCs/>
          <w:color w:val="auto"/>
          <w:sz w:val="24"/>
          <w:szCs w:val="22"/>
          <w:highlight w:val="none"/>
          <w:lang w:eastAsia="zh-CN"/>
        </w:rPr>
        <w:t>符合要求的</w:t>
      </w:r>
      <w:r>
        <w:rPr>
          <w:rFonts w:hint="eastAsia" w:ascii="宋体" w:hAnsi="宋体" w:cs="宋体"/>
          <w:bCs/>
          <w:color w:val="auto"/>
          <w:sz w:val="24"/>
          <w:szCs w:val="22"/>
          <w:highlight w:val="none"/>
        </w:rPr>
        <w:t>正式的发票，乙方未按约提供发票</w:t>
      </w:r>
      <w:r>
        <w:rPr>
          <w:rFonts w:hint="eastAsia" w:ascii="宋体" w:hAnsi="宋体" w:cs="宋体"/>
          <w:bCs/>
          <w:color w:val="auto"/>
          <w:sz w:val="24"/>
          <w:szCs w:val="22"/>
          <w:highlight w:val="none"/>
          <w:lang w:eastAsia="zh-CN"/>
        </w:rPr>
        <w:t>的</w:t>
      </w:r>
      <w:r>
        <w:rPr>
          <w:rFonts w:hint="eastAsia" w:ascii="宋体" w:hAnsi="宋体" w:cs="宋体"/>
          <w:bCs/>
          <w:color w:val="auto"/>
          <w:sz w:val="24"/>
          <w:szCs w:val="22"/>
          <w:highlight w:val="none"/>
        </w:rPr>
        <w:t>，甲方有权拒绝付款且不承担逾期付款的违约责任</w:t>
      </w:r>
      <w:r>
        <w:rPr>
          <w:rFonts w:hint="eastAsia" w:ascii="宋体" w:hAnsi="宋体" w:cs="宋体"/>
          <w:bCs/>
          <w:color w:val="auto"/>
          <w:sz w:val="24"/>
          <w:szCs w:val="22"/>
          <w:highlight w:val="none"/>
          <w:lang w:eastAsia="zh-CN"/>
        </w:rPr>
        <w:t>。</w:t>
      </w:r>
    </w:p>
    <w:p>
      <w:pPr>
        <w:pStyle w:val="15"/>
        <w:numPr>
          <w:ilvl w:val="0"/>
          <w:numId w:val="22"/>
        </w:numPr>
        <w:shd w:val="clear" w:color="auto" w:fill="auto"/>
        <w:adjustRightInd w:val="0"/>
        <w:snapToGrid w:val="0"/>
        <w:spacing w:before="120" w:after="120"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税费</w:t>
      </w:r>
    </w:p>
    <w:p>
      <w:pPr>
        <w:shd w:val="clear" w:color="auto" w:fill="auto"/>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本合同执行中相关的一切税费均由乙方负担。</w:t>
      </w:r>
    </w:p>
    <w:p>
      <w:pPr>
        <w:pStyle w:val="15"/>
        <w:numPr>
          <w:ilvl w:val="0"/>
          <w:numId w:val="22"/>
        </w:numPr>
        <w:shd w:val="clear" w:color="auto" w:fill="auto"/>
        <w:adjustRightInd w:val="0"/>
        <w:snapToGrid w:val="0"/>
        <w:spacing w:before="120" w:after="120"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质量保证及后续服务</w:t>
      </w:r>
    </w:p>
    <w:p>
      <w:pPr>
        <w:pStyle w:val="15"/>
        <w:numPr>
          <w:ilvl w:val="0"/>
          <w:numId w:val="30"/>
        </w:numPr>
        <w:shd w:val="clear" w:color="auto" w:fill="auto"/>
        <w:adjustRightInd w:val="0"/>
        <w:snapToGrid w:val="0"/>
        <w:spacing w:before="120" w:after="120" w:line="360" w:lineRule="auto"/>
        <w:ind w:left="0" w:leftChars="0"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乙方应按采购文件规定向甲方提供服务。</w:t>
      </w:r>
    </w:p>
    <w:p>
      <w:pPr>
        <w:pStyle w:val="15"/>
        <w:numPr>
          <w:ilvl w:val="0"/>
          <w:numId w:val="30"/>
        </w:numPr>
        <w:shd w:val="clear" w:color="auto" w:fill="auto"/>
        <w:snapToGrid w:val="0"/>
        <w:spacing w:before="120" w:after="120" w:line="360" w:lineRule="auto"/>
        <w:ind w:left="0" w:leftChars="0"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乙方应保证服务及提供的服务成果的质量，保证“</w:t>
      </w:r>
      <w:r>
        <w:rPr>
          <w:rFonts w:hint="eastAsia" w:hAnsi="宋体" w:cs="宋体"/>
          <w:color w:val="auto"/>
          <w:sz w:val="24"/>
          <w:szCs w:val="24"/>
          <w:highlight w:val="none"/>
          <w:lang w:eastAsia="zh-CN"/>
        </w:rPr>
        <w:t>2024</w:t>
      </w:r>
      <w:r>
        <w:rPr>
          <w:rFonts w:hint="eastAsia" w:ascii="宋体" w:hAnsi="宋体" w:cs="宋体"/>
          <w:bCs/>
          <w:sz w:val="24"/>
        </w:rPr>
        <w:t>-202</w:t>
      </w:r>
      <w:r>
        <w:rPr>
          <w:rFonts w:hint="eastAsia" w:ascii="宋体" w:hAnsi="宋体" w:cs="宋体"/>
          <w:bCs/>
          <w:sz w:val="24"/>
          <w:lang w:val="en-US" w:eastAsia="zh-CN"/>
        </w:rPr>
        <w:t>5</w:t>
      </w:r>
      <w:r>
        <w:rPr>
          <w:rFonts w:hint="eastAsia" w:hAnsi="宋体" w:cs="宋体"/>
          <w:color w:val="auto"/>
          <w:sz w:val="24"/>
          <w:szCs w:val="24"/>
          <w:highlight w:val="none"/>
          <w:lang w:eastAsia="zh-CN"/>
        </w:rPr>
        <w:t>年上虞区智慧城管信息采集项目</w:t>
      </w:r>
      <w:r>
        <w:rPr>
          <w:rFonts w:hint="eastAsia"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安全顺利进行，期间发生任何质量或安全问题，乙方应负责及时采取补救措施，相关费用由乙方自行承担，且不得影响后续服务。乙方服务过程中，甲方发现乙方的服务达不到要求的，根据实际情况，甲方有权按以下任何一种办法处理：</w:t>
      </w:r>
    </w:p>
    <w:p>
      <w:pPr>
        <w:pStyle w:val="15"/>
        <w:numPr>
          <w:ilvl w:val="0"/>
          <w:numId w:val="31"/>
        </w:numPr>
        <w:shd w:val="clear" w:color="auto" w:fill="auto"/>
        <w:adjustRightInd w:val="0"/>
        <w:snapToGrid w:val="0"/>
        <w:spacing w:before="120" w:after="120" w:line="360" w:lineRule="auto"/>
        <w:ind w:left="105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要求乙方重做：由乙方承担所发生的全部费用。</w:t>
      </w:r>
    </w:p>
    <w:p>
      <w:pPr>
        <w:pStyle w:val="15"/>
        <w:numPr>
          <w:ilvl w:val="0"/>
          <w:numId w:val="31"/>
        </w:numPr>
        <w:shd w:val="clear" w:color="auto" w:fill="auto"/>
        <w:adjustRightInd w:val="0"/>
        <w:snapToGrid w:val="0"/>
        <w:spacing w:before="120" w:after="120" w:line="360" w:lineRule="auto"/>
        <w:ind w:left="105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贬值处理：由甲乙双方合议定价。</w:t>
      </w:r>
    </w:p>
    <w:p>
      <w:pPr>
        <w:pStyle w:val="15"/>
        <w:numPr>
          <w:ilvl w:val="0"/>
          <w:numId w:val="31"/>
        </w:numPr>
        <w:shd w:val="clear" w:color="auto" w:fill="auto"/>
        <w:adjustRightInd w:val="0"/>
        <w:snapToGrid w:val="0"/>
        <w:spacing w:before="120" w:after="120" w:line="360" w:lineRule="auto"/>
        <w:ind w:left="105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解除合同：由乙方承担违约责任。</w:t>
      </w:r>
    </w:p>
    <w:p>
      <w:pPr>
        <w:pStyle w:val="15"/>
        <w:numPr>
          <w:ilvl w:val="0"/>
          <w:numId w:val="22"/>
        </w:numPr>
        <w:shd w:val="clear" w:color="auto" w:fill="auto"/>
        <w:adjustRightInd w:val="0"/>
        <w:snapToGrid w:val="0"/>
        <w:spacing w:before="120" w:after="120"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违约责任</w:t>
      </w:r>
    </w:p>
    <w:p>
      <w:pPr>
        <w:numPr>
          <w:ilvl w:val="0"/>
          <w:numId w:val="32"/>
        </w:numPr>
        <w:shd w:val="clear" w:color="auto" w:fill="auto"/>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本合同签订后，任何一方不履行或不完全履行本合同约定条款的，即构成违约。任何一方违约时，守约方有权要求违约方继续履行本合同，同时有权要求违约方支付违约金或赔偿损失。</w:t>
      </w:r>
    </w:p>
    <w:p>
      <w:pPr>
        <w:numPr>
          <w:ilvl w:val="0"/>
          <w:numId w:val="32"/>
        </w:numPr>
        <w:shd w:val="clear" w:color="auto" w:fill="auto"/>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如果甲方未按照合同约定支付价款，乙方有权要求其每天承担应付未付金额万分之</w:t>
      </w:r>
      <w:r>
        <w:rPr>
          <w:rFonts w:hint="eastAsia" w:ascii="宋体" w:hAnsi="宋体" w:cs="宋体"/>
          <w:color w:val="auto"/>
          <w:kern w:val="0"/>
          <w:sz w:val="24"/>
          <w:szCs w:val="24"/>
          <w:highlight w:val="none"/>
          <w:lang w:eastAsia="zh-CN"/>
        </w:rPr>
        <w:t>二</w:t>
      </w:r>
      <w:r>
        <w:rPr>
          <w:rFonts w:hint="eastAsia" w:ascii="宋体" w:hAnsi="宋体" w:eastAsia="宋体" w:cs="宋体"/>
          <w:color w:val="auto"/>
          <w:kern w:val="0"/>
          <w:sz w:val="24"/>
          <w:szCs w:val="24"/>
          <w:highlight w:val="none"/>
        </w:rPr>
        <w:t>的违约金，但违约金总额不超过合同总金额的【</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%】；如果乙方未能按照本合同约定履行义务，甲方有权要求其承担合同总金额【</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%】的违约金。</w:t>
      </w:r>
    </w:p>
    <w:p>
      <w:pPr>
        <w:numPr>
          <w:ilvl w:val="0"/>
          <w:numId w:val="32"/>
        </w:numPr>
        <w:shd w:val="clear" w:color="auto" w:fill="auto"/>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乙方项目经甲方验收不合格的，甲方有权要求乙方限期整改，乙方未在甲方要求期限内整改完成或整改后仍不合格或已不能整改的，甲方有权解除合同并要求其承担合同总金额【</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%】的违约金。</w:t>
      </w:r>
    </w:p>
    <w:p>
      <w:pPr>
        <w:numPr>
          <w:ilvl w:val="0"/>
          <w:numId w:val="32"/>
        </w:numPr>
        <w:shd w:val="clear" w:color="auto" w:fill="auto"/>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p>
      <w:pPr>
        <w:pStyle w:val="15"/>
        <w:numPr>
          <w:ilvl w:val="0"/>
          <w:numId w:val="22"/>
        </w:numPr>
        <w:shd w:val="clear" w:color="auto" w:fill="auto"/>
        <w:adjustRightInd w:val="0"/>
        <w:snapToGrid w:val="0"/>
        <w:spacing w:before="120" w:after="120"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不可抗力事件处理</w:t>
      </w:r>
    </w:p>
    <w:p>
      <w:pPr>
        <w:numPr>
          <w:ilvl w:val="0"/>
          <w:numId w:val="33"/>
        </w:numPr>
        <w:shd w:val="clear" w:color="auto" w:fill="auto"/>
        <w:spacing w:line="360" w:lineRule="auto"/>
        <w:ind w:left="0" w:leftChars="0" w:firstLine="42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不可抗力是指因无法预见、无法避免且无法克服之原因发生的事项，包括但不限于地震、台风、海啸、瘟疫、火灾、洪水、重大疫情、政府行为、战争、恐怖袭击、蓄意破坏等客观情况。</w:t>
      </w:r>
    </w:p>
    <w:p>
      <w:pPr>
        <w:numPr>
          <w:ilvl w:val="0"/>
          <w:numId w:val="33"/>
        </w:numPr>
        <w:shd w:val="clear" w:color="auto" w:fill="auto"/>
        <w:spacing w:line="360" w:lineRule="auto"/>
        <w:ind w:left="0" w:leftChars="0" w:firstLine="42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本合同项下任何一方对于因不可抗力致使本合同不能履行或不能全部履行而给对方造成的任何损失不承担违约责任。</w:t>
      </w:r>
    </w:p>
    <w:p>
      <w:pPr>
        <w:numPr>
          <w:ilvl w:val="0"/>
          <w:numId w:val="33"/>
        </w:numPr>
        <w:shd w:val="clear" w:color="auto" w:fill="auto"/>
        <w:spacing w:line="360" w:lineRule="auto"/>
        <w:ind w:left="0" w:leftChars="0" w:firstLine="42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如果发生不可抗力事件，则受影响的一方应采取积极有效的措施以减少因本合同不能履行或不能全部履行而给对方造成的损失，并应在不可抗力事件发生后三个工作日内通知对方，并在15日内出具官方证明文件。</w:t>
      </w:r>
    </w:p>
    <w:p>
      <w:pPr>
        <w:numPr>
          <w:ilvl w:val="0"/>
          <w:numId w:val="33"/>
        </w:numPr>
        <w:shd w:val="clear" w:color="auto" w:fill="auto"/>
        <w:spacing w:line="360" w:lineRule="auto"/>
        <w:ind w:left="0" w:leftChars="0" w:firstLine="42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不可抗力影响因素消失以后，双方应协商是否继续履行合同。如果不可抗力因素对合同一方的义务产生实质性、无法补救的影响，导致合同已无法履行，双方应通过书面形式终止本合同。</w:t>
      </w:r>
    </w:p>
    <w:p>
      <w:pPr>
        <w:numPr>
          <w:ilvl w:val="0"/>
          <w:numId w:val="33"/>
        </w:numPr>
        <w:shd w:val="clear" w:color="auto" w:fill="auto"/>
        <w:spacing w:line="360" w:lineRule="auto"/>
        <w:ind w:left="0" w:leftChars="0" w:firstLine="42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如果因本条第2款和/或第4款所述原因导致本合同被提前终止，则任何一方均无需继续履行其在本合同项下的义务，也无需为此向另一方承担任何责任；但双方应根据诚实信用原则，合理确定本合同终止前甲方为乙方提供的服务所应支付的费用，并进行相应的结算。但一方延迟履行后发生不可抗力的，不能免除该方的责任。</w:t>
      </w:r>
    </w:p>
    <w:p>
      <w:pPr>
        <w:pStyle w:val="15"/>
        <w:numPr>
          <w:ilvl w:val="0"/>
          <w:numId w:val="22"/>
        </w:numPr>
        <w:shd w:val="clear" w:color="auto" w:fill="auto"/>
        <w:adjustRightInd w:val="0"/>
        <w:snapToGrid w:val="0"/>
        <w:spacing w:before="120" w:after="120"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争议解决</w:t>
      </w:r>
    </w:p>
    <w:p>
      <w:pPr>
        <w:pStyle w:val="15"/>
        <w:numPr>
          <w:ilvl w:val="0"/>
          <w:numId w:val="34"/>
        </w:numPr>
        <w:shd w:val="clear" w:color="auto" w:fill="auto"/>
        <w:snapToGrid w:val="0"/>
        <w:spacing w:before="120" w:after="120" w:line="360" w:lineRule="auto"/>
        <w:ind w:left="0" w:leftChars="0"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合同在履行过程中发生争议时，甲方与乙方及时协商解决。协商不成时，由</w:t>
      </w:r>
      <w:r>
        <w:rPr>
          <w:rFonts w:hint="eastAsia" w:hAnsi="宋体" w:eastAsia="宋体" w:cs="宋体"/>
          <w:color w:val="auto"/>
          <w:sz w:val="24"/>
          <w:szCs w:val="24"/>
          <w:highlight w:val="none"/>
          <w:lang w:val="en-US" w:eastAsia="zh-CN"/>
        </w:rPr>
        <w:t>上虞区</w:t>
      </w:r>
      <w:r>
        <w:rPr>
          <w:rFonts w:hint="eastAsia" w:ascii="宋体" w:hAnsi="宋体" w:eastAsia="宋体" w:cs="宋体"/>
          <w:color w:val="auto"/>
          <w:sz w:val="24"/>
          <w:szCs w:val="24"/>
          <w:highlight w:val="none"/>
        </w:rPr>
        <w:t>人民法院诉讼解决。</w:t>
      </w:r>
    </w:p>
    <w:p>
      <w:pPr>
        <w:pStyle w:val="15"/>
        <w:numPr>
          <w:ilvl w:val="0"/>
          <w:numId w:val="34"/>
        </w:numPr>
        <w:shd w:val="clear" w:color="auto" w:fill="auto"/>
        <w:snapToGrid w:val="0"/>
        <w:spacing w:before="120" w:after="120" w:line="360" w:lineRule="auto"/>
        <w:ind w:left="0" w:leftChars="0"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对于因违反或终止合同而引起的损失、损害的赔偿，由甲方与乙方友好协商解决，经协商仍未能达成一致的，由</w:t>
      </w:r>
      <w:r>
        <w:rPr>
          <w:rFonts w:hint="eastAsia" w:hAnsi="宋体" w:eastAsia="宋体" w:cs="宋体"/>
          <w:color w:val="auto"/>
          <w:sz w:val="24"/>
          <w:szCs w:val="24"/>
          <w:highlight w:val="none"/>
          <w:lang w:val="en-US" w:eastAsia="zh-CN"/>
        </w:rPr>
        <w:t>上虞区</w:t>
      </w:r>
      <w:r>
        <w:rPr>
          <w:rFonts w:hint="eastAsia" w:ascii="宋体" w:hAnsi="宋体" w:eastAsia="宋体" w:cs="宋体"/>
          <w:color w:val="auto"/>
          <w:sz w:val="24"/>
          <w:szCs w:val="24"/>
          <w:highlight w:val="none"/>
        </w:rPr>
        <w:t>人民法院诉讼解决。</w:t>
      </w:r>
    </w:p>
    <w:p>
      <w:pPr>
        <w:pStyle w:val="15"/>
        <w:numPr>
          <w:ilvl w:val="0"/>
          <w:numId w:val="22"/>
        </w:numPr>
        <w:shd w:val="clear" w:color="auto" w:fill="auto"/>
        <w:adjustRightInd w:val="0"/>
        <w:snapToGrid w:val="0"/>
        <w:spacing w:before="120" w:after="120"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合同生效及其它</w:t>
      </w:r>
    </w:p>
    <w:p>
      <w:pPr>
        <w:numPr>
          <w:ilvl w:val="0"/>
          <w:numId w:val="35"/>
        </w:numPr>
        <w:shd w:val="clear" w:color="auto" w:fill="auto"/>
        <w:snapToGrid w:val="0"/>
        <w:spacing w:line="360" w:lineRule="auto"/>
        <w:ind w:left="0" w:leftChars="0"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本合同经甲乙双方法定代表人或其委托人签字盖章。</w:t>
      </w:r>
    </w:p>
    <w:p>
      <w:pPr>
        <w:numPr>
          <w:ilvl w:val="0"/>
          <w:numId w:val="35"/>
        </w:numPr>
        <w:shd w:val="clear" w:color="auto" w:fill="auto"/>
        <w:snapToGrid w:val="0"/>
        <w:spacing w:line="360" w:lineRule="auto"/>
        <w:ind w:left="0" w:leftChars="0"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合同履行期内甲乙双方均不得随意变更或解除合同。合同若有未尽事宜，需经双方共同协商，订立补充协议，补充协议与本合同有同等法律效力。</w:t>
      </w:r>
    </w:p>
    <w:p>
      <w:pPr>
        <w:numPr>
          <w:ilvl w:val="0"/>
          <w:numId w:val="35"/>
        </w:numPr>
        <w:shd w:val="clear" w:color="auto" w:fill="auto"/>
        <w:snapToGrid w:val="0"/>
        <w:spacing w:line="360" w:lineRule="auto"/>
        <w:ind w:left="0" w:leftChars="0"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采购编号为【       】的采购文件、响应文件、澄清等文件均为本合同的组成部分；采购文件、响应文件、澄清等文件与本合同约定不一致的，以本合同为准。</w:t>
      </w:r>
    </w:p>
    <w:p>
      <w:pPr>
        <w:numPr>
          <w:ilvl w:val="0"/>
          <w:numId w:val="35"/>
        </w:numPr>
        <w:shd w:val="clear" w:color="auto" w:fill="auto"/>
        <w:snapToGrid w:val="0"/>
        <w:spacing w:line="360" w:lineRule="auto"/>
        <w:ind w:left="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本项目货物如涉及柴油动力移动源，柴油动力移动源应当符合低排放要求。</w:t>
      </w:r>
    </w:p>
    <w:p>
      <w:pPr>
        <w:spacing w:line="360" w:lineRule="auto"/>
        <w:ind w:firstLine="482" w:firstLineChars="200"/>
        <w:jc w:val="both"/>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本合同一式</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rPr>
        <w:t>份，其中正本两份，采购人和</w:t>
      </w:r>
      <w:r>
        <w:rPr>
          <w:rFonts w:hint="eastAsia" w:ascii="宋体" w:hAnsi="宋体" w:cs="宋体"/>
          <w:b/>
          <w:bCs/>
          <w:color w:val="auto"/>
          <w:sz w:val="24"/>
          <w:szCs w:val="24"/>
          <w:lang w:eastAsia="zh-CN"/>
        </w:rPr>
        <w:t>供应商</w:t>
      </w:r>
      <w:r>
        <w:rPr>
          <w:rFonts w:hint="eastAsia" w:ascii="宋体" w:hAnsi="宋体" w:eastAsia="宋体" w:cs="宋体"/>
          <w:b/>
          <w:bCs/>
          <w:color w:val="auto"/>
          <w:sz w:val="24"/>
          <w:szCs w:val="24"/>
        </w:rPr>
        <w:t>各执一份，并由采购人在30日内做好政采云平台网上合同创建及备案</w:t>
      </w:r>
      <w:r>
        <w:rPr>
          <w:rFonts w:hint="eastAsia" w:ascii="宋体" w:hAnsi="宋体" w:eastAsia="宋体" w:cs="宋体"/>
          <w:color w:val="auto"/>
          <w:sz w:val="24"/>
          <w:szCs w:val="24"/>
        </w:rPr>
        <w:t>。</w:t>
      </w:r>
    </w:p>
    <w:tbl>
      <w:tblPr>
        <w:tblStyle w:val="25"/>
        <w:tblW w:w="810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340"/>
        <w:gridCol w:w="162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vAlign w:val="center"/>
          </w:tcPr>
          <w:p>
            <w:pPr>
              <w:snapToGrid w:val="0"/>
              <w:spacing w:line="360" w:lineRule="auto"/>
              <w:jc w:val="both"/>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甲方单位</w:t>
            </w:r>
          </w:p>
        </w:tc>
        <w:tc>
          <w:tcPr>
            <w:tcW w:w="2340" w:type="dxa"/>
            <w:vAlign w:val="center"/>
          </w:tcPr>
          <w:p>
            <w:pPr>
              <w:snapToGrid w:val="0"/>
              <w:spacing w:line="360" w:lineRule="auto"/>
              <w:jc w:val="both"/>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（盖章）</w:t>
            </w:r>
          </w:p>
        </w:tc>
        <w:tc>
          <w:tcPr>
            <w:tcW w:w="1620" w:type="dxa"/>
            <w:vAlign w:val="center"/>
          </w:tcPr>
          <w:p>
            <w:pPr>
              <w:snapToGrid w:val="0"/>
              <w:spacing w:line="360" w:lineRule="auto"/>
              <w:jc w:val="both"/>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乙方单位</w:t>
            </w:r>
          </w:p>
        </w:tc>
        <w:tc>
          <w:tcPr>
            <w:tcW w:w="2700" w:type="dxa"/>
            <w:vAlign w:val="center"/>
          </w:tcPr>
          <w:p>
            <w:pPr>
              <w:snapToGrid w:val="0"/>
              <w:spacing w:line="360" w:lineRule="auto"/>
              <w:jc w:val="both"/>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vAlign w:val="center"/>
          </w:tcPr>
          <w:p>
            <w:pPr>
              <w:snapToGrid w:val="0"/>
              <w:spacing w:line="360" w:lineRule="auto"/>
              <w:jc w:val="both"/>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代表签名</w:t>
            </w:r>
          </w:p>
        </w:tc>
        <w:tc>
          <w:tcPr>
            <w:tcW w:w="2340" w:type="dxa"/>
            <w:vAlign w:val="center"/>
          </w:tcPr>
          <w:p>
            <w:pPr>
              <w:snapToGrid w:val="0"/>
              <w:spacing w:line="360" w:lineRule="auto"/>
              <w:jc w:val="both"/>
              <w:rPr>
                <w:rFonts w:hint="eastAsia" w:ascii="宋体" w:hAnsi="宋体" w:eastAsia="宋体" w:cs="宋体"/>
                <w:snapToGrid w:val="0"/>
                <w:color w:val="auto"/>
                <w:sz w:val="24"/>
                <w:szCs w:val="24"/>
              </w:rPr>
            </w:pPr>
          </w:p>
        </w:tc>
        <w:tc>
          <w:tcPr>
            <w:tcW w:w="1620" w:type="dxa"/>
            <w:vAlign w:val="center"/>
          </w:tcPr>
          <w:p>
            <w:pPr>
              <w:snapToGrid w:val="0"/>
              <w:spacing w:line="360" w:lineRule="auto"/>
              <w:jc w:val="both"/>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代表签名</w:t>
            </w:r>
          </w:p>
        </w:tc>
        <w:tc>
          <w:tcPr>
            <w:tcW w:w="2700" w:type="dxa"/>
            <w:vAlign w:val="center"/>
          </w:tcPr>
          <w:p>
            <w:pPr>
              <w:snapToGrid w:val="0"/>
              <w:spacing w:line="360" w:lineRule="auto"/>
              <w:jc w:val="both"/>
              <w:rPr>
                <w:rFonts w:hint="eastAsia" w:ascii="宋体" w:hAnsi="宋体" w:eastAsia="宋体" w:cs="宋体"/>
                <w:snapToGrid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vAlign w:val="center"/>
          </w:tcPr>
          <w:p>
            <w:pPr>
              <w:snapToGrid w:val="0"/>
              <w:spacing w:line="360" w:lineRule="auto"/>
              <w:jc w:val="both"/>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地址</w:t>
            </w:r>
          </w:p>
        </w:tc>
        <w:tc>
          <w:tcPr>
            <w:tcW w:w="2340" w:type="dxa"/>
            <w:vAlign w:val="center"/>
          </w:tcPr>
          <w:p>
            <w:pPr>
              <w:snapToGrid w:val="0"/>
              <w:spacing w:line="360" w:lineRule="auto"/>
              <w:jc w:val="both"/>
              <w:rPr>
                <w:rFonts w:hint="eastAsia" w:ascii="宋体" w:hAnsi="宋体" w:eastAsia="宋体" w:cs="宋体"/>
                <w:snapToGrid w:val="0"/>
                <w:color w:val="auto"/>
                <w:sz w:val="24"/>
                <w:szCs w:val="24"/>
              </w:rPr>
            </w:pPr>
          </w:p>
        </w:tc>
        <w:tc>
          <w:tcPr>
            <w:tcW w:w="1620" w:type="dxa"/>
            <w:vAlign w:val="center"/>
          </w:tcPr>
          <w:p>
            <w:pPr>
              <w:snapToGrid w:val="0"/>
              <w:spacing w:line="360" w:lineRule="auto"/>
              <w:jc w:val="both"/>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地址</w:t>
            </w:r>
          </w:p>
        </w:tc>
        <w:tc>
          <w:tcPr>
            <w:tcW w:w="2700" w:type="dxa"/>
            <w:vAlign w:val="center"/>
          </w:tcPr>
          <w:p>
            <w:pPr>
              <w:snapToGrid w:val="0"/>
              <w:spacing w:line="360" w:lineRule="auto"/>
              <w:jc w:val="both"/>
              <w:rPr>
                <w:rFonts w:hint="eastAsia" w:ascii="宋体" w:hAnsi="宋体" w:eastAsia="宋体" w:cs="宋体"/>
                <w:snapToGrid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vAlign w:val="center"/>
          </w:tcPr>
          <w:p>
            <w:pPr>
              <w:snapToGrid w:val="0"/>
              <w:spacing w:line="360" w:lineRule="auto"/>
              <w:jc w:val="both"/>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电话</w:t>
            </w:r>
          </w:p>
        </w:tc>
        <w:tc>
          <w:tcPr>
            <w:tcW w:w="2340" w:type="dxa"/>
            <w:vAlign w:val="center"/>
          </w:tcPr>
          <w:p>
            <w:pPr>
              <w:snapToGrid w:val="0"/>
              <w:spacing w:line="360" w:lineRule="auto"/>
              <w:jc w:val="both"/>
              <w:rPr>
                <w:rFonts w:hint="eastAsia" w:ascii="宋体" w:hAnsi="宋体" w:eastAsia="宋体" w:cs="宋体"/>
                <w:snapToGrid w:val="0"/>
                <w:color w:val="auto"/>
                <w:sz w:val="24"/>
                <w:szCs w:val="24"/>
              </w:rPr>
            </w:pPr>
          </w:p>
        </w:tc>
        <w:tc>
          <w:tcPr>
            <w:tcW w:w="1620" w:type="dxa"/>
            <w:vAlign w:val="center"/>
          </w:tcPr>
          <w:p>
            <w:pPr>
              <w:snapToGrid w:val="0"/>
              <w:spacing w:line="360" w:lineRule="auto"/>
              <w:jc w:val="both"/>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电话</w:t>
            </w:r>
          </w:p>
        </w:tc>
        <w:tc>
          <w:tcPr>
            <w:tcW w:w="2700" w:type="dxa"/>
            <w:vAlign w:val="center"/>
          </w:tcPr>
          <w:p>
            <w:pPr>
              <w:snapToGrid w:val="0"/>
              <w:spacing w:line="360" w:lineRule="auto"/>
              <w:jc w:val="both"/>
              <w:rPr>
                <w:rFonts w:hint="eastAsia" w:ascii="宋体" w:hAnsi="宋体" w:eastAsia="宋体" w:cs="宋体"/>
                <w:snapToGrid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vAlign w:val="center"/>
          </w:tcPr>
          <w:p>
            <w:pPr>
              <w:snapToGrid w:val="0"/>
              <w:spacing w:line="360" w:lineRule="auto"/>
              <w:jc w:val="both"/>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开户银行</w:t>
            </w:r>
          </w:p>
        </w:tc>
        <w:tc>
          <w:tcPr>
            <w:tcW w:w="2340" w:type="dxa"/>
            <w:vAlign w:val="center"/>
          </w:tcPr>
          <w:p>
            <w:pPr>
              <w:snapToGrid w:val="0"/>
              <w:spacing w:line="360" w:lineRule="auto"/>
              <w:jc w:val="both"/>
              <w:rPr>
                <w:rFonts w:hint="eastAsia" w:ascii="宋体" w:hAnsi="宋体" w:eastAsia="宋体" w:cs="宋体"/>
                <w:snapToGrid w:val="0"/>
                <w:color w:val="auto"/>
                <w:sz w:val="24"/>
                <w:szCs w:val="24"/>
              </w:rPr>
            </w:pPr>
          </w:p>
        </w:tc>
        <w:tc>
          <w:tcPr>
            <w:tcW w:w="1620" w:type="dxa"/>
            <w:vAlign w:val="center"/>
          </w:tcPr>
          <w:p>
            <w:pPr>
              <w:snapToGrid w:val="0"/>
              <w:spacing w:line="360" w:lineRule="auto"/>
              <w:jc w:val="both"/>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开户银行</w:t>
            </w:r>
          </w:p>
        </w:tc>
        <w:tc>
          <w:tcPr>
            <w:tcW w:w="2700" w:type="dxa"/>
            <w:vAlign w:val="center"/>
          </w:tcPr>
          <w:p>
            <w:pPr>
              <w:snapToGrid w:val="0"/>
              <w:spacing w:line="360" w:lineRule="auto"/>
              <w:jc w:val="both"/>
              <w:rPr>
                <w:rFonts w:hint="eastAsia" w:ascii="宋体" w:hAnsi="宋体" w:eastAsia="宋体" w:cs="宋体"/>
                <w:snapToGrid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vAlign w:val="center"/>
          </w:tcPr>
          <w:p>
            <w:pPr>
              <w:snapToGrid w:val="0"/>
              <w:spacing w:line="360" w:lineRule="auto"/>
              <w:jc w:val="both"/>
              <w:rPr>
                <w:rFonts w:hint="eastAsia" w:ascii="宋体" w:hAnsi="宋体" w:eastAsia="宋体" w:cs="宋体"/>
                <w:snapToGrid w:val="0"/>
                <w:color w:val="auto"/>
                <w:sz w:val="24"/>
                <w:szCs w:val="24"/>
                <w:lang w:eastAsia="zh-CN"/>
              </w:rPr>
            </w:pPr>
            <w:r>
              <w:rPr>
                <w:rFonts w:hint="eastAsia" w:ascii="宋体" w:hAnsi="宋体" w:cs="宋体"/>
                <w:snapToGrid w:val="0"/>
                <w:color w:val="auto"/>
                <w:sz w:val="24"/>
                <w:szCs w:val="24"/>
                <w:lang w:eastAsia="zh-CN"/>
              </w:rPr>
              <w:t>账号</w:t>
            </w:r>
          </w:p>
        </w:tc>
        <w:tc>
          <w:tcPr>
            <w:tcW w:w="2340" w:type="dxa"/>
            <w:vAlign w:val="center"/>
          </w:tcPr>
          <w:p>
            <w:pPr>
              <w:snapToGrid w:val="0"/>
              <w:spacing w:line="360" w:lineRule="auto"/>
              <w:jc w:val="both"/>
              <w:rPr>
                <w:rFonts w:hint="eastAsia" w:ascii="宋体" w:hAnsi="宋体" w:eastAsia="宋体" w:cs="宋体"/>
                <w:snapToGrid w:val="0"/>
                <w:color w:val="auto"/>
                <w:sz w:val="24"/>
                <w:szCs w:val="24"/>
              </w:rPr>
            </w:pPr>
          </w:p>
        </w:tc>
        <w:tc>
          <w:tcPr>
            <w:tcW w:w="1620" w:type="dxa"/>
            <w:vAlign w:val="center"/>
          </w:tcPr>
          <w:p>
            <w:pPr>
              <w:snapToGrid w:val="0"/>
              <w:spacing w:line="360" w:lineRule="auto"/>
              <w:jc w:val="both"/>
              <w:rPr>
                <w:rFonts w:hint="eastAsia" w:ascii="宋体" w:hAnsi="宋体" w:eastAsia="宋体" w:cs="宋体"/>
                <w:snapToGrid w:val="0"/>
                <w:color w:val="auto"/>
                <w:sz w:val="24"/>
                <w:szCs w:val="24"/>
                <w:lang w:eastAsia="zh-CN"/>
              </w:rPr>
            </w:pPr>
            <w:r>
              <w:rPr>
                <w:rFonts w:hint="eastAsia" w:ascii="宋体" w:hAnsi="宋体" w:cs="宋体"/>
                <w:snapToGrid w:val="0"/>
                <w:color w:val="auto"/>
                <w:sz w:val="24"/>
                <w:szCs w:val="24"/>
                <w:lang w:eastAsia="zh-CN"/>
              </w:rPr>
              <w:t>账号</w:t>
            </w:r>
          </w:p>
        </w:tc>
        <w:tc>
          <w:tcPr>
            <w:tcW w:w="2700" w:type="dxa"/>
            <w:vAlign w:val="center"/>
          </w:tcPr>
          <w:p>
            <w:pPr>
              <w:snapToGrid w:val="0"/>
              <w:spacing w:line="360" w:lineRule="auto"/>
              <w:jc w:val="both"/>
              <w:rPr>
                <w:rFonts w:hint="eastAsia" w:ascii="宋体" w:hAnsi="宋体" w:eastAsia="宋体" w:cs="宋体"/>
                <w:snapToGrid w:val="0"/>
                <w:color w:val="auto"/>
                <w:sz w:val="24"/>
                <w:szCs w:val="24"/>
              </w:rPr>
            </w:pPr>
          </w:p>
        </w:tc>
      </w:tr>
    </w:tbl>
    <w:p>
      <w:pPr>
        <w:spacing w:line="336" w:lineRule="auto"/>
        <w:ind w:firstLine="723" w:firstLineChars="300"/>
        <w:jc w:val="both"/>
        <w:rPr>
          <w:rFonts w:hint="eastAsia" w:ascii="宋体" w:hAnsi="宋体" w:eastAsia="宋体" w:cs="宋体"/>
          <w:color w:val="auto"/>
          <w:sz w:val="24"/>
          <w:szCs w:val="24"/>
        </w:rPr>
      </w:pPr>
      <w:r>
        <w:rPr>
          <w:rFonts w:hint="eastAsia" w:ascii="宋体" w:hAnsi="宋体" w:eastAsia="宋体" w:cs="宋体"/>
          <w:b/>
          <w:color w:val="auto"/>
          <w:sz w:val="24"/>
          <w:szCs w:val="24"/>
        </w:rPr>
        <w:br w:type="page"/>
      </w:r>
    </w:p>
    <w:p>
      <w:pPr>
        <w:rPr>
          <w:color w:val="auto"/>
        </w:rPr>
      </w:pPr>
    </w:p>
    <w:p>
      <w:pPr>
        <w:pStyle w:val="5"/>
        <w:jc w:val="center"/>
        <w:rPr>
          <w:rFonts w:cs="Times New Roman"/>
          <w:color w:val="auto"/>
          <w:sz w:val="36"/>
          <w:szCs w:val="36"/>
        </w:rPr>
      </w:pPr>
      <w:bookmarkStart w:id="106" w:name="_Toc31834"/>
      <w:bookmarkStart w:id="107" w:name="_Toc7690"/>
      <w:bookmarkStart w:id="108" w:name="_Toc21169"/>
      <w:bookmarkStart w:id="109" w:name="_Toc4669"/>
      <w:r>
        <w:rPr>
          <w:rFonts w:hint="eastAsia" w:cs="宋体"/>
          <w:color w:val="auto"/>
          <w:sz w:val="36"/>
          <w:szCs w:val="36"/>
        </w:rPr>
        <w:t>第六部分</w:t>
      </w:r>
      <w:r>
        <w:rPr>
          <w:color w:val="auto"/>
          <w:sz w:val="36"/>
          <w:szCs w:val="36"/>
        </w:rPr>
        <w:t xml:space="preserve"> </w:t>
      </w:r>
      <w:r>
        <w:rPr>
          <w:rFonts w:hint="eastAsia" w:cs="宋体"/>
          <w:color w:val="auto"/>
          <w:sz w:val="36"/>
          <w:szCs w:val="36"/>
        </w:rPr>
        <w:t>应提交的有关格式范例</w:t>
      </w:r>
      <w:bookmarkEnd w:id="106"/>
      <w:bookmarkEnd w:id="107"/>
      <w:bookmarkEnd w:id="108"/>
      <w:bookmarkEnd w:id="109"/>
    </w:p>
    <w:p>
      <w:pPr>
        <w:spacing w:line="360" w:lineRule="auto"/>
        <w:ind w:firstLine="480" w:firstLineChars="200"/>
        <w:outlineLvl w:val="9"/>
        <w:rPr>
          <w:rFonts w:ascii="宋体"/>
          <w:color w:val="auto"/>
          <w:sz w:val="24"/>
          <w:szCs w:val="24"/>
        </w:rPr>
      </w:pPr>
    </w:p>
    <w:p>
      <w:pPr>
        <w:spacing w:line="360" w:lineRule="auto"/>
        <w:ind w:firstLine="480" w:firstLineChars="200"/>
        <w:rPr>
          <w:rFonts w:ascii="宋体"/>
          <w:color w:val="auto"/>
          <w:sz w:val="24"/>
          <w:szCs w:val="24"/>
        </w:rPr>
      </w:pPr>
      <w:r>
        <w:rPr>
          <w:rFonts w:hint="eastAsia" w:ascii="宋体" w:hAnsi="宋体" w:cs="宋体"/>
          <w:color w:val="auto"/>
          <w:sz w:val="24"/>
          <w:szCs w:val="24"/>
        </w:rPr>
        <w:t>供应商按照以下格式编制响应文件，</w:t>
      </w:r>
      <w:r>
        <w:rPr>
          <w:rFonts w:hint="eastAsia" w:ascii="宋体" w:hAnsi="宋体" w:cs="宋体"/>
          <w:b/>
          <w:bCs/>
          <w:color w:val="auto"/>
          <w:sz w:val="24"/>
          <w:szCs w:val="24"/>
        </w:rPr>
        <w:t>“资格文件”、“商务技术文件”、“报价文件”须分</w:t>
      </w:r>
      <w:r>
        <w:rPr>
          <w:rFonts w:ascii="宋体" w:hAnsi="宋体" w:cs="宋体"/>
          <w:b/>
          <w:bCs/>
          <w:color w:val="auto"/>
          <w:sz w:val="24"/>
          <w:szCs w:val="24"/>
        </w:rPr>
        <w:t>3</w:t>
      </w:r>
      <w:r>
        <w:rPr>
          <w:rFonts w:hint="eastAsia" w:ascii="宋体" w:hAnsi="宋体" w:cs="宋体"/>
          <w:b/>
          <w:bCs/>
          <w:color w:val="auto"/>
          <w:sz w:val="24"/>
          <w:szCs w:val="24"/>
        </w:rPr>
        <w:t>个</w:t>
      </w:r>
      <w:r>
        <w:rPr>
          <w:rFonts w:ascii="宋体" w:hAnsi="宋体" w:cs="宋体"/>
          <w:b/>
          <w:bCs/>
          <w:color w:val="auto"/>
          <w:sz w:val="24"/>
          <w:szCs w:val="24"/>
        </w:rPr>
        <w:t>PDF</w:t>
      </w:r>
      <w:r>
        <w:rPr>
          <w:rFonts w:hint="eastAsia" w:ascii="宋体" w:hAnsi="宋体" w:cs="宋体"/>
          <w:b/>
          <w:bCs/>
          <w:color w:val="auto"/>
          <w:sz w:val="24"/>
          <w:szCs w:val="24"/>
        </w:rPr>
        <w:t>格式分别导入。</w:t>
      </w:r>
    </w:p>
    <w:p>
      <w:pPr>
        <w:spacing w:line="360" w:lineRule="auto"/>
        <w:ind w:firstLine="482" w:firstLineChars="200"/>
        <w:rPr>
          <w:rFonts w:ascii="宋体"/>
          <w:b/>
          <w:bCs/>
          <w:color w:val="auto"/>
          <w:sz w:val="24"/>
          <w:szCs w:val="24"/>
        </w:rPr>
      </w:pPr>
      <w:r>
        <w:rPr>
          <w:rFonts w:hint="eastAsia" w:ascii="宋体" w:hAnsi="宋体" w:cs="宋体"/>
          <w:b/>
          <w:bCs/>
          <w:color w:val="auto"/>
          <w:sz w:val="24"/>
          <w:szCs w:val="24"/>
        </w:rPr>
        <w:t>此格式内容仅为参考模板，具体内容供应商应根据磋商文件要求进行调整。未按以下格式编制响应文件或因格式不规范、页码不清等原因引发的一切后果由供应商自行承担。</w:t>
      </w:r>
    </w:p>
    <w:p>
      <w:pPr>
        <w:spacing w:line="360" w:lineRule="auto"/>
        <w:jc w:val="center"/>
        <w:outlineLvl w:val="1"/>
        <w:rPr>
          <w:rFonts w:ascii="宋体"/>
          <w:b/>
          <w:bCs/>
          <w:color w:val="auto"/>
          <w:sz w:val="36"/>
          <w:szCs w:val="36"/>
        </w:rPr>
      </w:pPr>
      <w:r>
        <w:rPr>
          <w:rFonts w:ascii="宋体"/>
          <w:b/>
          <w:bCs/>
          <w:color w:val="auto"/>
          <w:sz w:val="24"/>
          <w:szCs w:val="24"/>
        </w:rPr>
        <w:br w:type="page"/>
      </w:r>
      <w:bookmarkStart w:id="110" w:name="_Toc1492"/>
      <w:bookmarkStart w:id="111" w:name="_Toc6473"/>
      <w:r>
        <w:rPr>
          <w:rFonts w:hint="eastAsia" w:ascii="宋体" w:hAnsi="宋体" w:cs="宋体"/>
          <w:b/>
          <w:bCs/>
          <w:color w:val="auto"/>
          <w:sz w:val="36"/>
          <w:szCs w:val="36"/>
        </w:rPr>
        <w:t>资格文件部分</w:t>
      </w:r>
      <w:bookmarkEnd w:id="110"/>
      <w:bookmarkEnd w:id="111"/>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r>
        <w:rPr>
          <w:rFonts w:hint="eastAsia" w:ascii="宋体" w:hAnsi="宋体" w:cs="宋体"/>
          <w:b/>
          <w:bCs/>
          <w:color w:val="auto"/>
          <w:sz w:val="36"/>
          <w:szCs w:val="36"/>
        </w:rPr>
        <w:t>目录</w:t>
      </w:r>
    </w:p>
    <w:p>
      <w:pPr>
        <w:spacing w:line="360" w:lineRule="auto"/>
        <w:ind w:firstLine="480" w:firstLineChars="200"/>
        <w:outlineLvl w:val="1"/>
        <w:rPr>
          <w:rFonts w:ascii="宋体"/>
          <w:color w:val="auto"/>
          <w:sz w:val="24"/>
          <w:szCs w:val="24"/>
        </w:rPr>
      </w:pPr>
      <w:bookmarkStart w:id="112" w:name="_Toc32046"/>
      <w:bookmarkStart w:id="113" w:name="_Toc32507"/>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）法定代表人授权书；（格式见附件）</w:t>
      </w:r>
      <w:bookmarkEnd w:id="112"/>
      <w:bookmarkEnd w:id="113"/>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）营业执照</w:t>
      </w:r>
      <w:r>
        <w:rPr>
          <w:rFonts w:ascii="宋体" w:hAnsi="宋体" w:cs="宋体"/>
          <w:color w:val="auto"/>
          <w:sz w:val="24"/>
          <w:szCs w:val="24"/>
        </w:rPr>
        <w:t>(</w:t>
      </w:r>
      <w:r>
        <w:rPr>
          <w:rFonts w:hint="eastAsia" w:ascii="宋体" w:hAnsi="宋体" w:cs="宋体"/>
          <w:color w:val="auto"/>
          <w:sz w:val="24"/>
          <w:szCs w:val="24"/>
        </w:rPr>
        <w:t>或事业法人登记证或其他工商等登记证明材料</w:t>
      </w:r>
      <w:r>
        <w:rPr>
          <w:rFonts w:ascii="宋体" w:hAnsi="宋体" w:cs="宋体"/>
          <w:color w:val="auto"/>
          <w:sz w:val="24"/>
          <w:szCs w:val="24"/>
        </w:rPr>
        <w:t>)</w:t>
      </w:r>
      <w:r>
        <w:rPr>
          <w:rFonts w:hint="eastAsia" w:ascii="宋体" w:hAnsi="宋体" w:cs="宋体"/>
          <w:color w:val="auto"/>
          <w:sz w:val="24"/>
          <w:szCs w:val="24"/>
        </w:rPr>
        <w:t>复印件、税务登记证</w:t>
      </w:r>
      <w:r>
        <w:rPr>
          <w:rFonts w:ascii="宋体" w:hAnsi="宋体" w:cs="宋体"/>
          <w:color w:val="auto"/>
          <w:sz w:val="24"/>
          <w:szCs w:val="24"/>
        </w:rPr>
        <w:t>(</w:t>
      </w:r>
      <w:r>
        <w:rPr>
          <w:rFonts w:hint="eastAsia" w:ascii="宋体" w:hAnsi="宋体" w:cs="宋体"/>
          <w:color w:val="auto"/>
          <w:sz w:val="24"/>
          <w:szCs w:val="24"/>
        </w:rPr>
        <w:t>或其它缴纳证明材料</w:t>
      </w:r>
      <w:r>
        <w:rPr>
          <w:rFonts w:ascii="宋体" w:hAnsi="宋体" w:cs="宋体"/>
          <w:color w:val="auto"/>
          <w:sz w:val="24"/>
          <w:szCs w:val="24"/>
        </w:rPr>
        <w:t>)</w:t>
      </w:r>
      <w:r>
        <w:rPr>
          <w:rFonts w:hint="eastAsia" w:ascii="宋体" w:hAnsi="宋体" w:cs="宋体"/>
          <w:color w:val="auto"/>
          <w:sz w:val="24"/>
          <w:szCs w:val="24"/>
        </w:rPr>
        <w:t>复印件、社保登记证（或其它缴纳证明材料）复印件；实施“五证合一、一照一码”登记制度改革的，只需提供改革后取得的营业执照复印件；事业单位的，则提供有效的《事业单位法人证书》副本复印件并加盖单位公章；</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）具有履行合同所必需的产品和专业技术能力的承诺函；</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）投标人承诺函（格式见附件）；</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5</w:t>
      </w:r>
      <w:r>
        <w:rPr>
          <w:rFonts w:hint="eastAsia" w:ascii="宋体" w:hAnsi="宋体" w:cs="宋体"/>
          <w:color w:val="auto"/>
          <w:sz w:val="24"/>
          <w:szCs w:val="24"/>
        </w:rPr>
        <w:t>）中小企业声明函（格式见附件）；</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（6）残疾人福利性单位声明函(如有)（格式见附件）；</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（7）监狱企业证明文件(如有)（格式见附件）。</w:t>
      </w:r>
    </w:p>
    <w:p>
      <w:pPr>
        <w:pStyle w:val="12"/>
        <w:ind w:firstLine="486"/>
        <w:rPr>
          <w:rFonts w:cs="Times New Roman"/>
          <w:color w:val="auto"/>
        </w:rPr>
      </w:pPr>
    </w:p>
    <w:p>
      <w:pPr>
        <w:pStyle w:val="12"/>
        <w:ind w:firstLine="486"/>
        <w:rPr>
          <w:rFonts w:cs="Times New Roman"/>
          <w:color w:val="auto"/>
        </w:rPr>
      </w:pPr>
    </w:p>
    <w:p>
      <w:pPr>
        <w:rPr>
          <w:rFonts w:ascii="宋体"/>
          <w:color w:val="auto"/>
        </w:rPr>
      </w:pPr>
      <w:r>
        <w:rPr>
          <w:rFonts w:ascii="宋体"/>
          <w:color w:val="auto"/>
        </w:rPr>
        <w:br w:type="page"/>
      </w:r>
      <w:bookmarkStart w:id="114" w:name="_Toc24699"/>
    </w:p>
    <w:p>
      <w:pPr>
        <w:rPr>
          <w:b/>
          <w:bCs/>
          <w:color w:val="auto"/>
          <w:sz w:val="24"/>
          <w:szCs w:val="24"/>
        </w:rPr>
      </w:pPr>
      <w:r>
        <w:rPr>
          <w:rFonts w:hint="eastAsia" w:cs="宋体"/>
          <w:b/>
          <w:bCs/>
          <w:color w:val="auto"/>
          <w:sz w:val="24"/>
          <w:szCs w:val="24"/>
        </w:rPr>
        <w:t>附件一：</w:t>
      </w:r>
    </w:p>
    <w:p>
      <w:pPr>
        <w:spacing w:line="360" w:lineRule="auto"/>
        <w:jc w:val="center"/>
        <w:rPr>
          <w:rFonts w:ascii="宋体"/>
          <w:b/>
          <w:bCs/>
          <w:color w:val="auto"/>
          <w:sz w:val="32"/>
          <w:szCs w:val="32"/>
        </w:rPr>
      </w:pPr>
      <w:r>
        <w:rPr>
          <w:rFonts w:hint="eastAsia" w:ascii="宋体" w:hAnsi="宋体" w:cs="宋体"/>
          <w:b/>
          <w:bCs/>
          <w:color w:val="auto"/>
          <w:sz w:val="32"/>
          <w:szCs w:val="32"/>
        </w:rPr>
        <w:t>法定代表人授权书</w:t>
      </w:r>
      <w:bookmarkEnd w:id="114"/>
    </w:p>
    <w:p>
      <w:pPr>
        <w:pStyle w:val="3"/>
        <w:spacing w:line="360" w:lineRule="auto"/>
        <w:rPr>
          <w:rFonts w:ascii="宋体"/>
          <w:color w:val="auto"/>
        </w:rPr>
      </w:pPr>
    </w:p>
    <w:p>
      <w:pPr>
        <w:spacing w:line="360" w:lineRule="auto"/>
        <w:ind w:firstLine="480" w:firstLineChars="200"/>
        <w:rPr>
          <w:rFonts w:ascii="宋体"/>
          <w:color w:val="auto"/>
          <w:sz w:val="24"/>
          <w:szCs w:val="24"/>
        </w:rPr>
      </w:pPr>
      <w:r>
        <w:rPr>
          <w:rFonts w:hint="eastAsia" w:ascii="宋体" w:hAnsi="宋体" w:cs="宋体"/>
          <w:color w:val="auto"/>
          <w:sz w:val="24"/>
          <w:lang w:eastAsia="zh-CN"/>
        </w:rPr>
        <w:t>绍兴市上虞区综合行政执法局</w:t>
      </w:r>
      <w:r>
        <w:rPr>
          <w:rFonts w:hint="eastAsia" w:ascii="宋体" w:hAnsi="宋体" w:cs="宋体"/>
          <w:color w:val="auto"/>
          <w:sz w:val="24"/>
          <w:szCs w:val="24"/>
        </w:rPr>
        <w:t>：</w:t>
      </w:r>
    </w:p>
    <w:p>
      <w:pPr>
        <w:spacing w:line="360" w:lineRule="auto"/>
        <w:ind w:firstLine="480" w:firstLineChars="200"/>
        <w:rPr>
          <w:rFonts w:ascii="宋体"/>
          <w:color w:val="auto"/>
          <w:sz w:val="24"/>
          <w:szCs w:val="24"/>
        </w:rPr>
      </w:pPr>
      <w:r>
        <w:rPr>
          <w:rFonts w:hint="eastAsia" w:ascii="宋体" w:hAnsi="宋体" w:cs="宋体"/>
          <w:color w:val="auto"/>
          <w:sz w:val="24"/>
          <w:szCs w:val="24"/>
          <w:lang w:eastAsia="zh-CN"/>
        </w:rPr>
        <w:t>浙江省成套工程有限公司</w:t>
      </w:r>
      <w:r>
        <w:rPr>
          <w:rFonts w:hint="eastAsia" w:ascii="宋体" w:hAnsi="宋体" w:cs="宋体"/>
          <w:color w:val="auto"/>
          <w:sz w:val="24"/>
          <w:szCs w:val="24"/>
        </w:rPr>
        <w:t>：</w:t>
      </w:r>
    </w:p>
    <w:p>
      <w:pPr>
        <w:spacing w:line="360" w:lineRule="auto"/>
        <w:ind w:firstLine="480" w:firstLineChars="200"/>
        <w:rPr>
          <w:rFonts w:ascii="宋体"/>
          <w:color w:val="auto"/>
          <w:sz w:val="24"/>
          <w:szCs w:val="24"/>
        </w:rPr>
      </w:pPr>
      <w:r>
        <w:rPr>
          <w:rFonts w:ascii="宋体" w:hAnsi="宋体" w:cs="宋体"/>
          <w:color w:val="auto"/>
          <w:sz w:val="24"/>
          <w:szCs w:val="24"/>
          <w:u w:val="single"/>
        </w:rPr>
        <w:t xml:space="preserve">  </w:t>
      </w:r>
      <w:r>
        <w:rPr>
          <w:rFonts w:hint="eastAsia" w:ascii="宋体" w:hAnsi="宋体" w:cs="宋体"/>
          <w:color w:val="auto"/>
          <w:sz w:val="24"/>
          <w:szCs w:val="24"/>
          <w:u w:val="single"/>
        </w:rPr>
        <w:t>（供应商全称）</w:t>
      </w:r>
      <w:r>
        <w:rPr>
          <w:rFonts w:ascii="宋体" w:hAnsi="宋体" w:cs="宋体"/>
          <w:color w:val="auto"/>
          <w:sz w:val="24"/>
          <w:szCs w:val="24"/>
          <w:u w:val="single"/>
        </w:rPr>
        <w:t xml:space="preserve"> </w:t>
      </w:r>
      <w:r>
        <w:rPr>
          <w:rFonts w:hint="eastAsia" w:ascii="宋体" w:hAnsi="宋体" w:cs="宋体"/>
          <w:color w:val="auto"/>
          <w:sz w:val="24"/>
          <w:szCs w:val="24"/>
        </w:rPr>
        <w:t>法定代表人</w:t>
      </w:r>
      <w:r>
        <w:rPr>
          <w:rFonts w:ascii="宋体" w:hAnsi="宋体" w:cs="宋体"/>
          <w:color w:val="auto"/>
          <w:sz w:val="24"/>
          <w:szCs w:val="24"/>
          <w:u w:val="single"/>
        </w:rPr>
        <w:t xml:space="preserve">         </w:t>
      </w:r>
      <w:r>
        <w:rPr>
          <w:rFonts w:hint="eastAsia" w:ascii="宋体" w:hAnsi="宋体" w:cs="宋体"/>
          <w:color w:val="auto"/>
          <w:sz w:val="24"/>
          <w:szCs w:val="24"/>
        </w:rPr>
        <w:t>授权</w:t>
      </w:r>
      <w:r>
        <w:rPr>
          <w:rFonts w:hint="eastAsia" w:ascii="宋体" w:hAnsi="宋体" w:cs="宋体"/>
          <w:color w:val="auto"/>
          <w:sz w:val="24"/>
          <w:szCs w:val="24"/>
          <w:u w:val="single"/>
        </w:rPr>
        <w:t>（授权代表名称）</w:t>
      </w:r>
      <w:r>
        <w:rPr>
          <w:rFonts w:hint="eastAsia" w:ascii="宋体" w:hAnsi="宋体" w:cs="宋体"/>
          <w:color w:val="auto"/>
          <w:sz w:val="24"/>
          <w:szCs w:val="24"/>
        </w:rPr>
        <w:t>为授权代表，参加贵处组织的</w:t>
      </w:r>
      <w:r>
        <w:rPr>
          <w:rFonts w:ascii="宋体" w:hAnsi="宋体" w:cs="宋体"/>
          <w:color w:val="auto"/>
          <w:sz w:val="24"/>
          <w:szCs w:val="24"/>
          <w:u w:val="single"/>
        </w:rPr>
        <w:t xml:space="preserve">         </w:t>
      </w:r>
      <w:r>
        <w:rPr>
          <w:rFonts w:hint="eastAsia" w:ascii="宋体" w:hAnsi="宋体" w:cs="宋体"/>
          <w:color w:val="auto"/>
          <w:sz w:val="24"/>
          <w:szCs w:val="24"/>
        </w:rPr>
        <w:t>项目</w:t>
      </w:r>
      <w:r>
        <w:rPr>
          <w:rFonts w:hint="eastAsia" w:ascii="宋体" w:hAnsi="宋体" w:cs="宋体"/>
          <w:color w:val="auto"/>
          <w:sz w:val="24"/>
          <w:szCs w:val="24"/>
          <w:u w:val="single"/>
        </w:rPr>
        <w:t>（括号内填写招标编号）</w:t>
      </w:r>
      <w:r>
        <w:rPr>
          <w:rFonts w:hint="eastAsia" w:ascii="宋体" w:hAnsi="宋体" w:cs="宋体"/>
          <w:color w:val="auto"/>
          <w:sz w:val="24"/>
          <w:szCs w:val="24"/>
        </w:rPr>
        <w:t>，授权处理招投标活动中的一切事宜。</w:t>
      </w:r>
    </w:p>
    <w:p>
      <w:pPr>
        <w:spacing w:line="360" w:lineRule="auto"/>
        <w:ind w:firstLine="480" w:firstLineChars="200"/>
        <w:rPr>
          <w:rFonts w:ascii="宋体"/>
          <w:color w:val="auto"/>
          <w:sz w:val="24"/>
          <w:szCs w:val="24"/>
        </w:rPr>
      </w:pPr>
    </w:p>
    <w:p>
      <w:pPr>
        <w:spacing w:line="360" w:lineRule="auto"/>
        <w:ind w:firstLine="480" w:firstLineChars="200"/>
        <w:rPr>
          <w:rFonts w:ascii="宋体"/>
          <w:color w:val="auto"/>
          <w:sz w:val="24"/>
          <w:szCs w:val="24"/>
        </w:rPr>
      </w:pPr>
      <w:r>
        <w:rPr>
          <w:rFonts w:hint="eastAsia" w:ascii="宋体" w:hAnsi="宋体" w:cs="宋体"/>
          <w:color w:val="auto"/>
          <w:sz w:val="24"/>
          <w:szCs w:val="24"/>
        </w:rPr>
        <w:t>法定代表人签字：</w:t>
      </w:r>
    </w:p>
    <w:p>
      <w:pPr>
        <w:spacing w:line="360" w:lineRule="auto"/>
        <w:ind w:firstLine="480" w:firstLineChars="200"/>
        <w:rPr>
          <w:rFonts w:ascii="宋体"/>
          <w:color w:val="auto"/>
          <w:sz w:val="24"/>
          <w:szCs w:val="24"/>
        </w:rPr>
      </w:pPr>
      <w:r>
        <w:rPr>
          <w:rFonts w:hint="eastAsia" w:ascii="宋体" w:hAnsi="宋体" w:cs="宋体"/>
          <w:color w:val="auto"/>
          <w:sz w:val="24"/>
          <w:szCs w:val="24"/>
        </w:rPr>
        <w:t>供应商全称：（盖章）</w:t>
      </w:r>
    </w:p>
    <w:p>
      <w:pPr>
        <w:spacing w:line="360" w:lineRule="auto"/>
        <w:ind w:firstLine="480" w:firstLineChars="200"/>
        <w:rPr>
          <w:rFonts w:ascii="宋体"/>
          <w:color w:val="auto"/>
          <w:sz w:val="24"/>
          <w:szCs w:val="24"/>
        </w:rPr>
      </w:pPr>
      <w:r>
        <w:rPr>
          <w:rFonts w:hint="eastAsia" w:ascii="宋体" w:hAnsi="宋体" w:cs="宋体"/>
          <w:color w:val="auto"/>
          <w:sz w:val="24"/>
          <w:szCs w:val="24"/>
        </w:rPr>
        <w:t>日期：</w:t>
      </w:r>
    </w:p>
    <w:p>
      <w:pPr>
        <w:spacing w:line="360" w:lineRule="auto"/>
        <w:ind w:firstLine="480" w:firstLineChars="200"/>
        <w:rPr>
          <w:rFonts w:ascii="宋体"/>
          <w:color w:val="auto"/>
          <w:sz w:val="24"/>
          <w:szCs w:val="24"/>
        </w:rPr>
      </w:pPr>
      <w:r>
        <w:rPr>
          <w:rFonts w:hint="eastAsia" w:ascii="宋体" w:hAnsi="宋体" w:cs="宋体"/>
          <w:color w:val="auto"/>
          <w:sz w:val="24"/>
          <w:szCs w:val="24"/>
        </w:rPr>
        <w:t>附：</w:t>
      </w:r>
    </w:p>
    <w:p>
      <w:pPr>
        <w:spacing w:line="360" w:lineRule="auto"/>
        <w:ind w:firstLine="480" w:firstLineChars="200"/>
        <w:rPr>
          <w:rFonts w:ascii="宋体"/>
          <w:color w:val="auto"/>
          <w:sz w:val="24"/>
          <w:szCs w:val="24"/>
        </w:rPr>
      </w:pPr>
      <w:r>
        <w:rPr>
          <w:rFonts w:hint="eastAsia" w:ascii="宋体" w:hAnsi="宋体" w:cs="宋体"/>
          <w:color w:val="auto"/>
          <w:sz w:val="24"/>
          <w:szCs w:val="24"/>
        </w:rPr>
        <w:t>授权代表姓名：</w:t>
      </w:r>
    </w:p>
    <w:p>
      <w:pPr>
        <w:spacing w:line="360" w:lineRule="auto"/>
        <w:ind w:firstLine="480" w:firstLineChars="200"/>
        <w:rPr>
          <w:rFonts w:ascii="宋体"/>
          <w:color w:val="auto"/>
          <w:sz w:val="24"/>
          <w:szCs w:val="24"/>
        </w:rPr>
      </w:pPr>
      <w:r>
        <w:rPr>
          <w:rFonts w:hint="eastAsia" w:ascii="宋体" w:hAnsi="宋体" w:cs="宋体"/>
          <w:color w:val="auto"/>
          <w:sz w:val="24"/>
          <w:szCs w:val="24"/>
        </w:rPr>
        <w:t>职务：</w:t>
      </w:r>
    </w:p>
    <w:p>
      <w:pPr>
        <w:spacing w:line="360" w:lineRule="auto"/>
        <w:ind w:firstLine="480" w:firstLineChars="200"/>
        <w:rPr>
          <w:rFonts w:ascii="宋体"/>
          <w:color w:val="auto"/>
          <w:sz w:val="24"/>
          <w:szCs w:val="24"/>
        </w:rPr>
      </w:pPr>
      <w:r>
        <w:rPr>
          <w:rFonts w:hint="eastAsia" w:ascii="宋体" w:hAnsi="宋体" w:cs="宋体"/>
          <w:color w:val="auto"/>
          <w:sz w:val="24"/>
          <w:szCs w:val="24"/>
        </w:rPr>
        <w:t>详细通讯地址：</w:t>
      </w:r>
    </w:p>
    <w:p>
      <w:pPr>
        <w:spacing w:line="360" w:lineRule="auto"/>
        <w:ind w:firstLine="480" w:firstLineChars="200"/>
        <w:rPr>
          <w:rFonts w:ascii="宋体"/>
          <w:color w:val="auto"/>
          <w:sz w:val="24"/>
          <w:szCs w:val="24"/>
        </w:rPr>
      </w:pPr>
      <w:r>
        <w:rPr>
          <w:rFonts w:hint="eastAsia" w:ascii="宋体" w:hAnsi="宋体" w:cs="宋体"/>
          <w:color w:val="auto"/>
          <w:sz w:val="24"/>
          <w:szCs w:val="24"/>
        </w:rPr>
        <w:t>传真：</w:t>
      </w:r>
    </w:p>
    <w:p>
      <w:pPr>
        <w:spacing w:line="360" w:lineRule="auto"/>
        <w:ind w:firstLine="480" w:firstLineChars="200"/>
        <w:rPr>
          <w:rFonts w:ascii="宋体"/>
          <w:color w:val="auto"/>
          <w:sz w:val="24"/>
          <w:szCs w:val="24"/>
        </w:rPr>
      </w:pPr>
      <w:r>
        <w:rPr>
          <w:rFonts w:hint="eastAsia" w:ascii="宋体" w:hAnsi="宋体" w:cs="宋体"/>
          <w:color w:val="auto"/>
          <w:sz w:val="24"/>
          <w:szCs w:val="24"/>
        </w:rPr>
        <w:t>电话：</w:t>
      </w:r>
    </w:p>
    <w:p>
      <w:pPr>
        <w:spacing w:line="360" w:lineRule="auto"/>
        <w:ind w:firstLine="480" w:firstLineChars="200"/>
        <w:rPr>
          <w:rFonts w:ascii="宋体"/>
          <w:color w:val="auto"/>
          <w:sz w:val="24"/>
          <w:szCs w:val="24"/>
        </w:rPr>
      </w:pPr>
      <w:r>
        <w:rPr>
          <w:rFonts w:hint="eastAsia" w:ascii="宋体" w:hAnsi="宋体" w:cs="宋体"/>
          <w:color w:val="auto"/>
          <w:sz w:val="24"/>
          <w:szCs w:val="24"/>
        </w:rPr>
        <w:t>邮政编码：</w:t>
      </w:r>
    </w:p>
    <w:p>
      <w:pPr>
        <w:pStyle w:val="15"/>
        <w:snapToGrid w:val="0"/>
        <w:spacing w:line="360" w:lineRule="auto"/>
        <w:rPr>
          <w:rFonts w:hAnsi="宋体" w:cs="Times New Roman"/>
          <w:color w:val="auto"/>
          <w:sz w:val="24"/>
          <w:szCs w:val="24"/>
        </w:rPr>
      </w:pPr>
    </w:p>
    <w:p>
      <w:pPr>
        <w:pStyle w:val="15"/>
        <w:snapToGrid w:val="0"/>
        <w:spacing w:line="360" w:lineRule="auto"/>
        <w:rPr>
          <w:rFonts w:hAnsi="宋体" w:cs="Times New Roman"/>
          <w:color w:val="auto"/>
          <w:sz w:val="24"/>
          <w:szCs w:val="24"/>
        </w:rPr>
      </w:pPr>
    </w:p>
    <w:p>
      <w:pPr>
        <w:pStyle w:val="15"/>
        <w:snapToGrid w:val="0"/>
        <w:spacing w:line="360" w:lineRule="auto"/>
        <w:rPr>
          <w:rFonts w:hAnsi="宋体" w:cs="Times New Roman"/>
          <w:color w:val="auto"/>
          <w:sz w:val="24"/>
          <w:szCs w:val="24"/>
        </w:rPr>
      </w:pPr>
    </w:p>
    <w:p>
      <w:pPr>
        <w:spacing w:line="360" w:lineRule="auto"/>
        <w:rPr>
          <w:rFonts w:ascii="宋体"/>
          <w:b/>
          <w:bCs/>
          <w:color w:val="auto"/>
          <w:sz w:val="24"/>
          <w:szCs w:val="24"/>
        </w:rPr>
      </w:pPr>
      <w:r>
        <w:rPr>
          <w:rFonts w:hint="eastAsia" w:ascii="宋体" w:hAnsi="宋体" w:cs="宋体"/>
          <w:b/>
          <w:bCs/>
          <w:color w:val="auto"/>
          <w:sz w:val="24"/>
          <w:szCs w:val="24"/>
        </w:rPr>
        <w:t>附：授权代表身份证复印件（正反面）</w:t>
      </w:r>
    </w:p>
    <w:p>
      <w:pPr>
        <w:spacing w:line="360" w:lineRule="auto"/>
        <w:rPr>
          <w:rFonts w:ascii="宋体"/>
          <w:b/>
          <w:bCs/>
          <w:color w:val="auto"/>
          <w:sz w:val="24"/>
          <w:szCs w:val="24"/>
        </w:rPr>
      </w:pPr>
    </w:p>
    <w:p>
      <w:pPr>
        <w:pStyle w:val="12"/>
        <w:ind w:firstLine="486"/>
        <w:rPr>
          <w:rFonts w:cs="Times New Roman"/>
          <w:color w:val="auto"/>
        </w:rPr>
      </w:pPr>
    </w:p>
    <w:p>
      <w:pPr>
        <w:snapToGrid w:val="0"/>
        <w:spacing w:before="50" w:after="120" w:afterLines="50"/>
        <w:jc w:val="left"/>
        <w:rPr>
          <w:rFonts w:ascii="宋体" w:hAnsi="宋体" w:cs="宋体"/>
          <w:b/>
          <w:bCs/>
          <w:color w:val="auto"/>
          <w:sz w:val="24"/>
          <w:lang w:val="zh-CN"/>
        </w:rPr>
      </w:pPr>
      <w:r>
        <w:rPr>
          <w:rFonts w:ascii="宋体"/>
          <w:b/>
          <w:bCs/>
          <w:color w:val="auto"/>
          <w:sz w:val="24"/>
          <w:szCs w:val="24"/>
        </w:rPr>
        <w:br w:type="page"/>
      </w:r>
      <w:r>
        <w:rPr>
          <w:rFonts w:hint="eastAsia" w:ascii="宋体" w:hAnsi="宋体" w:cs="宋体"/>
          <w:b/>
          <w:bCs/>
          <w:color w:val="auto"/>
          <w:sz w:val="24"/>
          <w:lang w:val="zh-CN"/>
        </w:rPr>
        <w:t>附件二：</w:t>
      </w:r>
    </w:p>
    <w:p>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投 标 人 承 诺 函</w:t>
      </w:r>
    </w:p>
    <w:p>
      <w:pPr>
        <w:rPr>
          <w:color w:val="auto"/>
        </w:rPr>
      </w:pPr>
    </w:p>
    <w:p>
      <w:pPr>
        <w:spacing w:line="360" w:lineRule="auto"/>
        <w:ind w:firstLine="480" w:firstLineChars="200"/>
        <w:rPr>
          <w:rFonts w:ascii="宋体" w:hAnsi="宋体" w:cs="宋体"/>
          <w:color w:val="auto"/>
          <w:sz w:val="24"/>
        </w:rPr>
      </w:pPr>
      <w:r>
        <w:rPr>
          <w:rFonts w:hint="eastAsia" w:ascii="宋体" w:hAnsi="宋体" w:cs="宋体"/>
          <w:color w:val="auto"/>
          <w:sz w:val="24"/>
          <w:u w:val="single"/>
          <w:lang w:eastAsia="zh-CN"/>
        </w:rPr>
        <w:t>绍兴市上虞区综合行政执法局</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u w:val="single"/>
          <w:lang w:eastAsia="zh-CN"/>
        </w:rPr>
        <w:t>浙江省成套工程有限公司</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u w:val="single"/>
        </w:rPr>
        <w:t>（投标人名称）</w:t>
      </w:r>
      <w:r>
        <w:rPr>
          <w:rFonts w:hint="eastAsia" w:ascii="宋体" w:hAnsi="宋体" w:cs="宋体"/>
          <w:color w:val="auto"/>
          <w:sz w:val="24"/>
        </w:rPr>
        <w:t>系中华人民共和国合法企业，经营地址。</w:t>
      </w:r>
    </w:p>
    <w:p>
      <w:pPr>
        <w:spacing w:line="360" w:lineRule="auto"/>
        <w:ind w:firstLine="480" w:firstLineChars="200"/>
        <w:rPr>
          <w:rFonts w:ascii="宋体" w:hAnsi="宋体" w:cs="宋体"/>
          <w:color w:val="auto"/>
          <w:sz w:val="24"/>
        </w:rPr>
      </w:pPr>
      <w:r>
        <w:rPr>
          <w:rFonts w:hint="eastAsia" w:ascii="宋体" w:hAnsi="宋体" w:cs="宋体"/>
          <w:color w:val="auto"/>
          <w:sz w:val="24"/>
        </w:rPr>
        <w:t>我</w:t>
      </w:r>
      <w:r>
        <w:rPr>
          <w:rFonts w:hint="eastAsia" w:ascii="宋体" w:hAnsi="宋体" w:cs="宋体"/>
          <w:color w:val="auto"/>
          <w:sz w:val="24"/>
          <w:u w:val="single"/>
        </w:rPr>
        <w:t>（姓名）</w:t>
      </w:r>
      <w:r>
        <w:rPr>
          <w:rFonts w:hint="eastAsia" w:ascii="宋体" w:hAnsi="宋体" w:cs="宋体"/>
          <w:color w:val="auto"/>
          <w:sz w:val="24"/>
        </w:rPr>
        <w:t>系</w:t>
      </w:r>
      <w:r>
        <w:rPr>
          <w:rFonts w:hint="eastAsia" w:ascii="宋体" w:hAnsi="宋体" w:cs="宋体"/>
          <w:color w:val="auto"/>
          <w:sz w:val="24"/>
          <w:u w:val="single"/>
        </w:rPr>
        <w:t>（投标人名称）</w:t>
      </w:r>
      <w:r>
        <w:rPr>
          <w:rFonts w:hint="eastAsia" w:ascii="宋体" w:hAnsi="宋体" w:cs="宋体"/>
          <w:color w:val="auto"/>
          <w:sz w:val="24"/>
        </w:rPr>
        <w:t>的法定代表人，我方愿意参加贵方组织的</w:t>
      </w:r>
      <w:r>
        <w:rPr>
          <w:rFonts w:hint="eastAsia" w:ascii="宋体" w:hAnsi="宋体" w:cs="宋体"/>
          <w:color w:val="auto"/>
          <w:sz w:val="24"/>
          <w:u w:val="single"/>
        </w:rPr>
        <w:t>（招标项目名称）（编号为）</w:t>
      </w:r>
      <w:r>
        <w:rPr>
          <w:rFonts w:hint="eastAsia" w:ascii="宋体" w:hAnsi="宋体" w:cs="宋体"/>
          <w:color w:val="auto"/>
          <w:sz w:val="24"/>
        </w:rPr>
        <w:t>的投标，为此，我方就本次投标有关事项郑重承诺如下：</w:t>
      </w:r>
    </w:p>
    <w:p>
      <w:pPr>
        <w:spacing w:line="360" w:lineRule="auto"/>
        <w:ind w:firstLine="480" w:firstLineChars="200"/>
        <w:rPr>
          <w:rFonts w:ascii="宋体" w:hAnsi="宋体" w:cs="宋体"/>
          <w:color w:val="auto"/>
          <w:sz w:val="24"/>
        </w:rPr>
      </w:pPr>
      <w:r>
        <w:rPr>
          <w:rFonts w:hint="eastAsia" w:ascii="宋体" w:hAnsi="宋体" w:cs="宋体"/>
          <w:color w:val="auto"/>
          <w:sz w:val="24"/>
        </w:rPr>
        <w:t>1、我方已详细审查全部招标文件，同意招标文件的各项要求。</w:t>
      </w:r>
    </w:p>
    <w:p>
      <w:pPr>
        <w:spacing w:line="360" w:lineRule="auto"/>
        <w:ind w:firstLine="480" w:firstLineChars="200"/>
        <w:rPr>
          <w:rFonts w:ascii="宋体" w:hAnsi="宋体" w:cs="宋体"/>
          <w:color w:val="auto"/>
          <w:sz w:val="24"/>
        </w:rPr>
      </w:pPr>
      <w:r>
        <w:rPr>
          <w:rFonts w:hint="eastAsia" w:ascii="宋体" w:hAnsi="宋体" w:cs="宋体"/>
          <w:color w:val="auto"/>
          <w:sz w:val="24"/>
        </w:rPr>
        <w:t>2、我方向贵方提交的所有投标文件、资料都是准确的和真实的。</w:t>
      </w:r>
    </w:p>
    <w:p>
      <w:pPr>
        <w:spacing w:line="360" w:lineRule="auto"/>
        <w:ind w:firstLine="480" w:firstLineChars="200"/>
        <w:rPr>
          <w:rFonts w:ascii="宋体" w:hAnsi="宋体" w:cs="宋体"/>
          <w:color w:val="auto"/>
          <w:sz w:val="24"/>
        </w:rPr>
      </w:pPr>
      <w:r>
        <w:rPr>
          <w:rFonts w:hint="eastAsia" w:ascii="宋体" w:hAnsi="宋体" w:cs="宋体"/>
          <w:color w:val="auto"/>
          <w:sz w:val="24"/>
        </w:rPr>
        <w:t>3、若中标，我方将按招标文件规定履行合同责任和义务。</w:t>
      </w:r>
    </w:p>
    <w:p>
      <w:pPr>
        <w:spacing w:line="360" w:lineRule="auto"/>
        <w:ind w:firstLine="480" w:firstLineChars="200"/>
        <w:rPr>
          <w:rFonts w:ascii="宋体" w:hAnsi="宋体" w:cs="宋体"/>
          <w:color w:val="auto"/>
          <w:sz w:val="24"/>
        </w:rPr>
      </w:pPr>
      <w:r>
        <w:rPr>
          <w:rFonts w:hint="eastAsia" w:ascii="宋体" w:hAnsi="宋体" w:cs="宋体"/>
          <w:color w:val="auto"/>
          <w:sz w:val="24"/>
        </w:rPr>
        <w:t>4、我方不是采购人的附属机构；在获知本项目采购信息后，与采购人聘请的为此项目提供咨询服务的公司及其附属机构没有任何联系。</w:t>
      </w:r>
    </w:p>
    <w:p>
      <w:pPr>
        <w:spacing w:line="360" w:lineRule="auto"/>
        <w:ind w:firstLine="480" w:firstLineChars="200"/>
        <w:rPr>
          <w:rFonts w:ascii="宋体" w:hAnsi="宋体" w:cs="宋体"/>
          <w:color w:val="auto"/>
          <w:sz w:val="24"/>
        </w:rPr>
      </w:pPr>
      <w:r>
        <w:rPr>
          <w:rFonts w:hint="eastAsia" w:ascii="宋体" w:hAnsi="宋体" w:cs="宋体"/>
          <w:color w:val="auto"/>
          <w:sz w:val="24"/>
        </w:rPr>
        <w:t>5、投标文件自开标日起有效期为90天。</w:t>
      </w:r>
    </w:p>
    <w:p>
      <w:pPr>
        <w:spacing w:line="360" w:lineRule="auto"/>
        <w:ind w:firstLine="480" w:firstLineChars="200"/>
        <w:rPr>
          <w:rFonts w:ascii="宋体" w:hAnsi="宋体" w:cs="宋体"/>
          <w:color w:val="auto"/>
          <w:sz w:val="24"/>
        </w:rPr>
      </w:pPr>
      <w:r>
        <w:rPr>
          <w:rFonts w:hint="eastAsia" w:ascii="宋体" w:hAnsi="宋体" w:cs="宋体"/>
          <w:color w:val="auto"/>
          <w:sz w:val="24"/>
        </w:rPr>
        <w:t>6、我方参与本项目前3年内的经营活动中没有重大违法记录；</w:t>
      </w:r>
    </w:p>
    <w:p>
      <w:pPr>
        <w:spacing w:line="360" w:lineRule="auto"/>
        <w:ind w:firstLine="480" w:firstLineChars="200"/>
        <w:rPr>
          <w:rFonts w:ascii="宋体" w:hAnsi="宋体" w:cs="宋体"/>
          <w:color w:val="auto"/>
          <w:sz w:val="24"/>
        </w:rPr>
      </w:pPr>
      <w:r>
        <w:rPr>
          <w:rFonts w:hint="eastAsia" w:ascii="宋体" w:hAnsi="宋体" w:cs="宋体"/>
          <w:color w:val="auto"/>
          <w:sz w:val="24"/>
        </w:rPr>
        <w:t>7、我方通过“信用中国”网站（www.creditchina.gov.cn）、中国政府采购网（www.ccgp.gov.cn）查询，未被列入失信被执行人、重大税收违法案件当事人名单、政府采购严重违法失信行为记录名单。</w:t>
      </w:r>
    </w:p>
    <w:p>
      <w:pPr>
        <w:pStyle w:val="53"/>
        <w:spacing w:before="0"/>
        <w:ind w:firstLine="480"/>
        <w:rPr>
          <w:rFonts w:ascii="宋体" w:hAnsi="宋体" w:cs="宋体"/>
          <w:color w:val="auto"/>
        </w:rPr>
      </w:pPr>
      <w:r>
        <w:rPr>
          <w:rFonts w:hint="eastAsia" w:ascii="宋体" w:hAnsi="宋体" w:cs="宋体"/>
          <w:color w:val="auto"/>
        </w:rPr>
        <w:t>8、具有良好的商业信誉和健全的财务会计制度；</w:t>
      </w:r>
    </w:p>
    <w:p>
      <w:pPr>
        <w:spacing w:line="360" w:lineRule="auto"/>
        <w:ind w:firstLine="480" w:firstLineChars="200"/>
        <w:rPr>
          <w:rFonts w:ascii="宋体" w:hAnsi="宋体" w:cs="宋体"/>
          <w:color w:val="auto"/>
          <w:sz w:val="24"/>
        </w:rPr>
      </w:pPr>
      <w:r>
        <w:rPr>
          <w:rFonts w:hint="eastAsia" w:ascii="宋体" w:hAnsi="宋体" w:cs="宋体"/>
          <w:color w:val="auto"/>
          <w:sz w:val="24"/>
        </w:rPr>
        <w:t>9、具有依法缴纳税收和社会保障资金的良好记录；</w:t>
      </w:r>
    </w:p>
    <w:p>
      <w:pPr>
        <w:spacing w:line="360" w:lineRule="auto"/>
        <w:ind w:firstLine="480" w:firstLineChars="200"/>
        <w:rPr>
          <w:rFonts w:ascii="宋体" w:hAnsi="宋体" w:cs="宋体"/>
          <w:color w:val="auto"/>
          <w:sz w:val="24"/>
        </w:rPr>
      </w:pPr>
      <w:r>
        <w:rPr>
          <w:rFonts w:hint="eastAsia" w:ascii="宋体" w:hAnsi="宋体" w:cs="宋体"/>
          <w:color w:val="auto"/>
          <w:sz w:val="24"/>
        </w:rPr>
        <w:t>10、以上事项如有虚假或隐瞒，我方愿意承担一切后果，并不再寻求任何旨在减轻或免除法律责任的辩解。</w:t>
      </w:r>
    </w:p>
    <w:p>
      <w:pPr>
        <w:spacing w:line="360" w:lineRule="auto"/>
        <w:ind w:firstLine="480" w:firstLineChars="200"/>
        <w:rPr>
          <w:rFonts w:ascii="宋体" w:hAnsi="宋体" w:cs="宋体"/>
          <w:color w:val="auto"/>
          <w:sz w:val="24"/>
        </w:rPr>
      </w:pPr>
    </w:p>
    <w:p>
      <w:pPr>
        <w:pStyle w:val="12"/>
        <w:ind w:left="5000"/>
        <w:rPr>
          <w:color w:val="auto"/>
        </w:rPr>
      </w:pPr>
    </w:p>
    <w:p>
      <w:pPr>
        <w:spacing w:line="360" w:lineRule="auto"/>
        <w:ind w:left="3600" w:leftChars="1800" w:firstLine="480" w:firstLineChars="200"/>
        <w:rPr>
          <w:rFonts w:ascii="宋体" w:hAnsi="宋体" w:cs="宋体"/>
          <w:color w:val="auto"/>
          <w:sz w:val="24"/>
        </w:rPr>
      </w:pPr>
      <w:r>
        <w:rPr>
          <w:rFonts w:hint="eastAsia" w:ascii="宋体" w:hAnsi="宋体" w:cs="宋体"/>
          <w:color w:val="auto"/>
          <w:sz w:val="24"/>
        </w:rPr>
        <w:t xml:space="preserve">法定代表人签名（或签名章）：                       </w:t>
      </w:r>
    </w:p>
    <w:p>
      <w:pPr>
        <w:spacing w:line="360" w:lineRule="auto"/>
        <w:ind w:left="3600" w:leftChars="1800" w:firstLine="480" w:firstLineChars="200"/>
        <w:rPr>
          <w:rFonts w:ascii="宋体" w:hAnsi="宋体" w:cs="宋体"/>
          <w:color w:val="auto"/>
          <w:sz w:val="24"/>
        </w:rPr>
      </w:pPr>
      <w:r>
        <w:rPr>
          <w:rFonts w:hint="eastAsia" w:ascii="宋体" w:hAnsi="宋体" w:cs="宋体"/>
          <w:color w:val="auto"/>
          <w:sz w:val="24"/>
        </w:rPr>
        <w:t>日 期：</w:t>
      </w:r>
    </w:p>
    <w:p>
      <w:pPr>
        <w:spacing w:line="360" w:lineRule="auto"/>
        <w:ind w:left="3600" w:leftChars="1800" w:firstLine="480" w:firstLineChars="200"/>
        <w:rPr>
          <w:rFonts w:ascii="宋体" w:hAnsi="宋体" w:cs="宋体"/>
          <w:color w:val="auto"/>
          <w:sz w:val="24"/>
        </w:rPr>
      </w:pPr>
      <w:r>
        <w:rPr>
          <w:rFonts w:hint="eastAsia" w:ascii="宋体" w:hAnsi="宋体" w:cs="宋体"/>
          <w:color w:val="auto"/>
          <w:sz w:val="24"/>
        </w:rPr>
        <w:t>投标人全称（公章）：</w:t>
      </w:r>
    </w:p>
    <w:p>
      <w:pPr>
        <w:spacing w:line="360" w:lineRule="auto"/>
        <w:rPr>
          <w:rFonts w:ascii="宋体"/>
          <w:b/>
          <w:bCs/>
          <w:color w:val="auto"/>
          <w:sz w:val="36"/>
          <w:szCs w:val="36"/>
        </w:rPr>
      </w:pPr>
    </w:p>
    <w:p>
      <w:pPr>
        <w:pStyle w:val="2"/>
        <w:outlineLvl w:val="9"/>
        <w:rPr>
          <w:color w:val="auto"/>
        </w:rPr>
      </w:pPr>
    </w:p>
    <w:p>
      <w:pPr>
        <w:spacing w:line="360" w:lineRule="auto"/>
        <w:jc w:val="left"/>
        <w:rPr>
          <w:rFonts w:ascii="宋体"/>
          <w:b/>
          <w:bCs/>
          <w:color w:val="auto"/>
          <w:sz w:val="32"/>
          <w:szCs w:val="32"/>
        </w:rPr>
      </w:pPr>
      <w:r>
        <w:rPr>
          <w:rFonts w:hint="eastAsia" w:ascii="宋体" w:hAnsi="宋体" w:cs="宋体"/>
          <w:b/>
          <w:bCs/>
          <w:color w:val="auto"/>
          <w:sz w:val="24"/>
          <w:szCs w:val="24"/>
          <w:lang w:val="zh-CN"/>
        </w:rPr>
        <w:t>附件三：</w:t>
      </w:r>
    </w:p>
    <w:p>
      <w:pPr>
        <w:spacing w:line="360" w:lineRule="auto"/>
        <w:jc w:val="center"/>
        <w:rPr>
          <w:rFonts w:ascii="宋体"/>
          <w:b/>
          <w:bCs/>
          <w:color w:val="auto"/>
          <w:sz w:val="32"/>
          <w:szCs w:val="32"/>
        </w:rPr>
      </w:pPr>
      <w:r>
        <w:rPr>
          <w:rFonts w:hint="eastAsia" w:ascii="宋体" w:hAnsi="宋体" w:cs="宋体"/>
          <w:b/>
          <w:bCs/>
          <w:color w:val="auto"/>
          <w:sz w:val="32"/>
          <w:szCs w:val="32"/>
        </w:rPr>
        <w:t>中小企业声明函</w:t>
      </w:r>
    </w:p>
    <w:p>
      <w:pPr>
        <w:widowControl/>
        <w:snapToGrid w:val="0"/>
        <w:spacing w:line="324" w:lineRule="auto"/>
        <w:ind w:firstLine="480" w:firstLineChars="200"/>
        <w:jc w:val="center"/>
        <w:rPr>
          <w:rFonts w:ascii="宋体"/>
          <w:color w:val="auto"/>
          <w:sz w:val="24"/>
          <w:szCs w:val="24"/>
        </w:rPr>
      </w:pPr>
      <w:r>
        <w:rPr>
          <w:rFonts w:hint="eastAsia" w:ascii="宋体" w:hAnsi="宋体" w:cs="宋体"/>
          <w:color w:val="auto"/>
          <w:sz w:val="24"/>
          <w:szCs w:val="24"/>
        </w:rPr>
        <w:t>【不属于中小企业的无需填写、递交】</w:t>
      </w:r>
    </w:p>
    <w:p>
      <w:pPr>
        <w:spacing w:line="288" w:lineRule="auto"/>
        <w:ind w:firstLine="480" w:firstLineChars="200"/>
        <w:jc w:val="left"/>
        <w:rPr>
          <w:rFonts w:ascii="宋体" w:hAnsi="宋体" w:cs="宋体"/>
          <w:color w:val="auto"/>
          <w:sz w:val="24"/>
          <w:szCs w:val="24"/>
        </w:rPr>
      </w:pPr>
      <w:r>
        <w:rPr>
          <w:rFonts w:hint="eastAsia" w:ascii="宋体" w:hAnsi="宋体" w:cs="宋体"/>
          <w:color w:val="auto"/>
          <w:sz w:val="24"/>
          <w:szCs w:val="24"/>
        </w:rPr>
        <w:t>本公司（联合体）郑重声明，根据《政府采购促进中小企业发展管理办法》 （财库﹝2020﹞46 号）的规定，本公司（联合体）参加</w:t>
      </w:r>
      <w:r>
        <w:rPr>
          <w:rFonts w:hint="eastAsia" w:ascii="宋体" w:hAnsi="宋体" w:cs="宋体"/>
          <w:color w:val="auto"/>
          <w:sz w:val="24"/>
          <w:szCs w:val="24"/>
          <w:u w:val="single"/>
        </w:rPr>
        <w:t xml:space="preserve"> （采购人名称） </w:t>
      </w:r>
      <w:r>
        <w:rPr>
          <w:rFonts w:hint="eastAsia" w:ascii="宋体" w:hAnsi="宋体" w:cs="宋体"/>
          <w:color w:val="auto"/>
          <w:sz w:val="24"/>
          <w:szCs w:val="24"/>
        </w:rPr>
        <w:t>的</w:t>
      </w:r>
      <w:r>
        <w:rPr>
          <w:rFonts w:hint="eastAsia" w:ascii="宋体" w:hAnsi="宋体" w:cs="宋体"/>
          <w:color w:val="auto"/>
          <w:sz w:val="24"/>
          <w:szCs w:val="24"/>
          <w:u w:val="single"/>
        </w:rPr>
        <w:t xml:space="preserve"> （项目名称）     </w:t>
      </w:r>
      <w:r>
        <w:rPr>
          <w:rFonts w:hint="eastAsia" w:ascii="宋体" w:hAnsi="宋体" w:cs="宋体"/>
          <w:color w:val="auto"/>
          <w:sz w:val="24"/>
          <w:szCs w:val="24"/>
        </w:rPr>
        <w:t>采购活动，服务全部由符合政策要求的中小企业承接。相关企业（含联合体中的中小企业、签订分包意向协议的中小企业）的具体情况如下：</w:t>
      </w:r>
    </w:p>
    <w:p>
      <w:pPr>
        <w:spacing w:line="288" w:lineRule="auto"/>
        <w:jc w:val="left"/>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u w:val="single"/>
        </w:rPr>
        <w:t xml:space="preserve">  （项目名称）</w:t>
      </w:r>
      <w:r>
        <w:rPr>
          <w:rFonts w:hint="eastAsia" w:ascii="宋体" w:hAnsi="宋体" w:cs="宋体"/>
          <w:color w:val="auto"/>
          <w:sz w:val="24"/>
          <w:szCs w:val="24"/>
        </w:rPr>
        <w:t>，属于</w:t>
      </w:r>
      <w:r>
        <w:rPr>
          <w:rFonts w:hint="eastAsia" w:ascii="宋体" w:hAnsi="宋体" w:cs="宋体"/>
          <w:color w:val="auto"/>
          <w:sz w:val="24"/>
          <w:szCs w:val="24"/>
          <w:u w:val="single"/>
        </w:rPr>
        <w:t xml:space="preserve">    软件和信息技术服务业  </w:t>
      </w:r>
      <w:r>
        <w:rPr>
          <w:rFonts w:ascii="宋体" w:hAnsi="宋体" w:cs="宋体"/>
          <w:color w:val="auto"/>
          <w:sz w:val="24"/>
          <w:szCs w:val="24"/>
          <w:u w:val="single"/>
        </w:rPr>
        <w:t xml:space="preserve">    </w:t>
      </w:r>
      <w:r>
        <w:rPr>
          <w:rFonts w:hint="eastAsia" w:ascii="宋体" w:hAnsi="宋体" w:cs="宋体"/>
          <w:color w:val="auto"/>
          <w:sz w:val="24"/>
          <w:szCs w:val="24"/>
        </w:rPr>
        <w:t>；承建（承接）企业为</w:t>
      </w:r>
      <w:r>
        <w:rPr>
          <w:rFonts w:hint="eastAsia" w:ascii="宋体" w:hAnsi="宋体" w:cs="宋体"/>
          <w:color w:val="auto"/>
          <w:sz w:val="24"/>
          <w:szCs w:val="24"/>
          <w:u w:val="single"/>
        </w:rPr>
        <w:t xml:space="preserve">           （企业名称） </w:t>
      </w:r>
      <w:r>
        <w:rPr>
          <w:rFonts w:hint="eastAsia" w:ascii="宋体" w:hAnsi="宋体" w:cs="宋体"/>
          <w:color w:val="auto"/>
          <w:sz w:val="24"/>
          <w:szCs w:val="24"/>
        </w:rPr>
        <w:t>，从业人员</w:t>
      </w:r>
      <w:r>
        <w:rPr>
          <w:rFonts w:hint="eastAsia" w:ascii="宋体" w:hAnsi="宋体" w:cs="宋体"/>
          <w:color w:val="auto"/>
          <w:sz w:val="24"/>
          <w:szCs w:val="24"/>
          <w:u w:val="single"/>
        </w:rPr>
        <w:t xml:space="preserve">   </w:t>
      </w:r>
      <w:r>
        <w:rPr>
          <w:rFonts w:hint="eastAsia" w:ascii="宋体" w:hAnsi="宋体" w:cs="宋体"/>
          <w:color w:val="auto"/>
          <w:sz w:val="24"/>
          <w:szCs w:val="24"/>
        </w:rPr>
        <w:t>人，营业收入为</w:t>
      </w:r>
      <w:r>
        <w:rPr>
          <w:rFonts w:hint="eastAsia" w:ascii="宋体" w:hAnsi="宋体" w:cs="宋体"/>
          <w:color w:val="auto"/>
          <w:sz w:val="24"/>
          <w:szCs w:val="24"/>
          <w:u w:val="single"/>
        </w:rPr>
        <w:t xml:space="preserve">  </w:t>
      </w:r>
      <w:r>
        <w:rPr>
          <w:rFonts w:hint="eastAsia" w:ascii="宋体" w:hAnsi="宋体" w:cs="宋体"/>
          <w:color w:val="auto"/>
          <w:sz w:val="24"/>
          <w:szCs w:val="24"/>
        </w:rPr>
        <w:t>万元，资产总额为</w:t>
      </w:r>
      <w:r>
        <w:rPr>
          <w:rFonts w:hint="eastAsia" w:ascii="宋体" w:hAnsi="宋体" w:cs="宋体"/>
          <w:color w:val="auto"/>
          <w:sz w:val="24"/>
          <w:szCs w:val="24"/>
          <w:u w:val="single"/>
        </w:rPr>
        <w:t xml:space="preserve">  </w:t>
      </w:r>
      <w:r>
        <w:rPr>
          <w:rFonts w:hint="eastAsia" w:ascii="宋体" w:hAnsi="宋体" w:cs="宋体"/>
          <w:color w:val="auto"/>
          <w:sz w:val="24"/>
          <w:szCs w:val="24"/>
        </w:rPr>
        <w:t>万元 ，属于</w:t>
      </w:r>
      <w:r>
        <w:rPr>
          <w:rFonts w:hint="eastAsia" w:ascii="宋体" w:hAnsi="宋体" w:cs="宋体"/>
          <w:color w:val="auto"/>
          <w:sz w:val="24"/>
          <w:szCs w:val="24"/>
          <w:u w:val="single"/>
        </w:rPr>
        <w:t xml:space="preserve">       （中型企业、小型企业、微型企业）</w:t>
      </w:r>
      <w:r>
        <w:rPr>
          <w:rFonts w:hint="eastAsia" w:ascii="宋体" w:hAnsi="宋体" w:cs="宋体"/>
          <w:color w:val="auto"/>
          <w:sz w:val="24"/>
          <w:szCs w:val="24"/>
        </w:rPr>
        <w:t xml:space="preserve"> ；</w:t>
      </w:r>
    </w:p>
    <w:p>
      <w:pPr>
        <w:spacing w:line="288" w:lineRule="auto"/>
        <w:ind w:firstLine="480" w:firstLineChars="200"/>
        <w:jc w:val="left"/>
        <w:rPr>
          <w:rFonts w:ascii="宋体" w:hAnsi="宋体" w:cs="宋体"/>
          <w:color w:val="auto"/>
          <w:sz w:val="24"/>
          <w:szCs w:val="24"/>
        </w:rPr>
      </w:pPr>
      <w:r>
        <w:rPr>
          <w:rFonts w:hint="eastAsia" w:ascii="宋体" w:hAnsi="宋体" w:cs="宋体"/>
          <w:color w:val="auto"/>
          <w:sz w:val="24"/>
          <w:szCs w:val="24"/>
        </w:rPr>
        <w:t>……</w:t>
      </w:r>
    </w:p>
    <w:p>
      <w:pPr>
        <w:spacing w:line="288" w:lineRule="auto"/>
        <w:ind w:firstLine="480" w:firstLineChars="200"/>
        <w:jc w:val="left"/>
        <w:rPr>
          <w:rFonts w:ascii="宋体" w:hAnsi="宋体" w:cs="宋体"/>
          <w:color w:val="auto"/>
          <w:sz w:val="24"/>
          <w:szCs w:val="24"/>
        </w:rPr>
      </w:pPr>
      <w:r>
        <w:rPr>
          <w:rFonts w:hint="eastAsia" w:ascii="宋体" w:hAnsi="宋体" w:cs="宋体"/>
          <w:color w:val="auto"/>
          <w:sz w:val="24"/>
          <w:szCs w:val="24"/>
        </w:rPr>
        <w:t>以上企业，不属于大企业的分支机构，不存在控股股东为大企业的情形，也不存在与大企业的负责人为同一人的情形。</w:t>
      </w:r>
    </w:p>
    <w:p>
      <w:pPr>
        <w:spacing w:line="288" w:lineRule="auto"/>
        <w:ind w:firstLine="480" w:firstLineChars="200"/>
        <w:jc w:val="left"/>
        <w:rPr>
          <w:rFonts w:ascii="宋体" w:hAnsi="宋体" w:cs="宋体"/>
          <w:color w:val="auto"/>
          <w:sz w:val="24"/>
          <w:szCs w:val="24"/>
        </w:rPr>
      </w:pPr>
      <w:r>
        <w:rPr>
          <w:rFonts w:hint="eastAsia" w:ascii="宋体" w:hAnsi="宋体" w:cs="宋体"/>
          <w:color w:val="auto"/>
          <w:sz w:val="24"/>
          <w:szCs w:val="24"/>
        </w:rPr>
        <w:t>本企业对上述声明内容的真实性负责。如有虚假，将依法承担相应责任。</w:t>
      </w:r>
    </w:p>
    <w:p>
      <w:pPr>
        <w:spacing w:line="288" w:lineRule="auto"/>
        <w:ind w:right="420" w:firstLine="4320" w:firstLineChars="1800"/>
        <w:rPr>
          <w:rFonts w:ascii="宋体" w:hAnsi="宋体" w:cs="宋体"/>
          <w:color w:val="auto"/>
          <w:sz w:val="24"/>
          <w:szCs w:val="24"/>
        </w:rPr>
      </w:pPr>
    </w:p>
    <w:p>
      <w:pPr>
        <w:spacing w:line="288" w:lineRule="auto"/>
        <w:ind w:right="420" w:firstLine="4320" w:firstLineChars="1800"/>
        <w:rPr>
          <w:rFonts w:ascii="宋体" w:hAnsi="宋体" w:cs="宋体"/>
          <w:color w:val="auto"/>
          <w:sz w:val="24"/>
          <w:szCs w:val="24"/>
        </w:rPr>
      </w:pPr>
    </w:p>
    <w:p>
      <w:pPr>
        <w:spacing w:line="288" w:lineRule="auto"/>
        <w:ind w:right="420" w:firstLine="4800" w:firstLineChars="2000"/>
        <w:rPr>
          <w:rFonts w:ascii="宋体" w:hAnsi="宋体" w:cs="宋体"/>
          <w:color w:val="auto"/>
          <w:sz w:val="24"/>
          <w:szCs w:val="24"/>
        </w:rPr>
      </w:pPr>
      <w:r>
        <w:rPr>
          <w:rFonts w:hint="eastAsia" w:ascii="宋体" w:hAnsi="宋体" w:cs="宋体"/>
          <w:color w:val="auto"/>
          <w:sz w:val="24"/>
          <w:szCs w:val="24"/>
        </w:rPr>
        <w:t xml:space="preserve">企业名称（盖章）： </w:t>
      </w:r>
    </w:p>
    <w:p>
      <w:pPr>
        <w:spacing w:line="288" w:lineRule="auto"/>
        <w:ind w:left="3600" w:leftChars="1800" w:firstLine="960" w:firstLineChars="400"/>
        <w:rPr>
          <w:rFonts w:ascii="宋体" w:hAnsi="宋体" w:cs="宋体"/>
          <w:color w:val="auto"/>
          <w:sz w:val="24"/>
          <w:szCs w:val="24"/>
        </w:rPr>
      </w:pPr>
      <w:r>
        <w:rPr>
          <w:rFonts w:hint="eastAsia" w:ascii="宋体" w:hAnsi="宋体" w:cs="宋体"/>
          <w:color w:val="auto"/>
          <w:sz w:val="24"/>
          <w:szCs w:val="24"/>
        </w:rPr>
        <w:t>日期：   年     月     日</w:t>
      </w:r>
    </w:p>
    <w:p>
      <w:pPr>
        <w:pStyle w:val="3"/>
        <w:spacing w:line="288" w:lineRule="auto"/>
        <w:rPr>
          <w:rFonts w:ascii="宋体" w:hAnsi="宋体" w:cs="宋体"/>
          <w:color w:val="auto"/>
          <w:sz w:val="24"/>
          <w:szCs w:val="24"/>
        </w:rPr>
      </w:pPr>
    </w:p>
    <w:p>
      <w:pPr>
        <w:spacing w:line="288" w:lineRule="auto"/>
        <w:ind w:firstLine="480" w:firstLineChars="200"/>
        <w:jc w:val="left"/>
        <w:rPr>
          <w:rFonts w:ascii="宋体" w:hAnsi="宋体" w:cs="宋体"/>
          <w:color w:val="auto"/>
          <w:sz w:val="24"/>
          <w:szCs w:val="24"/>
        </w:rPr>
      </w:pPr>
    </w:p>
    <w:p>
      <w:pPr>
        <w:spacing w:line="288" w:lineRule="auto"/>
        <w:ind w:firstLine="480" w:firstLineChars="200"/>
        <w:jc w:val="left"/>
        <w:rPr>
          <w:rFonts w:ascii="宋体" w:hAnsi="宋体" w:cs="宋体"/>
          <w:color w:val="auto"/>
          <w:sz w:val="24"/>
          <w:szCs w:val="24"/>
        </w:rPr>
      </w:pPr>
    </w:p>
    <w:p>
      <w:pPr>
        <w:spacing w:line="288" w:lineRule="auto"/>
        <w:ind w:firstLine="480" w:firstLineChars="200"/>
        <w:jc w:val="left"/>
        <w:rPr>
          <w:rFonts w:ascii="宋体" w:hAnsi="宋体" w:cs="宋体"/>
          <w:color w:val="auto"/>
          <w:sz w:val="24"/>
          <w:szCs w:val="24"/>
        </w:rPr>
      </w:pPr>
    </w:p>
    <w:p>
      <w:pPr>
        <w:spacing w:line="288" w:lineRule="auto"/>
        <w:ind w:firstLine="480" w:firstLineChars="200"/>
        <w:jc w:val="left"/>
        <w:rPr>
          <w:rFonts w:ascii="宋体" w:hAnsi="宋体" w:cs="宋体"/>
          <w:color w:val="auto"/>
          <w:sz w:val="24"/>
          <w:szCs w:val="24"/>
        </w:rPr>
      </w:pPr>
      <w:r>
        <w:rPr>
          <w:rFonts w:hint="eastAsia" w:ascii="宋体" w:hAnsi="宋体" w:cs="宋体"/>
          <w:color w:val="auto"/>
          <w:sz w:val="24"/>
          <w:szCs w:val="24"/>
        </w:rPr>
        <w:t>注：从业人员、营业收入、资产总额填报上一年度数据，无上一年度数据的新成立企业可不填报。</w:t>
      </w:r>
    </w:p>
    <w:p>
      <w:pPr>
        <w:widowControl/>
        <w:snapToGrid w:val="0"/>
        <w:spacing w:line="324" w:lineRule="auto"/>
        <w:ind w:firstLine="480" w:firstLineChars="200"/>
        <w:jc w:val="left"/>
        <w:rPr>
          <w:rFonts w:ascii="宋体"/>
          <w:color w:val="auto"/>
          <w:sz w:val="24"/>
          <w:szCs w:val="24"/>
        </w:rPr>
      </w:pPr>
    </w:p>
    <w:p>
      <w:pPr>
        <w:pStyle w:val="2"/>
        <w:spacing w:line="360" w:lineRule="auto"/>
        <w:jc w:val="center"/>
        <w:outlineLvl w:val="9"/>
        <w:rPr>
          <w:rFonts w:hAnsi="宋体" w:cs="Times New Roman"/>
          <w:color w:val="auto"/>
          <w:sz w:val="24"/>
          <w:szCs w:val="24"/>
        </w:rPr>
      </w:pPr>
    </w:p>
    <w:p>
      <w:pPr>
        <w:pStyle w:val="2"/>
        <w:spacing w:line="360" w:lineRule="auto"/>
        <w:jc w:val="center"/>
        <w:outlineLvl w:val="9"/>
        <w:rPr>
          <w:rFonts w:hAnsi="宋体" w:cs="Times New Roman"/>
          <w:color w:val="auto"/>
          <w:sz w:val="24"/>
          <w:szCs w:val="24"/>
        </w:rPr>
      </w:pPr>
    </w:p>
    <w:p>
      <w:pPr>
        <w:jc w:val="center"/>
        <w:rPr>
          <w:color w:val="auto"/>
          <w:lang w:val="zh-CN"/>
        </w:rPr>
      </w:pPr>
      <w:bookmarkStart w:id="115" w:name="_Toc30916"/>
      <w:bookmarkStart w:id="116" w:name="_Toc3295"/>
      <w:bookmarkStart w:id="117" w:name="_Toc2071"/>
      <w:r>
        <w:rPr>
          <w:rFonts w:hAnsi="宋体"/>
          <w:color w:val="auto"/>
        </w:rPr>
        <w:br w:type="page"/>
      </w:r>
      <w:bookmarkEnd w:id="115"/>
      <w:bookmarkEnd w:id="116"/>
      <w:bookmarkEnd w:id="117"/>
    </w:p>
    <w:p>
      <w:pPr>
        <w:rPr>
          <w:b/>
          <w:bCs/>
          <w:color w:val="auto"/>
          <w:sz w:val="24"/>
          <w:szCs w:val="24"/>
          <w:lang w:val="zh-CN"/>
        </w:rPr>
      </w:pPr>
      <w:bookmarkStart w:id="118" w:name="_Toc16150"/>
      <w:bookmarkStart w:id="119" w:name="_Toc9715"/>
      <w:bookmarkStart w:id="120" w:name="_Toc25017"/>
      <w:bookmarkStart w:id="121" w:name="_Toc31472"/>
      <w:r>
        <w:rPr>
          <w:rFonts w:hint="eastAsia" w:cs="宋体"/>
          <w:b/>
          <w:bCs/>
          <w:color w:val="auto"/>
          <w:sz w:val="24"/>
          <w:szCs w:val="24"/>
          <w:lang w:val="zh-CN"/>
        </w:rPr>
        <w:t>附件四</w:t>
      </w:r>
      <w:r>
        <w:rPr>
          <w:rFonts w:hint="eastAsia" w:cs="宋体"/>
          <w:b/>
          <w:bCs/>
          <w:color w:val="auto"/>
          <w:sz w:val="24"/>
          <w:szCs w:val="24"/>
        </w:rPr>
        <w:t>：</w:t>
      </w:r>
    </w:p>
    <w:p>
      <w:pPr>
        <w:spacing w:line="360" w:lineRule="auto"/>
        <w:jc w:val="center"/>
        <w:rPr>
          <w:rFonts w:ascii="宋体"/>
          <w:b/>
          <w:bCs/>
          <w:color w:val="auto"/>
          <w:sz w:val="32"/>
          <w:szCs w:val="32"/>
        </w:rPr>
      </w:pPr>
      <w:r>
        <w:rPr>
          <w:rFonts w:hint="eastAsia" w:ascii="宋体" w:hAnsi="宋体" w:cs="宋体"/>
          <w:b/>
          <w:bCs/>
          <w:color w:val="auto"/>
          <w:sz w:val="32"/>
          <w:szCs w:val="32"/>
        </w:rPr>
        <w:t>残疾人福利性单位声明函</w:t>
      </w:r>
      <w:bookmarkEnd w:id="118"/>
      <w:bookmarkEnd w:id="119"/>
      <w:bookmarkEnd w:id="120"/>
      <w:bookmarkEnd w:id="121"/>
    </w:p>
    <w:p>
      <w:pPr>
        <w:widowControl/>
        <w:snapToGrid w:val="0"/>
        <w:spacing w:line="324" w:lineRule="auto"/>
        <w:ind w:firstLine="480" w:firstLineChars="200"/>
        <w:jc w:val="center"/>
        <w:rPr>
          <w:rFonts w:ascii="宋体"/>
          <w:color w:val="auto"/>
          <w:sz w:val="24"/>
          <w:szCs w:val="24"/>
        </w:rPr>
      </w:pPr>
      <w:r>
        <w:rPr>
          <w:rFonts w:hint="eastAsia" w:ascii="宋体" w:hAnsi="宋体" w:cs="宋体"/>
          <w:color w:val="auto"/>
          <w:sz w:val="24"/>
          <w:szCs w:val="24"/>
        </w:rPr>
        <w:t>【不属于残疾人福利性单位的无需填写、递交】</w:t>
      </w:r>
    </w:p>
    <w:p>
      <w:pPr>
        <w:spacing w:line="588" w:lineRule="exact"/>
        <w:rPr>
          <w:rFonts w:ascii="宋体"/>
          <w:b/>
          <w:bCs/>
          <w:color w:val="auto"/>
          <w:spacing w:val="6"/>
          <w:sz w:val="30"/>
          <w:szCs w:val="30"/>
        </w:rPr>
      </w:pPr>
    </w:p>
    <w:p>
      <w:pPr>
        <w:spacing w:line="588" w:lineRule="exact"/>
        <w:ind w:firstLine="480" w:firstLineChars="200"/>
        <w:rPr>
          <w:rFonts w:ascii="宋体"/>
          <w:color w:val="auto"/>
          <w:sz w:val="24"/>
          <w:szCs w:val="24"/>
        </w:rPr>
      </w:pPr>
      <w:r>
        <w:rPr>
          <w:rFonts w:hint="eastAsia" w:ascii="宋体" w:hAnsi="宋体" w:cs="宋体"/>
          <w:color w:val="auto"/>
          <w:sz w:val="24"/>
          <w:szCs w:val="24"/>
        </w:rPr>
        <w:t>本单位郑重声明，根据《财政部</w:t>
      </w:r>
      <w:r>
        <w:rPr>
          <w:rFonts w:ascii="宋体" w:hAnsi="宋体" w:cs="宋体"/>
          <w:color w:val="auto"/>
          <w:sz w:val="24"/>
          <w:szCs w:val="24"/>
        </w:rPr>
        <w:t xml:space="preserve"> </w:t>
      </w:r>
      <w:r>
        <w:rPr>
          <w:rFonts w:hint="eastAsia" w:ascii="宋体" w:hAnsi="宋体" w:cs="宋体"/>
          <w:color w:val="auto"/>
          <w:sz w:val="24"/>
          <w:szCs w:val="24"/>
        </w:rPr>
        <w:t>民政部</w:t>
      </w:r>
      <w:r>
        <w:rPr>
          <w:rFonts w:ascii="宋体" w:hAnsi="宋体" w:cs="宋体"/>
          <w:color w:val="auto"/>
          <w:sz w:val="24"/>
          <w:szCs w:val="24"/>
        </w:rPr>
        <w:t xml:space="preserve"> </w:t>
      </w:r>
      <w:r>
        <w:rPr>
          <w:rFonts w:hint="eastAsia" w:ascii="宋体" w:hAnsi="宋体" w:cs="宋体"/>
          <w:color w:val="auto"/>
          <w:sz w:val="24"/>
          <w:szCs w:val="24"/>
        </w:rPr>
        <w:t>中国残疾人联合会关于促进残疾人就业政府采购政策的通知》（财库〔</w:t>
      </w:r>
      <w:r>
        <w:rPr>
          <w:rFonts w:ascii="宋体" w:hAnsi="宋体" w:cs="宋体"/>
          <w:color w:val="auto"/>
          <w:sz w:val="24"/>
          <w:szCs w:val="24"/>
        </w:rPr>
        <w:t>2017</w:t>
      </w:r>
      <w:r>
        <w:rPr>
          <w:rFonts w:hint="eastAsia" w:ascii="宋体" w:hAnsi="宋体" w:cs="宋体"/>
          <w:color w:val="auto"/>
          <w:sz w:val="24"/>
          <w:szCs w:val="24"/>
        </w:rPr>
        <w:t>〕</w:t>
      </w:r>
      <w:r>
        <w:rPr>
          <w:rFonts w:ascii="宋体" w:hAnsi="宋体" w:cs="宋体"/>
          <w:color w:val="auto"/>
          <w:sz w:val="24"/>
          <w:szCs w:val="24"/>
        </w:rPr>
        <w:t xml:space="preserve"> 141</w:t>
      </w:r>
      <w:r>
        <w:rPr>
          <w:rFonts w:hint="eastAsia" w:ascii="宋体" w:hAnsi="宋体" w:cs="宋体"/>
          <w:color w:val="auto"/>
          <w:sz w:val="24"/>
          <w:szCs w:val="24"/>
        </w:rPr>
        <w:t>号）的规定，本单位为符合条件的残疾人福利性单位，且本单位参加</w:t>
      </w:r>
      <w:r>
        <w:rPr>
          <w:rFonts w:ascii="宋体" w:hAnsi="宋体" w:cs="宋体"/>
          <w:color w:val="auto"/>
          <w:sz w:val="24"/>
          <w:szCs w:val="24"/>
        </w:rPr>
        <w:t>______</w:t>
      </w:r>
      <w:r>
        <w:rPr>
          <w:rFonts w:hint="eastAsia" w:ascii="宋体" w:hAnsi="宋体" w:cs="宋体"/>
          <w:color w:val="auto"/>
          <w:sz w:val="24"/>
          <w:szCs w:val="24"/>
        </w:rPr>
        <w:t>单位的</w:t>
      </w:r>
      <w:r>
        <w:rPr>
          <w:rFonts w:ascii="宋体" w:hAnsi="宋体" w:cs="宋体"/>
          <w:color w:val="auto"/>
          <w:sz w:val="24"/>
          <w:szCs w:val="24"/>
        </w:rPr>
        <w:t>______</w:t>
      </w:r>
      <w:r>
        <w:rPr>
          <w:rFonts w:hint="eastAsia" w:ascii="宋体" w:hAnsi="宋体" w:cs="宋体"/>
          <w:color w:val="auto"/>
          <w:sz w:val="24"/>
          <w:szCs w:val="24"/>
        </w:rPr>
        <w:t>项目采购活动提供本单位服务，或者提供其他残疾人福利性单位提供的服务。本单位对上述声明的真实性负责。如有虚假，将依法承担相应责任。</w:t>
      </w:r>
    </w:p>
    <w:p>
      <w:pPr>
        <w:pStyle w:val="2"/>
        <w:outlineLvl w:val="9"/>
        <w:rPr>
          <w:rFonts w:cs="Times New Roman"/>
          <w:color w:val="auto"/>
        </w:rPr>
      </w:pPr>
    </w:p>
    <w:p>
      <w:pPr>
        <w:pStyle w:val="3"/>
        <w:rPr>
          <w:color w:val="auto"/>
        </w:rPr>
      </w:pPr>
    </w:p>
    <w:p>
      <w:pPr>
        <w:spacing w:line="588" w:lineRule="exact"/>
        <w:rPr>
          <w:rFonts w:ascii="宋体"/>
          <w:color w:val="auto"/>
          <w:sz w:val="24"/>
          <w:szCs w:val="24"/>
        </w:rPr>
      </w:pPr>
    </w:p>
    <w:p>
      <w:pPr>
        <w:spacing w:line="360" w:lineRule="auto"/>
        <w:ind w:left="3600" w:leftChars="1800" w:firstLine="480" w:firstLineChars="200"/>
        <w:rPr>
          <w:rFonts w:ascii="宋体"/>
          <w:color w:val="auto"/>
          <w:sz w:val="24"/>
          <w:szCs w:val="24"/>
        </w:rPr>
      </w:pPr>
      <w:r>
        <w:rPr>
          <w:rFonts w:hint="eastAsia" w:ascii="宋体" w:hAnsi="宋体" w:cs="宋体"/>
          <w:color w:val="auto"/>
          <w:sz w:val="24"/>
          <w:szCs w:val="24"/>
        </w:rPr>
        <w:t>法定代表人签名（或签名章）：</w:t>
      </w:r>
      <w:r>
        <w:rPr>
          <w:rFonts w:ascii="宋体" w:hAnsi="宋体" w:cs="宋体"/>
          <w:color w:val="auto"/>
          <w:sz w:val="24"/>
          <w:szCs w:val="24"/>
        </w:rPr>
        <w:t xml:space="preserve">                       </w:t>
      </w:r>
    </w:p>
    <w:p>
      <w:pPr>
        <w:spacing w:line="360" w:lineRule="auto"/>
        <w:ind w:left="3600" w:leftChars="1800" w:firstLine="480" w:firstLineChars="200"/>
        <w:rPr>
          <w:rFonts w:ascii="宋体"/>
          <w:color w:val="auto"/>
          <w:sz w:val="24"/>
          <w:szCs w:val="24"/>
        </w:rPr>
      </w:pPr>
      <w:r>
        <w:rPr>
          <w:rFonts w:hint="eastAsia" w:ascii="宋体" w:hAnsi="宋体" w:cs="宋体"/>
          <w:color w:val="auto"/>
          <w:sz w:val="24"/>
          <w:szCs w:val="24"/>
        </w:rPr>
        <w:t>日</w:t>
      </w:r>
      <w:r>
        <w:rPr>
          <w:rFonts w:ascii="宋体" w:hAnsi="宋体" w:cs="宋体"/>
          <w:color w:val="auto"/>
          <w:sz w:val="24"/>
          <w:szCs w:val="24"/>
        </w:rPr>
        <w:t xml:space="preserve"> </w:t>
      </w:r>
      <w:r>
        <w:rPr>
          <w:rFonts w:hint="eastAsia" w:ascii="宋体" w:hAnsi="宋体" w:cs="宋体"/>
          <w:color w:val="auto"/>
          <w:sz w:val="24"/>
          <w:szCs w:val="24"/>
        </w:rPr>
        <w:t>期：</w:t>
      </w:r>
    </w:p>
    <w:p>
      <w:pPr>
        <w:spacing w:line="360" w:lineRule="auto"/>
        <w:ind w:left="3600" w:leftChars="1800" w:firstLine="480" w:firstLineChars="200"/>
        <w:rPr>
          <w:rFonts w:ascii="宋体"/>
          <w:color w:val="auto"/>
          <w:sz w:val="24"/>
          <w:szCs w:val="24"/>
        </w:rPr>
      </w:pPr>
      <w:r>
        <w:rPr>
          <w:rFonts w:hint="eastAsia" w:ascii="宋体" w:hAnsi="宋体" w:cs="宋体"/>
          <w:color w:val="auto"/>
          <w:sz w:val="24"/>
          <w:szCs w:val="24"/>
        </w:rPr>
        <w:t>供应商全称（公章）：</w:t>
      </w:r>
    </w:p>
    <w:p>
      <w:pPr>
        <w:rPr>
          <w:b/>
          <w:bCs/>
          <w:color w:val="auto"/>
          <w:sz w:val="24"/>
          <w:szCs w:val="24"/>
          <w:lang w:val="zh-CN"/>
        </w:rPr>
      </w:pPr>
      <w:bookmarkStart w:id="122" w:name="_Toc5441"/>
      <w:bookmarkStart w:id="123" w:name="_Toc24"/>
      <w:bookmarkStart w:id="124" w:name="_Toc2386"/>
      <w:bookmarkStart w:id="125" w:name="_Toc15966"/>
      <w:r>
        <w:rPr>
          <w:color w:val="auto"/>
          <w:sz w:val="24"/>
          <w:szCs w:val="24"/>
          <w:lang w:val="zh-CN"/>
        </w:rPr>
        <w:br w:type="page"/>
      </w:r>
      <w:r>
        <w:rPr>
          <w:rFonts w:hint="eastAsia" w:cs="宋体"/>
          <w:b/>
          <w:bCs/>
          <w:color w:val="auto"/>
          <w:sz w:val="24"/>
          <w:szCs w:val="24"/>
          <w:lang w:val="zh-CN"/>
        </w:rPr>
        <w:t>附件五</w:t>
      </w:r>
      <w:r>
        <w:rPr>
          <w:rFonts w:hint="eastAsia" w:cs="宋体"/>
          <w:b/>
          <w:bCs/>
          <w:color w:val="auto"/>
          <w:sz w:val="24"/>
          <w:szCs w:val="24"/>
        </w:rPr>
        <w:t>：</w:t>
      </w:r>
    </w:p>
    <w:p>
      <w:pPr>
        <w:spacing w:line="360" w:lineRule="auto"/>
        <w:jc w:val="center"/>
        <w:rPr>
          <w:rFonts w:hint="eastAsia" w:ascii="宋体" w:hAnsi="宋体" w:cs="宋体"/>
          <w:b/>
          <w:bCs/>
          <w:color w:val="auto"/>
          <w:sz w:val="32"/>
          <w:szCs w:val="32"/>
        </w:rPr>
      </w:pPr>
    </w:p>
    <w:p>
      <w:pPr>
        <w:spacing w:line="360" w:lineRule="auto"/>
        <w:jc w:val="center"/>
        <w:rPr>
          <w:rFonts w:ascii="宋体"/>
          <w:b/>
          <w:bCs/>
          <w:color w:val="auto"/>
          <w:sz w:val="32"/>
          <w:szCs w:val="32"/>
        </w:rPr>
      </w:pPr>
      <w:r>
        <w:rPr>
          <w:rFonts w:hint="eastAsia" w:ascii="宋体" w:hAnsi="宋体" w:cs="宋体"/>
          <w:b/>
          <w:bCs/>
          <w:color w:val="auto"/>
          <w:sz w:val="32"/>
          <w:szCs w:val="32"/>
        </w:rPr>
        <w:t>监狱企业证明文件</w:t>
      </w:r>
      <w:bookmarkEnd w:id="122"/>
      <w:bookmarkEnd w:id="123"/>
      <w:bookmarkEnd w:id="124"/>
      <w:bookmarkEnd w:id="125"/>
    </w:p>
    <w:p>
      <w:pPr>
        <w:widowControl/>
        <w:snapToGrid w:val="0"/>
        <w:spacing w:line="360" w:lineRule="auto"/>
        <w:jc w:val="center"/>
        <w:rPr>
          <w:rFonts w:ascii="宋体"/>
          <w:color w:val="auto"/>
          <w:sz w:val="28"/>
          <w:szCs w:val="28"/>
        </w:rPr>
      </w:pPr>
      <w:r>
        <w:rPr>
          <w:rFonts w:hint="eastAsia" w:ascii="宋体" w:hAnsi="宋体" w:cs="宋体"/>
          <w:color w:val="auto"/>
          <w:sz w:val="28"/>
          <w:szCs w:val="28"/>
        </w:rPr>
        <w:t>【不属于监狱企业的无需填写、递交】</w:t>
      </w:r>
    </w:p>
    <w:p>
      <w:pPr>
        <w:widowControl/>
        <w:snapToGrid w:val="0"/>
        <w:spacing w:line="324" w:lineRule="auto"/>
        <w:jc w:val="center"/>
        <w:rPr>
          <w:rFonts w:ascii="宋体"/>
          <w:color w:val="auto"/>
          <w:sz w:val="24"/>
          <w:szCs w:val="24"/>
        </w:rPr>
      </w:pPr>
    </w:p>
    <w:p>
      <w:pPr>
        <w:spacing w:line="588" w:lineRule="exact"/>
        <w:ind w:firstLine="480" w:firstLineChars="200"/>
        <w:rPr>
          <w:rFonts w:ascii="宋体"/>
          <w:color w:val="auto"/>
          <w:sz w:val="24"/>
          <w:szCs w:val="24"/>
        </w:rPr>
      </w:pPr>
    </w:p>
    <w:p>
      <w:pPr>
        <w:adjustRightInd w:val="0"/>
        <w:snapToGrid w:val="0"/>
        <w:spacing w:before="156" w:beforeLines="50" w:line="360" w:lineRule="auto"/>
        <w:ind w:firstLine="480" w:firstLineChars="200"/>
        <w:rPr>
          <w:rFonts w:ascii="宋体"/>
          <w:color w:val="auto"/>
          <w:sz w:val="24"/>
          <w:szCs w:val="24"/>
        </w:rPr>
      </w:pPr>
      <w:r>
        <w:rPr>
          <w:rFonts w:hint="eastAsia" w:ascii="宋体" w:hAnsi="宋体" w:cs="宋体"/>
          <w:color w:val="auto"/>
          <w:sz w:val="24"/>
          <w:szCs w:val="24"/>
        </w:rPr>
        <w:t>监狱企业需提供省级以上的监狱管理局、戒毒管理局（含新疆生产建设兵团）出具的属于监狱企业的证明文件。</w:t>
      </w:r>
      <w:r>
        <w:rPr>
          <w:rFonts w:ascii="宋体" w:hAnsi="宋体" w:cs="宋体"/>
          <w:color w:val="auto"/>
          <w:sz w:val="24"/>
          <w:szCs w:val="24"/>
        </w:rPr>
        <w:t xml:space="preserve">  </w:t>
      </w:r>
    </w:p>
    <w:p>
      <w:pPr>
        <w:pStyle w:val="2"/>
        <w:outlineLvl w:val="9"/>
        <w:rPr>
          <w:rFonts w:cs="Times New Roman"/>
          <w:color w:val="auto"/>
        </w:rPr>
      </w:pPr>
    </w:p>
    <w:p>
      <w:pPr>
        <w:pStyle w:val="3"/>
        <w:rPr>
          <w:color w:val="auto"/>
        </w:rPr>
      </w:pPr>
    </w:p>
    <w:p>
      <w:pPr>
        <w:spacing w:line="360" w:lineRule="auto"/>
        <w:ind w:left="3600" w:leftChars="1800" w:firstLine="480" w:firstLineChars="200"/>
        <w:rPr>
          <w:rFonts w:ascii="宋体"/>
          <w:color w:val="auto"/>
          <w:sz w:val="24"/>
          <w:szCs w:val="24"/>
        </w:rPr>
      </w:pPr>
      <w:r>
        <w:rPr>
          <w:rFonts w:hint="eastAsia" w:ascii="宋体" w:hAnsi="宋体" w:cs="宋体"/>
          <w:color w:val="auto"/>
          <w:sz w:val="24"/>
          <w:szCs w:val="24"/>
        </w:rPr>
        <w:t>法定代表人签名（或签名章）：</w:t>
      </w:r>
      <w:r>
        <w:rPr>
          <w:rFonts w:ascii="宋体" w:hAnsi="宋体" w:cs="宋体"/>
          <w:color w:val="auto"/>
          <w:sz w:val="24"/>
          <w:szCs w:val="24"/>
        </w:rPr>
        <w:t xml:space="preserve">                       </w:t>
      </w:r>
    </w:p>
    <w:p>
      <w:pPr>
        <w:spacing w:line="360" w:lineRule="auto"/>
        <w:ind w:left="3600" w:leftChars="1800" w:firstLine="480" w:firstLineChars="200"/>
        <w:rPr>
          <w:rFonts w:ascii="宋体"/>
          <w:color w:val="auto"/>
          <w:sz w:val="24"/>
          <w:szCs w:val="24"/>
        </w:rPr>
      </w:pPr>
      <w:r>
        <w:rPr>
          <w:rFonts w:hint="eastAsia" w:ascii="宋体" w:hAnsi="宋体" w:cs="宋体"/>
          <w:color w:val="auto"/>
          <w:sz w:val="24"/>
          <w:szCs w:val="24"/>
        </w:rPr>
        <w:t>日</w:t>
      </w:r>
      <w:r>
        <w:rPr>
          <w:rFonts w:ascii="宋体" w:hAnsi="宋体" w:cs="宋体"/>
          <w:color w:val="auto"/>
          <w:sz w:val="24"/>
          <w:szCs w:val="24"/>
        </w:rPr>
        <w:t xml:space="preserve"> </w:t>
      </w:r>
      <w:r>
        <w:rPr>
          <w:rFonts w:hint="eastAsia" w:ascii="宋体" w:hAnsi="宋体" w:cs="宋体"/>
          <w:color w:val="auto"/>
          <w:sz w:val="24"/>
          <w:szCs w:val="24"/>
        </w:rPr>
        <w:t>期：</w:t>
      </w:r>
    </w:p>
    <w:p>
      <w:pPr>
        <w:spacing w:line="360" w:lineRule="auto"/>
        <w:ind w:left="3600" w:leftChars="1800" w:firstLine="480" w:firstLineChars="200"/>
        <w:rPr>
          <w:rFonts w:ascii="宋体"/>
          <w:color w:val="auto"/>
          <w:sz w:val="24"/>
          <w:szCs w:val="24"/>
        </w:rPr>
      </w:pPr>
      <w:r>
        <w:rPr>
          <w:rFonts w:hint="eastAsia" w:ascii="宋体" w:hAnsi="宋体" w:cs="宋体"/>
          <w:color w:val="auto"/>
          <w:sz w:val="24"/>
          <w:szCs w:val="24"/>
        </w:rPr>
        <w:t>供应商全称（公章）：</w:t>
      </w:r>
    </w:p>
    <w:p>
      <w:pPr>
        <w:spacing w:line="360" w:lineRule="auto"/>
        <w:jc w:val="center"/>
        <w:rPr>
          <w:rFonts w:ascii="宋体"/>
          <w:b/>
          <w:bCs/>
          <w:color w:val="auto"/>
          <w:sz w:val="24"/>
          <w:szCs w:val="24"/>
        </w:rPr>
      </w:pPr>
    </w:p>
    <w:p>
      <w:pPr>
        <w:spacing w:line="360" w:lineRule="auto"/>
        <w:rPr>
          <w:color w:val="auto"/>
          <w:sz w:val="36"/>
          <w:szCs w:val="36"/>
        </w:rPr>
      </w:pPr>
    </w:p>
    <w:p>
      <w:pPr>
        <w:spacing w:line="360" w:lineRule="auto"/>
        <w:rPr>
          <w:color w:val="auto"/>
          <w:sz w:val="36"/>
          <w:szCs w:val="36"/>
        </w:rPr>
      </w:pPr>
    </w:p>
    <w:p>
      <w:pPr>
        <w:spacing w:line="360" w:lineRule="auto"/>
        <w:rPr>
          <w:color w:val="auto"/>
          <w:sz w:val="36"/>
          <w:szCs w:val="36"/>
        </w:rPr>
      </w:pPr>
    </w:p>
    <w:p>
      <w:pPr>
        <w:spacing w:line="360" w:lineRule="auto"/>
        <w:rPr>
          <w:color w:val="auto"/>
          <w:sz w:val="36"/>
          <w:szCs w:val="36"/>
        </w:rPr>
      </w:pPr>
    </w:p>
    <w:p>
      <w:pPr>
        <w:spacing w:line="360" w:lineRule="auto"/>
        <w:rPr>
          <w:color w:val="auto"/>
          <w:sz w:val="36"/>
          <w:szCs w:val="36"/>
        </w:rPr>
      </w:pPr>
    </w:p>
    <w:p>
      <w:pPr>
        <w:spacing w:line="360" w:lineRule="auto"/>
        <w:rPr>
          <w:color w:val="auto"/>
          <w:sz w:val="36"/>
          <w:szCs w:val="36"/>
        </w:rPr>
      </w:pPr>
    </w:p>
    <w:p>
      <w:pPr>
        <w:spacing w:line="360" w:lineRule="auto"/>
        <w:rPr>
          <w:color w:val="auto"/>
          <w:sz w:val="36"/>
          <w:szCs w:val="36"/>
        </w:rPr>
      </w:pPr>
    </w:p>
    <w:p>
      <w:pPr>
        <w:spacing w:line="360" w:lineRule="auto"/>
        <w:rPr>
          <w:color w:val="auto"/>
          <w:sz w:val="36"/>
          <w:szCs w:val="36"/>
        </w:rPr>
      </w:pPr>
    </w:p>
    <w:p>
      <w:pPr>
        <w:spacing w:line="360" w:lineRule="auto"/>
        <w:rPr>
          <w:color w:val="auto"/>
          <w:sz w:val="36"/>
          <w:szCs w:val="36"/>
        </w:rPr>
      </w:pPr>
    </w:p>
    <w:p>
      <w:pPr>
        <w:spacing w:line="360" w:lineRule="auto"/>
        <w:rPr>
          <w:color w:val="auto"/>
          <w:sz w:val="36"/>
          <w:szCs w:val="36"/>
        </w:rPr>
      </w:pPr>
    </w:p>
    <w:p>
      <w:pPr>
        <w:spacing w:line="360" w:lineRule="auto"/>
        <w:rPr>
          <w:color w:val="auto"/>
          <w:sz w:val="36"/>
          <w:szCs w:val="36"/>
        </w:rPr>
      </w:pPr>
    </w:p>
    <w:p>
      <w:pPr>
        <w:widowControl/>
        <w:jc w:val="left"/>
        <w:rPr>
          <w:rFonts w:ascii="宋体"/>
          <w:b/>
          <w:bCs/>
          <w:color w:val="auto"/>
          <w:sz w:val="24"/>
          <w:szCs w:val="24"/>
        </w:rPr>
      </w:pPr>
    </w:p>
    <w:p>
      <w:pPr>
        <w:spacing w:line="360" w:lineRule="auto"/>
        <w:jc w:val="center"/>
        <w:rPr>
          <w:rFonts w:ascii="宋体"/>
          <w:b/>
          <w:bCs/>
          <w:color w:val="auto"/>
          <w:sz w:val="36"/>
          <w:szCs w:val="36"/>
        </w:rPr>
      </w:pPr>
      <w:r>
        <w:rPr>
          <w:rFonts w:hint="eastAsia" w:ascii="宋体" w:hAnsi="宋体" w:cs="宋体"/>
          <w:b/>
          <w:bCs/>
          <w:color w:val="auto"/>
          <w:sz w:val="36"/>
          <w:szCs w:val="36"/>
        </w:rPr>
        <w:t>商务技术文件</w:t>
      </w:r>
    </w:p>
    <w:p>
      <w:pPr>
        <w:spacing w:line="360" w:lineRule="auto"/>
        <w:jc w:val="center"/>
        <w:rPr>
          <w:rFonts w:ascii="宋体"/>
          <w:b/>
          <w:bCs/>
          <w:color w:val="auto"/>
          <w:sz w:val="36"/>
          <w:szCs w:val="36"/>
        </w:rPr>
      </w:pPr>
    </w:p>
    <w:p>
      <w:pPr>
        <w:pStyle w:val="2"/>
        <w:rPr>
          <w:color w:val="auto"/>
        </w:rPr>
      </w:pPr>
    </w:p>
    <w:p>
      <w:pPr>
        <w:spacing w:line="360" w:lineRule="auto"/>
        <w:jc w:val="center"/>
        <w:rPr>
          <w:rFonts w:hint="eastAsia" w:ascii="宋体" w:hAnsi="宋体" w:cs="宋体"/>
          <w:b/>
          <w:bCs/>
          <w:color w:val="auto"/>
          <w:sz w:val="36"/>
          <w:szCs w:val="36"/>
        </w:rPr>
      </w:pPr>
      <w:r>
        <w:rPr>
          <w:rFonts w:hint="eastAsia" w:ascii="宋体" w:hAnsi="宋体" w:cs="宋体"/>
          <w:b/>
          <w:bCs/>
          <w:color w:val="auto"/>
          <w:sz w:val="36"/>
          <w:szCs w:val="36"/>
        </w:rPr>
        <w:t>目录</w:t>
      </w:r>
    </w:p>
    <w:p>
      <w:pPr>
        <w:pStyle w:val="2"/>
        <w:rPr>
          <w:color w:val="auto"/>
        </w:rPr>
      </w:pPr>
    </w:p>
    <w:p>
      <w:pPr>
        <w:pStyle w:val="53"/>
        <w:numPr>
          <w:ilvl w:val="0"/>
          <w:numId w:val="36"/>
        </w:numPr>
        <w:spacing w:before="0" w:line="336" w:lineRule="auto"/>
        <w:ind w:left="420" w:leftChars="0" w:firstLine="480" w:firstLineChars="200"/>
        <w:rPr>
          <w:rFonts w:ascii="宋体"/>
          <w:color w:val="auto"/>
          <w:highlight w:val="none"/>
        </w:rPr>
      </w:pPr>
      <w:r>
        <w:rPr>
          <w:rFonts w:hint="eastAsia" w:ascii="宋体" w:hAnsi="宋体" w:cs="宋体"/>
          <w:color w:val="auto"/>
          <w:highlight w:val="none"/>
        </w:rPr>
        <w:t>评分对应表（格式见附件，主要用于评委对应评分内容）</w:t>
      </w:r>
    </w:p>
    <w:p>
      <w:pPr>
        <w:pStyle w:val="53"/>
        <w:numPr>
          <w:ilvl w:val="0"/>
          <w:numId w:val="36"/>
        </w:numPr>
        <w:spacing w:before="0" w:line="336" w:lineRule="auto"/>
        <w:ind w:left="420" w:leftChars="0" w:firstLine="480" w:firstLineChars="200"/>
        <w:rPr>
          <w:rFonts w:ascii="宋体"/>
          <w:color w:val="auto"/>
          <w:highlight w:val="none"/>
        </w:rPr>
      </w:pPr>
      <w:r>
        <w:rPr>
          <w:rFonts w:hint="eastAsia" w:ascii="宋体" w:hAnsi="宋体" w:cs="宋体"/>
          <w:color w:val="auto"/>
          <w:highlight w:val="none"/>
        </w:rPr>
        <w:t>供应商商务技术文件中资信分自评表（格式见附件）；</w:t>
      </w:r>
    </w:p>
    <w:p>
      <w:pPr>
        <w:pStyle w:val="53"/>
        <w:numPr>
          <w:ilvl w:val="0"/>
          <w:numId w:val="36"/>
        </w:numPr>
        <w:spacing w:before="0" w:line="336" w:lineRule="auto"/>
        <w:ind w:left="420" w:leftChars="0" w:firstLine="480" w:firstLineChars="200"/>
        <w:rPr>
          <w:rFonts w:ascii="宋体"/>
          <w:color w:val="auto"/>
          <w:highlight w:val="none"/>
        </w:rPr>
      </w:pPr>
      <w:r>
        <w:rPr>
          <w:rFonts w:hint="eastAsia" w:ascii="宋体" w:hAnsi="宋体" w:cs="宋体"/>
          <w:color w:val="auto"/>
          <w:highlight w:val="none"/>
        </w:rPr>
        <w:t>磋商项目明细清单（格式见附件）；</w:t>
      </w:r>
    </w:p>
    <w:p>
      <w:pPr>
        <w:pStyle w:val="53"/>
        <w:numPr>
          <w:ilvl w:val="0"/>
          <w:numId w:val="36"/>
        </w:numPr>
        <w:spacing w:before="0" w:line="336" w:lineRule="auto"/>
        <w:ind w:left="420" w:leftChars="0" w:firstLine="480" w:firstLineChars="200"/>
        <w:rPr>
          <w:rFonts w:ascii="宋体"/>
          <w:color w:val="auto"/>
          <w:highlight w:val="none"/>
        </w:rPr>
      </w:pPr>
      <w:r>
        <w:rPr>
          <w:rFonts w:hint="eastAsia" w:ascii="宋体" w:hAnsi="宋体" w:cs="宋体"/>
          <w:color w:val="auto"/>
          <w:highlight w:val="none"/>
        </w:rPr>
        <w:t>技术响应及建议表（格式见附件）；</w:t>
      </w:r>
    </w:p>
    <w:p>
      <w:pPr>
        <w:pStyle w:val="53"/>
        <w:numPr>
          <w:ilvl w:val="0"/>
          <w:numId w:val="36"/>
        </w:numPr>
        <w:spacing w:before="0" w:line="336" w:lineRule="auto"/>
        <w:ind w:left="420" w:leftChars="0" w:firstLine="480" w:firstLineChars="200"/>
        <w:rPr>
          <w:rFonts w:ascii="宋体"/>
          <w:color w:val="auto"/>
          <w:highlight w:val="none"/>
        </w:rPr>
      </w:pPr>
      <w:r>
        <w:rPr>
          <w:rFonts w:hint="eastAsia" w:ascii="宋体" w:hAnsi="宋体" w:cs="宋体"/>
          <w:color w:val="auto"/>
          <w:highlight w:val="none"/>
        </w:rPr>
        <w:t>商务响应表（格式见附件）；</w:t>
      </w:r>
    </w:p>
    <w:p>
      <w:pPr>
        <w:pStyle w:val="53"/>
        <w:numPr>
          <w:ilvl w:val="0"/>
          <w:numId w:val="36"/>
        </w:numPr>
        <w:spacing w:before="0" w:line="336" w:lineRule="auto"/>
        <w:ind w:left="420" w:leftChars="0" w:firstLine="480" w:firstLineChars="200"/>
        <w:rPr>
          <w:rFonts w:ascii="宋体"/>
          <w:color w:val="auto"/>
          <w:highlight w:val="none"/>
        </w:rPr>
      </w:pPr>
      <w:r>
        <w:rPr>
          <w:rFonts w:hint="eastAsia" w:ascii="宋体" w:hAnsi="宋体" w:eastAsia="宋体" w:cs="宋体"/>
          <w:color w:val="auto"/>
          <w:sz w:val="24"/>
          <w:szCs w:val="24"/>
          <w:highlight w:val="none"/>
        </w:rPr>
        <w:t>项目管理团队</w:t>
      </w:r>
      <w:r>
        <w:rPr>
          <w:rFonts w:hint="eastAsia" w:ascii="宋体" w:hAnsi="宋体" w:cs="宋体"/>
          <w:color w:val="auto"/>
          <w:sz w:val="24"/>
          <w:szCs w:val="24"/>
          <w:highlight w:val="none"/>
          <w:lang w:eastAsia="zh-CN"/>
        </w:rPr>
        <w:t>；</w:t>
      </w:r>
    </w:p>
    <w:p>
      <w:pPr>
        <w:pStyle w:val="53"/>
        <w:numPr>
          <w:ilvl w:val="0"/>
          <w:numId w:val="36"/>
        </w:numPr>
        <w:spacing w:before="0" w:line="336" w:lineRule="auto"/>
        <w:ind w:left="420" w:leftChars="0" w:firstLine="480" w:firstLineChars="200"/>
        <w:rPr>
          <w:rFonts w:ascii="宋体"/>
          <w:color w:val="auto"/>
          <w:highlight w:val="none"/>
        </w:rPr>
      </w:pPr>
      <w:r>
        <w:rPr>
          <w:rFonts w:hint="eastAsia" w:ascii="宋体" w:hAnsi="宋体" w:cs="宋体"/>
          <w:color w:val="auto"/>
          <w:sz w:val="24"/>
          <w:szCs w:val="24"/>
          <w:highlight w:val="none"/>
          <w:lang w:eastAsia="zh-CN"/>
        </w:rPr>
        <w:t>现场测评分析；</w:t>
      </w:r>
    </w:p>
    <w:p>
      <w:pPr>
        <w:pStyle w:val="53"/>
        <w:numPr>
          <w:ilvl w:val="0"/>
          <w:numId w:val="36"/>
        </w:numPr>
        <w:spacing w:before="0" w:line="336" w:lineRule="auto"/>
        <w:ind w:left="420" w:leftChars="0" w:firstLine="480" w:firstLineChars="200"/>
        <w:rPr>
          <w:rFonts w:ascii="宋体"/>
          <w:color w:val="auto"/>
          <w:highlight w:val="none"/>
        </w:rPr>
      </w:pPr>
      <w:r>
        <w:rPr>
          <w:rFonts w:hint="eastAsia" w:ascii="宋体" w:hAnsi="宋体" w:cs="宋体"/>
          <w:color w:val="auto"/>
          <w:sz w:val="24"/>
          <w:szCs w:val="24"/>
          <w:highlight w:val="none"/>
          <w:lang w:eastAsia="zh-CN"/>
        </w:rPr>
        <w:t>项目启动和网格划分方案；</w:t>
      </w:r>
    </w:p>
    <w:p>
      <w:pPr>
        <w:pStyle w:val="53"/>
        <w:numPr>
          <w:ilvl w:val="0"/>
          <w:numId w:val="36"/>
        </w:numPr>
        <w:spacing w:before="0" w:line="336" w:lineRule="auto"/>
        <w:ind w:left="420" w:leftChars="0" w:firstLine="480" w:firstLineChars="200"/>
        <w:rPr>
          <w:rFonts w:ascii="宋体"/>
          <w:color w:val="auto"/>
          <w:highlight w:val="none"/>
        </w:rPr>
      </w:pPr>
      <w:r>
        <w:rPr>
          <w:rFonts w:hint="eastAsia" w:ascii="宋体" w:hAnsi="宋体" w:cs="宋体"/>
          <w:color w:val="auto"/>
          <w:sz w:val="24"/>
          <w:szCs w:val="24"/>
          <w:highlight w:val="none"/>
          <w:lang w:eastAsia="zh-CN"/>
        </w:rPr>
        <w:t>人员配置方案；</w:t>
      </w:r>
    </w:p>
    <w:p>
      <w:pPr>
        <w:pStyle w:val="53"/>
        <w:numPr>
          <w:ilvl w:val="0"/>
          <w:numId w:val="36"/>
        </w:numPr>
        <w:spacing w:before="0" w:line="336" w:lineRule="auto"/>
        <w:ind w:left="420" w:leftChars="0" w:firstLine="480" w:firstLineChars="200"/>
        <w:rPr>
          <w:rFonts w:ascii="宋体"/>
          <w:color w:val="auto"/>
          <w:highlight w:val="none"/>
        </w:rPr>
      </w:pPr>
      <w:r>
        <w:rPr>
          <w:rFonts w:hint="eastAsia" w:ascii="宋体" w:hAnsi="宋体" w:cs="宋体"/>
          <w:color w:val="auto"/>
          <w:sz w:val="24"/>
          <w:szCs w:val="24"/>
          <w:highlight w:val="none"/>
          <w:lang w:eastAsia="zh-CN"/>
        </w:rPr>
        <w:t>巡查采集保障方案及应急服务保障预案；</w:t>
      </w:r>
    </w:p>
    <w:p>
      <w:pPr>
        <w:pStyle w:val="53"/>
        <w:numPr>
          <w:ilvl w:val="0"/>
          <w:numId w:val="36"/>
        </w:numPr>
        <w:spacing w:before="0" w:line="336" w:lineRule="auto"/>
        <w:ind w:left="420" w:leftChars="0" w:firstLine="480" w:firstLineChars="200"/>
        <w:rPr>
          <w:rFonts w:ascii="宋体"/>
          <w:color w:val="auto"/>
          <w:highlight w:val="none"/>
        </w:rPr>
      </w:pPr>
      <w:r>
        <w:rPr>
          <w:rFonts w:hint="eastAsia" w:ascii="宋体" w:hAnsi="宋体" w:cs="宋体"/>
          <w:color w:val="auto"/>
          <w:sz w:val="24"/>
          <w:szCs w:val="24"/>
          <w:highlight w:val="none"/>
          <w:lang w:eastAsia="zh-CN"/>
        </w:rPr>
        <w:t>“信息采集器”管理办法；</w:t>
      </w:r>
    </w:p>
    <w:p>
      <w:pPr>
        <w:pStyle w:val="53"/>
        <w:numPr>
          <w:ilvl w:val="0"/>
          <w:numId w:val="36"/>
        </w:numPr>
        <w:spacing w:before="0" w:line="336" w:lineRule="auto"/>
        <w:ind w:left="420" w:leftChars="0" w:firstLine="480" w:firstLineChars="200"/>
        <w:rPr>
          <w:rFonts w:ascii="宋体"/>
          <w:color w:val="auto"/>
          <w:highlight w:val="none"/>
        </w:rPr>
      </w:pPr>
      <w:r>
        <w:rPr>
          <w:rFonts w:hint="eastAsia" w:ascii="宋体" w:hAnsi="宋体" w:cs="宋体"/>
          <w:color w:val="auto"/>
          <w:sz w:val="24"/>
          <w:szCs w:val="24"/>
          <w:highlight w:val="none"/>
          <w:lang w:eastAsia="zh-CN"/>
        </w:rPr>
        <w:t>内部管理制度和员工考核管理办法；</w:t>
      </w:r>
    </w:p>
    <w:p>
      <w:pPr>
        <w:pStyle w:val="53"/>
        <w:numPr>
          <w:ilvl w:val="0"/>
          <w:numId w:val="36"/>
        </w:numPr>
        <w:spacing w:before="0" w:line="336" w:lineRule="auto"/>
        <w:ind w:left="420" w:leftChars="0" w:firstLine="480" w:firstLineChars="200"/>
        <w:rPr>
          <w:rFonts w:ascii="宋体"/>
          <w:color w:val="auto"/>
          <w:highlight w:val="none"/>
        </w:rPr>
      </w:pPr>
      <w:r>
        <w:rPr>
          <w:rFonts w:hint="eastAsia" w:ascii="宋体" w:hAnsi="宋体" w:cs="宋体"/>
          <w:color w:val="auto"/>
          <w:sz w:val="24"/>
          <w:szCs w:val="24"/>
          <w:highlight w:val="none"/>
          <w:lang w:eastAsia="zh-CN"/>
        </w:rPr>
        <w:t>信息采集质量校核机制；</w:t>
      </w:r>
    </w:p>
    <w:p>
      <w:pPr>
        <w:pStyle w:val="53"/>
        <w:numPr>
          <w:ilvl w:val="0"/>
          <w:numId w:val="36"/>
        </w:numPr>
        <w:spacing w:before="0" w:line="336" w:lineRule="auto"/>
        <w:ind w:left="420" w:leftChars="0" w:firstLine="480" w:firstLineChars="200"/>
        <w:rPr>
          <w:rFonts w:ascii="宋体"/>
          <w:color w:val="auto"/>
          <w:highlight w:val="none"/>
        </w:rPr>
      </w:pPr>
      <w:r>
        <w:rPr>
          <w:rFonts w:hint="eastAsia" w:ascii="宋体" w:hAnsi="宋体" w:cs="宋体"/>
          <w:color w:val="auto"/>
          <w:sz w:val="24"/>
          <w:szCs w:val="24"/>
          <w:highlight w:val="none"/>
          <w:lang w:eastAsia="zh-CN"/>
        </w:rPr>
        <w:t>创新采集方式及可实现程度；</w:t>
      </w:r>
    </w:p>
    <w:p>
      <w:pPr>
        <w:pStyle w:val="53"/>
        <w:numPr>
          <w:ilvl w:val="0"/>
          <w:numId w:val="36"/>
        </w:numPr>
        <w:spacing w:before="0" w:line="336" w:lineRule="auto"/>
        <w:ind w:left="420" w:leftChars="0" w:firstLine="480" w:firstLineChars="200"/>
        <w:rPr>
          <w:rFonts w:ascii="宋体"/>
          <w:color w:val="auto"/>
          <w:highlight w:val="none"/>
        </w:rPr>
      </w:pPr>
      <w:r>
        <w:rPr>
          <w:rFonts w:hint="eastAsia" w:ascii="宋体" w:hAnsi="宋体" w:cs="宋体"/>
          <w:color w:val="auto"/>
          <w:sz w:val="24"/>
          <w:szCs w:val="24"/>
          <w:highlight w:val="none"/>
          <w:lang w:eastAsia="zh-CN"/>
        </w:rPr>
        <w:t>培训方案；</w:t>
      </w:r>
    </w:p>
    <w:p>
      <w:pPr>
        <w:pStyle w:val="53"/>
        <w:numPr>
          <w:ilvl w:val="0"/>
          <w:numId w:val="36"/>
        </w:numPr>
        <w:spacing w:before="0" w:line="336" w:lineRule="auto"/>
        <w:ind w:left="420" w:leftChars="0" w:firstLine="480" w:firstLineChars="200"/>
        <w:rPr>
          <w:rFonts w:ascii="宋体"/>
          <w:color w:val="auto"/>
          <w:highlight w:val="none"/>
        </w:rPr>
      </w:pPr>
      <w:r>
        <w:rPr>
          <w:rFonts w:hint="eastAsia" w:ascii="宋体" w:hAnsi="宋体" w:cs="宋体"/>
          <w:color w:val="auto"/>
          <w:sz w:val="24"/>
          <w:szCs w:val="24"/>
          <w:highlight w:val="none"/>
          <w:lang w:eastAsia="zh-CN"/>
        </w:rPr>
        <w:t>宣传；</w:t>
      </w:r>
    </w:p>
    <w:p>
      <w:pPr>
        <w:pStyle w:val="53"/>
        <w:numPr>
          <w:ilvl w:val="0"/>
          <w:numId w:val="36"/>
        </w:numPr>
        <w:spacing w:before="0" w:line="336" w:lineRule="auto"/>
        <w:ind w:left="420" w:leftChars="0" w:firstLine="480" w:firstLineChars="200"/>
        <w:rPr>
          <w:rFonts w:ascii="宋体"/>
          <w:color w:val="auto"/>
          <w:highlight w:val="none"/>
        </w:rPr>
      </w:pPr>
      <w:r>
        <w:rPr>
          <w:rFonts w:hint="eastAsia" w:ascii="宋体" w:hAnsi="宋体" w:cs="宋体"/>
          <w:color w:val="auto"/>
          <w:sz w:val="24"/>
          <w:szCs w:val="24"/>
          <w:highlight w:val="none"/>
          <w:lang w:eastAsia="zh-CN"/>
        </w:rPr>
        <w:t>业绩；</w:t>
      </w:r>
    </w:p>
    <w:p>
      <w:pPr>
        <w:pStyle w:val="53"/>
        <w:numPr>
          <w:ilvl w:val="0"/>
          <w:numId w:val="36"/>
        </w:numPr>
        <w:spacing w:before="0" w:line="336" w:lineRule="auto"/>
        <w:ind w:left="420" w:leftChars="0" w:firstLine="480" w:firstLineChars="200"/>
        <w:rPr>
          <w:rFonts w:ascii="宋体"/>
          <w:color w:val="auto"/>
          <w:highlight w:val="none"/>
        </w:rPr>
      </w:pPr>
      <w:r>
        <w:rPr>
          <w:rFonts w:hint="eastAsia" w:ascii="宋体" w:hAnsi="宋体" w:cs="宋体"/>
          <w:color w:val="auto"/>
          <w:sz w:val="24"/>
          <w:szCs w:val="24"/>
          <w:highlight w:val="none"/>
          <w:lang w:eastAsia="zh-CN"/>
        </w:rPr>
        <w:t>证书；</w:t>
      </w:r>
    </w:p>
    <w:p>
      <w:pPr>
        <w:pStyle w:val="53"/>
        <w:numPr>
          <w:ilvl w:val="0"/>
          <w:numId w:val="36"/>
        </w:numPr>
        <w:spacing w:before="0" w:line="336" w:lineRule="auto"/>
        <w:ind w:left="42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投标方认为需要的其他文件资料。 </w:t>
      </w:r>
    </w:p>
    <w:p>
      <w:pPr>
        <w:pStyle w:val="15"/>
        <w:spacing w:line="500" w:lineRule="exact"/>
        <w:ind w:firstLine="480" w:firstLineChars="200"/>
        <w:rPr>
          <w:rFonts w:hAnsi="宋体" w:cs="Times New Roman"/>
          <w:color w:val="auto"/>
          <w:sz w:val="24"/>
          <w:szCs w:val="24"/>
        </w:rPr>
      </w:pPr>
    </w:p>
    <w:p>
      <w:pPr>
        <w:rPr>
          <w:rFonts w:hAnsi="宋体" w:cs="Times New Roman"/>
          <w:color w:val="auto"/>
          <w:sz w:val="24"/>
          <w:szCs w:val="24"/>
        </w:rPr>
      </w:pPr>
    </w:p>
    <w:p>
      <w:pPr>
        <w:pStyle w:val="2"/>
        <w:outlineLvl w:val="9"/>
        <w:rPr>
          <w:rFonts w:hAnsi="宋体" w:cs="Times New Roman"/>
          <w:color w:val="auto"/>
          <w:sz w:val="24"/>
          <w:szCs w:val="24"/>
        </w:rPr>
      </w:pPr>
    </w:p>
    <w:p>
      <w:pPr>
        <w:rPr>
          <w:color w:val="auto"/>
        </w:rPr>
      </w:pPr>
    </w:p>
    <w:p>
      <w:pPr>
        <w:rPr>
          <w:rFonts w:ascii="宋体"/>
          <w:color w:val="auto"/>
          <w:sz w:val="28"/>
          <w:szCs w:val="28"/>
        </w:rPr>
      </w:pPr>
    </w:p>
    <w:p>
      <w:pPr>
        <w:pStyle w:val="2"/>
        <w:rPr>
          <w:color w:val="auto"/>
        </w:rPr>
      </w:pPr>
    </w:p>
    <w:p>
      <w:pPr>
        <w:rPr>
          <w:rFonts w:ascii="宋体"/>
          <w:color w:val="auto"/>
          <w:sz w:val="28"/>
          <w:szCs w:val="28"/>
        </w:rPr>
      </w:pPr>
    </w:p>
    <w:p>
      <w:pPr>
        <w:snapToGrid w:val="0"/>
        <w:spacing w:before="50" w:after="50"/>
        <w:jc w:val="left"/>
        <w:rPr>
          <w:rFonts w:hint="eastAsia" w:ascii="宋体" w:hAnsi="宋体" w:cs="宋体"/>
          <w:b/>
          <w:bCs/>
          <w:color w:val="auto"/>
          <w:sz w:val="24"/>
          <w:lang w:val="zh-CN"/>
        </w:rPr>
      </w:pPr>
      <w:bookmarkStart w:id="126" w:name="_Toc10131"/>
    </w:p>
    <w:p>
      <w:pPr>
        <w:snapToGrid w:val="0"/>
        <w:spacing w:before="50" w:after="50"/>
        <w:jc w:val="left"/>
        <w:rPr>
          <w:rFonts w:ascii="宋体" w:hAnsi="宋体" w:cs="宋体"/>
          <w:b/>
          <w:bCs/>
          <w:color w:val="auto"/>
          <w:sz w:val="24"/>
          <w:lang w:val="zh-CN"/>
        </w:rPr>
      </w:pPr>
      <w:r>
        <w:rPr>
          <w:rFonts w:hint="eastAsia" w:ascii="宋体" w:hAnsi="宋体" w:cs="宋体"/>
          <w:b/>
          <w:bCs/>
          <w:color w:val="auto"/>
          <w:sz w:val="24"/>
          <w:lang w:val="zh-CN"/>
        </w:rPr>
        <w:t>附件六：</w:t>
      </w:r>
    </w:p>
    <w:p>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评分对应表</w:t>
      </w:r>
    </w:p>
    <w:p>
      <w:pPr>
        <w:snapToGrid w:val="0"/>
        <w:spacing w:before="50"/>
        <w:jc w:val="center"/>
        <w:rPr>
          <w:rFonts w:ascii="宋体" w:hAnsi="宋体" w:cs="宋体"/>
          <w:b/>
          <w:color w:val="auto"/>
          <w:sz w:val="32"/>
          <w:szCs w:val="32"/>
        </w:rPr>
      </w:pPr>
    </w:p>
    <w:p>
      <w:pPr>
        <w:spacing w:line="360" w:lineRule="auto"/>
        <w:ind w:firstLine="480" w:firstLineChars="200"/>
        <w:rPr>
          <w:rFonts w:ascii="宋体" w:hAnsi="宋体" w:cs="宋体"/>
          <w:color w:val="auto"/>
          <w:sz w:val="24"/>
        </w:rPr>
      </w:pPr>
      <w:r>
        <w:rPr>
          <w:rFonts w:hint="eastAsia" w:ascii="宋体" w:hAnsi="宋体" w:cs="宋体"/>
          <w:color w:val="auto"/>
          <w:sz w:val="24"/>
        </w:rPr>
        <w:t>项目名称：</w:t>
      </w:r>
    </w:p>
    <w:p>
      <w:pPr>
        <w:spacing w:line="360" w:lineRule="auto"/>
        <w:ind w:firstLine="480" w:firstLineChars="200"/>
        <w:rPr>
          <w:rFonts w:ascii="宋体" w:hAnsi="宋体" w:cs="宋体"/>
          <w:color w:val="auto"/>
          <w:sz w:val="24"/>
        </w:rPr>
      </w:pPr>
      <w:r>
        <w:rPr>
          <w:rFonts w:hint="eastAsia" w:ascii="宋体" w:hAnsi="宋体" w:cs="宋体"/>
          <w:color w:val="auto"/>
          <w:sz w:val="24"/>
        </w:rPr>
        <w:t>采购编号：</w:t>
      </w:r>
    </w:p>
    <w:tbl>
      <w:tblPr>
        <w:tblStyle w:val="25"/>
        <w:tblW w:w="89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响应文件对应资料</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响应文件页码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对应评分办法及评分标准</w:t>
            </w:r>
          </w:p>
          <w:p>
            <w:pPr>
              <w:jc w:val="center"/>
              <w:rPr>
                <w:rFonts w:ascii="宋体" w:hAnsi="宋体" w:cs="宋体"/>
                <w:color w:val="auto"/>
                <w:sz w:val="24"/>
              </w:rPr>
            </w:pPr>
            <w:r>
              <w:rPr>
                <w:rFonts w:hint="eastAsia" w:ascii="宋体" w:hAnsi="宋体" w:cs="宋体"/>
                <w:color w:val="auto"/>
                <w:sz w:val="24"/>
              </w:rPr>
              <w:t>（报价除外）</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color w:val="auto"/>
                <w:sz w:val="24"/>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color w:val="auto"/>
                <w:sz w:val="24"/>
              </w:rPr>
            </w:pPr>
          </w:p>
        </w:tc>
        <w:tc>
          <w:tcPr>
            <w:tcW w:w="19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color w:val="auto"/>
                <w:sz w:val="24"/>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color w:val="auto"/>
                <w:sz w:val="24"/>
              </w:rPr>
            </w:pPr>
          </w:p>
        </w:tc>
        <w:tc>
          <w:tcPr>
            <w:tcW w:w="19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color w:val="auto"/>
                <w:sz w:val="24"/>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color w:val="auto"/>
                <w:sz w:val="24"/>
              </w:rPr>
            </w:pPr>
          </w:p>
        </w:tc>
        <w:tc>
          <w:tcPr>
            <w:tcW w:w="19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color w:val="auto"/>
                <w:sz w:val="24"/>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color w:val="auto"/>
                <w:sz w:val="24"/>
              </w:rPr>
            </w:pPr>
          </w:p>
        </w:tc>
        <w:tc>
          <w:tcPr>
            <w:tcW w:w="19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color w:val="auto"/>
                <w:sz w:val="24"/>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color w:val="auto"/>
                <w:sz w:val="24"/>
              </w:rPr>
            </w:pPr>
          </w:p>
        </w:tc>
        <w:tc>
          <w:tcPr>
            <w:tcW w:w="19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color w:val="auto"/>
                <w:sz w:val="24"/>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color w:val="auto"/>
                <w:sz w:val="24"/>
              </w:rPr>
            </w:pPr>
          </w:p>
        </w:tc>
        <w:tc>
          <w:tcPr>
            <w:tcW w:w="19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color w:val="auto"/>
                <w:sz w:val="24"/>
              </w:rPr>
            </w:pPr>
          </w:p>
        </w:tc>
      </w:tr>
    </w:tbl>
    <w:p>
      <w:pPr>
        <w:spacing w:line="360" w:lineRule="auto"/>
        <w:ind w:firstLine="480" w:firstLineChars="200"/>
        <w:rPr>
          <w:rFonts w:ascii="宋体" w:hAnsi="宋体" w:cs="宋体"/>
          <w:color w:val="auto"/>
          <w:sz w:val="24"/>
        </w:rPr>
      </w:pPr>
    </w:p>
    <w:p>
      <w:pPr>
        <w:spacing w:line="360" w:lineRule="auto"/>
        <w:ind w:left="3600" w:leftChars="1800" w:firstLine="480" w:firstLineChars="200"/>
        <w:rPr>
          <w:rFonts w:ascii="宋体" w:hAnsi="宋体" w:cs="宋体"/>
          <w:color w:val="auto"/>
          <w:sz w:val="24"/>
        </w:rPr>
      </w:pPr>
    </w:p>
    <w:p>
      <w:pPr>
        <w:spacing w:line="360" w:lineRule="auto"/>
        <w:ind w:left="3600" w:leftChars="1800" w:firstLine="480" w:firstLineChars="200"/>
        <w:rPr>
          <w:rFonts w:ascii="宋体" w:hAnsi="宋体" w:cs="宋体"/>
          <w:color w:val="auto"/>
          <w:sz w:val="24"/>
        </w:rPr>
      </w:pPr>
      <w:r>
        <w:rPr>
          <w:rFonts w:hint="eastAsia" w:ascii="宋体" w:hAnsi="宋体" w:cs="宋体"/>
          <w:color w:val="auto"/>
          <w:sz w:val="24"/>
        </w:rPr>
        <w:t xml:space="preserve">法定代表人签名（或签名章）：                       </w:t>
      </w:r>
    </w:p>
    <w:p>
      <w:pPr>
        <w:spacing w:line="360" w:lineRule="auto"/>
        <w:ind w:left="3600" w:leftChars="1800" w:firstLine="480" w:firstLineChars="200"/>
        <w:rPr>
          <w:rFonts w:ascii="宋体" w:hAnsi="宋体" w:cs="宋体"/>
          <w:color w:val="auto"/>
          <w:sz w:val="24"/>
        </w:rPr>
      </w:pPr>
      <w:r>
        <w:rPr>
          <w:rFonts w:hint="eastAsia" w:ascii="宋体" w:hAnsi="宋体" w:cs="宋体"/>
          <w:color w:val="auto"/>
          <w:sz w:val="24"/>
        </w:rPr>
        <w:t>日 期：</w:t>
      </w:r>
    </w:p>
    <w:p>
      <w:pPr>
        <w:spacing w:line="360" w:lineRule="auto"/>
        <w:ind w:left="3600" w:leftChars="1800" w:firstLine="480" w:firstLineChars="200"/>
        <w:rPr>
          <w:color w:val="auto"/>
          <w:lang w:val="zh-CN"/>
        </w:rPr>
      </w:pPr>
      <w:r>
        <w:rPr>
          <w:rFonts w:hint="eastAsia" w:ascii="宋体" w:hAnsi="宋体" w:cs="宋体"/>
          <w:color w:val="auto"/>
          <w:sz w:val="24"/>
        </w:rPr>
        <w:t>供应商全称（公章）：</w:t>
      </w:r>
      <w:r>
        <w:rPr>
          <w:rFonts w:hint="eastAsia"/>
          <w:color w:val="auto"/>
          <w:lang w:val="zh-CN"/>
        </w:rPr>
        <w:br w:type="page"/>
      </w:r>
    </w:p>
    <w:p>
      <w:pPr>
        <w:rPr>
          <w:b/>
          <w:bCs/>
          <w:color w:val="auto"/>
          <w:sz w:val="24"/>
          <w:szCs w:val="32"/>
          <w:lang w:val="zh-CN"/>
        </w:rPr>
      </w:pPr>
      <w:r>
        <w:rPr>
          <w:rFonts w:hint="eastAsia"/>
          <w:b/>
          <w:bCs/>
          <w:color w:val="auto"/>
          <w:sz w:val="24"/>
          <w:szCs w:val="32"/>
          <w:lang w:val="zh-CN"/>
        </w:rPr>
        <w:t>附件</w:t>
      </w:r>
      <w:r>
        <w:rPr>
          <w:rFonts w:hint="eastAsia"/>
          <w:b/>
          <w:bCs/>
          <w:color w:val="auto"/>
          <w:sz w:val="24"/>
          <w:szCs w:val="32"/>
        </w:rPr>
        <w:t>七：</w:t>
      </w:r>
    </w:p>
    <w:p>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供应商商务技术文件中资信分自评表</w:t>
      </w:r>
      <w:bookmarkEnd w:id="126"/>
    </w:p>
    <w:p>
      <w:pPr>
        <w:snapToGrid w:val="0"/>
        <w:spacing w:before="50"/>
        <w:jc w:val="center"/>
        <w:rPr>
          <w:rFonts w:ascii="宋体" w:hAnsi="宋体" w:cs="宋体"/>
          <w:b/>
          <w:color w:val="auto"/>
          <w:sz w:val="32"/>
          <w:szCs w:val="32"/>
        </w:rPr>
      </w:pPr>
    </w:p>
    <w:p>
      <w:pPr>
        <w:spacing w:line="360" w:lineRule="auto"/>
        <w:ind w:firstLine="480" w:firstLineChars="200"/>
        <w:rPr>
          <w:rFonts w:ascii="宋体" w:hAnsi="宋体" w:cs="宋体"/>
          <w:color w:val="auto"/>
          <w:sz w:val="24"/>
        </w:rPr>
      </w:pPr>
      <w:r>
        <w:rPr>
          <w:rFonts w:hint="eastAsia" w:ascii="宋体" w:hAnsi="宋体" w:cs="宋体"/>
          <w:color w:val="auto"/>
          <w:sz w:val="24"/>
        </w:rPr>
        <w:t>项目名称：</w:t>
      </w:r>
    </w:p>
    <w:p>
      <w:pPr>
        <w:spacing w:line="360" w:lineRule="auto"/>
        <w:ind w:firstLine="480" w:firstLineChars="200"/>
        <w:rPr>
          <w:rFonts w:ascii="宋体" w:hAnsi="宋体" w:cs="宋体"/>
          <w:color w:val="auto"/>
          <w:sz w:val="24"/>
        </w:rPr>
      </w:pPr>
      <w:r>
        <w:rPr>
          <w:rFonts w:hint="eastAsia" w:ascii="宋体" w:hAnsi="宋体" w:cs="宋体"/>
          <w:color w:val="auto"/>
          <w:sz w:val="24"/>
        </w:rPr>
        <w:t>采购编号：</w:t>
      </w:r>
    </w:p>
    <w:tbl>
      <w:tblPr>
        <w:tblStyle w:val="25"/>
        <w:tblW w:w="89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hAnsi="宋体" w:cs="宋体"/>
                <w:color w:val="auto"/>
                <w:sz w:val="24"/>
              </w:rPr>
            </w:pPr>
            <w:r>
              <w:rPr>
                <w:rFonts w:hint="eastAsia" w:ascii="宋体" w:hAnsi="宋体" w:cs="宋体"/>
                <w:color w:val="auto"/>
                <w:sz w:val="24"/>
              </w:rPr>
              <w:t>序号</w:t>
            </w:r>
          </w:p>
        </w:tc>
        <w:tc>
          <w:tcPr>
            <w:tcW w:w="2387" w:type="dxa"/>
            <w:vAlign w:val="center"/>
          </w:tcPr>
          <w:p>
            <w:pPr>
              <w:jc w:val="center"/>
              <w:rPr>
                <w:rFonts w:ascii="宋体" w:hAnsi="宋体" w:cs="宋体"/>
                <w:color w:val="auto"/>
                <w:sz w:val="24"/>
              </w:rPr>
            </w:pPr>
            <w:r>
              <w:rPr>
                <w:rFonts w:hint="eastAsia" w:ascii="宋体" w:hAnsi="宋体" w:cs="宋体"/>
                <w:color w:val="auto"/>
                <w:sz w:val="24"/>
              </w:rPr>
              <w:t>资信分内容</w:t>
            </w:r>
          </w:p>
        </w:tc>
        <w:tc>
          <w:tcPr>
            <w:tcW w:w="1462" w:type="dxa"/>
            <w:vAlign w:val="center"/>
          </w:tcPr>
          <w:p>
            <w:pPr>
              <w:jc w:val="center"/>
              <w:rPr>
                <w:rFonts w:ascii="宋体" w:hAnsi="宋体" w:cs="宋体"/>
                <w:color w:val="auto"/>
                <w:sz w:val="24"/>
              </w:rPr>
            </w:pPr>
            <w:r>
              <w:rPr>
                <w:rFonts w:hint="eastAsia" w:ascii="宋体" w:hAnsi="宋体" w:cs="宋体"/>
                <w:color w:val="auto"/>
                <w:sz w:val="24"/>
              </w:rPr>
              <w:t>自评得分</w:t>
            </w:r>
          </w:p>
        </w:tc>
        <w:tc>
          <w:tcPr>
            <w:tcW w:w="2415" w:type="dxa"/>
            <w:tcBorders>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响应文件对应资料</w:t>
            </w:r>
          </w:p>
        </w:tc>
        <w:tc>
          <w:tcPr>
            <w:tcW w:w="1746" w:type="dxa"/>
            <w:tcBorders>
              <w:lef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响应文件页码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hAnsi="宋体" w:cs="宋体"/>
                <w:color w:val="auto"/>
                <w:sz w:val="24"/>
              </w:rPr>
            </w:pPr>
            <w:r>
              <w:rPr>
                <w:rFonts w:hint="eastAsia" w:ascii="宋体" w:hAnsi="宋体" w:cs="宋体"/>
                <w:color w:val="auto"/>
                <w:sz w:val="24"/>
              </w:rPr>
              <w:t>1</w:t>
            </w:r>
          </w:p>
        </w:tc>
        <w:tc>
          <w:tcPr>
            <w:tcW w:w="2387" w:type="dxa"/>
          </w:tcPr>
          <w:p>
            <w:pPr>
              <w:jc w:val="center"/>
              <w:rPr>
                <w:rFonts w:ascii="宋体" w:hAnsi="宋体" w:cs="宋体"/>
                <w:color w:val="auto"/>
                <w:sz w:val="24"/>
              </w:rPr>
            </w:pPr>
          </w:p>
        </w:tc>
        <w:tc>
          <w:tcPr>
            <w:tcW w:w="1462" w:type="dxa"/>
          </w:tcPr>
          <w:p>
            <w:pPr>
              <w:jc w:val="center"/>
              <w:rPr>
                <w:rFonts w:ascii="宋体" w:hAnsi="宋体" w:cs="宋体"/>
                <w:color w:val="auto"/>
                <w:sz w:val="24"/>
              </w:rPr>
            </w:pPr>
          </w:p>
        </w:tc>
        <w:tc>
          <w:tcPr>
            <w:tcW w:w="2415" w:type="dxa"/>
            <w:tcBorders>
              <w:right w:val="single" w:color="auto" w:sz="4" w:space="0"/>
            </w:tcBorders>
          </w:tcPr>
          <w:p>
            <w:pPr>
              <w:jc w:val="center"/>
              <w:rPr>
                <w:rFonts w:ascii="宋体" w:hAnsi="宋体" w:cs="宋体"/>
                <w:color w:val="auto"/>
                <w:sz w:val="24"/>
              </w:rPr>
            </w:pPr>
          </w:p>
        </w:tc>
        <w:tc>
          <w:tcPr>
            <w:tcW w:w="1746" w:type="dxa"/>
            <w:tcBorders>
              <w:left w:val="single" w:color="auto" w:sz="4" w:space="0"/>
            </w:tcBorders>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hAnsi="宋体" w:cs="宋体"/>
                <w:color w:val="auto"/>
                <w:sz w:val="24"/>
              </w:rPr>
            </w:pPr>
            <w:r>
              <w:rPr>
                <w:rFonts w:hint="eastAsia" w:ascii="宋体" w:hAnsi="宋体" w:cs="宋体"/>
                <w:color w:val="auto"/>
                <w:sz w:val="24"/>
              </w:rPr>
              <w:t>2</w:t>
            </w:r>
          </w:p>
        </w:tc>
        <w:tc>
          <w:tcPr>
            <w:tcW w:w="2387" w:type="dxa"/>
          </w:tcPr>
          <w:p>
            <w:pPr>
              <w:jc w:val="center"/>
              <w:rPr>
                <w:rFonts w:ascii="宋体" w:hAnsi="宋体" w:cs="宋体"/>
                <w:color w:val="auto"/>
                <w:sz w:val="24"/>
              </w:rPr>
            </w:pPr>
          </w:p>
        </w:tc>
        <w:tc>
          <w:tcPr>
            <w:tcW w:w="1462" w:type="dxa"/>
          </w:tcPr>
          <w:p>
            <w:pPr>
              <w:jc w:val="center"/>
              <w:rPr>
                <w:rFonts w:ascii="宋体" w:hAnsi="宋体" w:cs="宋体"/>
                <w:color w:val="auto"/>
                <w:sz w:val="24"/>
              </w:rPr>
            </w:pPr>
          </w:p>
        </w:tc>
        <w:tc>
          <w:tcPr>
            <w:tcW w:w="2415" w:type="dxa"/>
            <w:tcBorders>
              <w:right w:val="single" w:color="auto" w:sz="4" w:space="0"/>
            </w:tcBorders>
          </w:tcPr>
          <w:p>
            <w:pPr>
              <w:jc w:val="center"/>
              <w:rPr>
                <w:rFonts w:ascii="宋体" w:hAnsi="宋体" w:cs="宋体"/>
                <w:color w:val="auto"/>
                <w:sz w:val="24"/>
              </w:rPr>
            </w:pPr>
          </w:p>
        </w:tc>
        <w:tc>
          <w:tcPr>
            <w:tcW w:w="1746" w:type="dxa"/>
            <w:tcBorders>
              <w:left w:val="single" w:color="auto" w:sz="4" w:space="0"/>
            </w:tcBorders>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hAnsi="宋体" w:cs="宋体"/>
                <w:color w:val="auto"/>
                <w:sz w:val="24"/>
              </w:rPr>
            </w:pPr>
            <w:r>
              <w:rPr>
                <w:rFonts w:hint="eastAsia" w:ascii="宋体" w:hAnsi="宋体" w:cs="宋体"/>
                <w:color w:val="auto"/>
                <w:sz w:val="24"/>
              </w:rPr>
              <w:t>3</w:t>
            </w:r>
          </w:p>
        </w:tc>
        <w:tc>
          <w:tcPr>
            <w:tcW w:w="2387" w:type="dxa"/>
          </w:tcPr>
          <w:p>
            <w:pPr>
              <w:jc w:val="center"/>
              <w:rPr>
                <w:rFonts w:ascii="宋体" w:hAnsi="宋体" w:cs="宋体"/>
                <w:color w:val="auto"/>
                <w:sz w:val="24"/>
              </w:rPr>
            </w:pPr>
          </w:p>
        </w:tc>
        <w:tc>
          <w:tcPr>
            <w:tcW w:w="1462" w:type="dxa"/>
          </w:tcPr>
          <w:p>
            <w:pPr>
              <w:jc w:val="center"/>
              <w:rPr>
                <w:rFonts w:ascii="宋体" w:hAnsi="宋体" w:cs="宋体"/>
                <w:color w:val="auto"/>
                <w:sz w:val="24"/>
              </w:rPr>
            </w:pPr>
          </w:p>
        </w:tc>
        <w:tc>
          <w:tcPr>
            <w:tcW w:w="2415" w:type="dxa"/>
            <w:tcBorders>
              <w:right w:val="single" w:color="auto" w:sz="4" w:space="0"/>
            </w:tcBorders>
          </w:tcPr>
          <w:p>
            <w:pPr>
              <w:jc w:val="center"/>
              <w:rPr>
                <w:rFonts w:ascii="宋体" w:hAnsi="宋体" w:cs="宋体"/>
                <w:color w:val="auto"/>
                <w:sz w:val="24"/>
              </w:rPr>
            </w:pPr>
          </w:p>
        </w:tc>
        <w:tc>
          <w:tcPr>
            <w:tcW w:w="1746" w:type="dxa"/>
            <w:tcBorders>
              <w:left w:val="single" w:color="auto" w:sz="4" w:space="0"/>
            </w:tcBorders>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hAnsi="宋体" w:cs="宋体"/>
                <w:color w:val="auto"/>
                <w:sz w:val="24"/>
              </w:rPr>
            </w:pPr>
            <w:r>
              <w:rPr>
                <w:rFonts w:hint="eastAsia" w:ascii="宋体" w:hAnsi="宋体" w:cs="宋体"/>
                <w:color w:val="auto"/>
                <w:sz w:val="24"/>
              </w:rPr>
              <w:t>4</w:t>
            </w:r>
          </w:p>
        </w:tc>
        <w:tc>
          <w:tcPr>
            <w:tcW w:w="2387" w:type="dxa"/>
          </w:tcPr>
          <w:p>
            <w:pPr>
              <w:jc w:val="center"/>
              <w:rPr>
                <w:rFonts w:ascii="宋体" w:hAnsi="宋体" w:cs="宋体"/>
                <w:color w:val="auto"/>
                <w:sz w:val="24"/>
              </w:rPr>
            </w:pPr>
          </w:p>
        </w:tc>
        <w:tc>
          <w:tcPr>
            <w:tcW w:w="1462" w:type="dxa"/>
          </w:tcPr>
          <w:p>
            <w:pPr>
              <w:jc w:val="center"/>
              <w:rPr>
                <w:rFonts w:ascii="宋体" w:hAnsi="宋体" w:cs="宋体"/>
                <w:color w:val="auto"/>
                <w:sz w:val="24"/>
              </w:rPr>
            </w:pPr>
          </w:p>
        </w:tc>
        <w:tc>
          <w:tcPr>
            <w:tcW w:w="2415" w:type="dxa"/>
            <w:tcBorders>
              <w:right w:val="single" w:color="auto" w:sz="4" w:space="0"/>
            </w:tcBorders>
          </w:tcPr>
          <w:p>
            <w:pPr>
              <w:jc w:val="center"/>
              <w:rPr>
                <w:rFonts w:ascii="宋体" w:hAnsi="宋体" w:cs="宋体"/>
                <w:color w:val="auto"/>
                <w:sz w:val="24"/>
              </w:rPr>
            </w:pPr>
          </w:p>
        </w:tc>
        <w:tc>
          <w:tcPr>
            <w:tcW w:w="1746" w:type="dxa"/>
            <w:tcBorders>
              <w:left w:val="single" w:color="auto" w:sz="4" w:space="0"/>
            </w:tcBorders>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hAnsi="宋体" w:cs="宋体"/>
                <w:color w:val="auto"/>
                <w:sz w:val="24"/>
              </w:rPr>
            </w:pPr>
            <w:r>
              <w:rPr>
                <w:rFonts w:hint="eastAsia" w:ascii="宋体" w:hAnsi="宋体" w:cs="宋体"/>
                <w:color w:val="auto"/>
                <w:sz w:val="24"/>
              </w:rPr>
              <w:t>5</w:t>
            </w:r>
          </w:p>
        </w:tc>
        <w:tc>
          <w:tcPr>
            <w:tcW w:w="2387" w:type="dxa"/>
          </w:tcPr>
          <w:p>
            <w:pPr>
              <w:jc w:val="center"/>
              <w:rPr>
                <w:rFonts w:ascii="宋体" w:hAnsi="宋体" w:cs="宋体"/>
                <w:color w:val="auto"/>
                <w:sz w:val="24"/>
              </w:rPr>
            </w:pPr>
          </w:p>
        </w:tc>
        <w:tc>
          <w:tcPr>
            <w:tcW w:w="1462" w:type="dxa"/>
          </w:tcPr>
          <w:p>
            <w:pPr>
              <w:jc w:val="center"/>
              <w:rPr>
                <w:rFonts w:ascii="宋体" w:hAnsi="宋体" w:cs="宋体"/>
                <w:color w:val="auto"/>
                <w:sz w:val="24"/>
              </w:rPr>
            </w:pPr>
          </w:p>
        </w:tc>
        <w:tc>
          <w:tcPr>
            <w:tcW w:w="2415" w:type="dxa"/>
            <w:tcBorders>
              <w:right w:val="single" w:color="auto" w:sz="4" w:space="0"/>
            </w:tcBorders>
          </w:tcPr>
          <w:p>
            <w:pPr>
              <w:jc w:val="center"/>
              <w:rPr>
                <w:rFonts w:ascii="宋体" w:hAnsi="宋体" w:cs="宋体"/>
                <w:color w:val="auto"/>
                <w:sz w:val="24"/>
              </w:rPr>
            </w:pPr>
          </w:p>
        </w:tc>
        <w:tc>
          <w:tcPr>
            <w:tcW w:w="1746" w:type="dxa"/>
            <w:tcBorders>
              <w:left w:val="single" w:color="auto" w:sz="4" w:space="0"/>
            </w:tcBorders>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hAnsi="宋体" w:cs="宋体"/>
                <w:color w:val="auto"/>
                <w:sz w:val="24"/>
              </w:rPr>
            </w:pPr>
            <w:r>
              <w:rPr>
                <w:rFonts w:hint="eastAsia" w:ascii="宋体" w:hAnsi="宋体" w:cs="宋体"/>
                <w:color w:val="auto"/>
                <w:sz w:val="24"/>
              </w:rPr>
              <w:t>6</w:t>
            </w:r>
          </w:p>
        </w:tc>
        <w:tc>
          <w:tcPr>
            <w:tcW w:w="2387" w:type="dxa"/>
          </w:tcPr>
          <w:p>
            <w:pPr>
              <w:jc w:val="center"/>
              <w:rPr>
                <w:rFonts w:ascii="宋体" w:hAnsi="宋体" w:cs="宋体"/>
                <w:color w:val="auto"/>
                <w:sz w:val="24"/>
              </w:rPr>
            </w:pPr>
          </w:p>
        </w:tc>
        <w:tc>
          <w:tcPr>
            <w:tcW w:w="1462" w:type="dxa"/>
          </w:tcPr>
          <w:p>
            <w:pPr>
              <w:jc w:val="center"/>
              <w:rPr>
                <w:rFonts w:ascii="宋体" w:hAnsi="宋体" w:cs="宋体"/>
                <w:color w:val="auto"/>
                <w:sz w:val="24"/>
              </w:rPr>
            </w:pPr>
          </w:p>
        </w:tc>
        <w:tc>
          <w:tcPr>
            <w:tcW w:w="2415" w:type="dxa"/>
            <w:tcBorders>
              <w:right w:val="single" w:color="auto" w:sz="4" w:space="0"/>
            </w:tcBorders>
          </w:tcPr>
          <w:p>
            <w:pPr>
              <w:jc w:val="center"/>
              <w:rPr>
                <w:rFonts w:ascii="宋体" w:hAnsi="宋体" w:cs="宋体"/>
                <w:color w:val="auto"/>
                <w:sz w:val="24"/>
              </w:rPr>
            </w:pPr>
          </w:p>
        </w:tc>
        <w:tc>
          <w:tcPr>
            <w:tcW w:w="1746" w:type="dxa"/>
            <w:tcBorders>
              <w:left w:val="single" w:color="auto" w:sz="4" w:space="0"/>
            </w:tcBorders>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hAnsi="宋体" w:cs="宋体"/>
                <w:color w:val="auto"/>
                <w:sz w:val="24"/>
              </w:rPr>
            </w:pPr>
            <w:r>
              <w:rPr>
                <w:rFonts w:hint="eastAsia" w:ascii="宋体" w:hAnsi="宋体" w:cs="宋体"/>
                <w:color w:val="auto"/>
                <w:sz w:val="24"/>
              </w:rPr>
              <w:t>7</w:t>
            </w:r>
          </w:p>
        </w:tc>
        <w:tc>
          <w:tcPr>
            <w:tcW w:w="2387" w:type="dxa"/>
          </w:tcPr>
          <w:p>
            <w:pPr>
              <w:jc w:val="center"/>
              <w:rPr>
                <w:rFonts w:ascii="宋体" w:hAnsi="宋体" w:cs="宋体"/>
                <w:color w:val="auto"/>
                <w:sz w:val="24"/>
              </w:rPr>
            </w:pPr>
          </w:p>
        </w:tc>
        <w:tc>
          <w:tcPr>
            <w:tcW w:w="1462" w:type="dxa"/>
          </w:tcPr>
          <w:p>
            <w:pPr>
              <w:jc w:val="center"/>
              <w:rPr>
                <w:rFonts w:ascii="宋体" w:hAnsi="宋体" w:cs="宋体"/>
                <w:color w:val="auto"/>
                <w:sz w:val="24"/>
              </w:rPr>
            </w:pPr>
          </w:p>
        </w:tc>
        <w:tc>
          <w:tcPr>
            <w:tcW w:w="2415" w:type="dxa"/>
            <w:tcBorders>
              <w:right w:val="single" w:color="auto" w:sz="4" w:space="0"/>
            </w:tcBorders>
          </w:tcPr>
          <w:p>
            <w:pPr>
              <w:jc w:val="center"/>
              <w:rPr>
                <w:rFonts w:ascii="宋体" w:hAnsi="宋体" w:cs="宋体"/>
                <w:color w:val="auto"/>
                <w:sz w:val="24"/>
              </w:rPr>
            </w:pPr>
          </w:p>
        </w:tc>
        <w:tc>
          <w:tcPr>
            <w:tcW w:w="1746" w:type="dxa"/>
            <w:tcBorders>
              <w:left w:val="single" w:color="auto" w:sz="4" w:space="0"/>
            </w:tcBorders>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hAnsi="宋体" w:cs="宋体"/>
                <w:color w:val="auto"/>
                <w:sz w:val="24"/>
              </w:rPr>
            </w:pPr>
            <w:r>
              <w:rPr>
                <w:rFonts w:hint="eastAsia" w:ascii="宋体" w:hAnsi="宋体" w:cs="宋体"/>
                <w:color w:val="auto"/>
                <w:sz w:val="24"/>
              </w:rPr>
              <w:t>8</w:t>
            </w:r>
          </w:p>
        </w:tc>
        <w:tc>
          <w:tcPr>
            <w:tcW w:w="2387" w:type="dxa"/>
          </w:tcPr>
          <w:p>
            <w:pPr>
              <w:jc w:val="center"/>
              <w:rPr>
                <w:rFonts w:ascii="宋体" w:hAnsi="宋体" w:cs="宋体"/>
                <w:color w:val="auto"/>
                <w:sz w:val="24"/>
              </w:rPr>
            </w:pPr>
          </w:p>
        </w:tc>
        <w:tc>
          <w:tcPr>
            <w:tcW w:w="1462" w:type="dxa"/>
          </w:tcPr>
          <w:p>
            <w:pPr>
              <w:jc w:val="center"/>
              <w:rPr>
                <w:rFonts w:ascii="宋体" w:hAnsi="宋体" w:cs="宋体"/>
                <w:color w:val="auto"/>
                <w:sz w:val="24"/>
              </w:rPr>
            </w:pPr>
          </w:p>
        </w:tc>
        <w:tc>
          <w:tcPr>
            <w:tcW w:w="2415" w:type="dxa"/>
            <w:tcBorders>
              <w:right w:val="single" w:color="auto" w:sz="4" w:space="0"/>
            </w:tcBorders>
          </w:tcPr>
          <w:p>
            <w:pPr>
              <w:jc w:val="center"/>
              <w:rPr>
                <w:rFonts w:ascii="宋体" w:hAnsi="宋体" w:cs="宋体"/>
                <w:color w:val="auto"/>
                <w:sz w:val="24"/>
              </w:rPr>
            </w:pPr>
          </w:p>
        </w:tc>
        <w:tc>
          <w:tcPr>
            <w:tcW w:w="1746" w:type="dxa"/>
            <w:tcBorders>
              <w:left w:val="single" w:color="auto" w:sz="4" w:space="0"/>
            </w:tcBorders>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hAnsi="宋体" w:cs="宋体"/>
                <w:color w:val="auto"/>
                <w:sz w:val="24"/>
              </w:rPr>
            </w:pPr>
            <w:r>
              <w:rPr>
                <w:rFonts w:hint="eastAsia" w:ascii="宋体" w:hAnsi="宋体" w:cs="宋体"/>
                <w:color w:val="auto"/>
                <w:sz w:val="24"/>
              </w:rPr>
              <w:t>合计</w:t>
            </w:r>
          </w:p>
        </w:tc>
        <w:tc>
          <w:tcPr>
            <w:tcW w:w="2387" w:type="dxa"/>
          </w:tcPr>
          <w:p>
            <w:pPr>
              <w:jc w:val="center"/>
              <w:rPr>
                <w:rFonts w:ascii="宋体" w:hAnsi="宋体" w:cs="宋体"/>
                <w:color w:val="auto"/>
                <w:sz w:val="24"/>
              </w:rPr>
            </w:pPr>
          </w:p>
        </w:tc>
        <w:tc>
          <w:tcPr>
            <w:tcW w:w="1462" w:type="dxa"/>
          </w:tcPr>
          <w:p>
            <w:pPr>
              <w:jc w:val="center"/>
              <w:rPr>
                <w:rFonts w:ascii="宋体" w:hAnsi="宋体" w:cs="宋体"/>
                <w:color w:val="auto"/>
                <w:sz w:val="24"/>
              </w:rPr>
            </w:pPr>
          </w:p>
        </w:tc>
        <w:tc>
          <w:tcPr>
            <w:tcW w:w="2415" w:type="dxa"/>
            <w:tcBorders>
              <w:right w:val="single" w:color="auto" w:sz="4" w:space="0"/>
            </w:tcBorders>
          </w:tcPr>
          <w:p>
            <w:pPr>
              <w:jc w:val="center"/>
              <w:rPr>
                <w:rFonts w:ascii="宋体" w:hAnsi="宋体" w:cs="宋体"/>
                <w:color w:val="auto"/>
                <w:sz w:val="24"/>
              </w:rPr>
            </w:pPr>
          </w:p>
        </w:tc>
        <w:tc>
          <w:tcPr>
            <w:tcW w:w="1746" w:type="dxa"/>
            <w:tcBorders>
              <w:left w:val="single" w:color="auto" w:sz="4" w:space="0"/>
            </w:tcBorders>
          </w:tcPr>
          <w:p>
            <w:pPr>
              <w:jc w:val="center"/>
              <w:rPr>
                <w:rFonts w:ascii="宋体" w:hAnsi="宋体" w:cs="宋体"/>
                <w:color w:val="auto"/>
                <w:sz w:val="24"/>
              </w:rPr>
            </w:pPr>
          </w:p>
        </w:tc>
      </w:tr>
    </w:tbl>
    <w:p>
      <w:pPr>
        <w:spacing w:line="360" w:lineRule="auto"/>
        <w:ind w:firstLine="480" w:firstLineChars="200"/>
        <w:rPr>
          <w:rFonts w:ascii="宋体" w:hAnsi="宋体" w:cs="宋体"/>
          <w:color w:val="auto"/>
          <w:sz w:val="24"/>
        </w:rPr>
      </w:pPr>
    </w:p>
    <w:p>
      <w:pPr>
        <w:spacing w:line="360" w:lineRule="auto"/>
        <w:ind w:left="3600" w:leftChars="1800" w:firstLine="480" w:firstLineChars="200"/>
        <w:rPr>
          <w:rFonts w:ascii="宋体" w:hAnsi="宋体" w:cs="宋体"/>
          <w:color w:val="auto"/>
          <w:sz w:val="24"/>
        </w:rPr>
      </w:pPr>
    </w:p>
    <w:p>
      <w:pPr>
        <w:spacing w:line="360" w:lineRule="auto"/>
        <w:ind w:left="3600" w:leftChars="1800" w:firstLine="480" w:firstLineChars="200"/>
        <w:rPr>
          <w:rFonts w:ascii="宋体" w:hAnsi="宋体" w:cs="宋体"/>
          <w:color w:val="auto"/>
          <w:sz w:val="24"/>
        </w:rPr>
      </w:pPr>
      <w:r>
        <w:rPr>
          <w:rFonts w:hint="eastAsia" w:ascii="宋体" w:hAnsi="宋体" w:cs="宋体"/>
          <w:color w:val="auto"/>
          <w:sz w:val="24"/>
        </w:rPr>
        <w:t xml:space="preserve">法定代表人签名（或签名章）：                       </w:t>
      </w:r>
    </w:p>
    <w:p>
      <w:pPr>
        <w:spacing w:line="360" w:lineRule="auto"/>
        <w:ind w:left="3600" w:leftChars="1800" w:firstLine="480" w:firstLineChars="200"/>
        <w:rPr>
          <w:rFonts w:ascii="宋体" w:hAnsi="宋体" w:cs="宋体"/>
          <w:color w:val="auto"/>
          <w:sz w:val="24"/>
        </w:rPr>
      </w:pPr>
      <w:r>
        <w:rPr>
          <w:rFonts w:hint="eastAsia" w:ascii="宋体" w:hAnsi="宋体" w:cs="宋体"/>
          <w:color w:val="auto"/>
          <w:sz w:val="24"/>
        </w:rPr>
        <w:t>日 期：</w:t>
      </w:r>
    </w:p>
    <w:p>
      <w:pPr>
        <w:spacing w:line="360" w:lineRule="auto"/>
        <w:ind w:left="3600" w:leftChars="1800" w:firstLine="480" w:firstLineChars="200"/>
        <w:rPr>
          <w:rFonts w:ascii="宋体" w:hAnsi="宋体" w:cs="宋体"/>
          <w:color w:val="auto"/>
          <w:sz w:val="24"/>
        </w:rPr>
      </w:pPr>
      <w:r>
        <w:rPr>
          <w:rFonts w:hint="eastAsia" w:ascii="宋体" w:hAnsi="宋体" w:cs="宋体"/>
          <w:color w:val="auto"/>
          <w:sz w:val="24"/>
        </w:rPr>
        <w:t>供应商全称（公章）：</w:t>
      </w:r>
    </w:p>
    <w:p>
      <w:pPr>
        <w:pStyle w:val="12"/>
        <w:ind w:firstLine="560"/>
        <w:rPr>
          <w:rFonts w:cs="宋体"/>
          <w:color w:val="auto"/>
          <w:sz w:val="28"/>
          <w:szCs w:val="28"/>
        </w:rPr>
      </w:pPr>
    </w:p>
    <w:p>
      <w:pPr>
        <w:snapToGrid w:val="0"/>
        <w:spacing w:before="50" w:after="120" w:afterLines="50"/>
        <w:jc w:val="left"/>
        <w:rPr>
          <w:rFonts w:ascii="宋体" w:hAnsi="宋体" w:cs="宋体"/>
          <w:b/>
          <w:bCs/>
          <w:color w:val="auto"/>
          <w:sz w:val="24"/>
          <w:lang w:val="zh-CN"/>
        </w:rPr>
      </w:pPr>
      <w:r>
        <w:rPr>
          <w:rFonts w:hint="eastAsia" w:ascii="宋体" w:hAnsi="宋体" w:cs="宋体"/>
          <w:b/>
          <w:bCs/>
          <w:color w:val="auto"/>
          <w:sz w:val="30"/>
          <w:szCs w:val="30"/>
        </w:rPr>
        <w:br w:type="page"/>
      </w:r>
      <w:r>
        <w:rPr>
          <w:rFonts w:hint="eastAsia" w:ascii="宋体" w:hAnsi="宋体" w:cs="宋体"/>
          <w:b/>
          <w:bCs/>
          <w:color w:val="auto"/>
          <w:sz w:val="24"/>
          <w:lang w:val="zh-CN"/>
        </w:rPr>
        <w:t>附件八：</w:t>
      </w:r>
    </w:p>
    <w:p>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投标项目明细清单</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r>
        <w:rPr>
          <w:rFonts w:hint="eastAsia" w:ascii="宋体" w:hAnsi="宋体" w:cs="宋体"/>
          <w:color w:val="auto"/>
          <w:sz w:val="24"/>
        </w:rPr>
        <w:t>项目名称：</w:t>
      </w:r>
    </w:p>
    <w:p>
      <w:pPr>
        <w:spacing w:line="360" w:lineRule="auto"/>
        <w:ind w:firstLine="480" w:firstLineChars="200"/>
        <w:rPr>
          <w:rFonts w:ascii="宋体" w:hAnsi="宋体" w:cs="宋体"/>
          <w:color w:val="auto"/>
          <w:sz w:val="24"/>
        </w:rPr>
      </w:pPr>
      <w:r>
        <w:rPr>
          <w:rFonts w:hint="eastAsia" w:ascii="宋体" w:hAnsi="宋体" w:cs="宋体"/>
          <w:color w:val="auto"/>
          <w:sz w:val="24"/>
        </w:rPr>
        <w:t>采购编号：</w:t>
      </w:r>
    </w:p>
    <w:tbl>
      <w:tblPr>
        <w:tblStyle w:val="25"/>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cs="宋体"/>
                <w:color w:val="auto"/>
                <w:sz w:val="24"/>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cs="宋体"/>
                <w:color w:val="auto"/>
                <w:sz w:val="24"/>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r>
    </w:tbl>
    <w:p>
      <w:pPr>
        <w:snapToGrid w:val="0"/>
        <w:spacing w:before="120" w:beforeLines="50" w:line="360" w:lineRule="auto"/>
        <w:ind w:firstLine="480" w:firstLineChars="200"/>
        <w:rPr>
          <w:rFonts w:ascii="宋体" w:hAnsi="宋体" w:cs="宋体"/>
          <w:color w:val="auto"/>
          <w:sz w:val="24"/>
        </w:rPr>
      </w:pPr>
      <w:r>
        <w:rPr>
          <w:rFonts w:hint="eastAsia" w:ascii="宋体" w:hAnsi="宋体" w:cs="宋体"/>
          <w:color w:val="auto"/>
          <w:sz w:val="24"/>
        </w:rPr>
        <w:t>注：在填写时，如上表不适合本项目的实际情况，可在确保投标明细内容完整的情况下，根据上表格式自行划表填写。</w:t>
      </w:r>
    </w:p>
    <w:p>
      <w:pPr>
        <w:pStyle w:val="12"/>
        <w:rPr>
          <w:rFonts w:cs="宋体"/>
          <w:color w:val="auto"/>
        </w:rPr>
      </w:pPr>
    </w:p>
    <w:p>
      <w:pPr>
        <w:pStyle w:val="12"/>
        <w:rPr>
          <w:rFonts w:cs="宋体"/>
          <w:color w:val="auto"/>
        </w:rPr>
      </w:pPr>
    </w:p>
    <w:p>
      <w:pPr>
        <w:pStyle w:val="12"/>
        <w:rPr>
          <w:rFonts w:cs="宋体"/>
          <w:color w:val="auto"/>
        </w:rPr>
      </w:pPr>
    </w:p>
    <w:p>
      <w:pPr>
        <w:snapToGrid w:val="0"/>
        <w:spacing w:before="120" w:beforeLines="50"/>
        <w:rPr>
          <w:rFonts w:ascii="宋体" w:hAnsi="宋体" w:cs="宋体"/>
          <w:color w:val="auto"/>
          <w:sz w:val="24"/>
        </w:rPr>
      </w:pPr>
    </w:p>
    <w:p>
      <w:pPr>
        <w:spacing w:line="360" w:lineRule="auto"/>
        <w:ind w:left="3600" w:leftChars="1800" w:firstLine="480" w:firstLineChars="200"/>
        <w:rPr>
          <w:rFonts w:ascii="宋体" w:hAnsi="宋体" w:cs="宋体"/>
          <w:color w:val="auto"/>
          <w:sz w:val="24"/>
        </w:rPr>
      </w:pPr>
      <w:r>
        <w:rPr>
          <w:rFonts w:hint="eastAsia" w:ascii="宋体" w:hAnsi="宋体" w:cs="宋体"/>
          <w:color w:val="auto"/>
          <w:sz w:val="24"/>
        </w:rPr>
        <w:t xml:space="preserve">法定代表人签名（或签名章）：                       </w:t>
      </w:r>
    </w:p>
    <w:p>
      <w:pPr>
        <w:spacing w:line="360" w:lineRule="auto"/>
        <w:ind w:left="3600" w:leftChars="1800" w:firstLine="480" w:firstLineChars="200"/>
        <w:rPr>
          <w:rFonts w:ascii="宋体" w:hAnsi="宋体" w:cs="宋体"/>
          <w:color w:val="auto"/>
          <w:sz w:val="24"/>
        </w:rPr>
      </w:pPr>
      <w:r>
        <w:rPr>
          <w:rFonts w:hint="eastAsia" w:ascii="宋体" w:hAnsi="宋体" w:cs="宋体"/>
          <w:color w:val="auto"/>
          <w:sz w:val="24"/>
        </w:rPr>
        <w:t>日 期：</w:t>
      </w:r>
    </w:p>
    <w:p>
      <w:pPr>
        <w:spacing w:line="360" w:lineRule="auto"/>
        <w:ind w:left="3600" w:leftChars="1800" w:firstLine="480" w:firstLineChars="200"/>
        <w:rPr>
          <w:rFonts w:ascii="宋体" w:hAnsi="宋体" w:cs="宋体"/>
          <w:color w:val="auto"/>
          <w:sz w:val="24"/>
        </w:rPr>
      </w:pPr>
      <w:r>
        <w:rPr>
          <w:rFonts w:hint="eastAsia" w:ascii="宋体" w:hAnsi="宋体" w:cs="宋体"/>
          <w:color w:val="auto"/>
          <w:sz w:val="24"/>
        </w:rPr>
        <w:t>供应商全称（公章）：</w:t>
      </w:r>
    </w:p>
    <w:p>
      <w:pPr>
        <w:snapToGrid w:val="0"/>
        <w:spacing w:before="50" w:after="50"/>
        <w:rPr>
          <w:rFonts w:ascii="宋体" w:hAnsi="宋体" w:cs="宋体"/>
          <w:color w:val="auto"/>
          <w:spacing w:val="20"/>
          <w:sz w:val="24"/>
        </w:rPr>
      </w:pPr>
    </w:p>
    <w:p>
      <w:pPr>
        <w:snapToGrid w:val="0"/>
        <w:spacing w:before="50" w:after="50"/>
        <w:rPr>
          <w:rFonts w:ascii="宋体" w:hAnsi="宋体" w:cs="宋体"/>
          <w:color w:val="auto"/>
          <w:spacing w:val="20"/>
          <w:sz w:val="30"/>
          <w:szCs w:val="30"/>
        </w:rPr>
      </w:pPr>
    </w:p>
    <w:p>
      <w:pPr>
        <w:pStyle w:val="12"/>
        <w:ind w:firstLine="680"/>
        <w:rPr>
          <w:rFonts w:cs="宋体"/>
          <w:color w:val="auto"/>
          <w:spacing w:val="20"/>
          <w:sz w:val="30"/>
          <w:szCs w:val="30"/>
        </w:rPr>
      </w:pPr>
    </w:p>
    <w:p>
      <w:pPr>
        <w:pStyle w:val="12"/>
        <w:ind w:firstLine="680"/>
        <w:rPr>
          <w:rFonts w:cs="宋体"/>
          <w:color w:val="auto"/>
          <w:spacing w:val="20"/>
          <w:sz w:val="30"/>
          <w:szCs w:val="30"/>
        </w:rPr>
      </w:pPr>
    </w:p>
    <w:p>
      <w:pPr>
        <w:pStyle w:val="12"/>
        <w:ind w:firstLine="680"/>
        <w:rPr>
          <w:rFonts w:cs="宋体"/>
          <w:color w:val="auto"/>
          <w:spacing w:val="20"/>
          <w:sz w:val="30"/>
          <w:szCs w:val="30"/>
        </w:rPr>
      </w:pPr>
    </w:p>
    <w:p>
      <w:pPr>
        <w:pStyle w:val="12"/>
        <w:ind w:firstLine="680"/>
        <w:rPr>
          <w:rFonts w:cs="宋体"/>
          <w:color w:val="auto"/>
          <w:spacing w:val="20"/>
          <w:sz w:val="30"/>
          <w:szCs w:val="30"/>
        </w:rPr>
      </w:pPr>
    </w:p>
    <w:p>
      <w:pPr>
        <w:rPr>
          <w:color w:val="auto"/>
          <w:sz w:val="24"/>
          <w:szCs w:val="18"/>
        </w:rPr>
      </w:pPr>
      <w:bookmarkStart w:id="127" w:name="_Toc2823"/>
      <w:r>
        <w:rPr>
          <w:rFonts w:hint="eastAsia"/>
          <w:color w:val="auto"/>
          <w:sz w:val="24"/>
          <w:szCs w:val="18"/>
        </w:rPr>
        <w:br w:type="page"/>
      </w:r>
    </w:p>
    <w:p>
      <w:pPr>
        <w:rPr>
          <w:b/>
          <w:bCs/>
          <w:color w:val="auto"/>
          <w:sz w:val="24"/>
          <w:szCs w:val="32"/>
        </w:rPr>
      </w:pPr>
      <w:r>
        <w:rPr>
          <w:rFonts w:hint="eastAsia"/>
          <w:b/>
          <w:bCs/>
          <w:color w:val="auto"/>
          <w:sz w:val="24"/>
          <w:szCs w:val="32"/>
        </w:rPr>
        <w:t>附件九：</w:t>
      </w:r>
    </w:p>
    <w:p>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技术响应及建议表</w:t>
      </w:r>
      <w:bookmarkEnd w:id="127"/>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项目名称：</w:t>
      </w:r>
    </w:p>
    <w:p>
      <w:pPr>
        <w:spacing w:line="360" w:lineRule="auto"/>
        <w:ind w:firstLine="480" w:firstLineChars="200"/>
        <w:rPr>
          <w:rFonts w:ascii="宋体" w:hAnsi="宋体" w:cs="宋体"/>
          <w:color w:val="auto"/>
          <w:sz w:val="24"/>
        </w:rPr>
      </w:pPr>
      <w:r>
        <w:rPr>
          <w:rFonts w:hint="eastAsia" w:ascii="宋体" w:hAnsi="宋体" w:cs="宋体"/>
          <w:color w:val="auto"/>
          <w:sz w:val="24"/>
        </w:rPr>
        <w:t>采购编号：</w:t>
      </w:r>
    </w:p>
    <w:tbl>
      <w:tblPr>
        <w:tblStyle w:val="25"/>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序号</w:t>
            </w:r>
          </w:p>
        </w:tc>
        <w:tc>
          <w:tcPr>
            <w:tcW w:w="1440" w:type="dxa"/>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名称</w:t>
            </w:r>
          </w:p>
        </w:tc>
        <w:tc>
          <w:tcPr>
            <w:tcW w:w="1980" w:type="dxa"/>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磋商文件要求</w:t>
            </w:r>
          </w:p>
        </w:tc>
        <w:tc>
          <w:tcPr>
            <w:tcW w:w="2520" w:type="dxa"/>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响应文件响应</w:t>
            </w:r>
          </w:p>
        </w:tc>
        <w:tc>
          <w:tcPr>
            <w:tcW w:w="1953" w:type="dxa"/>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ascii="宋体" w:hAnsi="宋体" w:cs="宋体"/>
                <w:color w:val="auto"/>
                <w:sz w:val="24"/>
              </w:rPr>
            </w:pPr>
          </w:p>
        </w:tc>
        <w:tc>
          <w:tcPr>
            <w:tcW w:w="1440" w:type="dxa"/>
            <w:vAlign w:val="center"/>
          </w:tcPr>
          <w:p>
            <w:pPr>
              <w:snapToGrid w:val="0"/>
              <w:spacing w:before="50" w:after="50"/>
              <w:jc w:val="center"/>
              <w:rPr>
                <w:rFonts w:ascii="宋体" w:hAnsi="宋体" w:cs="宋体"/>
                <w:color w:val="auto"/>
                <w:sz w:val="24"/>
              </w:rPr>
            </w:pPr>
          </w:p>
        </w:tc>
        <w:tc>
          <w:tcPr>
            <w:tcW w:w="1980" w:type="dxa"/>
            <w:vAlign w:val="center"/>
          </w:tcPr>
          <w:p>
            <w:pPr>
              <w:snapToGrid w:val="0"/>
              <w:spacing w:before="50" w:after="50"/>
              <w:jc w:val="center"/>
              <w:rPr>
                <w:rFonts w:ascii="宋体" w:hAnsi="宋体" w:cs="宋体"/>
                <w:color w:val="auto"/>
                <w:sz w:val="24"/>
              </w:rPr>
            </w:pPr>
          </w:p>
        </w:tc>
        <w:tc>
          <w:tcPr>
            <w:tcW w:w="2520" w:type="dxa"/>
            <w:vAlign w:val="center"/>
          </w:tcPr>
          <w:p>
            <w:pPr>
              <w:snapToGrid w:val="0"/>
              <w:spacing w:before="50" w:after="50"/>
              <w:jc w:val="center"/>
              <w:rPr>
                <w:rFonts w:ascii="宋体" w:hAnsi="宋体" w:cs="宋体"/>
                <w:color w:val="auto"/>
                <w:sz w:val="24"/>
              </w:rPr>
            </w:pPr>
          </w:p>
        </w:tc>
        <w:tc>
          <w:tcPr>
            <w:tcW w:w="1953" w:type="dxa"/>
            <w:vAlign w:val="center"/>
          </w:tcPr>
          <w:p>
            <w:pPr>
              <w:snapToGrid w:val="0"/>
              <w:spacing w:before="50" w:after="5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ascii="宋体" w:hAnsi="宋体" w:cs="宋体"/>
                <w:color w:val="auto"/>
                <w:sz w:val="24"/>
              </w:rPr>
            </w:pPr>
          </w:p>
        </w:tc>
        <w:tc>
          <w:tcPr>
            <w:tcW w:w="1440" w:type="dxa"/>
            <w:vAlign w:val="center"/>
          </w:tcPr>
          <w:p>
            <w:pPr>
              <w:snapToGrid w:val="0"/>
              <w:spacing w:before="50" w:after="50"/>
              <w:jc w:val="center"/>
              <w:rPr>
                <w:rFonts w:ascii="宋体" w:hAnsi="宋体" w:cs="宋体"/>
                <w:color w:val="auto"/>
                <w:sz w:val="24"/>
              </w:rPr>
            </w:pPr>
          </w:p>
        </w:tc>
        <w:tc>
          <w:tcPr>
            <w:tcW w:w="1980" w:type="dxa"/>
            <w:vAlign w:val="center"/>
          </w:tcPr>
          <w:p>
            <w:pPr>
              <w:snapToGrid w:val="0"/>
              <w:spacing w:before="50" w:after="50"/>
              <w:jc w:val="center"/>
              <w:rPr>
                <w:rFonts w:ascii="宋体" w:hAnsi="宋体" w:cs="宋体"/>
                <w:color w:val="auto"/>
                <w:sz w:val="24"/>
              </w:rPr>
            </w:pPr>
          </w:p>
        </w:tc>
        <w:tc>
          <w:tcPr>
            <w:tcW w:w="2520" w:type="dxa"/>
            <w:vAlign w:val="center"/>
          </w:tcPr>
          <w:p>
            <w:pPr>
              <w:snapToGrid w:val="0"/>
              <w:spacing w:before="50" w:after="50"/>
              <w:jc w:val="center"/>
              <w:rPr>
                <w:rFonts w:ascii="宋体" w:hAnsi="宋体" w:cs="宋体"/>
                <w:color w:val="auto"/>
                <w:sz w:val="24"/>
              </w:rPr>
            </w:pPr>
          </w:p>
        </w:tc>
        <w:tc>
          <w:tcPr>
            <w:tcW w:w="1953" w:type="dxa"/>
            <w:vAlign w:val="center"/>
          </w:tcPr>
          <w:p>
            <w:pPr>
              <w:snapToGrid w:val="0"/>
              <w:spacing w:before="50" w:after="5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ascii="宋体" w:hAnsi="宋体" w:cs="宋体"/>
                <w:color w:val="auto"/>
                <w:sz w:val="24"/>
              </w:rPr>
            </w:pPr>
          </w:p>
        </w:tc>
        <w:tc>
          <w:tcPr>
            <w:tcW w:w="1440" w:type="dxa"/>
            <w:vAlign w:val="center"/>
          </w:tcPr>
          <w:p>
            <w:pPr>
              <w:snapToGrid w:val="0"/>
              <w:spacing w:before="50" w:after="50"/>
              <w:jc w:val="center"/>
              <w:rPr>
                <w:rFonts w:ascii="宋体" w:hAnsi="宋体" w:cs="宋体"/>
                <w:color w:val="auto"/>
                <w:sz w:val="24"/>
              </w:rPr>
            </w:pPr>
          </w:p>
        </w:tc>
        <w:tc>
          <w:tcPr>
            <w:tcW w:w="1980" w:type="dxa"/>
            <w:vAlign w:val="center"/>
          </w:tcPr>
          <w:p>
            <w:pPr>
              <w:snapToGrid w:val="0"/>
              <w:spacing w:before="50" w:after="50"/>
              <w:jc w:val="center"/>
              <w:rPr>
                <w:rFonts w:ascii="宋体" w:hAnsi="宋体" w:cs="宋体"/>
                <w:color w:val="auto"/>
                <w:sz w:val="24"/>
              </w:rPr>
            </w:pPr>
          </w:p>
        </w:tc>
        <w:tc>
          <w:tcPr>
            <w:tcW w:w="2520" w:type="dxa"/>
            <w:vAlign w:val="center"/>
          </w:tcPr>
          <w:p>
            <w:pPr>
              <w:snapToGrid w:val="0"/>
              <w:spacing w:before="50" w:after="50"/>
              <w:jc w:val="center"/>
              <w:rPr>
                <w:rFonts w:ascii="宋体" w:hAnsi="宋体" w:cs="宋体"/>
                <w:color w:val="auto"/>
                <w:sz w:val="24"/>
              </w:rPr>
            </w:pPr>
          </w:p>
        </w:tc>
        <w:tc>
          <w:tcPr>
            <w:tcW w:w="1953" w:type="dxa"/>
            <w:vAlign w:val="center"/>
          </w:tcPr>
          <w:p>
            <w:pPr>
              <w:snapToGrid w:val="0"/>
              <w:spacing w:before="50" w:after="5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ascii="宋体" w:hAnsi="宋体" w:cs="宋体"/>
                <w:color w:val="auto"/>
                <w:sz w:val="24"/>
              </w:rPr>
            </w:pPr>
          </w:p>
        </w:tc>
        <w:tc>
          <w:tcPr>
            <w:tcW w:w="1440" w:type="dxa"/>
            <w:vAlign w:val="center"/>
          </w:tcPr>
          <w:p>
            <w:pPr>
              <w:snapToGrid w:val="0"/>
              <w:spacing w:before="50" w:after="50"/>
              <w:jc w:val="center"/>
              <w:rPr>
                <w:rFonts w:ascii="宋体" w:hAnsi="宋体" w:cs="宋体"/>
                <w:color w:val="auto"/>
                <w:sz w:val="24"/>
              </w:rPr>
            </w:pPr>
          </w:p>
        </w:tc>
        <w:tc>
          <w:tcPr>
            <w:tcW w:w="1980" w:type="dxa"/>
            <w:vAlign w:val="center"/>
          </w:tcPr>
          <w:p>
            <w:pPr>
              <w:snapToGrid w:val="0"/>
              <w:spacing w:before="50" w:after="50"/>
              <w:jc w:val="center"/>
              <w:rPr>
                <w:rFonts w:ascii="宋体" w:hAnsi="宋体" w:cs="宋体"/>
                <w:color w:val="auto"/>
                <w:sz w:val="24"/>
              </w:rPr>
            </w:pPr>
          </w:p>
        </w:tc>
        <w:tc>
          <w:tcPr>
            <w:tcW w:w="2520" w:type="dxa"/>
            <w:vAlign w:val="center"/>
          </w:tcPr>
          <w:p>
            <w:pPr>
              <w:snapToGrid w:val="0"/>
              <w:spacing w:before="50" w:after="50"/>
              <w:jc w:val="center"/>
              <w:rPr>
                <w:rFonts w:ascii="宋体" w:hAnsi="宋体" w:cs="宋体"/>
                <w:color w:val="auto"/>
                <w:sz w:val="24"/>
              </w:rPr>
            </w:pPr>
          </w:p>
        </w:tc>
        <w:tc>
          <w:tcPr>
            <w:tcW w:w="1953" w:type="dxa"/>
            <w:vAlign w:val="center"/>
          </w:tcPr>
          <w:p>
            <w:pPr>
              <w:snapToGrid w:val="0"/>
              <w:spacing w:before="50" w:after="5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ascii="宋体" w:hAnsi="宋体" w:cs="宋体"/>
                <w:color w:val="auto"/>
                <w:sz w:val="24"/>
              </w:rPr>
            </w:pPr>
          </w:p>
        </w:tc>
        <w:tc>
          <w:tcPr>
            <w:tcW w:w="1440" w:type="dxa"/>
            <w:vAlign w:val="center"/>
          </w:tcPr>
          <w:p>
            <w:pPr>
              <w:snapToGrid w:val="0"/>
              <w:spacing w:before="50" w:after="50"/>
              <w:jc w:val="center"/>
              <w:rPr>
                <w:rFonts w:ascii="宋体" w:hAnsi="宋体" w:cs="宋体"/>
                <w:color w:val="auto"/>
                <w:sz w:val="24"/>
              </w:rPr>
            </w:pPr>
          </w:p>
        </w:tc>
        <w:tc>
          <w:tcPr>
            <w:tcW w:w="1980" w:type="dxa"/>
            <w:vAlign w:val="center"/>
          </w:tcPr>
          <w:p>
            <w:pPr>
              <w:snapToGrid w:val="0"/>
              <w:spacing w:before="50" w:after="50"/>
              <w:jc w:val="center"/>
              <w:rPr>
                <w:rFonts w:ascii="宋体" w:hAnsi="宋体" w:cs="宋体"/>
                <w:color w:val="auto"/>
                <w:sz w:val="24"/>
              </w:rPr>
            </w:pPr>
          </w:p>
        </w:tc>
        <w:tc>
          <w:tcPr>
            <w:tcW w:w="2520" w:type="dxa"/>
            <w:vAlign w:val="center"/>
          </w:tcPr>
          <w:p>
            <w:pPr>
              <w:snapToGrid w:val="0"/>
              <w:spacing w:before="50" w:after="50"/>
              <w:jc w:val="center"/>
              <w:rPr>
                <w:rFonts w:ascii="宋体" w:hAnsi="宋体" w:cs="宋体"/>
                <w:color w:val="auto"/>
                <w:sz w:val="24"/>
              </w:rPr>
            </w:pPr>
          </w:p>
        </w:tc>
        <w:tc>
          <w:tcPr>
            <w:tcW w:w="1953" w:type="dxa"/>
            <w:vAlign w:val="center"/>
          </w:tcPr>
          <w:p>
            <w:pPr>
              <w:snapToGrid w:val="0"/>
              <w:spacing w:before="50" w:after="5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投标建议</w:t>
            </w:r>
          </w:p>
        </w:tc>
        <w:tc>
          <w:tcPr>
            <w:tcW w:w="6453" w:type="dxa"/>
            <w:gridSpan w:val="3"/>
            <w:vAlign w:val="center"/>
          </w:tcPr>
          <w:p>
            <w:pPr>
              <w:spacing w:line="360" w:lineRule="auto"/>
              <w:jc w:val="center"/>
              <w:rPr>
                <w:rFonts w:ascii="宋体" w:hAnsi="宋体" w:cs="宋体"/>
                <w:color w:val="auto"/>
                <w:sz w:val="24"/>
              </w:rPr>
            </w:pPr>
          </w:p>
        </w:tc>
      </w:tr>
    </w:tbl>
    <w:p>
      <w:pPr>
        <w:snapToGrid w:val="0"/>
        <w:spacing w:line="360" w:lineRule="auto"/>
        <w:rPr>
          <w:rFonts w:ascii="宋体" w:hAnsi="宋体" w:cs="宋体"/>
          <w:color w:val="auto"/>
          <w:sz w:val="24"/>
        </w:rPr>
      </w:pPr>
    </w:p>
    <w:p>
      <w:pPr>
        <w:pStyle w:val="15"/>
        <w:spacing w:line="360" w:lineRule="auto"/>
        <w:rPr>
          <w:rFonts w:hAnsi="宋体" w:cs="宋体"/>
          <w:color w:val="auto"/>
          <w:sz w:val="24"/>
        </w:rPr>
      </w:pPr>
      <w:r>
        <w:rPr>
          <w:rFonts w:hint="eastAsia" w:hAnsi="宋体" w:cs="宋体"/>
          <w:color w:val="auto"/>
          <w:sz w:val="24"/>
        </w:rPr>
        <w:t>注：名称可基于项目清单根据供应商实际情况调整。</w:t>
      </w:r>
    </w:p>
    <w:p>
      <w:pPr>
        <w:rPr>
          <w:rFonts w:ascii="宋体" w:hAnsi="宋体" w:cs="宋体"/>
          <w:color w:val="auto"/>
          <w:sz w:val="24"/>
        </w:rPr>
      </w:pPr>
    </w:p>
    <w:p>
      <w:pPr>
        <w:pStyle w:val="12"/>
        <w:rPr>
          <w:color w:val="auto"/>
        </w:rPr>
      </w:pPr>
    </w:p>
    <w:p>
      <w:pPr>
        <w:snapToGrid w:val="0"/>
        <w:spacing w:line="360" w:lineRule="auto"/>
        <w:rPr>
          <w:rFonts w:ascii="宋体" w:hAnsi="宋体" w:cs="宋体"/>
          <w:color w:val="auto"/>
          <w:sz w:val="24"/>
        </w:rPr>
      </w:pPr>
    </w:p>
    <w:p>
      <w:pPr>
        <w:spacing w:line="360" w:lineRule="auto"/>
        <w:ind w:left="3600" w:leftChars="1800" w:firstLine="480" w:firstLineChars="200"/>
        <w:rPr>
          <w:rFonts w:ascii="宋体" w:hAnsi="宋体" w:cs="宋体"/>
          <w:color w:val="auto"/>
          <w:sz w:val="24"/>
        </w:rPr>
      </w:pPr>
      <w:r>
        <w:rPr>
          <w:rFonts w:hint="eastAsia" w:ascii="宋体" w:hAnsi="宋体" w:cs="宋体"/>
          <w:color w:val="auto"/>
          <w:sz w:val="24"/>
        </w:rPr>
        <w:t xml:space="preserve">法定代表人签名（或签名章）：                       </w:t>
      </w:r>
    </w:p>
    <w:p>
      <w:pPr>
        <w:spacing w:line="360" w:lineRule="auto"/>
        <w:ind w:left="3600" w:leftChars="1800" w:firstLine="480" w:firstLineChars="200"/>
        <w:rPr>
          <w:rFonts w:ascii="宋体" w:hAnsi="宋体" w:cs="宋体"/>
          <w:color w:val="auto"/>
          <w:sz w:val="24"/>
        </w:rPr>
      </w:pPr>
      <w:r>
        <w:rPr>
          <w:rFonts w:hint="eastAsia" w:ascii="宋体" w:hAnsi="宋体" w:cs="宋体"/>
          <w:color w:val="auto"/>
          <w:sz w:val="24"/>
        </w:rPr>
        <w:t>日 期：</w:t>
      </w:r>
    </w:p>
    <w:p>
      <w:pPr>
        <w:spacing w:line="360" w:lineRule="auto"/>
        <w:ind w:left="3600" w:leftChars="1800" w:firstLine="480" w:firstLineChars="200"/>
        <w:rPr>
          <w:rFonts w:ascii="宋体" w:hAnsi="宋体" w:cs="宋体"/>
          <w:color w:val="auto"/>
          <w:sz w:val="24"/>
        </w:rPr>
      </w:pPr>
      <w:r>
        <w:rPr>
          <w:rFonts w:hint="eastAsia" w:ascii="宋体" w:hAnsi="宋体" w:cs="宋体"/>
          <w:color w:val="auto"/>
          <w:sz w:val="24"/>
        </w:rPr>
        <w:t>供应商全称（公章）：</w:t>
      </w:r>
    </w:p>
    <w:p>
      <w:pPr>
        <w:rPr>
          <w:color w:val="auto"/>
          <w:sz w:val="24"/>
          <w:szCs w:val="18"/>
        </w:rPr>
      </w:pPr>
      <w:r>
        <w:rPr>
          <w:rFonts w:hint="eastAsia"/>
          <w:color w:val="auto"/>
          <w:sz w:val="24"/>
          <w:szCs w:val="18"/>
        </w:rPr>
        <w:br w:type="page"/>
      </w:r>
    </w:p>
    <w:p>
      <w:pPr>
        <w:rPr>
          <w:b/>
          <w:bCs/>
          <w:color w:val="auto"/>
          <w:sz w:val="24"/>
          <w:szCs w:val="32"/>
        </w:rPr>
      </w:pPr>
      <w:r>
        <w:rPr>
          <w:rFonts w:hint="eastAsia"/>
          <w:b/>
          <w:bCs/>
          <w:color w:val="auto"/>
          <w:sz w:val="24"/>
          <w:szCs w:val="32"/>
        </w:rPr>
        <w:t>附件十：</w:t>
      </w:r>
    </w:p>
    <w:p>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商务响应表</w:t>
      </w:r>
    </w:p>
    <w:p>
      <w:pPr>
        <w:snapToGrid w:val="0"/>
        <w:spacing w:before="50"/>
        <w:jc w:val="center"/>
        <w:rPr>
          <w:rFonts w:ascii="宋体" w:hAnsi="宋体" w:cs="宋体"/>
          <w:b/>
          <w:color w:val="auto"/>
          <w:sz w:val="32"/>
          <w:szCs w:val="32"/>
        </w:rPr>
      </w:pPr>
    </w:p>
    <w:p>
      <w:pPr>
        <w:spacing w:line="360" w:lineRule="auto"/>
        <w:ind w:firstLine="480" w:firstLineChars="200"/>
        <w:rPr>
          <w:rFonts w:ascii="宋体" w:hAnsi="宋体" w:cs="宋体"/>
          <w:color w:val="auto"/>
          <w:sz w:val="24"/>
        </w:rPr>
      </w:pPr>
      <w:r>
        <w:rPr>
          <w:rFonts w:hint="eastAsia" w:ascii="宋体" w:hAnsi="宋体" w:cs="宋体"/>
          <w:color w:val="auto"/>
          <w:sz w:val="24"/>
        </w:rPr>
        <w:t>项目名称：</w:t>
      </w:r>
    </w:p>
    <w:p>
      <w:pPr>
        <w:spacing w:line="360" w:lineRule="auto"/>
        <w:ind w:firstLine="480" w:firstLineChars="200"/>
        <w:rPr>
          <w:rFonts w:ascii="宋体" w:hAnsi="宋体" w:cs="宋体"/>
          <w:color w:val="auto"/>
          <w:sz w:val="24"/>
        </w:rPr>
      </w:pPr>
      <w:r>
        <w:rPr>
          <w:rFonts w:hint="eastAsia" w:ascii="宋体" w:hAnsi="宋体" w:cs="宋体"/>
          <w:color w:val="auto"/>
          <w:sz w:val="24"/>
        </w:rPr>
        <w:t>采购编号：</w:t>
      </w:r>
    </w:p>
    <w:tbl>
      <w:tblPr>
        <w:tblStyle w:val="25"/>
        <w:tblW w:w="94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5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磋商文件要求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是否</w:t>
            </w:r>
          </w:p>
          <w:p>
            <w:pPr>
              <w:snapToGrid w:val="0"/>
              <w:spacing w:before="50" w:after="50"/>
              <w:jc w:val="center"/>
              <w:rPr>
                <w:rFonts w:ascii="宋体" w:hAnsi="宋体" w:cs="宋体"/>
                <w:color w:val="auto"/>
                <w:sz w:val="24"/>
              </w:rPr>
            </w:pPr>
            <w:r>
              <w:rPr>
                <w:rFonts w:hint="eastAsia" w:ascii="宋体" w:hAnsi="宋体" w:cs="宋体"/>
                <w:color w:val="auto"/>
                <w:sz w:val="24"/>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服务时间及地点</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付款条件</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违约责任及争议解决方式</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售后服务响应情况</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本地化服务</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经验或业绩要求</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各类证书</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p>
        </w:tc>
      </w:tr>
    </w:tbl>
    <w:p>
      <w:pPr>
        <w:spacing w:line="360" w:lineRule="auto"/>
        <w:ind w:left="3600" w:leftChars="1800" w:firstLine="480" w:firstLineChars="200"/>
        <w:rPr>
          <w:rFonts w:ascii="宋体" w:hAnsi="宋体" w:cs="宋体"/>
          <w:color w:val="auto"/>
          <w:sz w:val="24"/>
        </w:rPr>
      </w:pPr>
    </w:p>
    <w:p>
      <w:pPr>
        <w:spacing w:line="360" w:lineRule="auto"/>
        <w:ind w:left="3600" w:leftChars="1800" w:firstLine="480" w:firstLineChars="200"/>
        <w:rPr>
          <w:rFonts w:ascii="宋体" w:hAnsi="宋体" w:cs="宋体"/>
          <w:color w:val="auto"/>
          <w:sz w:val="24"/>
        </w:rPr>
      </w:pPr>
    </w:p>
    <w:p>
      <w:pPr>
        <w:spacing w:line="360" w:lineRule="auto"/>
        <w:ind w:left="3600" w:leftChars="1800" w:firstLine="480" w:firstLineChars="200"/>
        <w:rPr>
          <w:rFonts w:ascii="宋体" w:hAnsi="宋体" w:cs="宋体"/>
          <w:color w:val="auto"/>
          <w:sz w:val="24"/>
        </w:rPr>
      </w:pPr>
    </w:p>
    <w:p>
      <w:pPr>
        <w:spacing w:line="360" w:lineRule="auto"/>
        <w:ind w:left="3600" w:leftChars="1800" w:firstLine="480" w:firstLineChars="200"/>
        <w:rPr>
          <w:rFonts w:ascii="宋体" w:hAnsi="宋体" w:cs="宋体"/>
          <w:color w:val="auto"/>
          <w:sz w:val="24"/>
        </w:rPr>
      </w:pPr>
      <w:r>
        <w:rPr>
          <w:rFonts w:hint="eastAsia" w:ascii="宋体" w:hAnsi="宋体" w:cs="宋体"/>
          <w:color w:val="auto"/>
          <w:sz w:val="24"/>
        </w:rPr>
        <w:t xml:space="preserve">法定代表人签名（或签名章）：                       </w:t>
      </w:r>
    </w:p>
    <w:p>
      <w:pPr>
        <w:spacing w:line="360" w:lineRule="auto"/>
        <w:ind w:left="3600" w:leftChars="1800" w:firstLine="480" w:firstLineChars="200"/>
        <w:rPr>
          <w:rFonts w:ascii="宋体" w:hAnsi="宋体" w:cs="宋体"/>
          <w:color w:val="auto"/>
          <w:sz w:val="24"/>
        </w:rPr>
      </w:pPr>
      <w:r>
        <w:rPr>
          <w:rFonts w:hint="eastAsia" w:ascii="宋体" w:hAnsi="宋体" w:cs="宋体"/>
          <w:color w:val="auto"/>
          <w:sz w:val="24"/>
        </w:rPr>
        <w:t>日 期：</w:t>
      </w:r>
    </w:p>
    <w:p>
      <w:pPr>
        <w:spacing w:line="360" w:lineRule="auto"/>
        <w:ind w:left="3600" w:leftChars="1800" w:firstLine="480" w:firstLineChars="200"/>
        <w:rPr>
          <w:rFonts w:ascii="宋体" w:hAnsi="宋体" w:cs="宋体"/>
          <w:color w:val="auto"/>
          <w:sz w:val="24"/>
        </w:rPr>
      </w:pPr>
      <w:r>
        <w:rPr>
          <w:rFonts w:hint="eastAsia" w:ascii="宋体" w:hAnsi="宋体" w:cs="宋体"/>
          <w:color w:val="auto"/>
          <w:sz w:val="24"/>
        </w:rPr>
        <w:t>供应商全称（公章）：</w:t>
      </w:r>
    </w:p>
    <w:p>
      <w:pPr>
        <w:snapToGrid w:val="0"/>
        <w:spacing w:before="50" w:after="50"/>
        <w:rPr>
          <w:rFonts w:ascii="宋体" w:hAnsi="宋体" w:cs="宋体"/>
          <w:b/>
          <w:bCs/>
          <w:color w:val="auto"/>
          <w:sz w:val="24"/>
          <w:lang w:val="zh-CN"/>
        </w:rPr>
      </w:pPr>
      <w:r>
        <w:rPr>
          <w:rFonts w:hint="eastAsia" w:ascii="宋体" w:hAnsi="宋体" w:cs="宋体"/>
          <w:color w:val="auto"/>
          <w:sz w:val="24"/>
        </w:rPr>
        <w:br w:type="page"/>
      </w:r>
      <w:r>
        <w:rPr>
          <w:rFonts w:hint="eastAsia" w:ascii="宋体" w:hAnsi="宋体" w:cs="宋体"/>
          <w:b/>
          <w:bCs/>
          <w:color w:val="auto"/>
          <w:sz w:val="24"/>
          <w:lang w:val="zh-CN"/>
        </w:rPr>
        <w:t>附件十一：</w:t>
      </w:r>
    </w:p>
    <w:p>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项目组人员清单</w:t>
      </w:r>
    </w:p>
    <w:p>
      <w:pPr>
        <w:snapToGrid w:val="0"/>
        <w:spacing w:before="120" w:beforeLines="50" w:after="50"/>
        <w:jc w:val="center"/>
        <w:rPr>
          <w:rFonts w:ascii="宋体" w:hAnsi="宋体" w:cs="宋体"/>
          <w:b/>
          <w:color w:val="auto"/>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项目名称：</w:t>
      </w:r>
    </w:p>
    <w:p>
      <w:pPr>
        <w:spacing w:line="360" w:lineRule="auto"/>
        <w:ind w:firstLine="480" w:firstLineChars="200"/>
        <w:rPr>
          <w:rFonts w:ascii="宋体" w:hAnsi="宋体" w:cs="宋体"/>
          <w:color w:val="auto"/>
          <w:sz w:val="24"/>
        </w:rPr>
      </w:pPr>
      <w:r>
        <w:rPr>
          <w:rFonts w:hint="eastAsia" w:ascii="宋体" w:hAnsi="宋体" w:cs="宋体"/>
          <w:color w:val="auto"/>
          <w:sz w:val="24"/>
        </w:rPr>
        <w:t>采购编号：</w:t>
      </w:r>
    </w:p>
    <w:tbl>
      <w:tblPr>
        <w:tblStyle w:val="25"/>
        <w:tblW w:w="85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证书编号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663" w:type="dxa"/>
            <w:tcBorders>
              <w:top w:val="single" w:color="auto" w:sz="4" w:space="0"/>
              <w:left w:val="single" w:color="auto" w:sz="4" w:space="0"/>
              <w:bottom w:val="single" w:color="auto" w:sz="4" w:space="0"/>
              <w:right w:val="single" w:color="auto" w:sz="4" w:space="0"/>
            </w:tcBorders>
          </w:tcPr>
          <w:p>
            <w:pPr>
              <w:pStyle w:val="16"/>
              <w:snapToGrid w:val="0"/>
              <w:spacing w:before="120" w:beforeLines="50" w:after="50" w:line="460" w:lineRule="exact"/>
              <w:ind w:left="5250"/>
              <w:rPr>
                <w:rFonts w:cs="宋体"/>
                <w:color w:val="auto"/>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cs="宋体"/>
                <w:color w:val="auto"/>
                <w:sz w:val="24"/>
              </w:rPr>
            </w:pPr>
          </w:p>
        </w:tc>
      </w:tr>
    </w:tbl>
    <w:p>
      <w:pPr>
        <w:snapToGrid w:val="0"/>
        <w:spacing w:line="360" w:lineRule="auto"/>
        <w:jc w:val="left"/>
        <w:rPr>
          <w:rFonts w:ascii="宋体" w:hAnsi="宋体" w:cs="宋体"/>
          <w:color w:val="auto"/>
          <w:sz w:val="24"/>
        </w:rPr>
      </w:pP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 xml:space="preserve">注：在填写时，如本表格不适合投标单位的实际情况，可根据本表格式自行划表填写。 </w:t>
      </w:r>
    </w:p>
    <w:p>
      <w:pPr>
        <w:snapToGrid w:val="0"/>
        <w:spacing w:before="50" w:after="120" w:afterLines="50" w:line="460" w:lineRule="exact"/>
        <w:jc w:val="left"/>
        <w:rPr>
          <w:rFonts w:ascii="宋体" w:hAnsi="宋体" w:cs="宋体"/>
          <w:color w:val="auto"/>
          <w:sz w:val="24"/>
        </w:rPr>
      </w:pPr>
    </w:p>
    <w:p>
      <w:pPr>
        <w:pStyle w:val="12"/>
        <w:rPr>
          <w:color w:val="auto"/>
        </w:rPr>
      </w:pPr>
    </w:p>
    <w:p>
      <w:pPr>
        <w:spacing w:line="360" w:lineRule="auto"/>
        <w:ind w:left="3600" w:leftChars="1800" w:firstLine="480" w:firstLineChars="200"/>
        <w:rPr>
          <w:rFonts w:ascii="宋体" w:hAnsi="宋体" w:cs="宋体"/>
          <w:color w:val="auto"/>
          <w:sz w:val="24"/>
        </w:rPr>
      </w:pPr>
      <w:r>
        <w:rPr>
          <w:rFonts w:hint="eastAsia" w:ascii="宋体" w:hAnsi="宋体" w:cs="宋体"/>
          <w:color w:val="auto"/>
          <w:sz w:val="24"/>
        </w:rPr>
        <w:t xml:space="preserve">法定代表人签名（或签名章）：                       </w:t>
      </w:r>
    </w:p>
    <w:p>
      <w:pPr>
        <w:spacing w:line="360" w:lineRule="auto"/>
        <w:ind w:left="3600" w:leftChars="1800" w:firstLine="480" w:firstLineChars="200"/>
        <w:rPr>
          <w:rFonts w:ascii="宋体" w:hAnsi="宋体" w:cs="宋体"/>
          <w:color w:val="auto"/>
          <w:sz w:val="24"/>
        </w:rPr>
      </w:pPr>
      <w:r>
        <w:rPr>
          <w:rFonts w:hint="eastAsia" w:ascii="宋体" w:hAnsi="宋体" w:cs="宋体"/>
          <w:color w:val="auto"/>
          <w:sz w:val="24"/>
        </w:rPr>
        <w:t>日 期：</w:t>
      </w:r>
    </w:p>
    <w:p>
      <w:pPr>
        <w:spacing w:line="360" w:lineRule="auto"/>
        <w:ind w:left="3600" w:leftChars="1800" w:firstLine="480" w:firstLineChars="200"/>
        <w:rPr>
          <w:rFonts w:ascii="宋体" w:hAnsi="宋体" w:cs="宋体"/>
          <w:color w:val="auto"/>
          <w:sz w:val="24"/>
        </w:rPr>
      </w:pPr>
      <w:r>
        <w:rPr>
          <w:rFonts w:hint="eastAsia" w:ascii="宋体" w:hAnsi="宋体" w:cs="宋体"/>
          <w:color w:val="auto"/>
          <w:sz w:val="24"/>
        </w:rPr>
        <w:t>供应商全称（公章）：</w:t>
      </w:r>
    </w:p>
    <w:p>
      <w:pPr>
        <w:spacing w:line="360" w:lineRule="auto"/>
        <w:jc w:val="center"/>
        <w:rPr>
          <w:rFonts w:ascii="宋体"/>
          <w:b/>
          <w:bCs/>
          <w:color w:val="auto"/>
          <w:sz w:val="36"/>
          <w:szCs w:val="36"/>
        </w:rPr>
      </w:pPr>
      <w:r>
        <w:rPr>
          <w:rFonts w:hint="eastAsia" w:ascii="宋体" w:hAnsi="宋体" w:cs="宋体"/>
          <w:color w:val="auto"/>
          <w:spacing w:val="20"/>
          <w:sz w:val="30"/>
          <w:szCs w:val="30"/>
        </w:rPr>
        <w:br w:type="page"/>
      </w:r>
      <w:r>
        <w:rPr>
          <w:rFonts w:hint="eastAsia" w:ascii="宋体" w:hAnsi="宋体" w:cs="宋体"/>
          <w:b/>
          <w:bCs/>
          <w:color w:val="auto"/>
          <w:sz w:val="36"/>
          <w:szCs w:val="36"/>
        </w:rPr>
        <w:t>报价文件</w:t>
      </w: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r>
        <w:rPr>
          <w:rFonts w:hint="eastAsia" w:ascii="宋体" w:hAnsi="宋体" w:cs="宋体"/>
          <w:b/>
          <w:bCs/>
          <w:color w:val="auto"/>
          <w:sz w:val="36"/>
          <w:szCs w:val="36"/>
        </w:rPr>
        <w:t>目录</w:t>
      </w:r>
    </w:p>
    <w:p>
      <w:pPr>
        <w:pStyle w:val="12"/>
        <w:ind w:firstLine="723"/>
        <w:rPr>
          <w:rFonts w:cs="Times New Roman"/>
          <w:b/>
          <w:bCs/>
          <w:color w:val="auto"/>
          <w:sz w:val="36"/>
          <w:szCs w:val="36"/>
        </w:rPr>
      </w:pPr>
    </w:p>
    <w:p>
      <w:pPr>
        <w:spacing w:line="360" w:lineRule="auto"/>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）磋商函（格式见附件）；</w:t>
      </w:r>
    </w:p>
    <w:p>
      <w:pPr>
        <w:spacing w:line="360" w:lineRule="auto"/>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）报价一览表（格式见附件）；</w:t>
      </w:r>
    </w:p>
    <w:p>
      <w:pPr>
        <w:spacing w:line="360" w:lineRule="auto"/>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）磋商报价明细表（格式见附件）。</w:t>
      </w:r>
    </w:p>
    <w:p>
      <w:pPr>
        <w:rPr>
          <w:rFonts w:ascii="宋体"/>
          <w:color w:val="auto"/>
        </w:rPr>
      </w:pPr>
    </w:p>
    <w:p>
      <w:pPr>
        <w:rPr>
          <w:rFonts w:ascii="宋体"/>
          <w:color w:val="auto"/>
        </w:rPr>
      </w:pPr>
      <w:r>
        <w:rPr>
          <w:rFonts w:ascii="宋体"/>
          <w:color w:val="auto"/>
        </w:rPr>
        <w:br w:type="page"/>
      </w:r>
    </w:p>
    <w:p>
      <w:pPr>
        <w:rPr>
          <w:rFonts w:ascii="宋体" w:hAnsi="宋体" w:cs="宋体"/>
          <w:b/>
          <w:bCs/>
          <w:color w:val="auto"/>
          <w:lang w:val="zh-CN"/>
        </w:rPr>
      </w:pPr>
      <w:bookmarkStart w:id="128" w:name="_Toc3094"/>
      <w:bookmarkStart w:id="129" w:name="_Toc12011"/>
      <w:r>
        <w:rPr>
          <w:rFonts w:hint="eastAsia"/>
          <w:b/>
          <w:bCs/>
          <w:color w:val="auto"/>
          <w:sz w:val="24"/>
          <w:szCs w:val="32"/>
          <w:lang w:val="zh-CN"/>
        </w:rPr>
        <w:t>附件</w:t>
      </w:r>
      <w:bookmarkStart w:id="130" w:name="_Toc98731770"/>
      <w:bookmarkStart w:id="131" w:name="_Toc130094924"/>
      <w:r>
        <w:rPr>
          <w:rFonts w:hint="eastAsia"/>
          <w:b/>
          <w:bCs/>
          <w:color w:val="auto"/>
          <w:sz w:val="24"/>
          <w:szCs w:val="32"/>
        </w:rPr>
        <w:t>十二：</w:t>
      </w:r>
    </w:p>
    <w:p>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磋 商 函</w:t>
      </w:r>
      <w:bookmarkEnd w:id="128"/>
      <w:bookmarkEnd w:id="130"/>
      <w:bookmarkEnd w:id="131"/>
    </w:p>
    <w:p>
      <w:pPr>
        <w:spacing w:line="360" w:lineRule="auto"/>
        <w:ind w:firstLine="480" w:firstLineChars="200"/>
        <w:rPr>
          <w:rFonts w:ascii="宋体" w:hAnsi="宋体" w:cs="宋体"/>
          <w:color w:val="auto"/>
          <w:sz w:val="24"/>
          <w:u w:val="single"/>
        </w:rPr>
      </w:pPr>
    </w:p>
    <w:p>
      <w:pPr>
        <w:spacing w:line="360" w:lineRule="auto"/>
        <w:ind w:firstLine="480" w:firstLineChars="200"/>
        <w:rPr>
          <w:rFonts w:ascii="宋体" w:hAnsi="宋体" w:cs="宋体"/>
          <w:color w:val="auto"/>
          <w:sz w:val="24"/>
        </w:rPr>
      </w:pPr>
      <w:r>
        <w:rPr>
          <w:rFonts w:hint="eastAsia" w:ascii="宋体" w:hAnsi="宋体" w:cs="宋体"/>
          <w:color w:val="auto"/>
          <w:sz w:val="24"/>
          <w:lang w:eastAsia="zh-CN"/>
        </w:rPr>
        <w:t>绍兴市上虞区综合行政执法局</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lang w:eastAsia="zh-CN"/>
        </w:rPr>
        <w:t>浙江省成套工程有限公司</w:t>
      </w:r>
      <w:r>
        <w:rPr>
          <w:rFonts w:hint="eastAsia" w:ascii="宋体" w:hAnsi="宋体" w:cs="宋体"/>
          <w:color w:val="auto"/>
          <w:sz w:val="24"/>
        </w:rPr>
        <w:t>：</w:t>
      </w:r>
    </w:p>
    <w:p>
      <w:pPr>
        <w:spacing w:line="360" w:lineRule="auto"/>
        <w:ind w:firstLine="480"/>
        <w:jc w:val="left"/>
        <w:rPr>
          <w:rFonts w:ascii="宋体" w:hAnsi="宋体" w:cs="宋体"/>
          <w:color w:val="auto"/>
          <w:sz w:val="24"/>
        </w:rPr>
      </w:pPr>
      <w:r>
        <w:rPr>
          <w:rFonts w:hint="eastAsia" w:ascii="宋体" w:hAnsi="宋体" w:cs="宋体"/>
          <w:color w:val="auto"/>
          <w:sz w:val="24"/>
        </w:rPr>
        <w:t>我单位认真研究了关于</w:t>
      </w:r>
      <w:r>
        <w:rPr>
          <w:rFonts w:hint="eastAsia" w:ascii="宋体" w:hAnsi="宋体" w:cs="宋体"/>
          <w:color w:val="auto"/>
          <w:sz w:val="24"/>
          <w:u w:val="single"/>
        </w:rPr>
        <w:t xml:space="preserve">                      </w:t>
      </w:r>
      <w:r>
        <w:rPr>
          <w:rFonts w:hint="eastAsia" w:ascii="宋体" w:hAnsi="宋体" w:cs="宋体"/>
          <w:color w:val="auto"/>
          <w:sz w:val="24"/>
        </w:rPr>
        <w:t>的磋商文件，包括修改文件（如有的话）以及全部参考资料和有关附件。我们完全理解并接受磋商文件的各项规定和要求，对磋商文件的合理性、合法性不再有异议。如磋商文件前后有矛盾的，我方完全同意按贵方的理解处理。我单位承诺：</w:t>
      </w:r>
    </w:p>
    <w:p>
      <w:pPr>
        <w:spacing w:line="360" w:lineRule="auto"/>
        <w:ind w:firstLine="576" w:firstLineChars="240"/>
        <w:rPr>
          <w:rFonts w:ascii="宋体" w:hAnsi="宋体" w:cs="宋体"/>
          <w:color w:val="auto"/>
          <w:sz w:val="24"/>
        </w:rPr>
      </w:pPr>
      <w:r>
        <w:rPr>
          <w:rFonts w:ascii="宋体" w:hAnsi="宋体" w:cs="宋体"/>
          <w:color w:val="auto"/>
          <w:sz w:val="24"/>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3"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2" o:spid="_x0000_s1026" o:spt="20" style="position:absolute;left:0pt;margin-left:9pt;margin-top:39pt;height:0pt;width:0.05pt;z-index:251661312;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H1E8Du0BAADiAwAADgAAAGRycy9lMm9Eb2MueG1srVPNbhMxEL4j&#10;8Q6W72TTVK1glU0PDeWCIBLwABPbu2vJf/K42eQleAEkbnDiyJ23oTwGY+82lHLJgT14Z+yZb+b7&#10;PF5e7a1hOxVRe9fws9mcM+WEl9p1Df/w/ubZc84wgZNgvFMNPyjkV6unT5ZDqNXC995IFRmBOKyH&#10;0PA+pVBXFYpeWcCZD8rRYeujhURu7CoZYSB0a6rFfH5ZDT7KEL1QiLS7Hg/5hBhPAfRtq4Vae3Fr&#10;lUsjalQGElHCXgfkq9Jt2yqR3rYtqsRMw4lpKisVIXub12q1hLqLEHotphbglBYecbKgHRU9Qq0h&#10;AbuN+h8oq0X06Ns0E95WI5GiCLE4mz/S5l0PQRUuJDWGo+j4/2DFm90mMi0bfs6ZA0sXfvfp+8+P&#10;X379+Ezr3bevbJFFGgLWFHvtNnHyMGxiZrxvo81/4sL2RdjDUVi1T0zQ5uX5BWfifr/6kxQiplfK&#10;W5aNhhvtMl+oYfcaExWi0PuQvG0cGxr+4mKR4YCGr6VLJ9MGIoCuK7nojZY32picgbHbXpvIdpAH&#10;oHyZDuH+FZaLrAH7Ma4cjaPRK5AvnWTpEEgaRy+C5xaskpwZRQ8oWwQIdQJtTomk0sblBFXGc+KZ&#10;9R0VzdbWy0MRusoeXX3peBrTPFsPfbIfPs3V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k9JBrS&#10;AAAABwEAAA8AAAAAAAAAAQAgAAAAIgAAAGRycy9kb3ducmV2LnhtbFBLAQIUABQAAAAIAIdO4kAf&#10;UTwO7QEAAOIDAAAOAAAAAAAAAAEAIAAAACEBAABkcnMvZTJvRG9jLnhtbFBLBQYAAAAABgAGAFkB&#10;AACABQAAAAA=&#10;">
                <v:fill on="f" focussize="0,0"/>
                <v:stroke color="#000000" joinstyle="round"/>
                <v:imagedata o:title=""/>
                <o:lock v:ext="edit" aspectratio="f"/>
              </v:line>
            </w:pict>
          </mc:Fallback>
        </mc:AlternateContent>
      </w:r>
      <w:r>
        <w:rPr>
          <w:rFonts w:hint="eastAsia" w:ascii="宋体" w:hAnsi="宋体" w:cs="宋体"/>
          <w:color w:val="auto"/>
          <w:sz w:val="24"/>
        </w:rPr>
        <w:t>1、一旦我单位中标，我单位愿意承接报价一览表中所列的技术服务，服务期为：</w:t>
      </w:r>
      <w:r>
        <w:rPr>
          <w:rFonts w:hint="eastAsia" w:ascii="宋体" w:hAnsi="宋体" w:cs="宋体"/>
          <w:color w:val="auto"/>
          <w:sz w:val="24"/>
          <w:u w:val="single"/>
        </w:rPr>
        <w:t xml:space="preserve">            </w:t>
      </w:r>
      <w:r>
        <w:rPr>
          <w:rFonts w:hint="eastAsia" w:ascii="宋体" w:hAnsi="宋体" w:cs="宋体"/>
          <w:color w:val="auto"/>
          <w:sz w:val="24"/>
        </w:rPr>
        <w:t>天。</w:t>
      </w:r>
    </w:p>
    <w:p>
      <w:pPr>
        <w:spacing w:line="360" w:lineRule="auto"/>
        <w:ind w:firstLine="480" w:firstLineChars="200"/>
        <w:rPr>
          <w:rFonts w:ascii="宋体" w:hAnsi="宋体" w:cs="宋体"/>
          <w:color w:val="auto"/>
          <w:sz w:val="24"/>
        </w:rPr>
      </w:pPr>
      <w:r>
        <w:rPr>
          <w:rFonts w:hint="eastAsia" w:ascii="宋体" w:hAnsi="宋体" w:cs="宋体"/>
          <w:color w:val="auto"/>
          <w:sz w:val="24"/>
        </w:rPr>
        <w:t>2、我单位同意提供按照</w:t>
      </w:r>
      <w:r>
        <w:rPr>
          <w:rFonts w:hint="eastAsia" w:ascii="宋体" w:hAnsi="宋体" w:cs="宋体"/>
          <w:bCs/>
          <w:color w:val="auto"/>
          <w:sz w:val="24"/>
        </w:rPr>
        <w:t>采购人的可能要求与其投标有关的一切数据和资料，完全理解采购人不一定要接受最低价者作为成交供应商</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3、一旦我单位中标，我们保证按照磋商文件的要求，完成服务。</w:t>
      </w:r>
    </w:p>
    <w:p>
      <w:pPr>
        <w:spacing w:line="360" w:lineRule="auto"/>
        <w:ind w:firstLine="480" w:firstLineChars="200"/>
        <w:rPr>
          <w:rFonts w:ascii="宋体" w:hAnsi="宋体" w:cs="宋体"/>
          <w:color w:val="auto"/>
          <w:sz w:val="24"/>
        </w:rPr>
      </w:pPr>
      <w:r>
        <w:rPr>
          <w:rFonts w:hint="eastAsia" w:ascii="宋体" w:hAnsi="宋体" w:cs="宋体"/>
          <w:color w:val="auto"/>
          <w:sz w:val="24"/>
        </w:rPr>
        <w:t>4、如果我单位中标，我方将按照要求提交履约保证金，严格履行合同义务。</w:t>
      </w:r>
    </w:p>
    <w:p>
      <w:pPr>
        <w:spacing w:line="360" w:lineRule="auto"/>
        <w:ind w:firstLine="480" w:firstLineChars="200"/>
        <w:rPr>
          <w:rFonts w:ascii="宋体" w:hAnsi="宋体" w:cs="宋体"/>
          <w:color w:val="auto"/>
          <w:sz w:val="24"/>
        </w:rPr>
      </w:pPr>
      <w:r>
        <w:rPr>
          <w:rFonts w:hint="eastAsia" w:ascii="宋体" w:hAnsi="宋体" w:cs="宋体"/>
          <w:color w:val="auto"/>
          <w:sz w:val="24"/>
        </w:rPr>
        <w:t>5、除非另行达成协议并生效，你方的成交通知书和本磋商函将构成约束你我双方的合同。</w:t>
      </w:r>
    </w:p>
    <w:p>
      <w:pPr>
        <w:spacing w:line="360" w:lineRule="auto"/>
        <w:ind w:firstLine="480" w:firstLineChars="200"/>
        <w:rPr>
          <w:rFonts w:ascii="宋体" w:hAnsi="宋体" w:cs="宋体"/>
          <w:color w:val="auto"/>
          <w:sz w:val="24"/>
        </w:rPr>
      </w:pPr>
      <w:r>
        <w:rPr>
          <w:rFonts w:hint="eastAsia" w:ascii="宋体" w:hAnsi="宋体" w:cs="宋体"/>
          <w:color w:val="auto"/>
          <w:sz w:val="24"/>
        </w:rPr>
        <w:t>6、我单位承诺，一旦发生磋商文件第二部分第11条规定情形之一的，承担该条款约定的责任。</w:t>
      </w:r>
    </w:p>
    <w:p>
      <w:pPr>
        <w:pStyle w:val="15"/>
        <w:snapToGrid w:val="0"/>
        <w:spacing w:line="360" w:lineRule="auto"/>
        <w:ind w:left="480"/>
        <w:jc w:val="left"/>
        <w:rPr>
          <w:rFonts w:hAnsi="宋体" w:cs="宋体"/>
          <w:color w:val="auto"/>
          <w:sz w:val="24"/>
        </w:rPr>
      </w:pPr>
      <w:r>
        <w:rPr>
          <w:rFonts w:hint="eastAsia" w:hAnsi="宋体" w:cs="宋体"/>
          <w:color w:val="auto"/>
          <w:sz w:val="24"/>
        </w:rPr>
        <w:t xml:space="preserve"> </w:t>
      </w:r>
    </w:p>
    <w:p>
      <w:pPr>
        <w:spacing w:line="360" w:lineRule="auto"/>
        <w:ind w:firstLine="480" w:firstLineChars="200"/>
        <w:rPr>
          <w:rFonts w:ascii="宋体" w:hAnsi="宋体" w:cs="宋体"/>
          <w:bCs/>
          <w:color w:val="auto"/>
          <w:sz w:val="24"/>
          <w:szCs w:val="21"/>
        </w:rPr>
      </w:pPr>
      <w:r>
        <w:rPr>
          <w:rFonts w:hint="eastAsia" w:ascii="宋体" w:hAnsi="宋体" w:cs="宋体"/>
          <w:bCs/>
          <w:color w:val="auto"/>
          <w:sz w:val="24"/>
          <w:szCs w:val="21"/>
        </w:rPr>
        <w:t>地址：</w:t>
      </w:r>
      <w:r>
        <w:rPr>
          <w:rFonts w:hint="eastAsia" w:ascii="宋体" w:hAnsi="宋体" w:cs="宋体"/>
          <w:bCs/>
          <w:color w:val="auto"/>
          <w:sz w:val="24"/>
          <w:szCs w:val="21"/>
          <w:u w:val="single"/>
        </w:rPr>
        <w:t xml:space="preserve">                               </w:t>
      </w:r>
      <w:r>
        <w:rPr>
          <w:rFonts w:hint="eastAsia" w:ascii="宋体" w:hAnsi="宋体" w:cs="宋体"/>
          <w:bCs/>
          <w:color w:val="auto"/>
          <w:sz w:val="24"/>
          <w:szCs w:val="21"/>
        </w:rPr>
        <w:t>邮编：</w:t>
      </w:r>
      <w:r>
        <w:rPr>
          <w:rFonts w:hint="eastAsia" w:ascii="宋体" w:hAnsi="宋体" w:cs="宋体"/>
          <w:bCs/>
          <w:color w:val="auto"/>
          <w:sz w:val="24"/>
          <w:szCs w:val="21"/>
          <w:u w:val="single"/>
        </w:rPr>
        <w:t xml:space="preserve">                 </w:t>
      </w:r>
    </w:p>
    <w:p>
      <w:pPr>
        <w:spacing w:line="360" w:lineRule="auto"/>
        <w:ind w:firstLine="480" w:firstLineChars="200"/>
        <w:rPr>
          <w:rFonts w:ascii="宋体" w:hAnsi="宋体" w:cs="宋体"/>
          <w:bCs/>
          <w:color w:val="auto"/>
          <w:sz w:val="24"/>
          <w:szCs w:val="21"/>
          <w:u w:val="single"/>
        </w:rPr>
      </w:pPr>
      <w:r>
        <w:rPr>
          <w:rFonts w:hint="eastAsia" w:ascii="宋体" w:hAnsi="宋体" w:cs="宋体"/>
          <w:bCs/>
          <w:color w:val="auto"/>
          <w:sz w:val="24"/>
          <w:szCs w:val="21"/>
        </w:rPr>
        <w:t>电话：</w:t>
      </w:r>
      <w:r>
        <w:rPr>
          <w:rFonts w:hint="eastAsia" w:ascii="宋体" w:hAnsi="宋体" w:cs="宋体"/>
          <w:bCs/>
          <w:color w:val="auto"/>
          <w:sz w:val="24"/>
          <w:szCs w:val="21"/>
          <w:u w:val="single"/>
        </w:rPr>
        <w:t xml:space="preserve">                               </w:t>
      </w:r>
      <w:r>
        <w:rPr>
          <w:rFonts w:hint="eastAsia" w:ascii="宋体" w:hAnsi="宋体" w:cs="宋体"/>
          <w:bCs/>
          <w:color w:val="auto"/>
          <w:sz w:val="24"/>
          <w:szCs w:val="21"/>
        </w:rPr>
        <w:t>传真：</w:t>
      </w:r>
      <w:r>
        <w:rPr>
          <w:rFonts w:hint="eastAsia" w:ascii="宋体" w:hAnsi="宋体" w:cs="宋体"/>
          <w:bCs/>
          <w:color w:val="auto"/>
          <w:sz w:val="24"/>
          <w:szCs w:val="21"/>
          <w:u w:val="single"/>
        </w:rPr>
        <w:t xml:space="preserve">                 </w:t>
      </w:r>
    </w:p>
    <w:p>
      <w:pPr>
        <w:spacing w:line="360" w:lineRule="auto"/>
        <w:ind w:firstLine="480" w:firstLineChars="200"/>
        <w:rPr>
          <w:rFonts w:ascii="宋体" w:hAnsi="宋体" w:cs="宋体"/>
          <w:bCs/>
          <w:color w:val="auto"/>
          <w:sz w:val="24"/>
          <w:szCs w:val="21"/>
        </w:rPr>
      </w:pPr>
      <w:r>
        <w:rPr>
          <w:rFonts w:hint="eastAsia" w:ascii="宋体" w:hAnsi="宋体" w:cs="宋体"/>
          <w:bCs/>
          <w:color w:val="auto"/>
          <w:sz w:val="24"/>
          <w:szCs w:val="21"/>
        </w:rPr>
        <w:t>供应商代表姓名：</w:t>
      </w:r>
      <w:r>
        <w:rPr>
          <w:rFonts w:hint="eastAsia" w:ascii="宋体" w:hAnsi="宋体" w:cs="宋体"/>
          <w:bCs/>
          <w:color w:val="auto"/>
          <w:sz w:val="24"/>
          <w:szCs w:val="21"/>
          <w:u w:val="single"/>
        </w:rPr>
        <w:t xml:space="preserve">                     </w:t>
      </w:r>
      <w:r>
        <w:rPr>
          <w:rFonts w:hint="eastAsia" w:ascii="宋体" w:hAnsi="宋体" w:cs="宋体"/>
          <w:bCs/>
          <w:color w:val="auto"/>
          <w:sz w:val="24"/>
          <w:szCs w:val="21"/>
        </w:rPr>
        <w:t>职务：</w:t>
      </w:r>
      <w:r>
        <w:rPr>
          <w:rFonts w:hint="eastAsia" w:ascii="宋体" w:hAnsi="宋体" w:cs="宋体"/>
          <w:bCs/>
          <w:color w:val="auto"/>
          <w:sz w:val="24"/>
          <w:szCs w:val="21"/>
          <w:u w:val="single"/>
        </w:rPr>
        <w:t xml:space="preserve">                 </w:t>
      </w:r>
    </w:p>
    <w:p>
      <w:pPr>
        <w:spacing w:line="360" w:lineRule="auto"/>
        <w:ind w:firstLine="480" w:firstLineChars="200"/>
        <w:rPr>
          <w:rFonts w:ascii="宋体" w:hAnsi="宋体" w:cs="宋体"/>
          <w:bCs/>
          <w:color w:val="auto"/>
          <w:sz w:val="24"/>
          <w:szCs w:val="21"/>
        </w:rPr>
      </w:pPr>
      <w:r>
        <w:rPr>
          <w:rFonts w:hint="eastAsia" w:ascii="宋体" w:hAnsi="宋体" w:cs="宋体"/>
          <w:bCs/>
          <w:color w:val="auto"/>
          <w:sz w:val="24"/>
          <w:szCs w:val="21"/>
        </w:rPr>
        <w:t>供应商名称</w:t>
      </w:r>
      <w:r>
        <w:rPr>
          <w:rFonts w:hint="eastAsia" w:ascii="宋体" w:hAnsi="宋体" w:cs="宋体"/>
          <w:bCs/>
          <w:color w:val="auto"/>
          <w:sz w:val="24"/>
          <w:szCs w:val="21"/>
          <w:u w:val="single"/>
        </w:rPr>
        <w:t>：                   　　　</w:t>
      </w:r>
    </w:p>
    <w:p>
      <w:pPr>
        <w:spacing w:line="360" w:lineRule="auto"/>
        <w:ind w:firstLine="480" w:firstLineChars="200"/>
        <w:rPr>
          <w:rFonts w:ascii="宋体" w:hAnsi="宋体" w:cs="宋体"/>
          <w:bCs/>
          <w:color w:val="auto"/>
          <w:sz w:val="24"/>
          <w:szCs w:val="21"/>
        </w:rPr>
      </w:pPr>
      <w:r>
        <w:rPr>
          <w:rFonts w:hint="eastAsia" w:ascii="宋体" w:hAnsi="宋体" w:cs="宋体"/>
          <w:bCs/>
          <w:color w:val="auto"/>
          <w:sz w:val="24"/>
          <w:szCs w:val="21"/>
        </w:rPr>
        <w:t xml:space="preserve">（公章）：                   </w:t>
      </w:r>
    </w:p>
    <w:p>
      <w:pPr>
        <w:spacing w:line="360" w:lineRule="auto"/>
        <w:ind w:left="3600" w:leftChars="1800" w:firstLine="480" w:firstLineChars="200"/>
        <w:rPr>
          <w:rFonts w:ascii="宋体" w:hAnsi="宋体" w:cs="宋体"/>
          <w:color w:val="auto"/>
          <w:sz w:val="24"/>
        </w:rPr>
      </w:pPr>
      <w:r>
        <w:rPr>
          <w:rFonts w:hint="eastAsia" w:ascii="宋体" w:hAnsi="宋体" w:cs="宋体"/>
          <w:color w:val="auto"/>
          <w:sz w:val="24"/>
        </w:rPr>
        <w:t xml:space="preserve">法定代表人签名（或签名章）：                       </w:t>
      </w:r>
    </w:p>
    <w:p>
      <w:pPr>
        <w:spacing w:line="360" w:lineRule="auto"/>
        <w:ind w:left="3600" w:leftChars="1800" w:firstLine="480" w:firstLineChars="200"/>
        <w:rPr>
          <w:rFonts w:ascii="宋体" w:hAnsi="宋体" w:cs="宋体"/>
          <w:color w:val="auto"/>
          <w:sz w:val="24"/>
        </w:rPr>
      </w:pPr>
      <w:r>
        <w:rPr>
          <w:rFonts w:hint="eastAsia" w:ascii="宋体" w:hAnsi="宋体" w:cs="宋体"/>
          <w:color w:val="auto"/>
          <w:sz w:val="24"/>
        </w:rPr>
        <w:t>日 期：</w:t>
      </w:r>
    </w:p>
    <w:p>
      <w:pPr>
        <w:rPr>
          <w:rFonts w:hint="eastAsia" w:cs="宋体"/>
          <w:b/>
          <w:bCs/>
          <w:color w:val="auto"/>
          <w:sz w:val="24"/>
          <w:szCs w:val="24"/>
          <w:lang w:val="zh-CN"/>
        </w:rPr>
      </w:pPr>
    </w:p>
    <w:p>
      <w:pPr>
        <w:rPr>
          <w:rFonts w:hint="eastAsia" w:cs="宋体"/>
          <w:b/>
          <w:bCs/>
          <w:color w:val="auto"/>
          <w:sz w:val="24"/>
          <w:szCs w:val="24"/>
          <w:lang w:val="zh-CN"/>
        </w:rPr>
      </w:pPr>
    </w:p>
    <w:p>
      <w:pPr>
        <w:rPr>
          <w:rFonts w:hint="eastAsia" w:cs="宋体"/>
          <w:b/>
          <w:bCs/>
          <w:color w:val="auto"/>
          <w:sz w:val="24"/>
          <w:szCs w:val="24"/>
          <w:lang w:val="zh-CN"/>
        </w:rPr>
      </w:pPr>
    </w:p>
    <w:p>
      <w:pPr>
        <w:rPr>
          <w:rFonts w:hint="eastAsia" w:cs="宋体"/>
          <w:b/>
          <w:bCs/>
          <w:color w:val="auto"/>
          <w:sz w:val="24"/>
          <w:szCs w:val="24"/>
          <w:lang w:val="zh-CN"/>
        </w:rPr>
      </w:pPr>
    </w:p>
    <w:bookmarkEnd w:id="129"/>
    <w:p>
      <w:pPr>
        <w:rPr>
          <w:b/>
          <w:bCs/>
          <w:color w:val="auto"/>
          <w:sz w:val="24"/>
          <w:szCs w:val="32"/>
          <w:lang w:val="zh-CN"/>
        </w:rPr>
      </w:pPr>
      <w:r>
        <w:rPr>
          <w:rFonts w:hint="eastAsia"/>
          <w:b/>
          <w:bCs/>
          <w:color w:val="auto"/>
          <w:sz w:val="24"/>
          <w:szCs w:val="32"/>
          <w:lang w:val="zh-CN"/>
        </w:rPr>
        <w:t>附件</w:t>
      </w:r>
      <w:bookmarkStart w:id="132" w:name="_Toc98731771"/>
      <w:bookmarkStart w:id="133" w:name="_Toc130094925"/>
      <w:r>
        <w:rPr>
          <w:rFonts w:hint="eastAsia"/>
          <w:b/>
          <w:bCs/>
          <w:color w:val="auto"/>
          <w:sz w:val="24"/>
          <w:szCs w:val="32"/>
        </w:rPr>
        <w:t>十三：</w:t>
      </w:r>
    </w:p>
    <w:p>
      <w:pPr>
        <w:spacing w:line="360" w:lineRule="auto"/>
        <w:jc w:val="center"/>
        <w:outlineLvl w:val="0"/>
        <w:rPr>
          <w:rFonts w:ascii="宋体" w:hAnsi="宋体" w:cs="宋体"/>
          <w:b/>
          <w:bCs/>
          <w:color w:val="auto"/>
          <w:sz w:val="32"/>
          <w:szCs w:val="32"/>
        </w:rPr>
      </w:pPr>
      <w:bookmarkStart w:id="134" w:name="_Toc3109"/>
      <w:bookmarkStart w:id="135" w:name="_Toc24380"/>
      <w:r>
        <w:rPr>
          <w:rFonts w:hint="eastAsia" w:ascii="宋体" w:hAnsi="宋体" w:cs="宋体"/>
          <w:b/>
          <w:bCs/>
          <w:color w:val="auto"/>
          <w:sz w:val="32"/>
          <w:szCs w:val="32"/>
        </w:rPr>
        <w:t>报价一览表</w:t>
      </w:r>
      <w:bookmarkEnd w:id="132"/>
      <w:bookmarkEnd w:id="133"/>
      <w:bookmarkEnd w:id="134"/>
      <w:bookmarkEnd w:id="135"/>
    </w:p>
    <w:p>
      <w:pPr>
        <w:pStyle w:val="15"/>
        <w:spacing w:line="360" w:lineRule="auto"/>
        <w:rPr>
          <w:rFonts w:hAnsi="宋体" w:cs="宋体"/>
          <w:color w:val="auto"/>
          <w:sz w:val="24"/>
        </w:rPr>
      </w:pPr>
    </w:p>
    <w:p>
      <w:pPr>
        <w:spacing w:line="360" w:lineRule="auto"/>
        <w:ind w:firstLine="480" w:firstLineChars="200"/>
        <w:rPr>
          <w:rFonts w:ascii="宋体" w:hAnsi="宋体" w:cs="宋体"/>
          <w:color w:val="auto"/>
          <w:sz w:val="24"/>
        </w:rPr>
      </w:pPr>
      <w:r>
        <w:rPr>
          <w:rFonts w:hint="eastAsia" w:ascii="宋体" w:hAnsi="宋体" w:cs="宋体"/>
          <w:color w:val="auto"/>
          <w:sz w:val="24"/>
        </w:rPr>
        <w:t>项目名称：</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采购编号：               </w:t>
      </w:r>
    </w:p>
    <w:tbl>
      <w:tblPr>
        <w:tblStyle w:val="25"/>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6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2089" w:type="dxa"/>
            <w:vAlign w:val="center"/>
          </w:tcPr>
          <w:p>
            <w:pPr>
              <w:pStyle w:val="15"/>
              <w:spacing w:line="360" w:lineRule="auto"/>
              <w:jc w:val="center"/>
              <w:rPr>
                <w:rFonts w:hAnsi="宋体" w:cs="宋体"/>
                <w:b/>
                <w:bCs/>
                <w:color w:val="auto"/>
                <w:sz w:val="24"/>
              </w:rPr>
            </w:pPr>
            <w:r>
              <w:rPr>
                <w:rFonts w:hint="eastAsia" w:hAnsi="宋体" w:cs="宋体"/>
                <w:b/>
                <w:bCs/>
                <w:color w:val="auto"/>
                <w:sz w:val="24"/>
              </w:rPr>
              <w:t>投标总价</w:t>
            </w:r>
          </w:p>
        </w:tc>
        <w:tc>
          <w:tcPr>
            <w:tcW w:w="6707" w:type="dxa"/>
            <w:vAlign w:val="center"/>
          </w:tcPr>
          <w:p>
            <w:pPr>
              <w:pStyle w:val="15"/>
              <w:spacing w:line="360" w:lineRule="auto"/>
              <w:jc w:val="center"/>
              <w:rPr>
                <w:rFonts w:hAnsi="宋体" w:cs="宋体"/>
                <w:b/>
                <w:bCs/>
                <w:color w:val="auto"/>
                <w:sz w:val="24"/>
              </w:rPr>
            </w:pPr>
            <w:r>
              <w:rPr>
                <w:rFonts w:hint="eastAsia" w:hAnsi="宋体" w:cs="宋体"/>
                <w:b/>
                <w:bCs/>
                <w:color w:val="auto"/>
                <w:sz w:val="24"/>
              </w:rPr>
              <w:t>大写：</w:t>
            </w:r>
            <w:r>
              <w:rPr>
                <w:rFonts w:hint="eastAsia" w:hAnsi="宋体" w:cs="宋体"/>
                <w:b/>
                <w:bCs/>
                <w:color w:val="auto"/>
                <w:sz w:val="24"/>
                <w:u w:val="single"/>
              </w:rPr>
              <w:t xml:space="preserve">　　　　            </w:t>
            </w:r>
            <w:r>
              <w:rPr>
                <w:rFonts w:hint="eastAsia" w:hAnsi="宋体" w:cs="宋体"/>
                <w:b/>
                <w:bCs/>
                <w:color w:val="auto"/>
                <w:sz w:val="24"/>
              </w:rPr>
              <w:t>元（小写：</w:t>
            </w:r>
            <w:r>
              <w:rPr>
                <w:rFonts w:hint="eastAsia" w:hAnsi="宋体" w:cs="宋体"/>
                <w:b/>
                <w:bCs/>
                <w:color w:val="auto"/>
                <w:sz w:val="24"/>
                <w:u w:val="single"/>
              </w:rPr>
              <w:t xml:space="preserve">　　　　 </w:t>
            </w:r>
            <w:r>
              <w:rPr>
                <w:rFonts w:hint="eastAsia" w:hAnsi="宋体" w:cs="宋体"/>
                <w:b/>
                <w:bC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8" w:hRule="atLeast"/>
          <w:jc w:val="center"/>
        </w:trPr>
        <w:tc>
          <w:tcPr>
            <w:tcW w:w="8796" w:type="dxa"/>
            <w:gridSpan w:val="2"/>
            <w:vAlign w:val="center"/>
          </w:tcPr>
          <w:p>
            <w:pPr>
              <w:widowControl/>
              <w:jc w:val="left"/>
              <w:rPr>
                <w:rFonts w:hAnsi="宋体"/>
                <w:b/>
                <w:bCs/>
                <w:color w:val="auto"/>
                <w:sz w:val="24"/>
                <w:szCs w:val="24"/>
              </w:rPr>
            </w:pPr>
            <w:r>
              <w:rPr>
                <w:rFonts w:hint="eastAsia" w:hAnsi="宋体"/>
                <w:b/>
                <w:bCs/>
                <w:color w:val="auto"/>
                <w:sz w:val="24"/>
                <w:szCs w:val="24"/>
              </w:rPr>
              <w:t xml:space="preserve">本次报价包括完成本项目所需的所有费用必须包含在总报价中，如以后已实施 </w:t>
            </w:r>
          </w:p>
          <w:p>
            <w:pPr>
              <w:pStyle w:val="15"/>
              <w:spacing w:line="360" w:lineRule="auto"/>
              <w:ind w:firstLine="482" w:firstLineChars="200"/>
              <w:rPr>
                <w:rFonts w:hint="eastAsia" w:hAnsi="宋体" w:eastAsia="宋体" w:cs="宋体"/>
                <w:b/>
                <w:bCs/>
                <w:color w:val="auto"/>
                <w:sz w:val="24"/>
                <w:lang w:eastAsia="zh-CN"/>
              </w:rPr>
            </w:pPr>
            <w:r>
              <w:rPr>
                <w:rFonts w:hint="eastAsia" w:hAnsi="宋体"/>
                <w:b/>
                <w:bCs/>
                <w:color w:val="auto"/>
                <w:sz w:val="24"/>
                <w:szCs w:val="24"/>
              </w:rPr>
              <w:t>而未列入报价的费用将被视为投标人优惠，采购人均不予支付。</w:t>
            </w:r>
          </w:p>
        </w:tc>
      </w:tr>
    </w:tbl>
    <w:p>
      <w:pPr>
        <w:pStyle w:val="15"/>
        <w:spacing w:line="360" w:lineRule="auto"/>
        <w:rPr>
          <w:rFonts w:hAnsi="宋体" w:cs="宋体"/>
          <w:color w:val="auto"/>
          <w:sz w:val="24"/>
        </w:rPr>
      </w:pPr>
    </w:p>
    <w:p>
      <w:pPr>
        <w:pStyle w:val="15"/>
        <w:spacing w:line="360" w:lineRule="auto"/>
        <w:rPr>
          <w:rFonts w:hAnsi="宋体" w:cs="宋体"/>
          <w:color w:val="auto"/>
          <w:sz w:val="24"/>
        </w:rPr>
      </w:pPr>
    </w:p>
    <w:p>
      <w:pPr>
        <w:pStyle w:val="15"/>
        <w:spacing w:line="360" w:lineRule="auto"/>
        <w:rPr>
          <w:rFonts w:hAnsi="宋体" w:cs="宋体"/>
          <w:color w:val="auto"/>
          <w:sz w:val="24"/>
        </w:rPr>
      </w:pPr>
    </w:p>
    <w:p>
      <w:pPr>
        <w:spacing w:line="360" w:lineRule="auto"/>
        <w:ind w:left="3600" w:leftChars="1800" w:firstLine="480" w:firstLineChars="200"/>
        <w:rPr>
          <w:rFonts w:ascii="宋体" w:hAnsi="宋体" w:cs="宋体"/>
          <w:color w:val="auto"/>
          <w:sz w:val="24"/>
        </w:rPr>
      </w:pPr>
      <w:r>
        <w:rPr>
          <w:rFonts w:hint="eastAsia" w:ascii="宋体" w:hAnsi="宋体" w:cs="宋体"/>
          <w:color w:val="auto"/>
          <w:sz w:val="24"/>
        </w:rPr>
        <w:t xml:space="preserve">法定代表人签名（或签名章）：                       </w:t>
      </w:r>
    </w:p>
    <w:p>
      <w:pPr>
        <w:spacing w:line="360" w:lineRule="auto"/>
        <w:ind w:left="3600" w:leftChars="1800" w:firstLine="480" w:firstLineChars="200"/>
        <w:rPr>
          <w:rFonts w:ascii="宋体" w:hAnsi="宋体" w:cs="宋体"/>
          <w:color w:val="auto"/>
          <w:sz w:val="24"/>
        </w:rPr>
      </w:pPr>
      <w:r>
        <w:rPr>
          <w:rFonts w:hint="eastAsia" w:ascii="宋体" w:hAnsi="宋体" w:cs="宋体"/>
          <w:color w:val="auto"/>
          <w:sz w:val="24"/>
        </w:rPr>
        <w:t>日 期：</w:t>
      </w:r>
    </w:p>
    <w:p>
      <w:pPr>
        <w:spacing w:line="360" w:lineRule="auto"/>
        <w:ind w:left="3600" w:leftChars="1800" w:firstLine="480" w:firstLineChars="200"/>
        <w:rPr>
          <w:rFonts w:ascii="宋体" w:hAnsi="宋体" w:cs="宋体"/>
          <w:color w:val="auto"/>
          <w:sz w:val="24"/>
        </w:rPr>
      </w:pPr>
      <w:r>
        <w:rPr>
          <w:rFonts w:hint="eastAsia" w:ascii="宋体" w:hAnsi="宋体" w:cs="宋体"/>
          <w:color w:val="auto"/>
          <w:sz w:val="24"/>
        </w:rPr>
        <w:t>供应商全称（公章）：</w:t>
      </w:r>
    </w:p>
    <w:p>
      <w:pPr>
        <w:snapToGrid w:val="0"/>
        <w:spacing w:line="360" w:lineRule="auto"/>
        <w:ind w:firstLine="435"/>
        <w:rPr>
          <w:rFonts w:ascii="宋体"/>
          <w:color w:val="auto"/>
        </w:rPr>
      </w:pPr>
    </w:p>
    <w:p>
      <w:pPr>
        <w:snapToGrid w:val="0"/>
        <w:spacing w:line="360" w:lineRule="auto"/>
        <w:ind w:firstLine="435"/>
        <w:rPr>
          <w:rFonts w:ascii="宋体"/>
          <w:color w:val="auto"/>
        </w:rPr>
      </w:pPr>
    </w:p>
    <w:p>
      <w:pPr>
        <w:snapToGrid w:val="0"/>
        <w:spacing w:line="360" w:lineRule="auto"/>
        <w:ind w:firstLine="435"/>
        <w:rPr>
          <w:rFonts w:ascii="宋体"/>
          <w:color w:val="auto"/>
        </w:rPr>
      </w:pPr>
    </w:p>
    <w:p>
      <w:pPr>
        <w:snapToGrid w:val="0"/>
        <w:spacing w:line="360" w:lineRule="auto"/>
        <w:ind w:firstLine="435"/>
        <w:rPr>
          <w:rFonts w:ascii="宋体"/>
          <w:color w:val="auto"/>
        </w:rPr>
      </w:pPr>
    </w:p>
    <w:p>
      <w:pPr>
        <w:snapToGrid w:val="0"/>
        <w:spacing w:line="360" w:lineRule="auto"/>
        <w:ind w:firstLine="435"/>
        <w:rPr>
          <w:rFonts w:ascii="宋体"/>
          <w:color w:val="auto"/>
        </w:rPr>
      </w:pPr>
    </w:p>
    <w:p>
      <w:pPr>
        <w:spacing w:line="360" w:lineRule="auto"/>
        <w:jc w:val="left"/>
        <w:rPr>
          <w:rFonts w:ascii="宋体" w:hAnsi="宋体" w:cs="宋体"/>
          <w:b/>
          <w:bCs/>
          <w:color w:val="auto"/>
          <w:sz w:val="24"/>
          <w:lang w:val="zh-CN"/>
        </w:rPr>
      </w:pPr>
      <w:r>
        <w:rPr>
          <w:rFonts w:ascii="宋体"/>
          <w:color w:val="auto"/>
        </w:rPr>
        <w:br w:type="page"/>
      </w:r>
      <w:bookmarkStart w:id="136" w:name="_Toc7196"/>
      <w:r>
        <w:rPr>
          <w:rFonts w:hint="eastAsia" w:ascii="宋体" w:hAnsi="宋体" w:cs="宋体"/>
          <w:b/>
          <w:bCs/>
          <w:color w:val="auto"/>
          <w:sz w:val="24"/>
          <w:lang w:val="zh-CN"/>
        </w:rPr>
        <w:t>附件十</w:t>
      </w:r>
      <w:r>
        <w:rPr>
          <w:rFonts w:hint="eastAsia" w:hAnsi="宋体" w:cs="宋体"/>
          <w:b/>
          <w:bCs/>
          <w:color w:val="auto"/>
          <w:sz w:val="24"/>
          <w:lang w:val="zh-CN"/>
        </w:rPr>
        <w:t>四</w:t>
      </w:r>
      <w:r>
        <w:rPr>
          <w:rFonts w:hint="eastAsia" w:ascii="宋体" w:hAnsi="宋体" w:cs="宋体"/>
          <w:b/>
          <w:bCs/>
          <w:color w:val="auto"/>
          <w:sz w:val="24"/>
          <w:lang w:val="zh-CN"/>
        </w:rPr>
        <w:t>：</w:t>
      </w:r>
    </w:p>
    <w:p>
      <w:pPr>
        <w:spacing w:line="360" w:lineRule="auto"/>
        <w:jc w:val="center"/>
        <w:outlineLvl w:val="0"/>
        <w:rPr>
          <w:rFonts w:hAnsi="宋体" w:cs="宋体"/>
          <w:color w:val="auto"/>
          <w:sz w:val="24"/>
        </w:rPr>
      </w:pPr>
      <w:bookmarkStart w:id="137" w:name="_Toc15340"/>
      <w:bookmarkStart w:id="138" w:name="_Toc10713"/>
      <w:r>
        <w:rPr>
          <w:rFonts w:hint="eastAsia" w:ascii="宋体" w:hAnsi="宋体" w:cs="宋体"/>
          <w:b/>
          <w:bCs/>
          <w:color w:val="auto"/>
          <w:sz w:val="32"/>
          <w:szCs w:val="32"/>
        </w:rPr>
        <w:t>磋商报价明细表</w:t>
      </w:r>
      <w:bookmarkEnd w:id="137"/>
      <w:bookmarkEnd w:id="138"/>
    </w:p>
    <w:p>
      <w:pPr>
        <w:spacing w:line="360" w:lineRule="auto"/>
        <w:ind w:firstLine="480" w:firstLineChars="200"/>
        <w:rPr>
          <w:rFonts w:ascii="宋体" w:hAnsi="宋体" w:cs="宋体"/>
          <w:color w:val="auto"/>
          <w:sz w:val="24"/>
        </w:rPr>
      </w:pPr>
      <w:r>
        <w:rPr>
          <w:rFonts w:hint="eastAsia" w:ascii="宋体" w:hAnsi="宋体" w:cs="宋体"/>
          <w:color w:val="auto"/>
          <w:sz w:val="24"/>
        </w:rPr>
        <w:t>项目名称：</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采购编号：               </w:t>
      </w:r>
    </w:p>
    <w:tbl>
      <w:tblPr>
        <w:tblStyle w:val="25"/>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2284"/>
        <w:gridCol w:w="1490"/>
        <w:gridCol w:w="720"/>
        <w:gridCol w:w="648"/>
        <w:gridCol w:w="1147"/>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Merge w:val="restart"/>
            <w:vAlign w:val="center"/>
          </w:tcPr>
          <w:p>
            <w:pPr>
              <w:pStyle w:val="15"/>
              <w:spacing w:line="360" w:lineRule="auto"/>
              <w:jc w:val="center"/>
              <w:rPr>
                <w:rFonts w:hAnsi="宋体" w:cs="宋体"/>
                <w:color w:val="auto"/>
                <w:sz w:val="24"/>
              </w:rPr>
            </w:pPr>
            <w:r>
              <w:rPr>
                <w:rFonts w:hint="eastAsia" w:hAnsi="宋体" w:cs="宋体"/>
                <w:color w:val="auto"/>
                <w:sz w:val="24"/>
              </w:rPr>
              <w:t>序</w:t>
            </w:r>
          </w:p>
          <w:p>
            <w:pPr>
              <w:pStyle w:val="15"/>
              <w:spacing w:line="360" w:lineRule="auto"/>
              <w:jc w:val="center"/>
              <w:rPr>
                <w:rFonts w:hAnsi="宋体" w:cs="宋体"/>
                <w:color w:val="auto"/>
                <w:sz w:val="24"/>
              </w:rPr>
            </w:pPr>
            <w:r>
              <w:rPr>
                <w:rFonts w:hint="eastAsia" w:hAnsi="宋体" w:cs="宋体"/>
                <w:color w:val="auto"/>
                <w:sz w:val="24"/>
              </w:rPr>
              <w:t>号</w:t>
            </w:r>
          </w:p>
        </w:tc>
        <w:tc>
          <w:tcPr>
            <w:tcW w:w="1080" w:type="dxa"/>
            <w:vMerge w:val="restart"/>
            <w:vAlign w:val="center"/>
          </w:tcPr>
          <w:p>
            <w:pPr>
              <w:pStyle w:val="15"/>
              <w:spacing w:line="360" w:lineRule="auto"/>
              <w:jc w:val="center"/>
              <w:rPr>
                <w:rFonts w:hAnsi="宋体" w:cs="宋体"/>
                <w:color w:val="auto"/>
                <w:sz w:val="24"/>
              </w:rPr>
            </w:pPr>
            <w:r>
              <w:rPr>
                <w:rFonts w:hint="eastAsia" w:hAnsi="宋体" w:cs="宋体"/>
                <w:color w:val="auto"/>
                <w:sz w:val="24"/>
              </w:rPr>
              <w:t>名称</w:t>
            </w:r>
          </w:p>
        </w:tc>
        <w:tc>
          <w:tcPr>
            <w:tcW w:w="2284" w:type="dxa"/>
            <w:vMerge w:val="restart"/>
            <w:vAlign w:val="center"/>
          </w:tcPr>
          <w:p>
            <w:pPr>
              <w:pStyle w:val="15"/>
              <w:spacing w:line="360" w:lineRule="auto"/>
              <w:jc w:val="center"/>
              <w:rPr>
                <w:rFonts w:hAnsi="宋体" w:cs="宋体"/>
                <w:color w:val="auto"/>
                <w:sz w:val="24"/>
              </w:rPr>
            </w:pPr>
            <w:r>
              <w:rPr>
                <w:rFonts w:hint="eastAsia" w:hAnsi="宋体" w:cs="宋体"/>
                <w:color w:val="auto"/>
                <w:sz w:val="24"/>
              </w:rPr>
              <w:t>内容</w:t>
            </w:r>
          </w:p>
        </w:tc>
        <w:tc>
          <w:tcPr>
            <w:tcW w:w="1490" w:type="dxa"/>
            <w:vMerge w:val="restart"/>
            <w:vAlign w:val="center"/>
          </w:tcPr>
          <w:p>
            <w:pPr>
              <w:pStyle w:val="15"/>
              <w:spacing w:line="360" w:lineRule="auto"/>
              <w:jc w:val="center"/>
              <w:rPr>
                <w:rFonts w:hAnsi="宋体" w:cs="宋体"/>
                <w:color w:val="auto"/>
                <w:sz w:val="24"/>
              </w:rPr>
            </w:pPr>
            <w:r>
              <w:rPr>
                <w:rFonts w:hint="eastAsia" w:hAnsi="宋体" w:cs="宋体"/>
                <w:color w:val="auto"/>
                <w:sz w:val="24"/>
              </w:rPr>
              <w:t>其他</w:t>
            </w:r>
          </w:p>
        </w:tc>
        <w:tc>
          <w:tcPr>
            <w:tcW w:w="720" w:type="dxa"/>
            <w:vMerge w:val="restart"/>
            <w:vAlign w:val="center"/>
          </w:tcPr>
          <w:p>
            <w:pPr>
              <w:pStyle w:val="15"/>
              <w:spacing w:line="360" w:lineRule="auto"/>
              <w:jc w:val="center"/>
              <w:rPr>
                <w:rFonts w:hAnsi="宋体" w:cs="宋体"/>
                <w:color w:val="auto"/>
                <w:sz w:val="24"/>
              </w:rPr>
            </w:pPr>
            <w:r>
              <w:rPr>
                <w:rFonts w:hint="eastAsia" w:hAnsi="宋体" w:cs="宋体"/>
                <w:color w:val="auto"/>
                <w:sz w:val="24"/>
              </w:rPr>
              <w:t>单</w:t>
            </w:r>
          </w:p>
          <w:p>
            <w:pPr>
              <w:pStyle w:val="15"/>
              <w:spacing w:line="360" w:lineRule="auto"/>
              <w:jc w:val="center"/>
              <w:rPr>
                <w:rFonts w:hAnsi="宋体" w:cs="宋体"/>
                <w:color w:val="auto"/>
              </w:rPr>
            </w:pPr>
            <w:r>
              <w:rPr>
                <w:rFonts w:hint="eastAsia" w:hAnsi="宋体" w:cs="宋体"/>
                <w:color w:val="auto"/>
                <w:sz w:val="24"/>
              </w:rPr>
              <w:t>位</w:t>
            </w:r>
          </w:p>
        </w:tc>
        <w:tc>
          <w:tcPr>
            <w:tcW w:w="648" w:type="dxa"/>
            <w:vMerge w:val="restart"/>
            <w:vAlign w:val="center"/>
          </w:tcPr>
          <w:p>
            <w:pPr>
              <w:pStyle w:val="15"/>
              <w:spacing w:line="360" w:lineRule="auto"/>
              <w:jc w:val="center"/>
              <w:rPr>
                <w:rFonts w:hAnsi="宋体" w:cs="宋体"/>
                <w:color w:val="auto"/>
                <w:sz w:val="24"/>
              </w:rPr>
            </w:pPr>
            <w:r>
              <w:rPr>
                <w:rFonts w:hint="eastAsia" w:hAnsi="宋体" w:cs="宋体"/>
                <w:color w:val="auto"/>
                <w:sz w:val="24"/>
              </w:rPr>
              <w:t>数量</w:t>
            </w:r>
          </w:p>
        </w:tc>
        <w:tc>
          <w:tcPr>
            <w:tcW w:w="2270" w:type="dxa"/>
            <w:gridSpan w:val="2"/>
            <w:vAlign w:val="center"/>
          </w:tcPr>
          <w:p>
            <w:pPr>
              <w:pStyle w:val="15"/>
              <w:spacing w:line="360" w:lineRule="auto"/>
              <w:jc w:val="center"/>
              <w:rPr>
                <w:rFonts w:hAnsi="宋体" w:cs="宋体"/>
                <w:color w:val="auto"/>
                <w:sz w:val="24"/>
              </w:rPr>
            </w:pPr>
            <w:r>
              <w:rPr>
                <w:rFonts w:hint="eastAsia" w:hAnsi="宋体" w:cs="宋体"/>
                <w:color w:val="auto"/>
                <w:sz w:val="24"/>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Merge w:val="continue"/>
            <w:vAlign w:val="center"/>
          </w:tcPr>
          <w:p>
            <w:pPr>
              <w:pStyle w:val="15"/>
              <w:spacing w:line="360" w:lineRule="auto"/>
              <w:jc w:val="center"/>
              <w:rPr>
                <w:rFonts w:hAnsi="宋体" w:cs="宋体"/>
                <w:color w:val="auto"/>
                <w:sz w:val="24"/>
              </w:rPr>
            </w:pPr>
          </w:p>
        </w:tc>
        <w:tc>
          <w:tcPr>
            <w:tcW w:w="1080" w:type="dxa"/>
            <w:vMerge w:val="continue"/>
            <w:vAlign w:val="center"/>
          </w:tcPr>
          <w:p>
            <w:pPr>
              <w:pStyle w:val="15"/>
              <w:spacing w:line="360" w:lineRule="auto"/>
              <w:jc w:val="center"/>
              <w:rPr>
                <w:rFonts w:hAnsi="宋体" w:cs="宋体"/>
                <w:color w:val="auto"/>
                <w:sz w:val="24"/>
              </w:rPr>
            </w:pPr>
          </w:p>
        </w:tc>
        <w:tc>
          <w:tcPr>
            <w:tcW w:w="2284" w:type="dxa"/>
            <w:vMerge w:val="continue"/>
            <w:vAlign w:val="center"/>
          </w:tcPr>
          <w:p>
            <w:pPr>
              <w:pStyle w:val="15"/>
              <w:spacing w:line="360" w:lineRule="auto"/>
              <w:jc w:val="center"/>
              <w:rPr>
                <w:rFonts w:hAnsi="宋体" w:cs="宋体"/>
                <w:color w:val="auto"/>
                <w:sz w:val="24"/>
              </w:rPr>
            </w:pPr>
          </w:p>
        </w:tc>
        <w:tc>
          <w:tcPr>
            <w:tcW w:w="1490" w:type="dxa"/>
            <w:vMerge w:val="continue"/>
            <w:vAlign w:val="center"/>
          </w:tcPr>
          <w:p>
            <w:pPr>
              <w:pStyle w:val="15"/>
              <w:spacing w:line="360" w:lineRule="auto"/>
              <w:jc w:val="center"/>
              <w:rPr>
                <w:rFonts w:hAnsi="宋体" w:cs="宋体"/>
                <w:color w:val="auto"/>
                <w:sz w:val="24"/>
              </w:rPr>
            </w:pPr>
          </w:p>
        </w:tc>
        <w:tc>
          <w:tcPr>
            <w:tcW w:w="720" w:type="dxa"/>
            <w:vMerge w:val="continue"/>
            <w:vAlign w:val="center"/>
          </w:tcPr>
          <w:p>
            <w:pPr>
              <w:pStyle w:val="15"/>
              <w:spacing w:line="360" w:lineRule="auto"/>
              <w:jc w:val="center"/>
              <w:rPr>
                <w:rFonts w:hAnsi="宋体" w:cs="宋体"/>
                <w:color w:val="auto"/>
                <w:sz w:val="24"/>
              </w:rPr>
            </w:pPr>
          </w:p>
        </w:tc>
        <w:tc>
          <w:tcPr>
            <w:tcW w:w="648" w:type="dxa"/>
            <w:vMerge w:val="continue"/>
            <w:vAlign w:val="center"/>
          </w:tcPr>
          <w:p>
            <w:pPr>
              <w:pStyle w:val="15"/>
              <w:spacing w:line="360" w:lineRule="auto"/>
              <w:jc w:val="center"/>
              <w:rPr>
                <w:rFonts w:hAnsi="宋体" w:cs="宋体"/>
                <w:color w:val="auto"/>
                <w:sz w:val="24"/>
              </w:rPr>
            </w:pPr>
          </w:p>
        </w:tc>
        <w:tc>
          <w:tcPr>
            <w:tcW w:w="1147" w:type="dxa"/>
            <w:vAlign w:val="center"/>
          </w:tcPr>
          <w:p>
            <w:pPr>
              <w:pStyle w:val="15"/>
              <w:spacing w:line="360" w:lineRule="auto"/>
              <w:jc w:val="center"/>
              <w:rPr>
                <w:rFonts w:hAnsi="宋体" w:cs="宋体"/>
                <w:color w:val="auto"/>
                <w:sz w:val="24"/>
              </w:rPr>
            </w:pPr>
            <w:r>
              <w:rPr>
                <w:rFonts w:hint="eastAsia" w:hAnsi="宋体" w:cs="宋体"/>
                <w:color w:val="auto"/>
                <w:sz w:val="24"/>
              </w:rPr>
              <w:t>单价</w:t>
            </w:r>
          </w:p>
        </w:tc>
        <w:tc>
          <w:tcPr>
            <w:tcW w:w="1123" w:type="dxa"/>
            <w:vAlign w:val="center"/>
          </w:tcPr>
          <w:p>
            <w:pPr>
              <w:pStyle w:val="15"/>
              <w:spacing w:line="360" w:lineRule="auto"/>
              <w:jc w:val="center"/>
              <w:rPr>
                <w:rFonts w:hAnsi="宋体" w:cs="宋体"/>
                <w:color w:val="auto"/>
                <w:sz w:val="24"/>
              </w:rPr>
            </w:pPr>
            <w:r>
              <w:rPr>
                <w:rFonts w:hint="eastAsia" w:hAnsi="宋体" w:cs="宋体"/>
                <w:color w:val="auto"/>
                <w:sz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540" w:type="dxa"/>
            <w:vAlign w:val="center"/>
          </w:tcPr>
          <w:p>
            <w:pPr>
              <w:pStyle w:val="15"/>
              <w:spacing w:line="360" w:lineRule="auto"/>
              <w:jc w:val="center"/>
              <w:rPr>
                <w:rFonts w:hAnsi="宋体" w:cs="宋体"/>
                <w:b/>
                <w:color w:val="auto"/>
                <w:sz w:val="24"/>
              </w:rPr>
            </w:pPr>
          </w:p>
        </w:tc>
        <w:tc>
          <w:tcPr>
            <w:tcW w:w="1080" w:type="dxa"/>
            <w:vAlign w:val="center"/>
          </w:tcPr>
          <w:p>
            <w:pPr>
              <w:pStyle w:val="15"/>
              <w:spacing w:line="360" w:lineRule="auto"/>
              <w:rPr>
                <w:rFonts w:hAnsi="宋体" w:cs="宋体"/>
                <w:b/>
                <w:color w:val="auto"/>
                <w:sz w:val="24"/>
              </w:rPr>
            </w:pPr>
          </w:p>
        </w:tc>
        <w:tc>
          <w:tcPr>
            <w:tcW w:w="2284" w:type="dxa"/>
            <w:vAlign w:val="center"/>
          </w:tcPr>
          <w:p>
            <w:pPr>
              <w:pStyle w:val="15"/>
              <w:spacing w:line="360" w:lineRule="auto"/>
              <w:rPr>
                <w:rFonts w:hAnsi="宋体" w:cs="宋体"/>
                <w:b/>
                <w:color w:val="auto"/>
                <w:sz w:val="24"/>
              </w:rPr>
            </w:pPr>
          </w:p>
        </w:tc>
        <w:tc>
          <w:tcPr>
            <w:tcW w:w="1490" w:type="dxa"/>
            <w:vAlign w:val="center"/>
          </w:tcPr>
          <w:p>
            <w:pPr>
              <w:pStyle w:val="15"/>
              <w:spacing w:line="360" w:lineRule="auto"/>
              <w:rPr>
                <w:rFonts w:hAnsi="宋体" w:cs="宋体"/>
                <w:b/>
                <w:color w:val="auto"/>
                <w:sz w:val="24"/>
              </w:rPr>
            </w:pPr>
          </w:p>
        </w:tc>
        <w:tc>
          <w:tcPr>
            <w:tcW w:w="720" w:type="dxa"/>
            <w:vAlign w:val="center"/>
          </w:tcPr>
          <w:p>
            <w:pPr>
              <w:pStyle w:val="15"/>
              <w:spacing w:line="360" w:lineRule="auto"/>
              <w:rPr>
                <w:rFonts w:hAnsi="宋体" w:cs="宋体"/>
                <w:b/>
                <w:color w:val="auto"/>
                <w:sz w:val="24"/>
              </w:rPr>
            </w:pPr>
          </w:p>
        </w:tc>
        <w:tc>
          <w:tcPr>
            <w:tcW w:w="648" w:type="dxa"/>
            <w:vAlign w:val="center"/>
          </w:tcPr>
          <w:p>
            <w:pPr>
              <w:pStyle w:val="15"/>
              <w:spacing w:line="360" w:lineRule="auto"/>
              <w:rPr>
                <w:rFonts w:hAnsi="宋体" w:cs="宋体"/>
                <w:b/>
                <w:color w:val="auto"/>
                <w:sz w:val="24"/>
              </w:rPr>
            </w:pPr>
          </w:p>
        </w:tc>
        <w:tc>
          <w:tcPr>
            <w:tcW w:w="1147" w:type="dxa"/>
          </w:tcPr>
          <w:p>
            <w:pPr>
              <w:pStyle w:val="15"/>
              <w:spacing w:line="360" w:lineRule="auto"/>
              <w:rPr>
                <w:rFonts w:hAnsi="宋体" w:cs="宋体"/>
                <w:color w:val="auto"/>
                <w:sz w:val="24"/>
              </w:rPr>
            </w:pPr>
          </w:p>
        </w:tc>
        <w:tc>
          <w:tcPr>
            <w:tcW w:w="1123" w:type="dxa"/>
          </w:tcPr>
          <w:p>
            <w:pPr>
              <w:pStyle w:val="15"/>
              <w:spacing w:line="360" w:lineRule="auto"/>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540" w:type="dxa"/>
            <w:vAlign w:val="center"/>
          </w:tcPr>
          <w:p>
            <w:pPr>
              <w:pStyle w:val="15"/>
              <w:spacing w:line="360" w:lineRule="auto"/>
              <w:jc w:val="center"/>
              <w:rPr>
                <w:rFonts w:hAnsi="宋体" w:cs="宋体"/>
                <w:b/>
                <w:color w:val="auto"/>
                <w:sz w:val="24"/>
              </w:rPr>
            </w:pPr>
          </w:p>
        </w:tc>
        <w:tc>
          <w:tcPr>
            <w:tcW w:w="1080" w:type="dxa"/>
            <w:vAlign w:val="center"/>
          </w:tcPr>
          <w:p>
            <w:pPr>
              <w:pStyle w:val="15"/>
              <w:spacing w:line="360" w:lineRule="auto"/>
              <w:rPr>
                <w:rFonts w:hAnsi="宋体" w:cs="宋体"/>
                <w:b/>
                <w:color w:val="auto"/>
                <w:sz w:val="24"/>
              </w:rPr>
            </w:pPr>
          </w:p>
        </w:tc>
        <w:tc>
          <w:tcPr>
            <w:tcW w:w="2284" w:type="dxa"/>
            <w:vAlign w:val="center"/>
          </w:tcPr>
          <w:p>
            <w:pPr>
              <w:pStyle w:val="15"/>
              <w:spacing w:line="360" w:lineRule="auto"/>
              <w:rPr>
                <w:rFonts w:hAnsi="宋体" w:cs="宋体"/>
                <w:b/>
                <w:color w:val="auto"/>
                <w:sz w:val="24"/>
              </w:rPr>
            </w:pPr>
          </w:p>
        </w:tc>
        <w:tc>
          <w:tcPr>
            <w:tcW w:w="1490" w:type="dxa"/>
            <w:vAlign w:val="center"/>
          </w:tcPr>
          <w:p>
            <w:pPr>
              <w:pStyle w:val="15"/>
              <w:spacing w:line="360" w:lineRule="auto"/>
              <w:rPr>
                <w:rFonts w:hAnsi="宋体" w:cs="宋体"/>
                <w:b/>
                <w:color w:val="auto"/>
                <w:sz w:val="24"/>
              </w:rPr>
            </w:pPr>
          </w:p>
        </w:tc>
        <w:tc>
          <w:tcPr>
            <w:tcW w:w="720" w:type="dxa"/>
            <w:vAlign w:val="center"/>
          </w:tcPr>
          <w:p>
            <w:pPr>
              <w:pStyle w:val="15"/>
              <w:spacing w:line="360" w:lineRule="auto"/>
              <w:rPr>
                <w:rFonts w:hAnsi="宋体" w:cs="宋体"/>
                <w:b/>
                <w:color w:val="auto"/>
                <w:sz w:val="24"/>
              </w:rPr>
            </w:pPr>
          </w:p>
        </w:tc>
        <w:tc>
          <w:tcPr>
            <w:tcW w:w="648" w:type="dxa"/>
            <w:vAlign w:val="center"/>
          </w:tcPr>
          <w:p>
            <w:pPr>
              <w:pStyle w:val="15"/>
              <w:spacing w:line="360" w:lineRule="auto"/>
              <w:rPr>
                <w:rFonts w:hAnsi="宋体" w:cs="宋体"/>
                <w:b/>
                <w:color w:val="auto"/>
                <w:sz w:val="24"/>
              </w:rPr>
            </w:pPr>
          </w:p>
        </w:tc>
        <w:tc>
          <w:tcPr>
            <w:tcW w:w="1147" w:type="dxa"/>
          </w:tcPr>
          <w:p>
            <w:pPr>
              <w:pStyle w:val="15"/>
              <w:spacing w:line="360" w:lineRule="auto"/>
              <w:rPr>
                <w:rFonts w:hAnsi="宋体" w:cs="宋体"/>
                <w:color w:val="auto"/>
                <w:sz w:val="24"/>
              </w:rPr>
            </w:pPr>
          </w:p>
        </w:tc>
        <w:tc>
          <w:tcPr>
            <w:tcW w:w="1123" w:type="dxa"/>
          </w:tcPr>
          <w:p>
            <w:pPr>
              <w:pStyle w:val="15"/>
              <w:spacing w:line="360" w:lineRule="auto"/>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540" w:type="dxa"/>
            <w:vAlign w:val="center"/>
          </w:tcPr>
          <w:p>
            <w:pPr>
              <w:pStyle w:val="15"/>
              <w:spacing w:line="360" w:lineRule="auto"/>
              <w:jc w:val="center"/>
              <w:rPr>
                <w:rFonts w:hAnsi="宋体" w:cs="宋体"/>
                <w:b/>
                <w:color w:val="auto"/>
                <w:sz w:val="24"/>
              </w:rPr>
            </w:pPr>
          </w:p>
        </w:tc>
        <w:tc>
          <w:tcPr>
            <w:tcW w:w="1080" w:type="dxa"/>
            <w:vAlign w:val="center"/>
          </w:tcPr>
          <w:p>
            <w:pPr>
              <w:pStyle w:val="15"/>
              <w:spacing w:line="360" w:lineRule="auto"/>
              <w:rPr>
                <w:rFonts w:hAnsi="宋体" w:cs="宋体"/>
                <w:b/>
                <w:color w:val="auto"/>
                <w:sz w:val="24"/>
              </w:rPr>
            </w:pPr>
          </w:p>
        </w:tc>
        <w:tc>
          <w:tcPr>
            <w:tcW w:w="2284" w:type="dxa"/>
            <w:vAlign w:val="center"/>
          </w:tcPr>
          <w:p>
            <w:pPr>
              <w:pStyle w:val="15"/>
              <w:spacing w:line="360" w:lineRule="auto"/>
              <w:rPr>
                <w:rFonts w:hAnsi="宋体" w:cs="宋体"/>
                <w:b/>
                <w:color w:val="auto"/>
                <w:sz w:val="24"/>
              </w:rPr>
            </w:pPr>
          </w:p>
        </w:tc>
        <w:tc>
          <w:tcPr>
            <w:tcW w:w="1490" w:type="dxa"/>
            <w:vAlign w:val="center"/>
          </w:tcPr>
          <w:p>
            <w:pPr>
              <w:pStyle w:val="15"/>
              <w:spacing w:line="360" w:lineRule="auto"/>
              <w:rPr>
                <w:rFonts w:hAnsi="宋体" w:cs="宋体"/>
                <w:b/>
                <w:color w:val="auto"/>
                <w:sz w:val="24"/>
              </w:rPr>
            </w:pPr>
          </w:p>
        </w:tc>
        <w:tc>
          <w:tcPr>
            <w:tcW w:w="720" w:type="dxa"/>
            <w:vAlign w:val="center"/>
          </w:tcPr>
          <w:p>
            <w:pPr>
              <w:pStyle w:val="15"/>
              <w:spacing w:line="360" w:lineRule="auto"/>
              <w:rPr>
                <w:rFonts w:hAnsi="宋体" w:cs="宋体"/>
                <w:b/>
                <w:color w:val="auto"/>
                <w:sz w:val="24"/>
              </w:rPr>
            </w:pPr>
          </w:p>
        </w:tc>
        <w:tc>
          <w:tcPr>
            <w:tcW w:w="648" w:type="dxa"/>
            <w:vAlign w:val="center"/>
          </w:tcPr>
          <w:p>
            <w:pPr>
              <w:pStyle w:val="15"/>
              <w:spacing w:line="360" w:lineRule="auto"/>
              <w:rPr>
                <w:rFonts w:hAnsi="宋体" w:cs="宋体"/>
                <w:b/>
                <w:color w:val="auto"/>
                <w:sz w:val="24"/>
              </w:rPr>
            </w:pPr>
          </w:p>
        </w:tc>
        <w:tc>
          <w:tcPr>
            <w:tcW w:w="1147" w:type="dxa"/>
          </w:tcPr>
          <w:p>
            <w:pPr>
              <w:pStyle w:val="15"/>
              <w:spacing w:line="360" w:lineRule="auto"/>
              <w:rPr>
                <w:rFonts w:hAnsi="宋体" w:cs="宋体"/>
                <w:color w:val="auto"/>
                <w:sz w:val="24"/>
              </w:rPr>
            </w:pPr>
          </w:p>
        </w:tc>
        <w:tc>
          <w:tcPr>
            <w:tcW w:w="1123" w:type="dxa"/>
          </w:tcPr>
          <w:p>
            <w:pPr>
              <w:pStyle w:val="15"/>
              <w:spacing w:line="360" w:lineRule="auto"/>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540" w:type="dxa"/>
            <w:vAlign w:val="center"/>
          </w:tcPr>
          <w:p>
            <w:pPr>
              <w:pStyle w:val="15"/>
              <w:spacing w:line="360" w:lineRule="auto"/>
              <w:jc w:val="center"/>
              <w:rPr>
                <w:rFonts w:hAnsi="宋体" w:cs="宋体"/>
                <w:b/>
                <w:color w:val="auto"/>
                <w:sz w:val="24"/>
              </w:rPr>
            </w:pPr>
          </w:p>
        </w:tc>
        <w:tc>
          <w:tcPr>
            <w:tcW w:w="1080" w:type="dxa"/>
            <w:vAlign w:val="center"/>
          </w:tcPr>
          <w:p>
            <w:pPr>
              <w:pStyle w:val="15"/>
              <w:spacing w:line="360" w:lineRule="auto"/>
              <w:rPr>
                <w:rFonts w:hAnsi="宋体" w:cs="宋体"/>
                <w:b/>
                <w:color w:val="auto"/>
                <w:sz w:val="24"/>
              </w:rPr>
            </w:pPr>
          </w:p>
        </w:tc>
        <w:tc>
          <w:tcPr>
            <w:tcW w:w="2284" w:type="dxa"/>
            <w:vAlign w:val="center"/>
          </w:tcPr>
          <w:p>
            <w:pPr>
              <w:pStyle w:val="15"/>
              <w:spacing w:line="360" w:lineRule="auto"/>
              <w:rPr>
                <w:rFonts w:hAnsi="宋体" w:cs="宋体"/>
                <w:b/>
                <w:color w:val="auto"/>
                <w:sz w:val="24"/>
              </w:rPr>
            </w:pPr>
          </w:p>
        </w:tc>
        <w:tc>
          <w:tcPr>
            <w:tcW w:w="1490" w:type="dxa"/>
            <w:vAlign w:val="center"/>
          </w:tcPr>
          <w:p>
            <w:pPr>
              <w:pStyle w:val="15"/>
              <w:spacing w:line="360" w:lineRule="auto"/>
              <w:rPr>
                <w:rFonts w:hAnsi="宋体" w:cs="宋体"/>
                <w:b/>
                <w:color w:val="auto"/>
                <w:sz w:val="24"/>
              </w:rPr>
            </w:pPr>
          </w:p>
        </w:tc>
        <w:tc>
          <w:tcPr>
            <w:tcW w:w="720" w:type="dxa"/>
            <w:vAlign w:val="center"/>
          </w:tcPr>
          <w:p>
            <w:pPr>
              <w:pStyle w:val="15"/>
              <w:spacing w:line="360" w:lineRule="auto"/>
              <w:rPr>
                <w:rFonts w:hAnsi="宋体" w:cs="宋体"/>
                <w:b/>
                <w:color w:val="auto"/>
                <w:sz w:val="24"/>
              </w:rPr>
            </w:pPr>
          </w:p>
        </w:tc>
        <w:tc>
          <w:tcPr>
            <w:tcW w:w="648" w:type="dxa"/>
            <w:vAlign w:val="center"/>
          </w:tcPr>
          <w:p>
            <w:pPr>
              <w:pStyle w:val="15"/>
              <w:spacing w:line="360" w:lineRule="auto"/>
              <w:rPr>
                <w:rFonts w:hAnsi="宋体" w:cs="宋体"/>
                <w:b/>
                <w:color w:val="auto"/>
                <w:sz w:val="24"/>
              </w:rPr>
            </w:pPr>
          </w:p>
        </w:tc>
        <w:tc>
          <w:tcPr>
            <w:tcW w:w="1147" w:type="dxa"/>
          </w:tcPr>
          <w:p>
            <w:pPr>
              <w:pStyle w:val="15"/>
              <w:spacing w:line="360" w:lineRule="auto"/>
              <w:rPr>
                <w:rFonts w:hAnsi="宋体" w:cs="宋体"/>
                <w:color w:val="auto"/>
                <w:sz w:val="24"/>
              </w:rPr>
            </w:pPr>
          </w:p>
        </w:tc>
        <w:tc>
          <w:tcPr>
            <w:tcW w:w="1123" w:type="dxa"/>
          </w:tcPr>
          <w:p>
            <w:pPr>
              <w:pStyle w:val="15"/>
              <w:spacing w:line="360" w:lineRule="auto"/>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540" w:type="dxa"/>
            <w:vAlign w:val="center"/>
          </w:tcPr>
          <w:p>
            <w:pPr>
              <w:pStyle w:val="15"/>
              <w:spacing w:line="360" w:lineRule="auto"/>
              <w:jc w:val="center"/>
              <w:rPr>
                <w:rFonts w:hAnsi="宋体" w:cs="宋体"/>
                <w:b/>
                <w:color w:val="auto"/>
                <w:sz w:val="24"/>
              </w:rPr>
            </w:pPr>
          </w:p>
        </w:tc>
        <w:tc>
          <w:tcPr>
            <w:tcW w:w="1080" w:type="dxa"/>
            <w:vAlign w:val="center"/>
          </w:tcPr>
          <w:p>
            <w:pPr>
              <w:pStyle w:val="15"/>
              <w:spacing w:line="360" w:lineRule="auto"/>
              <w:rPr>
                <w:rFonts w:hAnsi="宋体" w:cs="宋体"/>
                <w:b/>
                <w:color w:val="auto"/>
                <w:sz w:val="24"/>
              </w:rPr>
            </w:pPr>
          </w:p>
        </w:tc>
        <w:tc>
          <w:tcPr>
            <w:tcW w:w="2284" w:type="dxa"/>
            <w:vAlign w:val="center"/>
          </w:tcPr>
          <w:p>
            <w:pPr>
              <w:pStyle w:val="15"/>
              <w:spacing w:line="360" w:lineRule="auto"/>
              <w:rPr>
                <w:rFonts w:hAnsi="宋体" w:cs="宋体"/>
                <w:b/>
                <w:color w:val="auto"/>
                <w:sz w:val="24"/>
              </w:rPr>
            </w:pPr>
          </w:p>
        </w:tc>
        <w:tc>
          <w:tcPr>
            <w:tcW w:w="1490" w:type="dxa"/>
            <w:vAlign w:val="center"/>
          </w:tcPr>
          <w:p>
            <w:pPr>
              <w:pStyle w:val="15"/>
              <w:spacing w:line="360" w:lineRule="auto"/>
              <w:rPr>
                <w:rFonts w:hAnsi="宋体" w:cs="宋体"/>
                <w:b/>
                <w:color w:val="auto"/>
                <w:sz w:val="24"/>
              </w:rPr>
            </w:pPr>
          </w:p>
        </w:tc>
        <w:tc>
          <w:tcPr>
            <w:tcW w:w="720" w:type="dxa"/>
            <w:vAlign w:val="center"/>
          </w:tcPr>
          <w:p>
            <w:pPr>
              <w:pStyle w:val="15"/>
              <w:spacing w:line="360" w:lineRule="auto"/>
              <w:rPr>
                <w:rFonts w:hAnsi="宋体" w:cs="宋体"/>
                <w:b/>
                <w:color w:val="auto"/>
                <w:sz w:val="24"/>
              </w:rPr>
            </w:pPr>
          </w:p>
        </w:tc>
        <w:tc>
          <w:tcPr>
            <w:tcW w:w="648" w:type="dxa"/>
            <w:vAlign w:val="center"/>
          </w:tcPr>
          <w:p>
            <w:pPr>
              <w:pStyle w:val="15"/>
              <w:spacing w:line="360" w:lineRule="auto"/>
              <w:rPr>
                <w:rFonts w:hAnsi="宋体" w:cs="宋体"/>
                <w:b/>
                <w:color w:val="auto"/>
                <w:sz w:val="24"/>
              </w:rPr>
            </w:pPr>
          </w:p>
        </w:tc>
        <w:tc>
          <w:tcPr>
            <w:tcW w:w="1147" w:type="dxa"/>
          </w:tcPr>
          <w:p>
            <w:pPr>
              <w:pStyle w:val="15"/>
              <w:spacing w:line="360" w:lineRule="auto"/>
              <w:rPr>
                <w:rFonts w:hAnsi="宋体" w:cs="宋体"/>
                <w:color w:val="auto"/>
                <w:sz w:val="24"/>
              </w:rPr>
            </w:pPr>
          </w:p>
        </w:tc>
        <w:tc>
          <w:tcPr>
            <w:tcW w:w="1123" w:type="dxa"/>
          </w:tcPr>
          <w:p>
            <w:pPr>
              <w:pStyle w:val="15"/>
              <w:spacing w:line="360" w:lineRule="auto"/>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540" w:type="dxa"/>
            <w:vAlign w:val="center"/>
          </w:tcPr>
          <w:p>
            <w:pPr>
              <w:pStyle w:val="15"/>
              <w:spacing w:line="360" w:lineRule="auto"/>
              <w:jc w:val="center"/>
              <w:rPr>
                <w:rFonts w:hAnsi="宋体" w:cs="宋体"/>
                <w:b/>
                <w:color w:val="auto"/>
                <w:sz w:val="24"/>
              </w:rPr>
            </w:pPr>
          </w:p>
        </w:tc>
        <w:tc>
          <w:tcPr>
            <w:tcW w:w="1080" w:type="dxa"/>
            <w:vAlign w:val="center"/>
          </w:tcPr>
          <w:p>
            <w:pPr>
              <w:pStyle w:val="15"/>
              <w:spacing w:line="360" w:lineRule="auto"/>
              <w:rPr>
                <w:rFonts w:hAnsi="宋体" w:cs="宋体"/>
                <w:b/>
                <w:color w:val="auto"/>
                <w:sz w:val="24"/>
              </w:rPr>
            </w:pPr>
          </w:p>
        </w:tc>
        <w:tc>
          <w:tcPr>
            <w:tcW w:w="2284" w:type="dxa"/>
            <w:vAlign w:val="center"/>
          </w:tcPr>
          <w:p>
            <w:pPr>
              <w:pStyle w:val="15"/>
              <w:spacing w:line="360" w:lineRule="auto"/>
              <w:rPr>
                <w:rFonts w:hAnsi="宋体" w:cs="宋体"/>
                <w:b/>
                <w:color w:val="auto"/>
              </w:rPr>
            </w:pPr>
          </w:p>
        </w:tc>
        <w:tc>
          <w:tcPr>
            <w:tcW w:w="1490" w:type="dxa"/>
            <w:vAlign w:val="center"/>
          </w:tcPr>
          <w:p>
            <w:pPr>
              <w:pStyle w:val="15"/>
              <w:spacing w:line="360" w:lineRule="auto"/>
              <w:rPr>
                <w:rFonts w:hAnsi="宋体" w:cs="宋体"/>
                <w:b/>
                <w:color w:val="auto"/>
                <w:sz w:val="24"/>
              </w:rPr>
            </w:pPr>
          </w:p>
        </w:tc>
        <w:tc>
          <w:tcPr>
            <w:tcW w:w="720" w:type="dxa"/>
            <w:vAlign w:val="center"/>
          </w:tcPr>
          <w:p>
            <w:pPr>
              <w:pStyle w:val="15"/>
              <w:spacing w:line="360" w:lineRule="auto"/>
              <w:rPr>
                <w:rFonts w:hAnsi="宋体" w:cs="宋体"/>
                <w:b/>
                <w:color w:val="auto"/>
                <w:sz w:val="24"/>
              </w:rPr>
            </w:pPr>
          </w:p>
        </w:tc>
        <w:tc>
          <w:tcPr>
            <w:tcW w:w="648" w:type="dxa"/>
            <w:vAlign w:val="center"/>
          </w:tcPr>
          <w:p>
            <w:pPr>
              <w:pStyle w:val="15"/>
              <w:spacing w:line="360" w:lineRule="auto"/>
              <w:rPr>
                <w:rFonts w:hAnsi="宋体" w:cs="宋体"/>
                <w:b/>
                <w:color w:val="auto"/>
                <w:sz w:val="24"/>
              </w:rPr>
            </w:pPr>
          </w:p>
        </w:tc>
        <w:tc>
          <w:tcPr>
            <w:tcW w:w="1147" w:type="dxa"/>
          </w:tcPr>
          <w:p>
            <w:pPr>
              <w:pStyle w:val="15"/>
              <w:spacing w:line="360" w:lineRule="auto"/>
              <w:rPr>
                <w:rFonts w:hAnsi="宋体" w:cs="宋体"/>
                <w:color w:val="auto"/>
                <w:sz w:val="24"/>
              </w:rPr>
            </w:pPr>
          </w:p>
        </w:tc>
        <w:tc>
          <w:tcPr>
            <w:tcW w:w="1123" w:type="dxa"/>
          </w:tcPr>
          <w:p>
            <w:pPr>
              <w:pStyle w:val="15"/>
              <w:spacing w:line="360" w:lineRule="auto"/>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40" w:type="dxa"/>
          </w:tcPr>
          <w:p>
            <w:pPr>
              <w:pStyle w:val="15"/>
              <w:spacing w:line="360" w:lineRule="auto"/>
              <w:rPr>
                <w:rFonts w:hAnsi="宋体" w:cs="宋体"/>
                <w:color w:val="auto"/>
                <w:sz w:val="24"/>
              </w:rPr>
            </w:pPr>
          </w:p>
        </w:tc>
        <w:tc>
          <w:tcPr>
            <w:tcW w:w="1080" w:type="dxa"/>
          </w:tcPr>
          <w:p>
            <w:pPr>
              <w:pStyle w:val="15"/>
              <w:spacing w:line="360" w:lineRule="auto"/>
              <w:rPr>
                <w:rFonts w:hAnsi="宋体" w:cs="宋体"/>
                <w:color w:val="auto"/>
                <w:sz w:val="24"/>
              </w:rPr>
            </w:pPr>
          </w:p>
        </w:tc>
        <w:tc>
          <w:tcPr>
            <w:tcW w:w="2284" w:type="dxa"/>
          </w:tcPr>
          <w:p>
            <w:pPr>
              <w:pStyle w:val="15"/>
              <w:spacing w:line="360" w:lineRule="auto"/>
              <w:rPr>
                <w:rFonts w:hAnsi="宋体" w:cs="宋体"/>
                <w:color w:val="auto"/>
                <w:sz w:val="24"/>
              </w:rPr>
            </w:pPr>
          </w:p>
        </w:tc>
        <w:tc>
          <w:tcPr>
            <w:tcW w:w="1490" w:type="dxa"/>
          </w:tcPr>
          <w:p>
            <w:pPr>
              <w:pStyle w:val="15"/>
              <w:spacing w:line="360" w:lineRule="auto"/>
              <w:rPr>
                <w:rFonts w:hAnsi="宋体" w:cs="宋体"/>
                <w:color w:val="auto"/>
                <w:sz w:val="24"/>
              </w:rPr>
            </w:pPr>
          </w:p>
        </w:tc>
        <w:tc>
          <w:tcPr>
            <w:tcW w:w="720" w:type="dxa"/>
          </w:tcPr>
          <w:p>
            <w:pPr>
              <w:pStyle w:val="15"/>
              <w:spacing w:line="360" w:lineRule="auto"/>
              <w:rPr>
                <w:rFonts w:hAnsi="宋体" w:cs="宋体"/>
                <w:color w:val="auto"/>
                <w:sz w:val="24"/>
              </w:rPr>
            </w:pPr>
          </w:p>
        </w:tc>
        <w:tc>
          <w:tcPr>
            <w:tcW w:w="648" w:type="dxa"/>
          </w:tcPr>
          <w:p>
            <w:pPr>
              <w:pStyle w:val="15"/>
              <w:spacing w:line="360" w:lineRule="auto"/>
              <w:rPr>
                <w:rFonts w:hAnsi="宋体" w:cs="宋体"/>
                <w:color w:val="auto"/>
                <w:sz w:val="24"/>
              </w:rPr>
            </w:pPr>
          </w:p>
        </w:tc>
        <w:tc>
          <w:tcPr>
            <w:tcW w:w="1147" w:type="dxa"/>
          </w:tcPr>
          <w:p>
            <w:pPr>
              <w:pStyle w:val="15"/>
              <w:spacing w:line="360" w:lineRule="auto"/>
              <w:rPr>
                <w:rFonts w:hAnsi="宋体" w:cs="宋体"/>
                <w:color w:val="auto"/>
                <w:sz w:val="24"/>
              </w:rPr>
            </w:pPr>
          </w:p>
        </w:tc>
        <w:tc>
          <w:tcPr>
            <w:tcW w:w="1123" w:type="dxa"/>
          </w:tcPr>
          <w:p>
            <w:pPr>
              <w:pStyle w:val="15"/>
              <w:spacing w:line="360" w:lineRule="auto"/>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jc w:val="center"/>
        </w:trPr>
        <w:tc>
          <w:tcPr>
            <w:tcW w:w="1620" w:type="dxa"/>
            <w:gridSpan w:val="2"/>
            <w:vAlign w:val="center"/>
          </w:tcPr>
          <w:p>
            <w:pPr>
              <w:pStyle w:val="15"/>
              <w:spacing w:line="360" w:lineRule="auto"/>
              <w:jc w:val="center"/>
              <w:rPr>
                <w:rFonts w:hAnsi="宋体" w:cs="宋体"/>
                <w:color w:val="auto"/>
                <w:sz w:val="24"/>
              </w:rPr>
            </w:pPr>
            <w:r>
              <w:rPr>
                <w:rFonts w:hint="eastAsia" w:hAnsi="宋体" w:cs="宋体"/>
                <w:color w:val="auto"/>
                <w:sz w:val="24"/>
              </w:rPr>
              <w:t>投标总价</w:t>
            </w:r>
          </w:p>
        </w:tc>
        <w:tc>
          <w:tcPr>
            <w:tcW w:w="7412" w:type="dxa"/>
            <w:gridSpan w:val="6"/>
            <w:vAlign w:val="center"/>
          </w:tcPr>
          <w:p>
            <w:pPr>
              <w:pStyle w:val="15"/>
              <w:spacing w:line="360" w:lineRule="auto"/>
              <w:jc w:val="center"/>
              <w:rPr>
                <w:rFonts w:hAnsi="宋体" w:cs="宋体"/>
                <w:color w:val="auto"/>
                <w:sz w:val="24"/>
              </w:rPr>
            </w:pPr>
            <w:r>
              <w:rPr>
                <w:rFonts w:hint="eastAsia" w:hAnsi="宋体" w:cs="宋体"/>
                <w:color w:val="auto"/>
                <w:sz w:val="24"/>
              </w:rPr>
              <w:t>大写：</w:t>
            </w:r>
            <w:r>
              <w:rPr>
                <w:rFonts w:hint="eastAsia" w:hAnsi="宋体" w:cs="宋体"/>
                <w:color w:val="auto"/>
                <w:sz w:val="24"/>
                <w:u w:val="single"/>
              </w:rPr>
              <w:t xml:space="preserve">　　　　                </w:t>
            </w:r>
            <w:r>
              <w:rPr>
                <w:rFonts w:hint="eastAsia" w:hAnsi="宋体" w:cs="宋体"/>
                <w:color w:val="auto"/>
                <w:sz w:val="24"/>
              </w:rPr>
              <w:t>元（小写：</w:t>
            </w:r>
            <w:r>
              <w:rPr>
                <w:rFonts w:hint="eastAsia" w:hAnsi="宋体" w:cs="宋体"/>
                <w:color w:val="auto"/>
                <w:sz w:val="24"/>
                <w:u w:val="single"/>
              </w:rPr>
              <w:t>　　　　　</w:t>
            </w:r>
            <w:r>
              <w:rPr>
                <w:rFonts w:hint="eastAsia"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032" w:type="dxa"/>
            <w:gridSpan w:val="8"/>
            <w:vAlign w:val="center"/>
          </w:tcPr>
          <w:p>
            <w:pPr>
              <w:widowControl/>
              <w:jc w:val="center"/>
              <w:rPr>
                <w:rFonts w:hAnsi="宋体"/>
                <w:b/>
                <w:bCs/>
                <w:color w:val="auto"/>
                <w:sz w:val="24"/>
                <w:szCs w:val="24"/>
              </w:rPr>
            </w:pPr>
            <w:r>
              <w:rPr>
                <w:rFonts w:hint="eastAsia" w:hAnsi="宋体"/>
                <w:b/>
                <w:bCs/>
                <w:color w:val="auto"/>
                <w:sz w:val="24"/>
                <w:szCs w:val="24"/>
              </w:rPr>
              <w:t>本次报价包括完成本项目所需的所有费用必须包含在总报价中，如以后已实施</w:t>
            </w:r>
          </w:p>
          <w:p>
            <w:pPr>
              <w:pStyle w:val="15"/>
              <w:spacing w:line="360" w:lineRule="auto"/>
              <w:ind w:firstLine="482" w:firstLineChars="200"/>
              <w:jc w:val="center"/>
              <w:rPr>
                <w:rFonts w:hint="eastAsia" w:hAnsi="宋体" w:eastAsia="宋体" w:cs="宋体"/>
                <w:color w:val="auto"/>
                <w:sz w:val="24"/>
                <w:lang w:eastAsia="zh-CN"/>
              </w:rPr>
            </w:pPr>
            <w:r>
              <w:rPr>
                <w:rFonts w:hint="eastAsia" w:hAnsi="宋体"/>
                <w:b/>
                <w:bCs/>
                <w:color w:val="auto"/>
                <w:sz w:val="24"/>
                <w:szCs w:val="24"/>
              </w:rPr>
              <w:t>而未列入报价的费用将被视为投标人优惠，采购人均不予支付。</w:t>
            </w:r>
          </w:p>
        </w:tc>
      </w:tr>
    </w:tbl>
    <w:p>
      <w:pPr>
        <w:pStyle w:val="15"/>
        <w:spacing w:line="360" w:lineRule="auto"/>
        <w:ind w:firstLine="480" w:firstLineChars="200"/>
        <w:rPr>
          <w:rFonts w:hAnsi="宋体" w:cs="宋体"/>
          <w:color w:val="auto"/>
          <w:sz w:val="24"/>
        </w:rPr>
      </w:pPr>
      <w:r>
        <w:rPr>
          <w:rFonts w:hint="eastAsia" w:hAnsi="宋体" w:cs="宋体"/>
          <w:color w:val="auto"/>
          <w:sz w:val="24"/>
        </w:rPr>
        <w:t>注：内容可根据供应商实际情况自行调整。</w:t>
      </w:r>
    </w:p>
    <w:p>
      <w:pPr>
        <w:pStyle w:val="15"/>
        <w:spacing w:line="360" w:lineRule="auto"/>
        <w:rPr>
          <w:rFonts w:hAnsi="宋体" w:cs="宋体"/>
          <w:color w:val="auto"/>
          <w:sz w:val="24"/>
        </w:rPr>
      </w:pPr>
    </w:p>
    <w:p>
      <w:pPr>
        <w:spacing w:line="360" w:lineRule="auto"/>
        <w:ind w:left="3600" w:leftChars="1800" w:firstLine="480" w:firstLineChars="200"/>
        <w:rPr>
          <w:rFonts w:ascii="宋体" w:hAnsi="宋体" w:cs="宋体"/>
          <w:color w:val="auto"/>
          <w:sz w:val="24"/>
        </w:rPr>
      </w:pPr>
      <w:r>
        <w:rPr>
          <w:rFonts w:hint="eastAsia" w:ascii="宋体" w:hAnsi="宋体" w:cs="宋体"/>
          <w:color w:val="auto"/>
          <w:sz w:val="24"/>
        </w:rPr>
        <w:t xml:space="preserve">法定代表人签名（或签名章）：                       </w:t>
      </w:r>
    </w:p>
    <w:p>
      <w:pPr>
        <w:spacing w:line="360" w:lineRule="auto"/>
        <w:ind w:left="3600" w:leftChars="1800" w:firstLine="480" w:firstLineChars="200"/>
        <w:rPr>
          <w:rFonts w:ascii="宋体" w:hAnsi="宋体" w:cs="宋体"/>
          <w:color w:val="auto"/>
          <w:sz w:val="24"/>
        </w:rPr>
      </w:pPr>
      <w:r>
        <w:rPr>
          <w:rFonts w:hint="eastAsia" w:ascii="宋体" w:hAnsi="宋体" w:cs="宋体"/>
          <w:color w:val="auto"/>
          <w:sz w:val="24"/>
        </w:rPr>
        <w:t>日 期：</w:t>
      </w:r>
    </w:p>
    <w:p>
      <w:pPr>
        <w:spacing w:line="360" w:lineRule="auto"/>
        <w:ind w:left="3600" w:leftChars="1800" w:firstLine="480" w:firstLineChars="200"/>
        <w:rPr>
          <w:rFonts w:ascii="宋体" w:hAnsi="宋体" w:cs="宋体"/>
          <w:color w:val="auto"/>
          <w:sz w:val="24"/>
          <w:szCs w:val="24"/>
        </w:rPr>
      </w:pPr>
      <w:r>
        <w:rPr>
          <w:rFonts w:hint="eastAsia" w:ascii="宋体" w:hAnsi="宋体" w:cs="宋体"/>
          <w:color w:val="auto"/>
          <w:sz w:val="24"/>
        </w:rPr>
        <w:t>供应商全称（公章）：</w:t>
      </w:r>
      <w:bookmarkEnd w:id="136"/>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030F3"/>
    <w:multiLevelType w:val="singleLevel"/>
    <w:tmpl w:val="80A030F3"/>
    <w:lvl w:ilvl="0" w:tentative="0">
      <w:start w:val="1"/>
      <w:numFmt w:val="decimal"/>
      <w:lvlText w:val="%1."/>
      <w:lvlJc w:val="left"/>
      <w:pPr>
        <w:ind w:left="425" w:hanging="425"/>
      </w:pPr>
      <w:rPr>
        <w:rFonts w:hint="default"/>
      </w:rPr>
    </w:lvl>
  </w:abstractNum>
  <w:abstractNum w:abstractNumId="1">
    <w:nsid w:val="80D92B64"/>
    <w:multiLevelType w:val="singleLevel"/>
    <w:tmpl w:val="80D92B64"/>
    <w:lvl w:ilvl="0" w:tentative="0">
      <w:start w:val="1"/>
      <w:numFmt w:val="decimal"/>
      <w:lvlText w:val="(%1)"/>
      <w:lvlJc w:val="left"/>
      <w:pPr>
        <w:ind w:left="425" w:hanging="425"/>
      </w:pPr>
      <w:rPr>
        <w:rFonts w:hint="default"/>
      </w:rPr>
    </w:lvl>
  </w:abstractNum>
  <w:abstractNum w:abstractNumId="2">
    <w:nsid w:val="82CAA649"/>
    <w:multiLevelType w:val="singleLevel"/>
    <w:tmpl w:val="82CAA649"/>
    <w:lvl w:ilvl="0" w:tentative="0">
      <w:start w:val="1"/>
      <w:numFmt w:val="chineseCounting"/>
      <w:suff w:val="nothing"/>
      <w:lvlText w:val="（%1）"/>
      <w:lvlJc w:val="left"/>
      <w:pPr>
        <w:ind w:left="0" w:firstLine="420"/>
      </w:pPr>
      <w:rPr>
        <w:rFonts w:hint="eastAsia"/>
      </w:rPr>
    </w:lvl>
  </w:abstractNum>
  <w:abstractNum w:abstractNumId="3">
    <w:nsid w:val="9149D103"/>
    <w:multiLevelType w:val="singleLevel"/>
    <w:tmpl w:val="9149D103"/>
    <w:lvl w:ilvl="0" w:tentative="0">
      <w:start w:val="1"/>
      <w:numFmt w:val="decimal"/>
      <w:suff w:val="nothing"/>
      <w:lvlText w:val="%1."/>
      <w:lvlJc w:val="left"/>
      <w:pPr>
        <w:ind w:left="425" w:hanging="425"/>
      </w:pPr>
      <w:rPr>
        <w:rFonts w:hint="default"/>
      </w:rPr>
    </w:lvl>
  </w:abstractNum>
  <w:abstractNum w:abstractNumId="4">
    <w:nsid w:val="A1AEC6AF"/>
    <w:multiLevelType w:val="singleLevel"/>
    <w:tmpl w:val="A1AEC6AF"/>
    <w:lvl w:ilvl="0" w:tentative="0">
      <w:start w:val="1"/>
      <w:numFmt w:val="chineseCounting"/>
      <w:suff w:val="space"/>
      <w:lvlText w:val="%1．"/>
      <w:lvlJc w:val="left"/>
      <w:rPr>
        <w:rFonts w:hint="eastAsia"/>
      </w:rPr>
    </w:lvl>
  </w:abstractNum>
  <w:abstractNum w:abstractNumId="5">
    <w:nsid w:val="B753E387"/>
    <w:multiLevelType w:val="singleLevel"/>
    <w:tmpl w:val="B753E387"/>
    <w:lvl w:ilvl="0" w:tentative="0">
      <w:start w:val="1"/>
      <w:numFmt w:val="chineseCounting"/>
      <w:suff w:val="nothing"/>
      <w:lvlText w:val="（%1）"/>
      <w:lvlJc w:val="left"/>
      <w:pPr>
        <w:ind w:left="0" w:firstLine="420"/>
      </w:pPr>
      <w:rPr>
        <w:rFonts w:hint="eastAsia"/>
      </w:rPr>
    </w:lvl>
  </w:abstractNum>
  <w:abstractNum w:abstractNumId="6">
    <w:nsid w:val="C28AB966"/>
    <w:multiLevelType w:val="singleLevel"/>
    <w:tmpl w:val="C28AB966"/>
    <w:lvl w:ilvl="0" w:tentative="0">
      <w:start w:val="1"/>
      <w:numFmt w:val="decimal"/>
      <w:lvlText w:val="(%1)"/>
      <w:lvlJc w:val="left"/>
      <w:pPr>
        <w:ind w:left="425" w:hanging="425"/>
      </w:pPr>
      <w:rPr>
        <w:rFonts w:hint="default"/>
      </w:rPr>
    </w:lvl>
  </w:abstractNum>
  <w:abstractNum w:abstractNumId="7">
    <w:nsid w:val="C721DE07"/>
    <w:multiLevelType w:val="singleLevel"/>
    <w:tmpl w:val="C721DE07"/>
    <w:lvl w:ilvl="0" w:tentative="0">
      <w:start w:val="1"/>
      <w:numFmt w:val="chineseCounting"/>
      <w:suff w:val="nothing"/>
      <w:lvlText w:val="（%1）"/>
      <w:lvlJc w:val="left"/>
      <w:pPr>
        <w:ind w:left="0" w:firstLine="420"/>
      </w:pPr>
      <w:rPr>
        <w:rFonts w:hint="eastAsia"/>
      </w:rPr>
    </w:lvl>
  </w:abstractNum>
  <w:abstractNum w:abstractNumId="8">
    <w:nsid w:val="D12CFB0E"/>
    <w:multiLevelType w:val="singleLevel"/>
    <w:tmpl w:val="D12CFB0E"/>
    <w:lvl w:ilvl="0" w:tentative="0">
      <w:start w:val="1"/>
      <w:numFmt w:val="chineseCounting"/>
      <w:suff w:val="nothing"/>
      <w:lvlText w:val="（%1）"/>
      <w:lvlJc w:val="left"/>
      <w:pPr>
        <w:ind w:left="0" w:firstLine="420"/>
      </w:pPr>
      <w:rPr>
        <w:rFonts w:hint="eastAsia"/>
      </w:rPr>
    </w:lvl>
  </w:abstractNum>
  <w:abstractNum w:abstractNumId="9">
    <w:nsid w:val="D6B5E56E"/>
    <w:multiLevelType w:val="singleLevel"/>
    <w:tmpl w:val="D6B5E56E"/>
    <w:lvl w:ilvl="0" w:tentative="0">
      <w:start w:val="1"/>
      <w:numFmt w:val="chineseCounting"/>
      <w:suff w:val="nothing"/>
      <w:lvlText w:val="（%1）"/>
      <w:lvlJc w:val="left"/>
      <w:pPr>
        <w:ind w:left="0" w:firstLine="420"/>
      </w:pPr>
      <w:rPr>
        <w:rFonts w:hint="eastAsia"/>
      </w:rPr>
    </w:lvl>
  </w:abstractNum>
  <w:abstractNum w:abstractNumId="10">
    <w:nsid w:val="E432024B"/>
    <w:multiLevelType w:val="singleLevel"/>
    <w:tmpl w:val="E432024B"/>
    <w:lvl w:ilvl="0" w:tentative="0">
      <w:start w:val="1"/>
      <w:numFmt w:val="decimal"/>
      <w:lvlText w:val="%1."/>
      <w:lvlJc w:val="left"/>
      <w:pPr>
        <w:ind w:left="1055" w:hanging="425"/>
      </w:pPr>
      <w:rPr>
        <w:rFonts w:hint="default"/>
      </w:rPr>
    </w:lvl>
  </w:abstractNum>
  <w:abstractNum w:abstractNumId="11">
    <w:nsid w:val="F777C879"/>
    <w:multiLevelType w:val="singleLevel"/>
    <w:tmpl w:val="F777C879"/>
    <w:lvl w:ilvl="0" w:tentative="0">
      <w:start w:val="1"/>
      <w:numFmt w:val="chineseCounting"/>
      <w:suff w:val="nothing"/>
      <w:lvlText w:val="（%1）"/>
      <w:lvlJc w:val="left"/>
      <w:pPr>
        <w:ind w:left="0" w:firstLine="420"/>
      </w:pPr>
      <w:rPr>
        <w:rFonts w:hint="eastAsia"/>
      </w:rPr>
    </w:lvl>
  </w:abstractNum>
  <w:abstractNum w:abstractNumId="12">
    <w:nsid w:val="FBB06914"/>
    <w:multiLevelType w:val="singleLevel"/>
    <w:tmpl w:val="FBB06914"/>
    <w:lvl w:ilvl="0" w:tentative="0">
      <w:start w:val="1"/>
      <w:numFmt w:val="decimal"/>
      <w:lvlText w:val="(%1)"/>
      <w:lvlJc w:val="left"/>
      <w:pPr>
        <w:ind w:left="425" w:hanging="425"/>
      </w:pPr>
      <w:rPr>
        <w:rFonts w:hint="default"/>
      </w:rPr>
    </w:lvl>
  </w:abstractNum>
  <w:abstractNum w:abstractNumId="13">
    <w:nsid w:val="FFAD824E"/>
    <w:multiLevelType w:val="singleLevel"/>
    <w:tmpl w:val="FFAD824E"/>
    <w:lvl w:ilvl="0" w:tentative="0">
      <w:start w:val="1"/>
      <w:numFmt w:val="chineseCounting"/>
      <w:suff w:val="nothing"/>
      <w:lvlText w:val="（%1）"/>
      <w:lvlJc w:val="left"/>
      <w:pPr>
        <w:ind w:left="0" w:firstLine="420"/>
      </w:pPr>
      <w:rPr>
        <w:rFonts w:hint="eastAsia"/>
      </w:rPr>
    </w:lvl>
  </w:abstractNum>
  <w:abstractNum w:abstractNumId="14">
    <w:nsid w:val="00000001"/>
    <w:multiLevelType w:val="singleLevel"/>
    <w:tmpl w:val="00000001"/>
    <w:lvl w:ilvl="0" w:tentative="0">
      <w:start w:val="1"/>
      <w:numFmt w:val="decimal"/>
      <w:suff w:val="nothing"/>
      <w:lvlText w:val="14.%1 "/>
      <w:lvlJc w:val="left"/>
      <w:pPr>
        <w:tabs>
          <w:tab w:val="left" w:pos="0"/>
        </w:tabs>
        <w:ind w:firstLine="40"/>
      </w:pPr>
      <w:rPr>
        <w:rFonts w:hint="default" w:ascii="宋体" w:hAnsi="宋体" w:eastAsia="宋体"/>
      </w:rPr>
    </w:lvl>
  </w:abstractNum>
  <w:abstractNum w:abstractNumId="15">
    <w:nsid w:val="00000002"/>
    <w:multiLevelType w:val="singleLevel"/>
    <w:tmpl w:val="00000002"/>
    <w:lvl w:ilvl="0" w:tentative="0">
      <w:start w:val="1"/>
      <w:numFmt w:val="chineseCounting"/>
      <w:suff w:val="nothing"/>
      <w:lvlText w:val="%1、"/>
      <w:lvlJc w:val="left"/>
      <w:rPr>
        <w:rFonts w:hint="eastAsia"/>
      </w:rPr>
    </w:lvl>
  </w:abstractNum>
  <w:abstractNum w:abstractNumId="16">
    <w:nsid w:val="00000003"/>
    <w:multiLevelType w:val="singleLevel"/>
    <w:tmpl w:val="00000003"/>
    <w:lvl w:ilvl="0" w:tentative="0">
      <w:start w:val="1"/>
      <w:numFmt w:val="decimalEnclosedCircleChinese"/>
      <w:suff w:val="nothing"/>
      <w:lvlText w:val="%1　"/>
      <w:lvlJc w:val="left"/>
      <w:pPr>
        <w:ind w:firstLine="1134"/>
      </w:pPr>
      <w:rPr>
        <w:rFonts w:hint="eastAsia"/>
      </w:rPr>
    </w:lvl>
  </w:abstractNum>
  <w:abstractNum w:abstractNumId="17">
    <w:nsid w:val="00000004"/>
    <w:multiLevelType w:val="singleLevel"/>
    <w:tmpl w:val="00000004"/>
    <w:lvl w:ilvl="0" w:tentative="0">
      <w:start w:val="1"/>
      <w:numFmt w:val="decimal"/>
      <w:suff w:val="nothing"/>
      <w:lvlText w:val="%1．"/>
      <w:lvlJc w:val="left"/>
      <w:pPr>
        <w:ind w:firstLine="397"/>
      </w:pPr>
      <w:rPr>
        <w:rFonts w:hint="default"/>
      </w:rPr>
    </w:lvl>
  </w:abstractNum>
  <w:abstractNum w:abstractNumId="18">
    <w:nsid w:val="00000005"/>
    <w:multiLevelType w:val="singleLevel"/>
    <w:tmpl w:val="00000005"/>
    <w:lvl w:ilvl="0" w:tentative="0">
      <w:start w:val="1"/>
      <w:numFmt w:val="chineseCounting"/>
      <w:suff w:val="nothing"/>
      <w:lvlText w:val="%1、"/>
      <w:lvlJc w:val="left"/>
      <w:rPr>
        <w:rFonts w:hint="eastAsia"/>
      </w:rPr>
    </w:lvl>
  </w:abstractNum>
  <w:abstractNum w:abstractNumId="19">
    <w:nsid w:val="00000006"/>
    <w:multiLevelType w:val="singleLevel"/>
    <w:tmpl w:val="00000006"/>
    <w:lvl w:ilvl="0" w:tentative="0">
      <w:start w:val="1"/>
      <w:numFmt w:val="decimal"/>
      <w:suff w:val="nothing"/>
      <w:lvlText w:val="9.%1 "/>
      <w:lvlJc w:val="left"/>
      <w:pPr>
        <w:tabs>
          <w:tab w:val="left" w:pos="0"/>
        </w:tabs>
        <w:ind w:firstLine="40"/>
      </w:pPr>
      <w:rPr>
        <w:rFonts w:hint="default" w:ascii="宋体" w:hAnsi="宋体" w:eastAsia="宋体"/>
      </w:rPr>
    </w:lvl>
  </w:abstractNum>
  <w:abstractNum w:abstractNumId="20">
    <w:nsid w:val="00000007"/>
    <w:multiLevelType w:val="singleLevel"/>
    <w:tmpl w:val="00000007"/>
    <w:lvl w:ilvl="0" w:tentative="0">
      <w:start w:val="1"/>
      <w:numFmt w:val="decimalEnclosedCircleChinese"/>
      <w:suff w:val="nothing"/>
      <w:lvlText w:val="%1　"/>
      <w:lvlJc w:val="left"/>
      <w:pPr>
        <w:ind w:firstLine="397"/>
      </w:pPr>
      <w:rPr>
        <w:rFonts w:hint="eastAsia"/>
      </w:rPr>
    </w:lvl>
  </w:abstractNum>
  <w:abstractNum w:abstractNumId="21">
    <w:nsid w:val="00000008"/>
    <w:multiLevelType w:val="singleLevel"/>
    <w:tmpl w:val="00000008"/>
    <w:lvl w:ilvl="0" w:tentative="0">
      <w:start w:val="1"/>
      <w:numFmt w:val="decimalEnclosedCircleChinese"/>
      <w:suff w:val="nothing"/>
      <w:lvlText w:val="%1　"/>
      <w:lvlJc w:val="left"/>
      <w:pPr>
        <w:ind w:firstLine="397"/>
      </w:pPr>
      <w:rPr>
        <w:rFonts w:hint="eastAsia"/>
      </w:rPr>
    </w:lvl>
  </w:abstractNum>
  <w:abstractNum w:abstractNumId="22">
    <w:nsid w:val="00000009"/>
    <w:multiLevelType w:val="singleLevel"/>
    <w:tmpl w:val="00000009"/>
    <w:lvl w:ilvl="0" w:tentative="0">
      <w:start w:val="1"/>
      <w:numFmt w:val="decimalEnclosedCircleChinese"/>
      <w:suff w:val="nothing"/>
      <w:lvlText w:val="%1　"/>
      <w:lvlJc w:val="left"/>
      <w:pPr>
        <w:ind w:firstLine="1134"/>
      </w:pPr>
      <w:rPr>
        <w:rFonts w:hint="eastAsia"/>
      </w:rPr>
    </w:lvl>
  </w:abstractNum>
  <w:abstractNum w:abstractNumId="23">
    <w:nsid w:val="0000000A"/>
    <w:multiLevelType w:val="singleLevel"/>
    <w:tmpl w:val="0000000A"/>
    <w:lvl w:ilvl="0" w:tentative="0">
      <w:start w:val="4"/>
      <w:numFmt w:val="chineseCounting"/>
      <w:suff w:val="nothing"/>
      <w:lvlText w:val="%1、"/>
      <w:lvlJc w:val="left"/>
      <w:rPr>
        <w:rFonts w:hint="eastAsia"/>
      </w:rPr>
    </w:lvl>
  </w:abstractNum>
  <w:abstractNum w:abstractNumId="24">
    <w:nsid w:val="0000000C"/>
    <w:multiLevelType w:val="multilevel"/>
    <w:tmpl w:val="0000000C"/>
    <w:lvl w:ilvl="0" w:tentative="0">
      <w:start w:val="1"/>
      <w:numFmt w:val="upperLetter"/>
      <w:pStyle w:val="6"/>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25">
    <w:nsid w:val="0000000D"/>
    <w:multiLevelType w:val="singleLevel"/>
    <w:tmpl w:val="0000000D"/>
    <w:lvl w:ilvl="0" w:tentative="0">
      <w:start w:val="1"/>
      <w:numFmt w:val="decimalEnclosedCircleChinese"/>
      <w:suff w:val="nothing"/>
      <w:lvlText w:val="%1　"/>
      <w:lvlJc w:val="left"/>
      <w:pPr>
        <w:ind w:firstLine="1134"/>
      </w:pPr>
      <w:rPr>
        <w:rFonts w:hint="eastAsia"/>
      </w:rPr>
    </w:lvl>
  </w:abstractNum>
  <w:abstractNum w:abstractNumId="26">
    <w:nsid w:val="0000000E"/>
    <w:multiLevelType w:val="singleLevel"/>
    <w:tmpl w:val="0000000E"/>
    <w:lvl w:ilvl="0" w:tentative="0">
      <w:start w:val="1"/>
      <w:numFmt w:val="decimal"/>
      <w:suff w:val="nothing"/>
      <w:lvlText w:val="%1．"/>
      <w:lvlJc w:val="left"/>
      <w:pPr>
        <w:ind w:firstLine="397"/>
      </w:pPr>
      <w:rPr>
        <w:rFonts w:hint="default"/>
      </w:rPr>
    </w:lvl>
  </w:abstractNum>
  <w:abstractNum w:abstractNumId="27">
    <w:nsid w:val="0000000F"/>
    <w:multiLevelType w:val="singleLevel"/>
    <w:tmpl w:val="0000000F"/>
    <w:lvl w:ilvl="0" w:tentative="0">
      <w:start w:val="1"/>
      <w:numFmt w:val="decimal"/>
      <w:suff w:val="nothing"/>
      <w:lvlText w:val="%1．"/>
      <w:lvlJc w:val="left"/>
      <w:pPr>
        <w:ind w:firstLine="397"/>
      </w:pPr>
      <w:rPr>
        <w:rFonts w:hint="default"/>
      </w:rPr>
    </w:lvl>
  </w:abstractNum>
  <w:abstractNum w:abstractNumId="28">
    <w:nsid w:val="13B249F2"/>
    <w:multiLevelType w:val="singleLevel"/>
    <w:tmpl w:val="13B249F2"/>
    <w:lvl w:ilvl="0" w:tentative="0">
      <w:start w:val="1"/>
      <w:numFmt w:val="chineseCounting"/>
      <w:suff w:val="nothing"/>
      <w:lvlText w:val="（%1）"/>
      <w:lvlJc w:val="left"/>
      <w:pPr>
        <w:ind w:left="0" w:firstLine="420"/>
      </w:pPr>
      <w:rPr>
        <w:rFonts w:hint="eastAsia"/>
      </w:rPr>
    </w:lvl>
  </w:abstractNum>
  <w:abstractNum w:abstractNumId="29">
    <w:nsid w:val="1AB7248E"/>
    <w:multiLevelType w:val="singleLevel"/>
    <w:tmpl w:val="1AB7248E"/>
    <w:lvl w:ilvl="0" w:tentative="0">
      <w:start w:val="2"/>
      <w:numFmt w:val="decimal"/>
      <w:suff w:val="nothing"/>
      <w:lvlText w:val="%1、"/>
      <w:lvlJc w:val="left"/>
    </w:lvl>
  </w:abstractNum>
  <w:abstractNum w:abstractNumId="30">
    <w:nsid w:val="43F94463"/>
    <w:multiLevelType w:val="singleLevel"/>
    <w:tmpl w:val="43F94463"/>
    <w:lvl w:ilvl="0" w:tentative="0">
      <w:start w:val="1"/>
      <w:numFmt w:val="decimalEnclosedCircleChinese"/>
      <w:suff w:val="nothing"/>
      <w:lvlText w:val="%1　"/>
      <w:lvlJc w:val="left"/>
      <w:pPr>
        <w:ind w:left="0" w:firstLine="1134"/>
      </w:pPr>
      <w:rPr>
        <w:rFonts w:hint="eastAsia"/>
      </w:rPr>
    </w:lvl>
  </w:abstractNum>
  <w:abstractNum w:abstractNumId="31">
    <w:nsid w:val="58C6609E"/>
    <w:multiLevelType w:val="singleLevel"/>
    <w:tmpl w:val="58C6609E"/>
    <w:lvl w:ilvl="0" w:tentative="0">
      <w:start w:val="1"/>
      <w:numFmt w:val="chineseCounting"/>
      <w:suff w:val="nothing"/>
      <w:lvlText w:val="%1、"/>
      <w:lvlJc w:val="left"/>
    </w:lvl>
  </w:abstractNum>
  <w:abstractNum w:abstractNumId="32">
    <w:nsid w:val="617545D5"/>
    <w:multiLevelType w:val="singleLevel"/>
    <w:tmpl w:val="617545D5"/>
    <w:lvl w:ilvl="0" w:tentative="0">
      <w:start w:val="1"/>
      <w:numFmt w:val="decimal"/>
      <w:suff w:val="nothing"/>
      <w:lvlText w:val="%1、"/>
      <w:lvlJc w:val="left"/>
    </w:lvl>
  </w:abstractNum>
  <w:abstractNum w:abstractNumId="33">
    <w:nsid w:val="7032D3C2"/>
    <w:multiLevelType w:val="singleLevel"/>
    <w:tmpl w:val="7032D3C2"/>
    <w:lvl w:ilvl="0" w:tentative="0">
      <w:start w:val="1"/>
      <w:numFmt w:val="decimalEnclosedCircleChinese"/>
      <w:suff w:val="nothing"/>
      <w:lvlText w:val="%1  "/>
      <w:lvlJc w:val="left"/>
      <w:pPr>
        <w:ind w:left="0" w:firstLine="397"/>
      </w:pPr>
      <w:rPr>
        <w:rFonts w:hint="eastAsia"/>
      </w:rPr>
    </w:lvl>
  </w:abstractNum>
  <w:abstractNum w:abstractNumId="34">
    <w:nsid w:val="770E99D4"/>
    <w:multiLevelType w:val="singleLevel"/>
    <w:tmpl w:val="770E99D4"/>
    <w:lvl w:ilvl="0" w:tentative="0">
      <w:start w:val="1"/>
      <w:numFmt w:val="decimalEnclosedCircleChinese"/>
      <w:suff w:val="nothing"/>
      <w:lvlText w:val="%1　"/>
      <w:lvlJc w:val="left"/>
      <w:pPr>
        <w:ind w:left="420" w:firstLine="400"/>
      </w:pPr>
      <w:rPr>
        <w:rFonts w:hint="eastAsia"/>
      </w:rPr>
    </w:lvl>
  </w:abstractNum>
  <w:abstractNum w:abstractNumId="35">
    <w:nsid w:val="7EE2119D"/>
    <w:multiLevelType w:val="singleLevel"/>
    <w:tmpl w:val="7EE2119D"/>
    <w:lvl w:ilvl="0" w:tentative="0">
      <w:start w:val="1"/>
      <w:numFmt w:val="decimal"/>
      <w:suff w:val="nothing"/>
      <w:lvlText w:val="%1."/>
      <w:lvlJc w:val="left"/>
      <w:pPr>
        <w:ind w:left="425" w:hanging="425"/>
      </w:pPr>
      <w:rPr>
        <w:rFonts w:hint="default"/>
      </w:rPr>
    </w:lvl>
  </w:abstractNum>
  <w:num w:numId="1">
    <w:abstractNumId w:val="24"/>
  </w:num>
  <w:num w:numId="2">
    <w:abstractNumId w:val="4"/>
  </w:num>
  <w:num w:numId="3">
    <w:abstractNumId w:val="17"/>
  </w:num>
  <w:num w:numId="4">
    <w:abstractNumId w:val="26"/>
  </w:num>
  <w:num w:numId="5">
    <w:abstractNumId w:val="20"/>
  </w:num>
  <w:num w:numId="6">
    <w:abstractNumId w:val="27"/>
  </w:num>
  <w:num w:numId="7">
    <w:abstractNumId w:val="21"/>
  </w:num>
  <w:num w:numId="8">
    <w:abstractNumId w:val="18"/>
  </w:num>
  <w:num w:numId="9">
    <w:abstractNumId w:val="19"/>
  </w:num>
  <w:num w:numId="10">
    <w:abstractNumId w:val="25"/>
  </w:num>
  <w:num w:numId="11">
    <w:abstractNumId w:val="30"/>
  </w:num>
  <w:num w:numId="12">
    <w:abstractNumId w:val="16"/>
  </w:num>
  <w:num w:numId="13">
    <w:abstractNumId w:val="14"/>
  </w:num>
  <w:num w:numId="14">
    <w:abstractNumId w:val="22"/>
  </w:num>
  <w:num w:numId="15">
    <w:abstractNumId w:val="33"/>
  </w:num>
  <w:num w:numId="16">
    <w:abstractNumId w:val="29"/>
  </w:num>
  <w:num w:numId="17">
    <w:abstractNumId w:val="3"/>
  </w:num>
  <w:num w:numId="18">
    <w:abstractNumId w:val="6"/>
  </w:num>
  <w:num w:numId="19">
    <w:abstractNumId w:val="32"/>
  </w:num>
  <w:num w:numId="20">
    <w:abstractNumId w:val="15"/>
  </w:num>
  <w:num w:numId="21">
    <w:abstractNumId w:val="23"/>
  </w:num>
  <w:num w:numId="22">
    <w:abstractNumId w:val="31"/>
  </w:num>
  <w:num w:numId="23">
    <w:abstractNumId w:val="5"/>
  </w:num>
  <w:num w:numId="24">
    <w:abstractNumId w:val="12"/>
  </w:num>
  <w:num w:numId="25">
    <w:abstractNumId w:val="35"/>
  </w:num>
  <w:num w:numId="26">
    <w:abstractNumId w:val="1"/>
  </w:num>
  <w:num w:numId="27">
    <w:abstractNumId w:val="0"/>
  </w:num>
  <w:num w:numId="28">
    <w:abstractNumId w:val="13"/>
  </w:num>
  <w:num w:numId="29">
    <w:abstractNumId w:val="7"/>
  </w:num>
  <w:num w:numId="30">
    <w:abstractNumId w:val="28"/>
  </w:num>
  <w:num w:numId="31">
    <w:abstractNumId w:val="10"/>
  </w:num>
  <w:num w:numId="32">
    <w:abstractNumId w:val="9"/>
  </w:num>
  <w:num w:numId="33">
    <w:abstractNumId w:val="8"/>
  </w:num>
  <w:num w:numId="34">
    <w:abstractNumId w:val="2"/>
  </w:num>
  <w:num w:numId="35">
    <w:abstractNumId w:val="11"/>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revisionView w:markup="0"/>
  <w:trackRevisions w:val="1"/>
  <w:documentProtection w:enforcement="0"/>
  <w:defaultTabStop w:val="420"/>
  <w:doNotHyphenateCaps/>
  <w:drawingGridHorizontalSpacing w:val="10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0Yjc2MzdjMzNlOTYwYmU2MzlkZjg2MzRhMDA5MTgifQ=="/>
  </w:docVars>
  <w:rsids>
    <w:rsidRoot w:val="009238AE"/>
    <w:rsid w:val="00005CCA"/>
    <w:rsid w:val="000203FD"/>
    <w:rsid w:val="00024E8A"/>
    <w:rsid w:val="0006698C"/>
    <w:rsid w:val="0007016B"/>
    <w:rsid w:val="00085977"/>
    <w:rsid w:val="000A118A"/>
    <w:rsid w:val="000A79C7"/>
    <w:rsid w:val="000B3ED2"/>
    <w:rsid w:val="000E253D"/>
    <w:rsid w:val="00104083"/>
    <w:rsid w:val="0011189F"/>
    <w:rsid w:val="0015334C"/>
    <w:rsid w:val="00155EC9"/>
    <w:rsid w:val="00162F4F"/>
    <w:rsid w:val="001B53CA"/>
    <w:rsid w:val="001C462B"/>
    <w:rsid w:val="0020596C"/>
    <w:rsid w:val="00241844"/>
    <w:rsid w:val="0028336A"/>
    <w:rsid w:val="00284BAC"/>
    <w:rsid w:val="002C77B0"/>
    <w:rsid w:val="002D0F58"/>
    <w:rsid w:val="003027E9"/>
    <w:rsid w:val="00303700"/>
    <w:rsid w:val="0032770A"/>
    <w:rsid w:val="003410EC"/>
    <w:rsid w:val="00370C7E"/>
    <w:rsid w:val="003A688A"/>
    <w:rsid w:val="003B0FBD"/>
    <w:rsid w:val="003E654D"/>
    <w:rsid w:val="00421375"/>
    <w:rsid w:val="00440364"/>
    <w:rsid w:val="00444CA1"/>
    <w:rsid w:val="0044577A"/>
    <w:rsid w:val="00451447"/>
    <w:rsid w:val="004762C8"/>
    <w:rsid w:val="0047670C"/>
    <w:rsid w:val="0048177D"/>
    <w:rsid w:val="004E31A0"/>
    <w:rsid w:val="004F00E1"/>
    <w:rsid w:val="004F5BEC"/>
    <w:rsid w:val="00505860"/>
    <w:rsid w:val="00515DC6"/>
    <w:rsid w:val="00521AD2"/>
    <w:rsid w:val="005672F4"/>
    <w:rsid w:val="005A38CC"/>
    <w:rsid w:val="005B4B0B"/>
    <w:rsid w:val="005C4CFE"/>
    <w:rsid w:val="005C7898"/>
    <w:rsid w:val="00637E3F"/>
    <w:rsid w:val="00664F5E"/>
    <w:rsid w:val="00697B9C"/>
    <w:rsid w:val="006D79B5"/>
    <w:rsid w:val="00702E43"/>
    <w:rsid w:val="00705638"/>
    <w:rsid w:val="00715EF9"/>
    <w:rsid w:val="00716322"/>
    <w:rsid w:val="00723887"/>
    <w:rsid w:val="007455BE"/>
    <w:rsid w:val="00754D5C"/>
    <w:rsid w:val="0078092C"/>
    <w:rsid w:val="00796F9A"/>
    <w:rsid w:val="007B2EAC"/>
    <w:rsid w:val="007B3B5A"/>
    <w:rsid w:val="007D144C"/>
    <w:rsid w:val="00802745"/>
    <w:rsid w:val="00845C29"/>
    <w:rsid w:val="008578AA"/>
    <w:rsid w:val="00867CCF"/>
    <w:rsid w:val="00873316"/>
    <w:rsid w:val="0087730C"/>
    <w:rsid w:val="0088699A"/>
    <w:rsid w:val="008B3887"/>
    <w:rsid w:val="008C5044"/>
    <w:rsid w:val="008C72CC"/>
    <w:rsid w:val="008E34EF"/>
    <w:rsid w:val="009050C0"/>
    <w:rsid w:val="009238AE"/>
    <w:rsid w:val="009443F5"/>
    <w:rsid w:val="00981653"/>
    <w:rsid w:val="00994F88"/>
    <w:rsid w:val="009D13B3"/>
    <w:rsid w:val="009E2834"/>
    <w:rsid w:val="00A1456B"/>
    <w:rsid w:val="00A15D82"/>
    <w:rsid w:val="00A230E7"/>
    <w:rsid w:val="00A56072"/>
    <w:rsid w:val="00A82D20"/>
    <w:rsid w:val="00A830A7"/>
    <w:rsid w:val="00A87EB2"/>
    <w:rsid w:val="00A97C7C"/>
    <w:rsid w:val="00AC29B4"/>
    <w:rsid w:val="00AE4A15"/>
    <w:rsid w:val="00B023F7"/>
    <w:rsid w:val="00B07915"/>
    <w:rsid w:val="00B248A9"/>
    <w:rsid w:val="00B2593F"/>
    <w:rsid w:val="00B7326F"/>
    <w:rsid w:val="00BD7BC2"/>
    <w:rsid w:val="00BF24EF"/>
    <w:rsid w:val="00BF782E"/>
    <w:rsid w:val="00C071E7"/>
    <w:rsid w:val="00C53929"/>
    <w:rsid w:val="00C62746"/>
    <w:rsid w:val="00C665DD"/>
    <w:rsid w:val="00C66A5A"/>
    <w:rsid w:val="00C82A9E"/>
    <w:rsid w:val="00C93B35"/>
    <w:rsid w:val="00CA05DC"/>
    <w:rsid w:val="00CA116E"/>
    <w:rsid w:val="00CB6D03"/>
    <w:rsid w:val="00CD0983"/>
    <w:rsid w:val="00D1074B"/>
    <w:rsid w:val="00D1598B"/>
    <w:rsid w:val="00D32FE0"/>
    <w:rsid w:val="00D40FE2"/>
    <w:rsid w:val="00D84DC1"/>
    <w:rsid w:val="00DA33C7"/>
    <w:rsid w:val="00DD2C96"/>
    <w:rsid w:val="00DD70BA"/>
    <w:rsid w:val="00DF7FAD"/>
    <w:rsid w:val="00E17F8F"/>
    <w:rsid w:val="00E759DE"/>
    <w:rsid w:val="00E8363E"/>
    <w:rsid w:val="00E863FE"/>
    <w:rsid w:val="00E877D2"/>
    <w:rsid w:val="00EA0CE7"/>
    <w:rsid w:val="00EF3768"/>
    <w:rsid w:val="00F031A7"/>
    <w:rsid w:val="00F11E73"/>
    <w:rsid w:val="00F37C15"/>
    <w:rsid w:val="00F40FD7"/>
    <w:rsid w:val="00F41FDC"/>
    <w:rsid w:val="00F66B7B"/>
    <w:rsid w:val="012D1043"/>
    <w:rsid w:val="040218DF"/>
    <w:rsid w:val="04932222"/>
    <w:rsid w:val="058D5735"/>
    <w:rsid w:val="074D7E59"/>
    <w:rsid w:val="0750564C"/>
    <w:rsid w:val="076A3D53"/>
    <w:rsid w:val="07D07BCF"/>
    <w:rsid w:val="084D079F"/>
    <w:rsid w:val="0857273B"/>
    <w:rsid w:val="093A1985"/>
    <w:rsid w:val="095C7F3B"/>
    <w:rsid w:val="09EB38DB"/>
    <w:rsid w:val="0A785CAB"/>
    <w:rsid w:val="0A7D68CB"/>
    <w:rsid w:val="0AED4CFD"/>
    <w:rsid w:val="0C5F0057"/>
    <w:rsid w:val="0C947E70"/>
    <w:rsid w:val="10345524"/>
    <w:rsid w:val="10DA3734"/>
    <w:rsid w:val="10E93D4E"/>
    <w:rsid w:val="11610104"/>
    <w:rsid w:val="11A752F3"/>
    <w:rsid w:val="12136E27"/>
    <w:rsid w:val="12F820F0"/>
    <w:rsid w:val="134F021D"/>
    <w:rsid w:val="13A55A1C"/>
    <w:rsid w:val="15246428"/>
    <w:rsid w:val="153638BB"/>
    <w:rsid w:val="15855928"/>
    <w:rsid w:val="15E16D29"/>
    <w:rsid w:val="163A0A31"/>
    <w:rsid w:val="177E0A01"/>
    <w:rsid w:val="178076FA"/>
    <w:rsid w:val="18C67DBA"/>
    <w:rsid w:val="19304397"/>
    <w:rsid w:val="19697EAD"/>
    <w:rsid w:val="19A412F3"/>
    <w:rsid w:val="19AC7D2F"/>
    <w:rsid w:val="19D246EC"/>
    <w:rsid w:val="19E21BAE"/>
    <w:rsid w:val="19FB0881"/>
    <w:rsid w:val="1B3277E5"/>
    <w:rsid w:val="1C220782"/>
    <w:rsid w:val="1C527621"/>
    <w:rsid w:val="1CE77446"/>
    <w:rsid w:val="1D9D670D"/>
    <w:rsid w:val="1E256A0D"/>
    <w:rsid w:val="1E6B472F"/>
    <w:rsid w:val="1EC154C0"/>
    <w:rsid w:val="1F430527"/>
    <w:rsid w:val="21D52DE3"/>
    <w:rsid w:val="22237002"/>
    <w:rsid w:val="23434D46"/>
    <w:rsid w:val="242A0B1C"/>
    <w:rsid w:val="24B77ED6"/>
    <w:rsid w:val="27062E70"/>
    <w:rsid w:val="2A4E5C47"/>
    <w:rsid w:val="2AA25646"/>
    <w:rsid w:val="2BA8213A"/>
    <w:rsid w:val="2BAD08B5"/>
    <w:rsid w:val="2C163734"/>
    <w:rsid w:val="2C38632B"/>
    <w:rsid w:val="2D6649A5"/>
    <w:rsid w:val="2EBD0E37"/>
    <w:rsid w:val="2F17377A"/>
    <w:rsid w:val="2F1E5313"/>
    <w:rsid w:val="2FAB58C1"/>
    <w:rsid w:val="308F1C52"/>
    <w:rsid w:val="31207262"/>
    <w:rsid w:val="327505AE"/>
    <w:rsid w:val="33546F1C"/>
    <w:rsid w:val="335608C6"/>
    <w:rsid w:val="34907349"/>
    <w:rsid w:val="36E37651"/>
    <w:rsid w:val="37FE3BB5"/>
    <w:rsid w:val="39463128"/>
    <w:rsid w:val="395843EC"/>
    <w:rsid w:val="3A4257C1"/>
    <w:rsid w:val="3A7022ED"/>
    <w:rsid w:val="3C0E3BCD"/>
    <w:rsid w:val="3E5F0BC8"/>
    <w:rsid w:val="3EF94CDF"/>
    <w:rsid w:val="3F0338BD"/>
    <w:rsid w:val="3F1921C0"/>
    <w:rsid w:val="3F6D089B"/>
    <w:rsid w:val="401D2662"/>
    <w:rsid w:val="408918AE"/>
    <w:rsid w:val="413C1A16"/>
    <w:rsid w:val="41E77D4E"/>
    <w:rsid w:val="427B2750"/>
    <w:rsid w:val="4293772E"/>
    <w:rsid w:val="42AE6605"/>
    <w:rsid w:val="43AE2740"/>
    <w:rsid w:val="44D86FCF"/>
    <w:rsid w:val="46AB2EEC"/>
    <w:rsid w:val="47463507"/>
    <w:rsid w:val="47B47B3D"/>
    <w:rsid w:val="4891224F"/>
    <w:rsid w:val="490E445B"/>
    <w:rsid w:val="491134DD"/>
    <w:rsid w:val="4B212CAE"/>
    <w:rsid w:val="4BC6475E"/>
    <w:rsid w:val="4C2F1992"/>
    <w:rsid w:val="4DDA5E53"/>
    <w:rsid w:val="4DFE185C"/>
    <w:rsid w:val="4F6E05EC"/>
    <w:rsid w:val="4FFC6C46"/>
    <w:rsid w:val="50316AFD"/>
    <w:rsid w:val="50611726"/>
    <w:rsid w:val="50E753FB"/>
    <w:rsid w:val="50F70163"/>
    <w:rsid w:val="512630B2"/>
    <w:rsid w:val="5139014B"/>
    <w:rsid w:val="514359C6"/>
    <w:rsid w:val="520E2829"/>
    <w:rsid w:val="524A0E47"/>
    <w:rsid w:val="539841AD"/>
    <w:rsid w:val="53BE6DFC"/>
    <w:rsid w:val="551C775D"/>
    <w:rsid w:val="555315B8"/>
    <w:rsid w:val="55A25EB5"/>
    <w:rsid w:val="560B7461"/>
    <w:rsid w:val="566C4D15"/>
    <w:rsid w:val="57ED39CE"/>
    <w:rsid w:val="5839498E"/>
    <w:rsid w:val="5A5E2E5F"/>
    <w:rsid w:val="5AB21CD6"/>
    <w:rsid w:val="5D582069"/>
    <w:rsid w:val="5FCA7075"/>
    <w:rsid w:val="60C76BAD"/>
    <w:rsid w:val="60FC3F92"/>
    <w:rsid w:val="6129252B"/>
    <w:rsid w:val="617032A7"/>
    <w:rsid w:val="62A766D6"/>
    <w:rsid w:val="63A24205"/>
    <w:rsid w:val="63F00A22"/>
    <w:rsid w:val="64C0117D"/>
    <w:rsid w:val="64D64FF8"/>
    <w:rsid w:val="655874CF"/>
    <w:rsid w:val="66402691"/>
    <w:rsid w:val="667D5043"/>
    <w:rsid w:val="66FF570B"/>
    <w:rsid w:val="670755B5"/>
    <w:rsid w:val="670D42A8"/>
    <w:rsid w:val="67270AFC"/>
    <w:rsid w:val="685327C0"/>
    <w:rsid w:val="6A740BDF"/>
    <w:rsid w:val="6AAE36B0"/>
    <w:rsid w:val="6AC12A02"/>
    <w:rsid w:val="6B480E55"/>
    <w:rsid w:val="6B551715"/>
    <w:rsid w:val="6D0D4676"/>
    <w:rsid w:val="6DFE6BFE"/>
    <w:rsid w:val="6E435AAD"/>
    <w:rsid w:val="71B81C2B"/>
    <w:rsid w:val="71DC40DB"/>
    <w:rsid w:val="72480C3E"/>
    <w:rsid w:val="72A723C4"/>
    <w:rsid w:val="72FF44EF"/>
    <w:rsid w:val="731410BE"/>
    <w:rsid w:val="739130AC"/>
    <w:rsid w:val="75B50E95"/>
    <w:rsid w:val="76C577E3"/>
    <w:rsid w:val="77EB2CC5"/>
    <w:rsid w:val="7835388F"/>
    <w:rsid w:val="79F15C6F"/>
    <w:rsid w:val="7AE83BB3"/>
    <w:rsid w:val="7B1C223C"/>
    <w:rsid w:val="7B835FAF"/>
    <w:rsid w:val="7BD34156"/>
    <w:rsid w:val="7BF65E02"/>
    <w:rsid w:val="7C2B5911"/>
    <w:rsid w:val="7C571B2F"/>
    <w:rsid w:val="7D0970D9"/>
    <w:rsid w:val="7D431C3D"/>
    <w:rsid w:val="7D8775BA"/>
    <w:rsid w:val="7DE06322"/>
    <w:rsid w:val="7E0A192A"/>
    <w:rsid w:val="7E512856"/>
    <w:rsid w:val="7EFE3F33"/>
    <w:rsid w:val="7FB0104A"/>
    <w:rsid w:val="7FB349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5">
    <w:name w:val="heading 1"/>
    <w:basedOn w:val="1"/>
    <w:next w:val="1"/>
    <w:link w:val="41"/>
    <w:autoRedefine/>
    <w:qFormat/>
    <w:uiPriority w:val="99"/>
    <w:pPr>
      <w:keepNext/>
      <w:keepLines/>
      <w:spacing w:line="576" w:lineRule="auto"/>
      <w:outlineLvl w:val="0"/>
    </w:pPr>
    <w:rPr>
      <w:rFonts w:ascii="Calibri" w:hAnsi="Calibri" w:eastAsia="宋体" w:cs="Calibri"/>
      <w:b/>
      <w:bCs/>
      <w:kern w:val="44"/>
      <w:sz w:val="44"/>
      <w:szCs w:val="44"/>
      <w:lang w:val="en-US" w:eastAsia="zh-CN" w:bidi="ar-SA"/>
    </w:rPr>
  </w:style>
  <w:style w:type="paragraph" w:styleId="2">
    <w:name w:val="heading 2"/>
    <w:basedOn w:val="1"/>
    <w:next w:val="3"/>
    <w:link w:val="42"/>
    <w:qFormat/>
    <w:uiPriority w:val="99"/>
    <w:pPr>
      <w:keepNext/>
      <w:spacing w:line="216" w:lineRule="auto"/>
      <w:outlineLvl w:val="1"/>
    </w:pPr>
    <w:rPr>
      <w:rFonts w:ascii="宋体" w:hAnsi="宋体" w:cs="宋体"/>
      <w:b/>
      <w:bCs/>
      <w:sz w:val="24"/>
      <w:szCs w:val="28"/>
    </w:rPr>
  </w:style>
  <w:style w:type="paragraph" w:styleId="6">
    <w:name w:val="heading 3"/>
    <w:basedOn w:val="1"/>
    <w:next w:val="1"/>
    <w:link w:val="43"/>
    <w:qFormat/>
    <w:uiPriority w:val="99"/>
    <w:pPr>
      <w:keepNext/>
      <w:numPr>
        <w:ilvl w:val="0"/>
        <w:numId w:val="1"/>
      </w:numPr>
      <w:spacing w:line="216" w:lineRule="auto"/>
      <w:outlineLvl w:val="2"/>
    </w:pPr>
    <w:rPr>
      <w:rFonts w:ascii="宋体" w:hAnsi="宋体" w:cs="宋体"/>
      <w:b/>
      <w:bCs/>
      <w:sz w:val="24"/>
      <w:szCs w:val="28"/>
    </w:rPr>
  </w:style>
  <w:style w:type="paragraph" w:styleId="7">
    <w:name w:val="heading 4"/>
    <w:next w:val="1"/>
    <w:autoRedefine/>
    <w:qFormat/>
    <w:uiPriority w:val="0"/>
    <w:pPr>
      <w:keepLines/>
      <w:autoSpaceDE w:val="0"/>
      <w:autoSpaceDN w:val="0"/>
      <w:adjustRightInd w:val="0"/>
      <w:textAlignment w:val="baseline"/>
      <w:outlineLvl w:val="3"/>
    </w:pPr>
    <w:rPr>
      <w:rFonts w:ascii="Times New Roman" w:hAnsi="Times New Roman" w:eastAsia="楷体_GB2312" w:cs="Times New Roman"/>
      <w:b/>
      <w:snapToGrid w:val="0"/>
      <w:sz w:val="24"/>
      <w:lang w:val="en-US" w:eastAsia="zh-CN" w:bidi="ar-SA"/>
    </w:rPr>
  </w:style>
  <w:style w:type="character" w:default="1" w:styleId="27">
    <w:name w:val="Default Paragraph Font"/>
    <w:autoRedefine/>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autoRedefine/>
    <w:qFormat/>
    <w:uiPriority w:val="0"/>
    <w:pPr>
      <w:ind w:firstLine="420"/>
    </w:pPr>
    <w:rPr>
      <w:rFonts w:ascii="Times New Roman" w:hAnsi="Times New Roman" w:eastAsia="宋体" w:cs="Times New Roman"/>
      <w:lang w:val="en-US" w:eastAsia="zh-CN" w:bidi="ar-SA"/>
    </w:rPr>
  </w:style>
  <w:style w:type="paragraph" w:styleId="4">
    <w:name w:val="toc 4"/>
    <w:basedOn w:val="1"/>
    <w:next w:val="1"/>
    <w:autoRedefine/>
    <w:qFormat/>
    <w:uiPriority w:val="39"/>
    <w:pPr>
      <w:ind w:left="1260" w:leftChars="600"/>
    </w:pPr>
    <w:rPr>
      <w:szCs w:val="24"/>
    </w:rPr>
  </w:style>
  <w:style w:type="paragraph" w:styleId="8">
    <w:name w:val="annotation text"/>
    <w:basedOn w:val="1"/>
    <w:qFormat/>
    <w:uiPriority w:val="0"/>
    <w:pPr>
      <w:adjustRightInd/>
      <w:jc w:val="left"/>
    </w:pPr>
  </w:style>
  <w:style w:type="paragraph" w:styleId="9">
    <w:name w:val="Body Text"/>
    <w:basedOn w:val="1"/>
    <w:next w:val="10"/>
    <w:link w:val="44"/>
    <w:autoRedefine/>
    <w:qFormat/>
    <w:uiPriority w:val="99"/>
    <w:rPr>
      <w:rFonts w:ascii="Times New Roman" w:hAnsi="Times New Roman" w:eastAsia="宋体" w:cs="Times New Roman"/>
      <w:lang w:val="en-US" w:eastAsia="zh-CN" w:bidi="ar-SA"/>
    </w:rPr>
  </w:style>
  <w:style w:type="paragraph" w:styleId="10">
    <w:name w:val="Body Text First Indent"/>
    <w:basedOn w:val="9"/>
    <w:next w:val="11"/>
    <w:link w:val="52"/>
    <w:autoRedefine/>
    <w:qFormat/>
    <w:uiPriority w:val="99"/>
    <w:pPr>
      <w:ind w:firstLine="420" w:firstLineChars="100"/>
    </w:pPr>
  </w:style>
  <w:style w:type="paragraph" w:styleId="11">
    <w:name w:val="toc 6"/>
    <w:basedOn w:val="1"/>
    <w:next w:val="1"/>
    <w:autoRedefine/>
    <w:qFormat/>
    <w:uiPriority w:val="0"/>
    <w:pPr>
      <w:ind w:left="2100" w:leftChars="1000"/>
    </w:pPr>
    <w:rPr>
      <w:kern w:val="2"/>
      <w:sz w:val="21"/>
      <w:szCs w:val="24"/>
    </w:rPr>
  </w:style>
  <w:style w:type="paragraph" w:styleId="12">
    <w:name w:val="Body Text Indent"/>
    <w:basedOn w:val="1"/>
    <w:next w:val="13"/>
    <w:link w:val="46"/>
    <w:autoRedefine/>
    <w:qFormat/>
    <w:uiPriority w:val="99"/>
    <w:pPr>
      <w:adjustRightInd w:val="0"/>
      <w:spacing w:line="360" w:lineRule="auto"/>
      <w:ind w:firstLine="490"/>
    </w:pPr>
    <w:rPr>
      <w:rFonts w:ascii="宋体" w:hAnsi="宋体" w:eastAsia="宋体" w:cs="宋体"/>
      <w:sz w:val="24"/>
      <w:szCs w:val="24"/>
      <w:lang w:val="en-US" w:eastAsia="zh-CN" w:bidi="ar-SA"/>
    </w:rPr>
  </w:style>
  <w:style w:type="paragraph" w:styleId="13">
    <w:name w:val="Body Text First Indent 2"/>
    <w:basedOn w:val="12"/>
    <w:next w:val="10"/>
    <w:qFormat/>
    <w:uiPriority w:val="0"/>
    <w:pPr>
      <w:ind w:firstLine="420"/>
    </w:pPr>
  </w:style>
  <w:style w:type="paragraph" w:styleId="14">
    <w:name w:val="toc 3"/>
    <w:next w:val="1"/>
    <w:qFormat/>
    <w:uiPriority w:val="99"/>
    <w:pPr>
      <w:ind w:left="840" w:leftChars="400"/>
    </w:pPr>
    <w:rPr>
      <w:rFonts w:ascii="Times New Roman" w:hAnsi="Times New Roman" w:eastAsia="宋体" w:cs="Times New Roman"/>
      <w:lang w:val="en-US" w:eastAsia="zh-CN" w:bidi="ar-SA"/>
    </w:rPr>
  </w:style>
  <w:style w:type="paragraph" w:styleId="15">
    <w:name w:val="Plain Text"/>
    <w:basedOn w:val="1"/>
    <w:next w:val="1"/>
    <w:link w:val="47"/>
    <w:autoRedefine/>
    <w:qFormat/>
    <w:uiPriority w:val="0"/>
    <w:rPr>
      <w:rFonts w:ascii="宋体" w:hAnsi="Courier New" w:eastAsia="宋体" w:cs="宋体"/>
      <w:lang w:val="en-US" w:eastAsia="zh-CN" w:bidi="ar-SA"/>
    </w:rPr>
  </w:style>
  <w:style w:type="paragraph" w:styleId="16">
    <w:name w:val="Date"/>
    <w:basedOn w:val="1"/>
    <w:next w:val="1"/>
    <w:link w:val="48"/>
    <w:autoRedefine/>
    <w:qFormat/>
    <w:uiPriority w:val="99"/>
    <w:pPr>
      <w:ind w:left="100" w:leftChars="2500"/>
    </w:pPr>
    <w:rPr>
      <w:rFonts w:ascii="宋体" w:hAnsi="宋体" w:eastAsia="宋体" w:cs="宋体"/>
      <w:color w:val="000000"/>
      <w:sz w:val="24"/>
      <w:szCs w:val="24"/>
      <w:lang w:val="en-US" w:eastAsia="zh-CN" w:bidi="ar-SA"/>
    </w:rPr>
  </w:style>
  <w:style w:type="paragraph" w:styleId="17">
    <w:name w:val="Balloon Text"/>
    <w:link w:val="49"/>
    <w:qFormat/>
    <w:uiPriority w:val="99"/>
    <w:rPr>
      <w:rFonts w:ascii="Times New Roman" w:hAnsi="Times New Roman" w:eastAsia="宋体" w:cs="Times New Roman"/>
      <w:sz w:val="18"/>
      <w:szCs w:val="18"/>
      <w:lang w:val="en-US" w:eastAsia="zh-CN" w:bidi="ar-SA"/>
    </w:rPr>
  </w:style>
  <w:style w:type="paragraph" w:styleId="18">
    <w:name w:val="footer"/>
    <w:basedOn w:val="1"/>
    <w:link w:val="50"/>
    <w:autoRedefine/>
    <w:qFormat/>
    <w:uiPriority w:val="99"/>
    <w:pPr>
      <w:tabs>
        <w:tab w:val="center" w:pos="4153"/>
        <w:tab w:val="right" w:pos="8306"/>
      </w:tabs>
      <w:snapToGrid w:val="0"/>
    </w:pPr>
    <w:rPr>
      <w:rFonts w:ascii="Times New Roman" w:hAnsi="Times New Roman" w:eastAsia="宋体" w:cs="Times New Roman"/>
      <w:sz w:val="18"/>
      <w:szCs w:val="18"/>
      <w:lang w:val="en-US" w:eastAsia="zh-CN" w:bidi="ar-SA"/>
    </w:rPr>
  </w:style>
  <w:style w:type="paragraph" w:styleId="19">
    <w:name w:val="header"/>
    <w:link w:val="51"/>
    <w:autoRedefine/>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hAnsi="Times New Roman" w:eastAsia="宋体" w:cs="宋体"/>
      <w:sz w:val="18"/>
      <w:szCs w:val="18"/>
      <w:lang w:val="en-US" w:eastAsia="zh-CN" w:bidi="ar-SA"/>
    </w:rPr>
  </w:style>
  <w:style w:type="paragraph" w:styleId="20">
    <w:name w:val="toc 1"/>
    <w:next w:val="1"/>
    <w:autoRedefine/>
    <w:qFormat/>
    <w:uiPriority w:val="99"/>
    <w:rPr>
      <w:rFonts w:ascii="Times New Roman" w:hAnsi="Times New Roman" w:eastAsia="宋体" w:cs="Times New Roman"/>
      <w:lang w:val="en-US" w:eastAsia="zh-CN" w:bidi="ar-SA"/>
    </w:rPr>
  </w:style>
  <w:style w:type="paragraph" w:styleId="21">
    <w:name w:val="Subtitle"/>
    <w:basedOn w:val="1"/>
    <w:next w:val="1"/>
    <w:link w:val="72"/>
    <w:autoRedefine/>
    <w:qFormat/>
    <w:uiPriority w:val="0"/>
    <w:pPr>
      <w:spacing w:before="240" w:after="60" w:line="312" w:lineRule="auto"/>
      <w:jc w:val="center"/>
      <w:outlineLvl w:val="1"/>
    </w:pPr>
    <w:rPr>
      <w:rFonts w:ascii="等线 Light" w:hAnsi="等线 Light"/>
      <w:b/>
      <w:bCs/>
      <w:snapToGrid w:val="0"/>
      <w:kern w:val="28"/>
      <w:sz w:val="32"/>
      <w:szCs w:val="32"/>
    </w:rPr>
  </w:style>
  <w:style w:type="paragraph" w:styleId="22">
    <w:name w:val="toc 2"/>
    <w:next w:val="1"/>
    <w:autoRedefine/>
    <w:qFormat/>
    <w:uiPriority w:val="99"/>
    <w:pPr>
      <w:ind w:left="420" w:leftChars="200"/>
    </w:pPr>
    <w:rPr>
      <w:rFonts w:ascii="Times New Roman" w:hAnsi="Times New Roman" w:eastAsia="宋体" w:cs="Times New Roman"/>
      <w:lang w:val="en-US" w:eastAsia="zh-CN" w:bidi="ar-SA"/>
    </w:rPr>
  </w:style>
  <w:style w:type="paragraph" w:styleId="23">
    <w:name w:val="Normal (Web)"/>
    <w:autoRedefine/>
    <w:qFormat/>
    <w:uiPriority w:val="99"/>
    <w:pPr>
      <w:spacing w:before="100" w:beforeAutospacing="1" w:after="100" w:afterAutospacing="1"/>
    </w:pPr>
    <w:rPr>
      <w:rFonts w:ascii="宋体" w:hAnsi="宋体" w:eastAsia="宋体" w:cs="宋体"/>
      <w:sz w:val="24"/>
      <w:szCs w:val="24"/>
      <w:lang w:val="en-US" w:eastAsia="zh-CN" w:bidi="ar-SA"/>
    </w:rPr>
  </w:style>
  <w:style w:type="paragraph" w:styleId="24">
    <w:name w:val="Title"/>
    <w:basedOn w:val="1"/>
    <w:qFormat/>
    <w:uiPriority w:val="0"/>
    <w:pPr>
      <w:widowControl/>
      <w:overflowPunct w:val="0"/>
      <w:autoSpaceDE w:val="0"/>
      <w:autoSpaceDN w:val="0"/>
      <w:adjustRightInd w:val="0"/>
      <w:jc w:val="center"/>
      <w:textAlignment w:val="baseline"/>
    </w:pPr>
    <w:rPr>
      <w:b/>
      <w:sz w:val="24"/>
      <w:lang w:val="en-GB"/>
    </w:rPr>
  </w:style>
  <w:style w:type="table" w:styleId="26">
    <w:name w:val="Table Grid"/>
    <w:basedOn w:val="25"/>
    <w:autoRedefine/>
    <w:qFormat/>
    <w:uiPriority w:val="39"/>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99"/>
    <w:rPr>
      <w:b/>
      <w:bCs/>
    </w:rPr>
  </w:style>
  <w:style w:type="character" w:styleId="29">
    <w:name w:val="page number"/>
    <w:basedOn w:val="27"/>
    <w:autoRedefine/>
    <w:qFormat/>
    <w:uiPriority w:val="99"/>
  </w:style>
  <w:style w:type="character" w:styleId="30">
    <w:name w:val="Hyperlink"/>
    <w:basedOn w:val="27"/>
    <w:autoRedefine/>
    <w:qFormat/>
    <w:uiPriority w:val="99"/>
    <w:rPr>
      <w:color w:val="0000FF"/>
      <w:u w:val="single"/>
    </w:rPr>
  </w:style>
  <w:style w:type="paragraph" w:customStyle="1" w:styleId="31">
    <w:name w:val="正文1"/>
    <w:next w:val="32"/>
    <w:qFormat/>
    <w:uiPriority w:val="99"/>
    <w:pPr>
      <w:snapToGrid w:val="0"/>
      <w:spacing w:line="500" w:lineRule="exact"/>
      <w:ind w:firstLine="567"/>
    </w:pPr>
    <w:rPr>
      <w:rFonts w:ascii="楷体_GB2312" w:hAnsi="Times New Roman" w:eastAsia="楷体_GB2312" w:cs="楷体_GB2312"/>
      <w:sz w:val="28"/>
      <w:szCs w:val="28"/>
      <w:lang w:val="en-US" w:eastAsia="zh-CN" w:bidi="ar-SA"/>
    </w:rPr>
  </w:style>
  <w:style w:type="paragraph" w:customStyle="1" w:styleId="32">
    <w:name w:val="自动更正"/>
    <w:next w:val="33"/>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3">
    <w:name w:val="xl39"/>
    <w:next w:val="34"/>
    <w:qFormat/>
    <w:uiPriority w:val="99"/>
    <w:pPr>
      <w:pBdr>
        <w:top w:val="single" w:color="auto" w:sz="4" w:space="0"/>
        <w:bottom w:val="single" w:color="auto" w:sz="4" w:space="0"/>
        <w:right w:val="single" w:color="auto" w:sz="4" w:space="0"/>
      </w:pBdr>
      <w:spacing w:before="100" w:after="100"/>
      <w:textAlignment w:val="center"/>
    </w:pPr>
    <w:rPr>
      <w:rFonts w:ascii="Times New Roman" w:hAnsi="Times New Roman" w:eastAsia="宋体" w:cs="Times New Roman"/>
      <w:lang w:val="en-US" w:eastAsia="zh-CN" w:bidi="ar-SA"/>
    </w:rPr>
  </w:style>
  <w:style w:type="paragraph" w:customStyle="1" w:styleId="34">
    <w:name w:val="分手多日，近况如何？"/>
    <w:autoRedefine/>
    <w:qFormat/>
    <w:uiPriority w:val="0"/>
    <w:pPr>
      <w:widowControl w:val="0"/>
      <w:jc w:val="both"/>
    </w:pPr>
    <w:rPr>
      <w:rFonts w:ascii="Times New Roman" w:hAnsi="Times New Roman" w:eastAsia="宋体" w:cs="Times New Roman"/>
      <w:sz w:val="21"/>
      <w:szCs w:val="21"/>
      <w:lang w:val="en-US" w:eastAsia="zh-CN" w:bidi="ar-SA"/>
    </w:rPr>
  </w:style>
  <w:style w:type="paragraph" w:styleId="35">
    <w:name w:val="List Paragraph"/>
    <w:basedOn w:val="1"/>
    <w:autoRedefine/>
    <w:qFormat/>
    <w:uiPriority w:val="99"/>
    <w:pPr>
      <w:ind w:firstLine="420" w:firstLineChars="200"/>
    </w:pPr>
  </w:style>
  <w:style w:type="paragraph" w:customStyle="1" w:styleId="36">
    <w:name w:val="xl53"/>
    <w:basedOn w:val="1"/>
    <w:next w:val="1"/>
    <w:autoRedefine/>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styleId="37">
    <w:name w:val="Quote"/>
    <w:basedOn w:val="1"/>
    <w:next w:val="1"/>
    <w:qFormat/>
    <w:uiPriority w:val="0"/>
    <w:pPr>
      <w:wordWrap w:val="0"/>
      <w:spacing w:before="200" w:after="160"/>
      <w:ind w:left="864" w:right="864"/>
      <w:jc w:val="center"/>
    </w:pPr>
    <w:rPr>
      <w:i/>
    </w:rPr>
  </w:style>
  <w:style w:type="paragraph" w:customStyle="1" w:styleId="38">
    <w:name w:val="Body Text First Indent1"/>
    <w:basedOn w:val="9"/>
    <w:qFormat/>
    <w:uiPriority w:val="0"/>
    <w:pPr>
      <w:tabs>
        <w:tab w:val="left" w:pos="1275"/>
      </w:tabs>
      <w:ind w:firstLine="420" w:firstLineChars="100"/>
    </w:pPr>
  </w:style>
  <w:style w:type="paragraph" w:customStyle="1" w:styleId="39">
    <w:name w:val="正文缩进1"/>
    <w:autoRedefine/>
    <w:qFormat/>
    <w:uiPriority w:val="0"/>
    <w:pPr>
      <w:ind w:firstLine="420" w:firstLineChars="200"/>
    </w:pPr>
    <w:rPr>
      <w:rFonts w:ascii="Times New Roman" w:hAnsi="Times New Roman" w:eastAsia="宋体" w:cs="Times New Roman"/>
      <w:lang w:val="en-US" w:eastAsia="zh-CN" w:bidi="ar-SA"/>
    </w:rPr>
  </w:style>
  <w:style w:type="paragraph" w:customStyle="1" w:styleId="40">
    <w:name w:val="表格文字"/>
    <w:next w:val="9"/>
    <w:autoRedefine/>
    <w:qFormat/>
    <w:uiPriority w:val="0"/>
    <w:pPr>
      <w:adjustRightInd w:val="0"/>
      <w:spacing w:line="420" w:lineRule="atLeast"/>
      <w:textAlignment w:val="baseline"/>
    </w:pPr>
    <w:rPr>
      <w:rFonts w:ascii="Times New Roman" w:hAnsi="Times New Roman" w:eastAsia="宋体" w:cs="Times New Roman"/>
      <w:lang w:val="en-US" w:eastAsia="zh-CN" w:bidi="ar-SA"/>
    </w:rPr>
  </w:style>
  <w:style w:type="character" w:customStyle="1" w:styleId="41">
    <w:name w:val="标题 1 字符"/>
    <w:basedOn w:val="27"/>
    <w:link w:val="5"/>
    <w:autoRedefine/>
    <w:qFormat/>
    <w:uiPriority w:val="99"/>
    <w:rPr>
      <w:b/>
      <w:bCs/>
      <w:kern w:val="44"/>
      <w:sz w:val="44"/>
      <w:szCs w:val="44"/>
    </w:rPr>
  </w:style>
  <w:style w:type="character" w:customStyle="1" w:styleId="42">
    <w:name w:val="标题 2 字符"/>
    <w:basedOn w:val="27"/>
    <w:link w:val="2"/>
    <w:qFormat/>
    <w:uiPriority w:val="99"/>
    <w:rPr>
      <w:rFonts w:ascii="宋体" w:hAnsi="宋体" w:eastAsia="宋体" w:cs="宋体"/>
      <w:b/>
      <w:bCs/>
      <w:kern w:val="2"/>
      <w:sz w:val="24"/>
      <w:szCs w:val="28"/>
    </w:rPr>
  </w:style>
  <w:style w:type="character" w:customStyle="1" w:styleId="43">
    <w:name w:val="标题 3 字符"/>
    <w:basedOn w:val="27"/>
    <w:link w:val="6"/>
    <w:autoRedefine/>
    <w:qFormat/>
    <w:uiPriority w:val="99"/>
    <w:rPr>
      <w:rFonts w:ascii="宋体" w:hAnsi="宋体" w:eastAsia="宋体" w:cs="宋体"/>
      <w:b/>
      <w:bCs/>
      <w:kern w:val="2"/>
      <w:sz w:val="24"/>
      <w:szCs w:val="28"/>
    </w:rPr>
  </w:style>
  <w:style w:type="character" w:customStyle="1" w:styleId="44">
    <w:name w:val="正文文本 字符"/>
    <w:basedOn w:val="27"/>
    <w:link w:val="9"/>
    <w:qFormat/>
    <w:uiPriority w:val="99"/>
    <w:rPr>
      <w:rFonts w:ascii="Times New Roman" w:hAnsi="Times New Roman"/>
      <w:szCs w:val="21"/>
    </w:rPr>
  </w:style>
  <w:style w:type="paragraph" w:customStyle="1" w:styleId="45">
    <w:name w:val="样式 表格正文 + 两端对齐"/>
    <w:next w:val="31"/>
    <w:qFormat/>
    <w:uiPriority w:val="99"/>
    <w:pPr>
      <w:spacing w:line="300" w:lineRule="auto"/>
    </w:pPr>
    <w:rPr>
      <w:rFonts w:ascii="Times New Roman" w:hAnsi="Times New Roman" w:eastAsia="宋体" w:cs="Times New Roman"/>
      <w:sz w:val="24"/>
      <w:szCs w:val="24"/>
      <w:lang w:val="en-US" w:eastAsia="zh-CN" w:bidi="ar-SA"/>
    </w:rPr>
  </w:style>
  <w:style w:type="character" w:customStyle="1" w:styleId="46">
    <w:name w:val="正文文本缩进 字符"/>
    <w:basedOn w:val="27"/>
    <w:link w:val="12"/>
    <w:autoRedefine/>
    <w:qFormat/>
    <w:uiPriority w:val="99"/>
    <w:rPr>
      <w:rFonts w:ascii="Times New Roman" w:hAnsi="Times New Roman"/>
      <w:szCs w:val="21"/>
    </w:rPr>
  </w:style>
  <w:style w:type="character" w:customStyle="1" w:styleId="47">
    <w:name w:val="纯文本 字符"/>
    <w:basedOn w:val="27"/>
    <w:link w:val="15"/>
    <w:qFormat/>
    <w:uiPriority w:val="99"/>
    <w:rPr>
      <w:rFonts w:ascii="宋体" w:hAnsi="Courier New" w:cs="Courier New"/>
      <w:szCs w:val="21"/>
    </w:rPr>
  </w:style>
  <w:style w:type="character" w:customStyle="1" w:styleId="48">
    <w:name w:val="日期 字符"/>
    <w:basedOn w:val="27"/>
    <w:link w:val="16"/>
    <w:qFormat/>
    <w:uiPriority w:val="99"/>
    <w:rPr>
      <w:rFonts w:ascii="Times New Roman" w:hAnsi="Times New Roman"/>
      <w:szCs w:val="21"/>
    </w:rPr>
  </w:style>
  <w:style w:type="character" w:customStyle="1" w:styleId="49">
    <w:name w:val="批注框文本 字符"/>
    <w:basedOn w:val="27"/>
    <w:link w:val="17"/>
    <w:qFormat/>
    <w:uiPriority w:val="99"/>
    <w:rPr>
      <w:kern w:val="2"/>
      <w:sz w:val="18"/>
      <w:szCs w:val="18"/>
    </w:rPr>
  </w:style>
  <w:style w:type="character" w:customStyle="1" w:styleId="50">
    <w:name w:val="页脚 字符"/>
    <w:basedOn w:val="27"/>
    <w:link w:val="18"/>
    <w:autoRedefine/>
    <w:qFormat/>
    <w:uiPriority w:val="99"/>
    <w:rPr>
      <w:rFonts w:ascii="Times New Roman" w:hAnsi="Times New Roman"/>
      <w:sz w:val="18"/>
      <w:szCs w:val="18"/>
    </w:rPr>
  </w:style>
  <w:style w:type="character" w:customStyle="1" w:styleId="51">
    <w:name w:val="页眉 字符"/>
    <w:basedOn w:val="27"/>
    <w:link w:val="19"/>
    <w:autoRedefine/>
    <w:qFormat/>
    <w:uiPriority w:val="99"/>
    <w:rPr>
      <w:rFonts w:ascii="Times New Roman" w:hAnsi="Times New Roman"/>
      <w:sz w:val="18"/>
      <w:szCs w:val="18"/>
    </w:rPr>
  </w:style>
  <w:style w:type="character" w:customStyle="1" w:styleId="52">
    <w:name w:val="正文文本首行缩进 字符"/>
    <w:basedOn w:val="44"/>
    <w:link w:val="10"/>
    <w:autoRedefine/>
    <w:qFormat/>
    <w:uiPriority w:val="99"/>
    <w:rPr>
      <w:rFonts w:ascii="Times New Roman" w:hAnsi="Times New Roman"/>
      <w:szCs w:val="21"/>
    </w:rPr>
  </w:style>
  <w:style w:type="paragraph" w:customStyle="1" w:styleId="53">
    <w:name w:val="正文2"/>
    <w:link w:val="75"/>
    <w:qFormat/>
    <w:uiPriority w:val="0"/>
    <w:pPr>
      <w:adjustRightInd w:val="0"/>
      <w:spacing w:before="156" w:line="360" w:lineRule="auto"/>
      <w:ind w:firstLine="510" w:firstLineChars="200"/>
    </w:pPr>
    <w:rPr>
      <w:rFonts w:ascii="Times New Roman" w:hAnsi="Times New Roman" w:eastAsia="宋体" w:cs="Times New Roman"/>
      <w:sz w:val="24"/>
      <w:szCs w:val="24"/>
      <w:lang w:val="en-US" w:eastAsia="zh-CN" w:bidi="ar-SA"/>
    </w:rPr>
  </w:style>
  <w:style w:type="paragraph" w:customStyle="1" w:styleId="54">
    <w:name w:val="List Paragraph1"/>
    <w:qFormat/>
    <w:uiPriority w:val="99"/>
    <w:pPr>
      <w:ind w:firstLine="420" w:firstLineChars="200"/>
    </w:pPr>
    <w:rPr>
      <w:rFonts w:ascii="Calibri" w:hAnsi="Calibri" w:eastAsia="宋体" w:cs="Calibri"/>
      <w:lang w:val="en-US" w:eastAsia="zh-CN" w:bidi="ar-SA"/>
    </w:rPr>
  </w:style>
  <w:style w:type="character" w:customStyle="1" w:styleId="55">
    <w:name w:val="style81"/>
    <w:autoRedefine/>
    <w:qFormat/>
    <w:uiPriority w:val="99"/>
    <w:rPr>
      <w:sz w:val="20"/>
      <w:szCs w:val="20"/>
    </w:rPr>
  </w:style>
  <w:style w:type="paragraph" w:customStyle="1" w:styleId="56">
    <w:name w:val="列出段落1"/>
    <w:qFormat/>
    <w:uiPriority w:val="99"/>
    <w:pPr>
      <w:ind w:firstLine="420"/>
    </w:pPr>
    <w:rPr>
      <w:rFonts w:ascii="Times New Roman" w:hAnsi="Times New Roman" w:eastAsia="宋体" w:cs="Times New Roman"/>
      <w:lang w:val="en-US" w:eastAsia="zh-CN" w:bidi="ar-SA"/>
    </w:rPr>
  </w:style>
  <w:style w:type="paragraph" w:customStyle="1" w:styleId="57">
    <w:name w:val="表格"/>
    <w:qFormat/>
    <w:uiPriority w:val="99"/>
    <w:pPr>
      <w:autoSpaceDE w:val="0"/>
      <w:autoSpaceDN w:val="0"/>
      <w:jc w:val="center"/>
      <w:textAlignment w:val="baseline"/>
    </w:pPr>
    <w:rPr>
      <w:rFonts w:ascii="Times New Roman" w:hAnsi="Times New Roman" w:eastAsia="宋体" w:cs="Times New Roman"/>
      <w:color w:val="000000"/>
      <w:lang w:val="en-US" w:eastAsia="zh-CN" w:bidi="ar-SA"/>
    </w:rPr>
  </w:style>
  <w:style w:type="character" w:customStyle="1" w:styleId="58">
    <w:name w:val="02 Char"/>
    <w:link w:val="59"/>
    <w:qFormat/>
    <w:uiPriority w:val="99"/>
    <w:rPr>
      <w:rFonts w:ascii="宋体" w:cs="宋体"/>
      <w:b/>
      <w:bCs/>
      <w:color w:val="FF0000"/>
      <w:kern w:val="2"/>
      <w:sz w:val="28"/>
      <w:szCs w:val="28"/>
    </w:rPr>
  </w:style>
  <w:style w:type="paragraph" w:customStyle="1" w:styleId="59">
    <w:name w:val="02"/>
    <w:basedOn w:val="2"/>
    <w:link w:val="58"/>
    <w:qFormat/>
    <w:uiPriority w:val="99"/>
    <w:pPr>
      <w:jc w:val="center"/>
    </w:pPr>
    <w:rPr>
      <w:color w:val="FF0000"/>
    </w:rPr>
  </w:style>
  <w:style w:type="character" w:customStyle="1" w:styleId="60">
    <w:name w:val="03 Char"/>
    <w:link w:val="61"/>
    <w:qFormat/>
    <w:uiPriority w:val="99"/>
    <w:rPr>
      <w:rFonts w:ascii="宋体" w:cs="宋体"/>
      <w:b/>
      <w:bCs/>
      <w:kern w:val="2"/>
      <w:sz w:val="28"/>
      <w:szCs w:val="28"/>
    </w:rPr>
  </w:style>
  <w:style w:type="paragraph" w:customStyle="1" w:styleId="61">
    <w:name w:val="03"/>
    <w:basedOn w:val="6"/>
    <w:link w:val="60"/>
    <w:qFormat/>
    <w:uiPriority w:val="99"/>
    <w:pPr>
      <w:numPr>
        <w:ilvl w:val="0"/>
        <w:numId w:val="0"/>
      </w:numPr>
    </w:pPr>
  </w:style>
  <w:style w:type="character" w:customStyle="1" w:styleId="62">
    <w:name w:val="宋体小四 Char"/>
    <w:link w:val="63"/>
    <w:qFormat/>
    <w:uiPriority w:val="99"/>
    <w:rPr>
      <w:rFonts w:ascii="宋体" w:eastAsia="宋体" w:cs="宋体"/>
      <w:kern w:val="2"/>
      <w:sz w:val="24"/>
      <w:szCs w:val="24"/>
    </w:rPr>
  </w:style>
  <w:style w:type="paragraph" w:customStyle="1" w:styleId="63">
    <w:name w:val="宋体小四"/>
    <w:link w:val="62"/>
    <w:qFormat/>
    <w:uiPriority w:val="99"/>
    <w:pPr>
      <w:spacing w:line="360" w:lineRule="auto"/>
      <w:ind w:firstLine="480" w:firstLineChars="200"/>
    </w:pPr>
    <w:rPr>
      <w:rFonts w:ascii="宋体" w:hAnsi="宋体" w:eastAsia="宋体" w:cs="宋体"/>
      <w:sz w:val="24"/>
      <w:szCs w:val="24"/>
      <w:lang w:val="en-US" w:eastAsia="zh-CN" w:bidi="ar-SA"/>
    </w:rPr>
  </w:style>
  <w:style w:type="character" w:customStyle="1" w:styleId="64">
    <w:name w:val="fontstyle01"/>
    <w:basedOn w:val="27"/>
    <w:qFormat/>
    <w:uiPriority w:val="99"/>
    <w:rPr>
      <w:rFonts w:ascii="宋体" w:eastAsia="宋体" w:cs="宋体"/>
      <w:color w:val="000000"/>
      <w:sz w:val="22"/>
      <w:szCs w:val="22"/>
    </w:rPr>
  </w:style>
  <w:style w:type="paragraph" w:customStyle="1" w:styleId="65">
    <w:name w:val="正文首行缩进2字符"/>
    <w:autoRedefine/>
    <w:qFormat/>
    <w:uiPriority w:val="99"/>
    <w:pPr>
      <w:spacing w:line="360" w:lineRule="auto"/>
      <w:ind w:firstLine="200" w:firstLineChars="200"/>
    </w:pPr>
    <w:rPr>
      <w:rFonts w:ascii="Times New Roman" w:hAnsi="Times New Roman" w:eastAsia="宋体" w:cs="Times New Roman"/>
      <w:lang w:val="en-US" w:eastAsia="zh-CN" w:bidi="ar-SA"/>
    </w:rPr>
  </w:style>
  <w:style w:type="paragraph" w:customStyle="1" w:styleId="66">
    <w:name w:val="居中表格内容标题"/>
    <w:basedOn w:val="67"/>
    <w:qFormat/>
    <w:uiPriority w:val="0"/>
    <w:pPr>
      <w:jc w:val="center"/>
    </w:pPr>
    <w:rPr>
      <w:b/>
    </w:rPr>
  </w:style>
  <w:style w:type="paragraph" w:customStyle="1" w:styleId="67">
    <w:name w:val="居中表格内容"/>
    <w:qFormat/>
    <w:uiPriority w:val="0"/>
    <w:rPr>
      <w:rFonts w:ascii="Times New Roman" w:hAnsi="Times New Roman" w:eastAsia="宋体" w:cs="Times New Roman"/>
      <w:szCs w:val="28"/>
      <w:lang w:val="en-US" w:eastAsia="zh-CN" w:bidi="ar-SA"/>
    </w:rPr>
  </w:style>
  <w:style w:type="paragraph" w:customStyle="1" w:styleId="68">
    <w:name w:val="列表段落1"/>
    <w:link w:val="69"/>
    <w:qFormat/>
    <w:uiPriority w:val="34"/>
    <w:pPr>
      <w:ind w:firstLine="420" w:firstLineChars="200"/>
    </w:pPr>
    <w:rPr>
      <w:rFonts w:ascii="Times New Roman" w:hAnsi="Times New Roman" w:eastAsia="宋体" w:cs="Times New Roman"/>
      <w:lang w:val="en-US" w:eastAsia="zh-CN" w:bidi="ar-SA"/>
    </w:rPr>
  </w:style>
  <w:style w:type="character" w:customStyle="1" w:styleId="69">
    <w:name w:val="列表段落 字符"/>
    <w:basedOn w:val="27"/>
    <w:link w:val="68"/>
    <w:qFormat/>
    <w:uiPriority w:val="34"/>
  </w:style>
  <w:style w:type="table" w:customStyle="1" w:styleId="70">
    <w:name w:val="网格型浅色1"/>
    <w:basedOn w:val="25"/>
    <w:autoRedefine/>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paragraph" w:customStyle="1" w:styleId="71">
    <w:name w:val="正文（首行缩进2字符）"/>
    <w:basedOn w:val="1"/>
    <w:qFormat/>
    <w:uiPriority w:val="0"/>
    <w:pPr>
      <w:spacing w:line="360" w:lineRule="auto"/>
      <w:ind w:firstLine="480" w:firstLineChars="200"/>
    </w:pPr>
    <w:rPr>
      <w:kern w:val="2"/>
      <w:sz w:val="24"/>
    </w:rPr>
  </w:style>
  <w:style w:type="character" w:customStyle="1" w:styleId="72">
    <w:name w:val="副标题 字符"/>
    <w:basedOn w:val="27"/>
    <w:link w:val="21"/>
    <w:qFormat/>
    <w:uiPriority w:val="0"/>
    <w:rPr>
      <w:rFonts w:ascii="等线 Light" w:hAnsi="等线 Light"/>
      <w:b/>
      <w:bCs/>
      <w:snapToGrid w:val="0"/>
      <w:kern w:val="28"/>
      <w:sz w:val="32"/>
      <w:szCs w:val="32"/>
    </w:rPr>
  </w:style>
  <w:style w:type="paragraph" w:customStyle="1" w:styleId="73">
    <w:name w:val="正文小四"/>
    <w:basedOn w:val="1"/>
    <w:qFormat/>
    <w:uiPriority w:val="0"/>
    <w:pPr>
      <w:widowControl/>
      <w:spacing w:line="360" w:lineRule="auto"/>
      <w:ind w:firstLine="200" w:firstLineChars="200"/>
      <w:jc w:val="left"/>
    </w:pPr>
    <w:rPr>
      <w:rFonts w:ascii="Calibri" w:hAnsi="Calibri" w:eastAsia="仿宋"/>
      <w:snapToGrid w:val="0"/>
      <w:sz w:val="24"/>
      <w:szCs w:val="21"/>
    </w:rPr>
  </w:style>
  <w:style w:type="paragraph" w:customStyle="1" w:styleId="74">
    <w:name w:val="样式x"/>
    <w:basedOn w:val="6"/>
    <w:qFormat/>
    <w:uiPriority w:val="0"/>
    <w:pPr>
      <w:widowControl w:val="0"/>
      <w:numPr>
        <w:numId w:val="0"/>
      </w:numPr>
      <w:ind w:left="1275" w:hanging="720"/>
      <w:jc w:val="both"/>
    </w:pPr>
    <w:rPr>
      <w:rFonts w:hAnsi="Times New Roman" w:eastAsia="仿宋" w:cs="Times New Roman"/>
      <w:bCs w:val="0"/>
      <w:snapToGrid w:val="0"/>
      <w:kern w:val="2"/>
      <w:szCs w:val="20"/>
    </w:rPr>
  </w:style>
  <w:style w:type="character" w:customStyle="1" w:styleId="75">
    <w:name w:val="正文2 Char Char"/>
    <w:link w:val="53"/>
    <w:qFormat/>
    <w:uiPriority w:val="0"/>
    <w:rPr>
      <w:sz w:val="24"/>
      <w:szCs w:val="24"/>
    </w:rPr>
  </w:style>
  <w:style w:type="paragraph" w:customStyle="1" w:styleId="76">
    <w:name w:val="WPSOffice手动目录 1"/>
    <w:qFormat/>
    <w:uiPriority w:val="0"/>
    <w:pPr>
      <w:ind w:leftChars="0"/>
    </w:pPr>
    <w:rPr>
      <w:rFonts w:ascii="Times New Roman" w:hAnsi="Times New Roman" w:eastAsia="宋体" w:cs="Times New Roman"/>
      <w:sz w:val="20"/>
      <w:szCs w:val="20"/>
    </w:rPr>
  </w:style>
  <w:style w:type="paragraph" w:customStyle="1" w:styleId="77">
    <w:name w:val="WPSOffice手动目录 2"/>
    <w:autoRedefine/>
    <w:qFormat/>
    <w:uiPriority w:val="0"/>
    <w:pPr>
      <w:ind w:leftChars="200"/>
    </w:pPr>
    <w:rPr>
      <w:rFonts w:ascii="Times New Roman" w:hAnsi="Times New Roman" w:eastAsia="宋体" w:cs="Times New Roman"/>
      <w:sz w:val="20"/>
      <w:szCs w:val="20"/>
    </w:rPr>
  </w:style>
  <w:style w:type="character" w:customStyle="1" w:styleId="78">
    <w:name w:val="NormalCharacter"/>
    <w:autoRedefine/>
    <w:qFormat/>
    <w:uiPriority w:val="0"/>
    <w:rPr>
      <w:rFonts w:ascii="Tahoma" w:hAnsi="Tahoma"/>
      <w:sz w:val="24"/>
      <w:szCs w:val="20"/>
    </w:rPr>
  </w:style>
  <w:style w:type="paragraph" w:customStyle="1" w:styleId="79">
    <w:name w:val="表格正文"/>
    <w:basedOn w:val="1"/>
    <w:qFormat/>
    <w:uiPriority w:val="0"/>
    <w:pPr>
      <w:spacing w:before="0" w:beforeLines="0" w:line="240" w:lineRule="auto"/>
      <w:ind w:firstLine="0" w:firstLineChars="0"/>
      <w:jc w:val="center"/>
    </w:pPr>
    <w:rPr>
      <w:sz w:val="21"/>
      <w:szCs w:val="24"/>
    </w:rPr>
  </w:style>
  <w:style w:type="table" w:customStyle="1" w:styleId="8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58</Pages>
  <Words>28123</Words>
  <Characters>29663</Characters>
  <Lines>243</Lines>
  <Paragraphs>68</Paragraphs>
  <TotalTime>1</TotalTime>
  <ScaleCrop>false</ScaleCrop>
  <LinksUpToDate>false</LinksUpToDate>
  <CharactersWithSpaces>31193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2021-11-22T08:07:00Z</dcterms:created>
  <dc:creator>陈圣楠</dc:creator>
  <cp:lastModifiedBy>hh</cp:lastModifiedBy>
  <cp:lastPrinted>2022-08-22T10:21:00Z</cp:lastPrinted>
  <dcterms:modified xsi:type="dcterms:W3CDTF">2024-05-11T07:31:05Z</dcterms:modified>
  <dc:title>浙江绍兴上虞人民调解服务标准化</dc:title>
  <cp:revision>388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16077D2567E0498093AFE41F44D6C502_13</vt:lpwstr>
  </property>
</Properties>
</file>