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000000" w:themeColor="text1"/>
          <w:sz w:val="36"/>
          <w:szCs w:val="44"/>
          <w14:textFill>
            <w14:solidFill>
              <w14:schemeClr w14:val="tx1"/>
            </w14:solidFill>
          </w14:textFill>
        </w:rPr>
      </w:pPr>
      <w:r>
        <w:rPr>
          <w:rFonts w:hint="eastAsia" w:ascii="宋体" w:hAnsi="宋体" w:cs="宋体"/>
          <w:b/>
          <w:bCs/>
          <w:color w:val="000000" w:themeColor="text1"/>
          <w:sz w:val="36"/>
          <w:szCs w:val="44"/>
          <w14:textFill>
            <w14:solidFill>
              <w14:schemeClr w14:val="tx1"/>
            </w14:solidFill>
          </w14:textFill>
        </w:rPr>
        <w:t>第三章 评标办法及评分标准</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一、采购组织机构将组织评标委员会，对投标人提供的投标文件进行综合评审。</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二、本次招标项目的评标方法为综合评分法，总计100分。</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（一）商务与技术文件中的客观分由评标委员会讨论后统一打分；其余在规定的分值内单独评定打分。</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商务与技术文件得分</w:t>
      </w:r>
      <w:r>
        <w:rPr>
          <w:rFonts w:hint="eastAsia" w:ascii="宋体" w:hAnsi="宋体" w:cs="宋体"/>
          <w:color w:val="000000" w:themeColor="text1"/>
          <w:sz w:val="24"/>
          <w:szCs w:val="32"/>
          <w:lang w:val="zh-CN"/>
          <w14:textFill>
            <w14:solidFill>
              <w14:schemeClr w14:val="tx1"/>
            </w14:solidFill>
          </w14:textFill>
        </w:rPr>
        <w:t>=评标委员会所有成员评分合计数/评标委员会组成人员数。</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color w:val="000000" w:themeColor="text1"/>
          <w:sz w:val="24"/>
          <w:szCs w:val="32"/>
          <w:u w:val="single"/>
          <w14:textFill>
            <w14:solidFill>
              <w14:schemeClr w14:val="tx1"/>
            </w14:solidFill>
          </w14:textFill>
        </w:rPr>
      </w:pPr>
      <w:r>
        <w:rPr>
          <w:rFonts w:hint="eastAsia" w:ascii="宋体" w:hAnsi="宋体" w:cs="宋体"/>
          <w:color w:val="000000" w:themeColor="text1"/>
          <w:sz w:val="24"/>
          <w:szCs w:val="32"/>
          <w:u w:val="single"/>
          <w14:textFill>
            <w14:solidFill>
              <w14:schemeClr w14:val="tx1"/>
            </w14:solidFill>
          </w14:textFill>
        </w:rPr>
        <w:t>投标报价得分=（评标基准价／投标报价）×20%×100 。</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（四）投标人综合得分＝资格证明文件、商务技术文件得分＋投标报价得分。</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（五）政府采购政策及优惠：</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投标文件中须同时出具《政府采购促进中小企业发展管理办法》【财库（2020）46号】规定的《中小企业声明函》，否则不得享受价格扣除。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本项目对符合规定的小微企业（含小型企业）报价给予10%的扣除。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（2）根据《关于政府采购支持监狱企业发展有关问题的通知》（财库[2014]68号）的规定，供应商如为监狱企业且所投产品为小型或微型企业生产的，其投标报价扣除10%后参与评审。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享受政府采购支持政策的残疾人福利性单位应当同时满足以下条件：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①安置的残疾人占本单位在职职工人数的比例不低于25%（含25%），并且安置的残疾人人数不少于10人（含10人）；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②依法与安置的每位残疾人签订了一年以上（含一年）的劳动合同或服务协议；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③为安置的每位残疾人按月足额缴纳了基本养老保险、基本医疗保险、失业保险、工伤保险和生育保险等社会保险费；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前款所称残疾人是指法定劳动年龄内，持有《中华人民共和国残疾人证》或者《中华人民共和国残疾军人证（1至8级）》的自然人，包括具有劳动条件和</w:t>
      </w:r>
      <w:r>
        <w:rPr>
          <w:rFonts w:hint="eastAsia" w:ascii="宋体" w:hAnsi="宋体" w:cs="宋体"/>
          <w:color w:val="000000" w:themeColor="text1"/>
          <w:sz w:val="24"/>
          <w:szCs w:val="32"/>
          <w:lang w:val="zh-CN"/>
          <w14:textFill>
            <w14:solidFill>
              <w14:schemeClr w14:val="tx1"/>
            </w14:solidFill>
          </w14:textFill>
        </w:rPr>
        <w:t>劳动意愿的精神残疾人。在职职工人数是指与残疾人福利性单位建立劳动关系并依法签订劳动合同或者服务协议的雇员人数。</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注：得分以系统计算为准，保留2位小数。</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五、提供相同品牌产品的不同投标人参加同一合同项下投标的，按一家供应商认定：</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六、本次评分具体分值细化条款如下表：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7"/>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beforeLines="50" w:after="156" w:afterLines="50"/>
              <w:jc w:val="center"/>
              <w:rPr>
                <w:rFonts w:ascii="宋体" w:hAnsi="宋体" w:cs="宋体"/>
                <w:b/>
                <w:color w:val="auto"/>
                <w:sz w:val="24"/>
                <w:highlight w:val="none"/>
              </w:rPr>
            </w:pPr>
            <w:r>
              <w:rPr>
                <w:rFonts w:hint="eastAsia" w:ascii="宋体" w:hAnsi="宋体" w:cs="宋体"/>
                <w:b/>
                <w:color w:val="auto"/>
                <w:sz w:val="24"/>
                <w:highlight w:val="none"/>
              </w:rPr>
              <w:t>评分项</w:t>
            </w:r>
          </w:p>
        </w:tc>
        <w:tc>
          <w:tcPr>
            <w:tcW w:w="5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beforeLines="50" w:after="156" w:afterLines="50"/>
              <w:jc w:val="center"/>
              <w:rPr>
                <w:rFonts w:ascii="宋体" w:hAnsi="宋体" w:cs="宋体"/>
                <w:b/>
                <w:color w:val="auto"/>
                <w:sz w:val="24"/>
                <w:highlight w:val="none"/>
              </w:rPr>
            </w:pPr>
            <w:r>
              <w:rPr>
                <w:rFonts w:hint="eastAsia" w:ascii="宋体" w:hAnsi="宋体" w:cs="宋体"/>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beforeLines="50" w:after="156" w:afterLines="50"/>
              <w:jc w:val="center"/>
              <w:rPr>
                <w:rFonts w:ascii="宋体" w:hAnsi="宋体" w:cs="宋体"/>
                <w:b/>
                <w:color w:val="auto"/>
                <w:sz w:val="24"/>
                <w:highlight w:val="none"/>
              </w:rPr>
            </w:pPr>
            <w:r>
              <w:rPr>
                <w:rFonts w:hint="eastAsia" w:ascii="宋体" w:hAnsi="宋体" w:cs="宋体"/>
                <w:b/>
                <w:color w:val="auto"/>
                <w:sz w:val="24"/>
                <w:highlight w:val="none"/>
              </w:rPr>
              <w:t>价格分</w:t>
            </w:r>
          </w:p>
          <w:p>
            <w:pPr>
              <w:spacing w:before="156" w:beforeLines="50" w:after="156" w:afterLines="50"/>
              <w:jc w:val="center"/>
              <w:rPr>
                <w:rFonts w:ascii="宋体" w:hAnsi="宋体" w:cs="宋体"/>
                <w:b/>
                <w:color w:val="auto"/>
                <w:sz w:val="24"/>
                <w:highlight w:val="none"/>
              </w:rPr>
            </w:pPr>
            <w:r>
              <w:rPr>
                <w:rFonts w:hint="eastAsia" w:ascii="宋体" w:hAnsi="宋体" w:cs="宋体"/>
                <w:b/>
                <w:color w:val="auto"/>
                <w:sz w:val="24"/>
                <w:highlight w:val="none"/>
              </w:rPr>
              <w:t>（20分）</w:t>
            </w:r>
          </w:p>
        </w:tc>
        <w:tc>
          <w:tcPr>
            <w:tcW w:w="12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投标报价（20分）</w:t>
            </w:r>
          </w:p>
        </w:tc>
        <w:tc>
          <w:tcPr>
            <w:tcW w:w="58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本项目价格分权值为20%。以通过符合性审查的所有投标人中的最低投标价格（即满足招标文件要求且价格最低的投标价）为基准价，其价格分为满分。其他投标人的价格分统一按照下列公式计算：</w:t>
            </w:r>
          </w:p>
          <w:p>
            <w:pPr>
              <w:autoSpaceDE w:val="0"/>
              <w:autoSpaceDN w:val="0"/>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价格分=(基准价／投标报价)×价格权值（20%）×100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tcBorders>
              <w:top w:val="single" w:color="auto" w:sz="4" w:space="0"/>
              <w:left w:val="single" w:color="auto" w:sz="4" w:space="0"/>
              <w:right w:val="single" w:color="auto" w:sz="4" w:space="0"/>
            </w:tcBorders>
            <w:vAlign w:val="center"/>
          </w:tcPr>
          <w:p>
            <w:pPr>
              <w:autoSpaceDE w:val="0"/>
              <w:autoSpaceDN w:val="0"/>
              <w:spacing w:before="156" w:beforeLines="50" w:after="156" w:afterLines="50"/>
              <w:jc w:val="center"/>
              <w:rPr>
                <w:rFonts w:ascii="宋体" w:hAnsi="宋体" w:cs="宋体"/>
                <w:bCs/>
                <w:color w:val="auto"/>
                <w:sz w:val="24"/>
                <w:highlight w:val="none"/>
              </w:rPr>
            </w:pPr>
            <w:r>
              <w:rPr>
                <w:rFonts w:hint="eastAsia" w:ascii="宋体" w:hAnsi="宋体" w:cs="宋体"/>
                <w:b/>
                <w:color w:val="auto"/>
                <w:sz w:val="24"/>
                <w:highlight w:val="none"/>
              </w:rPr>
              <w:t>技术分</w:t>
            </w:r>
            <w:r>
              <w:rPr>
                <w:rFonts w:hint="eastAsia" w:ascii="宋体" w:hAnsi="宋体" w:cs="宋体"/>
                <w:b/>
                <w:color w:val="auto"/>
                <w:sz w:val="24"/>
                <w:highlight w:val="none"/>
              </w:rPr>
              <w:br w:type="textWrapping"/>
            </w:r>
            <w:r>
              <w:rPr>
                <w:rFonts w:hint="eastAsia" w:ascii="宋体" w:hAnsi="宋体" w:cs="宋体"/>
                <w:b/>
                <w:color w:val="auto"/>
                <w:sz w:val="24"/>
                <w:highlight w:val="none"/>
              </w:rPr>
              <w:t>（59分）</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总体设计（5分）</w:t>
            </w: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投标人提供总体设计方案。评委根据投标人提供的方案进行综合评价：</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（1）项目背景认识明确，能详细的列明项目现状分析，有明确的总体技术方案内容，方案内容结合本项目技术需求展开详细描述得5分。</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（2）有较明确的项目背景认识，有较明确的总体技术方案内容，但方案内容未完全结合本项目技术需求展开描述得3分。</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（3）提供总体设计方案，但所提供内容简略，未详细展开描述，得1分。</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重难点分析应对（5分）</w:t>
            </w: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hint="eastAsia" w:ascii="宋体" w:hAnsi="宋体" w:cs="宋体"/>
                <w:bCs/>
                <w:color w:val="auto"/>
                <w:sz w:val="24"/>
                <w:highlight w:val="none"/>
              </w:rPr>
            </w:pPr>
            <w:r>
              <w:rPr>
                <w:rFonts w:hint="eastAsia" w:ascii="宋体" w:hAnsi="宋体" w:cs="宋体"/>
                <w:bCs/>
                <w:color w:val="auto"/>
                <w:sz w:val="24"/>
                <w:highlight w:val="none"/>
              </w:rPr>
              <w:t>投标人提供本次项目在建设实施过程中的重难点分析及应对措施。评委根据投标人提供的方案进行综合评价：</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（1）有明确的项目实施过程关于标准规范的遵循与建设、新老系统的替换与数据继承重难点分析外还有其他针对性重难点分析，针对重难点分析逐一提出有效的解决措施，与医院实际情况较为匹配，得5分；</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（2）有较明确的项目实施过程重难点分析，但分析内容仅仅包括标准规范的遵循与建设，新老系统的替换与数据继承，针对重难点分析逐一提出有效的解决措施，但内容宽泛针对性不足，得3分；</w:t>
            </w:r>
            <w:r>
              <w:rPr>
                <w:rFonts w:ascii="宋体" w:hAnsi="宋体" w:cs="宋体"/>
                <w:bCs/>
                <w:color w:val="auto"/>
                <w:sz w:val="24"/>
                <w:highlight w:val="none"/>
              </w:rPr>
              <w:t xml:space="preserve"> </w:t>
            </w:r>
          </w:p>
          <w:p>
            <w:pPr>
              <w:pStyle w:val="8"/>
              <w:ind w:left="0" w:leftChars="0" w:firstLine="0"/>
              <w:rPr>
                <w:rFonts w:ascii="宋体" w:hAnsi="宋体" w:cs="宋体"/>
                <w:bCs/>
                <w:color w:val="auto"/>
                <w:sz w:val="24"/>
                <w:highlight w:val="none"/>
              </w:rPr>
            </w:pPr>
            <w:r>
              <w:rPr>
                <w:rFonts w:hint="eastAsia" w:ascii="宋体" w:hAnsi="宋体" w:cs="宋体"/>
                <w:bCs/>
                <w:color w:val="auto"/>
                <w:sz w:val="24"/>
                <w:highlight w:val="none"/>
              </w:rPr>
              <w:t>（3）有项目实施方案重难点分析，但所提供内容简略，未详细展开描述，得1分。</w:t>
            </w:r>
          </w:p>
          <w:p>
            <w:pPr>
              <w:rPr>
                <w:color w:val="auto"/>
                <w:highlight w:val="none"/>
              </w:rPr>
            </w:pPr>
            <w:r>
              <w:rPr>
                <w:rFonts w:hint="eastAsia"/>
                <w:color w:val="auto"/>
                <w:sz w:val="24"/>
                <w:highlight w:val="none"/>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功能响应（6分）</w:t>
            </w: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投标人需充分理解本项目功能参数需求，提出合理的系统功能响应方案，功能完全满足招标需求（不包含演示部分功能）的得6分，每负偏离一项扣0.5分，扣完为止。须提供完整的系统功能响应方案，有缺项视为负偏离，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系统演示（15分）</w:t>
            </w: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投标人须针对以下功能需求提供系统演示：</w:t>
            </w:r>
          </w:p>
          <w:p>
            <w:pPr>
              <w:pStyle w:val="12"/>
              <w:numPr>
                <w:ilvl w:val="0"/>
                <w:numId w:val="1"/>
              </w:numPr>
              <w:spacing w:before="156" w:beforeLines="50" w:after="156" w:afterLines="50"/>
              <w:ind w:firstLineChars="0"/>
              <w:rPr>
                <w:rFonts w:ascii="宋体" w:hAnsi="宋体" w:cs="宋体"/>
                <w:bCs/>
                <w:color w:val="auto"/>
                <w:sz w:val="24"/>
                <w:highlight w:val="none"/>
              </w:rPr>
            </w:pPr>
            <w:bookmarkStart w:id="0" w:name="_Hlk159920546"/>
            <w:r>
              <w:rPr>
                <w:rFonts w:hint="eastAsia" w:ascii="宋体" w:hAnsi="宋体" w:cs="宋体"/>
                <w:bCs/>
                <w:color w:val="auto"/>
                <w:sz w:val="24"/>
                <w:highlight w:val="none"/>
              </w:rPr>
              <w:t>门诊医生站：支持在一体化门诊医生站内集成门诊所有业务事项，无需切换系统操作；在门诊业务接诊中，系统支持在同屏下、无需切换界面的情况下展示并操作门诊病历、门诊诊断、门诊各类医嘱（处方、检查、检验），并且支持界面缩放工作，不需要进行界面的下拉、左右拖曳或操作页切换。</w:t>
            </w:r>
          </w:p>
          <w:p>
            <w:pPr>
              <w:pStyle w:val="12"/>
              <w:numPr>
                <w:ilvl w:val="0"/>
                <w:numId w:val="1"/>
              </w:numPr>
              <w:spacing w:before="156" w:beforeLines="50" w:after="156" w:afterLines="50"/>
              <w:ind w:firstLineChars="0"/>
              <w:rPr>
                <w:rFonts w:ascii="宋体" w:hAnsi="宋体" w:cs="宋体"/>
                <w:bCs/>
                <w:color w:val="auto"/>
                <w:sz w:val="24"/>
                <w:highlight w:val="none"/>
              </w:rPr>
            </w:pPr>
            <w:r>
              <w:rPr>
                <w:rFonts w:hint="eastAsia" w:ascii="宋体" w:hAnsi="宋体" w:cs="宋体"/>
                <w:bCs/>
                <w:color w:val="auto"/>
                <w:sz w:val="24"/>
                <w:highlight w:val="none"/>
              </w:rPr>
              <w:t>门诊医生站：支持门诊医生可通过医嘱模板、患者历史、常用个人医嘱、高频推荐等多种形式快速开立医嘱。医嘱模板支持单个模板包含药品、检验、检查。</w:t>
            </w:r>
          </w:p>
          <w:p>
            <w:pPr>
              <w:pStyle w:val="12"/>
              <w:numPr>
                <w:ilvl w:val="0"/>
                <w:numId w:val="1"/>
              </w:numPr>
              <w:spacing w:before="156" w:beforeLines="50" w:after="156" w:afterLines="50"/>
              <w:ind w:firstLineChars="0"/>
              <w:rPr>
                <w:rFonts w:ascii="宋体" w:hAnsi="宋体" w:cs="宋体"/>
                <w:bCs/>
                <w:color w:val="auto"/>
                <w:sz w:val="24"/>
                <w:highlight w:val="none"/>
              </w:rPr>
            </w:pPr>
            <w:r>
              <w:rPr>
                <w:rFonts w:hint="eastAsia" w:ascii="宋体" w:hAnsi="宋体" w:cs="宋体"/>
                <w:bCs/>
                <w:color w:val="auto"/>
                <w:sz w:val="24"/>
                <w:highlight w:val="none"/>
              </w:rPr>
              <w:t>门诊医生站：支持多患者业务处理，支持在门诊医生站中，同时打开多个患者的业务处理界面，进行跨患者的业务操作。</w:t>
            </w:r>
          </w:p>
          <w:bookmarkEnd w:id="0"/>
          <w:p>
            <w:pPr>
              <w:pStyle w:val="12"/>
              <w:numPr>
                <w:ilvl w:val="0"/>
                <w:numId w:val="1"/>
              </w:numPr>
              <w:spacing w:before="156" w:beforeLines="50" w:after="156" w:afterLines="50"/>
              <w:ind w:firstLineChars="0"/>
              <w:rPr>
                <w:rFonts w:ascii="宋体" w:hAnsi="宋体" w:cs="宋体"/>
                <w:bCs/>
                <w:color w:val="auto"/>
                <w:sz w:val="24"/>
                <w:highlight w:val="none"/>
              </w:rPr>
            </w:pPr>
            <w:r>
              <w:rPr>
                <w:rFonts w:hint="eastAsia" w:ascii="宋体" w:hAnsi="宋体" w:cs="宋体"/>
                <w:bCs/>
                <w:color w:val="auto"/>
                <w:sz w:val="24"/>
                <w:highlight w:val="none"/>
              </w:rPr>
              <w:t>门诊电子病历：支持门诊电子病历续写功能，如：上午医生接诊病人，病人检查报告完成后回科室复诊，医生在已签名的病历后创建续写病历模版，编辑续写内容，并与初诊病历形成一份完整的病历。</w:t>
            </w:r>
          </w:p>
          <w:p>
            <w:pPr>
              <w:pStyle w:val="12"/>
              <w:numPr>
                <w:ilvl w:val="0"/>
                <w:numId w:val="1"/>
              </w:numPr>
              <w:spacing w:before="156" w:beforeLines="50" w:after="156" w:afterLines="50"/>
              <w:ind w:firstLineChars="0"/>
              <w:rPr>
                <w:rFonts w:ascii="宋体" w:hAnsi="宋体" w:cs="宋体"/>
                <w:bCs/>
                <w:color w:val="auto"/>
                <w:sz w:val="24"/>
                <w:highlight w:val="none"/>
              </w:rPr>
            </w:pPr>
            <w:r>
              <w:rPr>
                <w:rFonts w:hint="eastAsia" w:ascii="宋体" w:hAnsi="宋体" w:cs="宋体"/>
                <w:bCs/>
                <w:color w:val="auto"/>
                <w:sz w:val="24"/>
                <w:highlight w:val="none"/>
              </w:rPr>
              <w:t>门诊电子病历：支持精简化的文件输出打印功能，如在门诊病历打印前支持预览功能，查看病历整体书写情况；病历预览及打印时只打印预览病历修改内容，隐藏病历中未修改的内容，如隐藏患者阴性体格检查，阴性既往史。</w:t>
            </w:r>
          </w:p>
          <w:p>
            <w:pPr>
              <w:pStyle w:val="12"/>
              <w:numPr>
                <w:ilvl w:val="0"/>
                <w:numId w:val="1"/>
              </w:numPr>
              <w:spacing w:before="156" w:beforeLines="50" w:after="156" w:afterLines="50"/>
              <w:ind w:firstLineChars="0"/>
              <w:rPr>
                <w:rFonts w:ascii="宋体" w:hAnsi="宋体" w:cs="宋体"/>
                <w:bCs/>
                <w:color w:val="auto"/>
                <w:sz w:val="24"/>
                <w:highlight w:val="none"/>
              </w:rPr>
            </w:pPr>
            <w:r>
              <w:rPr>
                <w:rFonts w:hint="eastAsia" w:ascii="宋体" w:hAnsi="宋体" w:cs="宋体"/>
                <w:bCs/>
                <w:color w:val="auto"/>
                <w:sz w:val="24"/>
                <w:highlight w:val="none"/>
              </w:rPr>
              <w:t>住院医生站：支持药品医嘱的首日时点和剂量的自定义。针对住院药品医嘱，支持开立医嘱时自定义首日时点，支持自定义首日用药剂量和长期医嘱剂量。支持自定义药品剂量功能，支持早中晚不同剂量自定义剂量录入。</w:t>
            </w:r>
          </w:p>
          <w:p>
            <w:pPr>
              <w:pStyle w:val="12"/>
              <w:numPr>
                <w:ilvl w:val="0"/>
                <w:numId w:val="1"/>
              </w:numPr>
              <w:spacing w:before="156" w:beforeLines="50" w:after="156" w:afterLines="50"/>
              <w:ind w:firstLineChars="0"/>
              <w:rPr>
                <w:rFonts w:ascii="宋体" w:hAnsi="宋体" w:cs="宋体"/>
                <w:bCs/>
                <w:color w:val="auto"/>
                <w:sz w:val="24"/>
                <w:highlight w:val="none"/>
              </w:rPr>
            </w:pPr>
            <w:r>
              <w:rPr>
                <w:rFonts w:hint="eastAsia" w:ascii="宋体" w:hAnsi="宋体" w:cs="宋体"/>
                <w:bCs/>
                <w:color w:val="auto"/>
                <w:sz w:val="24"/>
                <w:highlight w:val="none"/>
              </w:rPr>
              <w:t>住院医生站：支持住院医生通过医嘱模板、患者历史、医生个人常用医嘱、高频推荐多种形式快速开立医嘱。医嘱模板支持单个模板包含西药、检验、检查医嘱。</w:t>
            </w:r>
          </w:p>
          <w:p>
            <w:pPr>
              <w:pStyle w:val="12"/>
              <w:numPr>
                <w:ilvl w:val="0"/>
                <w:numId w:val="1"/>
              </w:numPr>
              <w:spacing w:before="156" w:beforeLines="50" w:after="156" w:afterLines="50"/>
              <w:ind w:firstLineChars="0"/>
              <w:rPr>
                <w:rFonts w:ascii="宋体" w:hAnsi="宋体" w:cs="宋体"/>
                <w:bCs/>
                <w:color w:val="auto"/>
                <w:sz w:val="24"/>
                <w:highlight w:val="none"/>
              </w:rPr>
            </w:pPr>
            <w:r>
              <w:rPr>
                <w:rFonts w:hint="eastAsia" w:ascii="宋体" w:hAnsi="宋体" w:cs="宋体"/>
                <w:bCs/>
                <w:color w:val="auto"/>
                <w:sz w:val="24"/>
                <w:highlight w:val="none"/>
              </w:rPr>
              <w:t>住院电子病历：支持在病历主页中提供病历总览功能，并且总览中能够查看病历的签名进度,并且支持签名进度实时跟踪，如住院医生书写完病历后，该病历如果要上级医生签名的，可以发送签名通知给上级医生，做到病历签名的流程质管。</w:t>
            </w:r>
          </w:p>
          <w:p>
            <w:pPr>
              <w:pStyle w:val="12"/>
              <w:numPr>
                <w:ilvl w:val="0"/>
                <w:numId w:val="1"/>
              </w:numPr>
              <w:spacing w:before="156" w:beforeLines="50" w:after="156" w:afterLines="50"/>
              <w:ind w:firstLineChars="0"/>
              <w:rPr>
                <w:rFonts w:ascii="宋体" w:hAnsi="宋体" w:cs="宋体"/>
                <w:bCs/>
                <w:color w:val="auto"/>
                <w:sz w:val="24"/>
                <w:highlight w:val="none"/>
              </w:rPr>
            </w:pPr>
            <w:r>
              <w:rPr>
                <w:rFonts w:hint="eastAsia" w:ascii="宋体" w:hAnsi="宋体" w:cs="宋体"/>
                <w:bCs/>
                <w:color w:val="auto"/>
                <w:sz w:val="24"/>
                <w:highlight w:val="none"/>
              </w:rPr>
              <w:t>住院电子病历：支持对病历操作权限进行管理，可根据角色控制某个角色操作某一类病历，操作权限细分为查看权、书写权、打印权、导出权。</w:t>
            </w:r>
          </w:p>
          <w:p>
            <w:pPr>
              <w:pStyle w:val="12"/>
              <w:spacing w:before="156" w:beforeLines="50" w:after="156" w:afterLines="50"/>
              <w:ind w:firstLine="0" w:firstLineChars="0"/>
              <w:rPr>
                <w:rFonts w:ascii="宋体" w:hAnsi="宋体" w:cs="宋体"/>
                <w:bCs/>
                <w:color w:val="auto"/>
                <w:sz w:val="24"/>
                <w:highlight w:val="none"/>
              </w:rPr>
            </w:pPr>
            <w:r>
              <w:rPr>
                <w:rFonts w:hint="eastAsia" w:ascii="宋体" w:hAnsi="宋体" w:cs="宋体"/>
                <w:bCs/>
                <w:color w:val="auto"/>
                <w:sz w:val="24"/>
                <w:highlight w:val="none"/>
              </w:rPr>
              <w:t>10、病区护士站：支持医嘱附加项目维护，支持按照附加项目类型（皮试、膏药、检查部位）、医嘱类型（长期、临时医嘱）、科室、病区、流程方向信息，对医嘱附加服务项目进行维护。</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以上10项功能演示：演示视频中使用DEMO等动态操作方式进行演示且能够完整演示全部功能的，每项得1.5分；演示视频中使用PPT等静态平面方式进行演示且能够完整演示全部功能的，每项得0.5分；如果无法完整演示1项功能演示要求中的全部内容的，得0分。满分15分。未提供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实施服务（5分）</w:t>
            </w: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投标人提供项目实施方案。评委根据投标人提供的方案进行综合评价：</w:t>
            </w:r>
          </w:p>
          <w:p>
            <w:pPr>
              <w:spacing w:before="156" w:beforeLines="50" w:after="156" w:afterLines="50" w:line="360" w:lineRule="auto"/>
              <w:rPr>
                <w:rFonts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有明确的项目实施方案内容，包括具体的组织架构、明确的质量保障措施，带有具体的时间节点进度安排，并描述了新老系统数据切换</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，与医院实际情况较为匹配，得5分。</w:t>
            </w:r>
          </w:p>
          <w:p>
            <w:pPr>
              <w:pStyle w:val="8"/>
              <w:spacing w:line="360" w:lineRule="auto"/>
              <w:ind w:left="0" w:leftChars="0" w:firstLine="0"/>
              <w:rPr>
                <w:rFonts w:ascii="宋体" w:hAnsi="宋体" w:cs="宋体"/>
                <w:bCs/>
                <w:color w:val="auto"/>
                <w:sz w:val="24"/>
                <w:highlight w:val="none"/>
              </w:rPr>
            </w:pPr>
            <w:r>
              <w:rPr>
                <w:rFonts w:hint="eastAsia" w:ascii="宋体" w:hAnsi="宋体" w:cs="宋体"/>
                <w:bCs/>
                <w:color w:val="auto"/>
                <w:sz w:val="24"/>
                <w:highlight w:val="none"/>
              </w:rPr>
              <w:t>（2）有较明确的实施方案内容，但方案内容中未明确具体的组织架构或质量保障措施或具体的时间节点进度安排，并描述了新老系统数据切换措施，但内容宽泛针对性不足，得3分。</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（3）有实施方案内容，但所提供内容简略，未详细展开描述得1分。</w:t>
            </w:r>
          </w:p>
          <w:p>
            <w:pPr>
              <w:spacing w:line="360" w:lineRule="auto"/>
              <w:rPr>
                <w:rFonts w:hint="eastAsia"/>
                <w:color w:val="auto"/>
                <w:highlight w:val="none"/>
              </w:rPr>
            </w:pPr>
            <w:r>
              <w:rPr>
                <w:rFonts w:hint="eastAsia" w:ascii="宋体" w:hAnsi="宋体" w:cs="宋体"/>
                <w:bCs/>
                <w:color w:val="auto"/>
                <w:sz w:val="24"/>
                <w:highlight w:val="none"/>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项目人员（16分）</w:t>
            </w: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投标人派驻的项目经理具有：</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（1）信息技术类高级工程师证书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（2）信息系统项目管理师证书；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（3）参与设计的</w:t>
            </w:r>
            <w:bookmarkStart w:id="1" w:name="_GoBack"/>
            <w:r>
              <w:rPr>
                <w:rFonts w:hint="eastAsia" w:ascii="宋体" w:hAnsi="宋体" w:cs="宋体"/>
                <w:bCs/>
                <w:color w:val="auto"/>
                <w:sz w:val="24"/>
                <w:highlight w:val="none"/>
              </w:rPr>
              <w:t>医疗卫生信息化相关项目具有获得市级或以上科技进步奖</w:t>
            </w:r>
            <w:bookmarkEnd w:id="1"/>
            <w:r>
              <w:rPr>
                <w:rFonts w:hint="eastAsia" w:ascii="宋体" w:hAnsi="宋体" w:cs="宋体"/>
                <w:bCs/>
                <w:color w:val="auto"/>
                <w:sz w:val="24"/>
                <w:highlight w:val="none"/>
              </w:rPr>
              <w:t>。</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以上每满足一项得1分，满分3分。</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须提供个人资质证书、获奖证明文件及投标人为其缴纳的近六个月任意一个月的社保证明材料扫描件，否则不得分。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投标人拟派的开发组组长具有：</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（1）信息系统项目管理师证书。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（2）系统架构设计师证书。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（3）数据库系统工程师证书。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以上每满足一项得1分，满分3分。</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投标人拟派的实施组组长具有：</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（1）信息系统项目管理师证书。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（2）网络工程师证书。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以上每满足一项得1分，满分2分。</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投标人拟派的服务组组长具有：</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（1）系统分析师证书。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（2）软件设计师证书。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（3）数据库系统工程师证书。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以上每满足一项得1分，满分3分。</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投标人拟派的其他项目成员中（不含上述项目经理、开发组组长、实施组组长、服务组组长)：</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（1）至少3人具有系统分析师证书。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（2）至少3人具有系统架构设计师证书。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（3）至少5人具有软件设计师证书。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（4）至少2人具有软件评测师证书。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（5）至少2人具有系统集成项目管理工程师证书。</w:t>
            </w:r>
          </w:p>
          <w:p>
            <w:pPr>
              <w:spacing w:before="156" w:beforeLines="50" w:after="156" w:afterLines="50"/>
              <w:rPr>
                <w:rFonts w:ascii="宋体" w:hAnsi="宋体" w:cs="宋体"/>
                <w:bCs/>
                <w:color w:val="auto"/>
                <w:sz w:val="24"/>
                <w:highlight w:val="none"/>
              </w:rPr>
            </w:pPr>
            <w:r>
              <w:rPr>
                <w:rFonts w:hint="eastAsia" w:ascii="宋体" w:hAnsi="宋体" w:cs="宋体"/>
                <w:bCs/>
                <w:color w:val="auto"/>
                <w:sz w:val="24"/>
                <w:highlight w:val="none"/>
              </w:rPr>
              <w:t>以上满足</w:t>
            </w:r>
            <w:r>
              <w:rPr>
                <w:rFonts w:hint="eastAsia" w:ascii="宋体" w:hAnsi="宋体" w:cs="宋体"/>
                <w:bCs/>
                <w:color w:val="auto"/>
                <w:sz w:val="24"/>
                <w:highlight w:val="none"/>
                <w:lang w:val="en-US" w:eastAsia="zh-CN"/>
              </w:rPr>
              <w:t>1项</w:t>
            </w:r>
            <w:r>
              <w:rPr>
                <w:rFonts w:hint="eastAsia" w:ascii="宋体" w:hAnsi="宋体" w:cs="宋体"/>
                <w:bCs/>
                <w:color w:val="auto"/>
                <w:sz w:val="24"/>
                <w:highlight w:val="none"/>
              </w:rPr>
              <w:t>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r>
              <w:rPr>
                <w:rFonts w:hint="eastAsia" w:ascii="宋体" w:hAnsi="宋体" w:cs="宋体"/>
                <w:bCs/>
                <w:color w:val="auto"/>
                <w:sz w:val="24"/>
                <w:highlight w:val="none"/>
                <w:lang w:val="en-US" w:eastAsia="zh-CN"/>
              </w:rPr>
              <w:t>最高得5分</w:t>
            </w:r>
            <w:r>
              <w:rPr>
                <w:rFonts w:hint="eastAsia" w:ascii="宋体" w:hAnsi="宋体" w:cs="宋体"/>
                <w:bCs/>
                <w:color w:val="auto"/>
                <w:sz w:val="24"/>
                <w:highlight w:val="none"/>
              </w:rPr>
              <w:t>。一人获得多项证书按一项证书计算。须提供人员资质证书和投标人为其缴纳的近六个月任意一个月的社保证明材料扫描件，否则不得分。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tcBorders>
              <w:top w:val="single" w:color="auto" w:sz="4" w:space="0"/>
              <w:left w:val="single" w:color="auto" w:sz="4" w:space="0"/>
              <w:right w:val="single" w:color="auto" w:sz="4"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安全保障（2分）</w:t>
            </w:r>
          </w:p>
        </w:tc>
        <w:tc>
          <w:tcPr>
            <w:tcW w:w="5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r>
              <w:rPr>
                <w:rFonts w:hint="eastAsia" w:ascii="宋体" w:hAnsi="宋体" w:cs="宋体"/>
                <w:color w:val="auto"/>
                <w:sz w:val="24"/>
                <w:highlight w:val="none"/>
              </w:rPr>
              <w:t>投标人提供安全保障方案。评委根据投标人提供的方案进行综合评价：</w:t>
            </w:r>
          </w:p>
          <w:p>
            <w:pPr>
              <w:rPr>
                <w:rFonts w:ascii="宋体" w:hAnsi="宋体" w:cs="宋体"/>
                <w:bCs/>
                <w:color w:val="auto"/>
                <w:sz w:val="24"/>
                <w:highlight w:val="none"/>
              </w:rPr>
            </w:pPr>
            <w:r>
              <w:rPr>
                <w:rFonts w:hint="eastAsia" w:ascii="宋体" w:hAnsi="宋体" w:cs="宋体"/>
                <w:bCs/>
                <w:color w:val="auto"/>
                <w:sz w:val="24"/>
                <w:highlight w:val="none"/>
              </w:rPr>
              <w:t>（1）有明确的安全保障方案，能从物理安全、网络安全、应用安全、数据安全和安全管理5个层面给出解决方案且结合项目实际需要</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得2分。</w:t>
            </w:r>
          </w:p>
          <w:p>
            <w:pPr>
              <w:rPr>
                <w:rFonts w:ascii="宋体" w:hAnsi="宋体" w:cs="宋体"/>
                <w:bCs/>
                <w:color w:val="auto"/>
                <w:sz w:val="24"/>
                <w:highlight w:val="none"/>
              </w:rPr>
            </w:pPr>
            <w:r>
              <w:rPr>
                <w:rFonts w:hint="eastAsia" w:ascii="宋体" w:hAnsi="宋体" w:cs="宋体"/>
                <w:bCs/>
                <w:color w:val="auto"/>
                <w:sz w:val="24"/>
                <w:highlight w:val="none"/>
              </w:rPr>
              <w:t>（2）有安全保障方案但只能从物理安全、网络安全、应用安全、数据安全和安全管理个别层面提出解决方案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得1分。</w:t>
            </w:r>
          </w:p>
          <w:p>
            <w:pPr>
              <w:rPr>
                <w:rFonts w:hint="eastAsia" w:ascii="宋体" w:hAnsi="宋体" w:cs="宋体"/>
                <w:bCs/>
                <w:color w:val="auto"/>
                <w:sz w:val="24"/>
                <w:highlight w:val="none"/>
              </w:rPr>
            </w:pPr>
            <w:r>
              <w:rPr>
                <w:rFonts w:hint="eastAsia" w:ascii="宋体" w:hAnsi="宋体" w:cs="宋体"/>
                <w:bCs/>
                <w:color w:val="auto"/>
                <w:sz w:val="24"/>
                <w:highlight w:val="none"/>
              </w:rPr>
              <w:t>（3）未提供方案不得分。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售后服务（5分）</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投标人提供售后服务方案和承诺。评委根据投标人提供的方案进行综合评价：</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（1）提供售后服务</w:t>
            </w:r>
            <w:r>
              <w:rPr>
                <w:rFonts w:hint="eastAsia" w:ascii="宋体" w:hAnsi="宋体" w:cs="宋体"/>
                <w:color w:val="auto"/>
                <w:sz w:val="24"/>
                <w:highlight w:val="none"/>
                <w:lang w:val="en-US" w:eastAsia="zh-CN"/>
              </w:rPr>
              <w:t>方案和</w:t>
            </w:r>
            <w:r>
              <w:rPr>
                <w:rFonts w:hint="eastAsia" w:ascii="宋体" w:hAnsi="宋体" w:cs="宋体"/>
                <w:color w:val="auto"/>
                <w:sz w:val="24"/>
                <w:highlight w:val="none"/>
              </w:rPr>
              <w:t>承诺，阐述了投标人在本项目的整体运维能力，内容包括服务体系、服务内容、响应时间、响应方式、服务人员，</w:t>
            </w:r>
            <w:r>
              <w:rPr>
                <w:rFonts w:hint="eastAsia" w:ascii="宋体" w:hAnsi="宋体" w:cs="宋体"/>
                <w:color w:val="auto"/>
                <w:sz w:val="24"/>
                <w:highlight w:val="none"/>
                <w:lang w:val="en-US" w:eastAsia="zh-CN"/>
              </w:rPr>
              <w:t>符合项目要求</w:t>
            </w:r>
            <w:r>
              <w:rPr>
                <w:rFonts w:hint="eastAsia" w:ascii="宋体" w:hAnsi="宋体" w:cs="宋体"/>
                <w:color w:val="auto"/>
                <w:sz w:val="24"/>
                <w:highlight w:val="none"/>
              </w:rPr>
              <w:t>，得5分。</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（2）提供售后服务</w:t>
            </w:r>
            <w:r>
              <w:rPr>
                <w:rFonts w:hint="eastAsia" w:ascii="宋体" w:hAnsi="宋体" w:cs="宋体"/>
                <w:color w:val="auto"/>
                <w:sz w:val="24"/>
                <w:highlight w:val="none"/>
                <w:lang w:val="en-US" w:eastAsia="zh-CN"/>
              </w:rPr>
              <w:t>方案和</w:t>
            </w:r>
            <w:r>
              <w:rPr>
                <w:rFonts w:hint="eastAsia" w:ascii="宋体" w:hAnsi="宋体" w:cs="宋体"/>
                <w:color w:val="auto"/>
                <w:sz w:val="24"/>
                <w:highlight w:val="none"/>
              </w:rPr>
              <w:t>承诺，阐述了投标人在本项目的整体运维能力，内容包括服务体系、服务内容、响应时间、响应方式、服务人员等，但内容宽泛针对性不足，得3分。</w:t>
            </w:r>
          </w:p>
          <w:p>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（3）提供售后服务</w:t>
            </w:r>
            <w:r>
              <w:rPr>
                <w:rFonts w:hint="eastAsia" w:ascii="宋体" w:hAnsi="宋体" w:cs="宋体"/>
                <w:color w:val="auto"/>
                <w:sz w:val="24"/>
                <w:highlight w:val="none"/>
                <w:lang w:val="en-US" w:eastAsia="zh-CN"/>
              </w:rPr>
              <w:t>方案和</w:t>
            </w:r>
            <w:r>
              <w:rPr>
                <w:rFonts w:hint="eastAsia" w:ascii="宋体" w:hAnsi="宋体" w:cs="宋体"/>
                <w:color w:val="auto"/>
                <w:sz w:val="24"/>
                <w:highlight w:val="none"/>
              </w:rPr>
              <w:t>承诺，虽提供了方案，但所提供内容简略，未详细展开描述，得1分。</w:t>
            </w:r>
          </w:p>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（4）未提供售后服务</w:t>
            </w:r>
            <w:r>
              <w:rPr>
                <w:rFonts w:hint="eastAsia" w:ascii="宋体" w:hAnsi="宋体" w:cs="宋体"/>
                <w:color w:val="auto"/>
                <w:sz w:val="24"/>
                <w:highlight w:val="none"/>
                <w:lang w:val="en-US" w:eastAsia="zh-CN"/>
              </w:rPr>
              <w:t>方案和</w:t>
            </w:r>
            <w:r>
              <w:rPr>
                <w:rFonts w:hint="eastAsia" w:ascii="宋体" w:hAnsi="宋体" w:cs="宋体"/>
                <w:color w:val="auto"/>
                <w:sz w:val="24"/>
                <w:highlight w:val="none"/>
              </w:rPr>
              <w:t>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restart"/>
            <w:tcBorders>
              <w:left w:val="single" w:color="auto" w:sz="4" w:space="0"/>
              <w:right w:val="single" w:color="auto" w:sz="4" w:space="0"/>
            </w:tcBorders>
            <w:vAlign w:val="center"/>
          </w:tcPr>
          <w:p>
            <w:pPr>
              <w:spacing w:before="156" w:beforeLines="50" w:after="156" w:afterLines="50"/>
              <w:jc w:val="center"/>
              <w:rPr>
                <w:rFonts w:ascii="宋体" w:hAnsi="宋体" w:cs="宋体"/>
                <w:bCs/>
                <w:color w:val="auto"/>
                <w:sz w:val="24"/>
                <w:highlight w:val="none"/>
              </w:rPr>
            </w:pPr>
            <w:r>
              <w:rPr>
                <w:rFonts w:hint="eastAsia" w:ascii="宋体" w:hAnsi="宋体" w:cs="宋体"/>
                <w:b/>
                <w:color w:val="auto"/>
                <w:sz w:val="24"/>
                <w:highlight w:val="none"/>
              </w:rPr>
              <w:t>商务分（21分）</w:t>
            </w:r>
          </w:p>
        </w:tc>
        <w:tc>
          <w:tcPr>
            <w:tcW w:w="1277" w:type="dxa"/>
            <w:tcBorders>
              <w:top w:val="single" w:color="auto" w:sz="4" w:space="0"/>
              <w:left w:val="single" w:color="auto" w:sz="4" w:space="0"/>
              <w:right w:val="single" w:color="auto" w:sz="4" w:space="0"/>
            </w:tcBorders>
            <w:vAlign w:val="center"/>
          </w:tcPr>
          <w:p>
            <w:pPr>
              <w:spacing w:line="276" w:lineRule="auto"/>
              <w:rPr>
                <w:rFonts w:ascii="宋体" w:hAnsi="宋体" w:cs="宋体"/>
                <w:bCs/>
                <w:color w:val="auto"/>
                <w:sz w:val="24"/>
                <w:highlight w:val="none"/>
              </w:rPr>
            </w:pPr>
            <w:r>
              <w:rPr>
                <w:rFonts w:hint="eastAsia" w:ascii="宋体" w:hAnsi="宋体" w:cs="宋体"/>
                <w:bCs/>
                <w:color w:val="auto"/>
                <w:sz w:val="24"/>
                <w:highlight w:val="none"/>
              </w:rPr>
              <w:t>企业资质（10分）</w:t>
            </w: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投标人具有适用于本项目建设的质量管理体系、信息安全管理体系、信息技术服务管理体系、知识产权管理体系、隐私信息管理体系的认证证书。满足一项得2分，满分10分。</w:t>
            </w:r>
          </w:p>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须提供有效期内的证书扫描件，否则不得分。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
                <w:color w:val="auto"/>
                <w:sz w:val="24"/>
                <w:highlight w:val="none"/>
              </w:rPr>
            </w:pP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技术实力（9分）</w:t>
            </w: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1、投标人具有智慧医院信息系统(HIS)、电子病历(EMR)、医院信息平台、互联网医院等类别的计算机软件著作权登记证书，每提供一个得0.5分，满</w:t>
            </w:r>
            <w:r>
              <w:rPr>
                <w:rFonts w:hint="eastAsia" w:ascii="宋体" w:hAnsi="宋体" w:cs="宋体"/>
                <w:bCs/>
                <w:color w:val="auto"/>
                <w:sz w:val="24"/>
                <w:highlight w:val="none"/>
                <w:lang w:val="en-US" w:eastAsia="zh-CN"/>
              </w:rPr>
              <w:t>分</w:t>
            </w:r>
            <w:r>
              <w:rPr>
                <w:rFonts w:hint="eastAsia" w:ascii="宋体" w:hAnsi="宋体" w:cs="宋体"/>
                <w:bCs/>
                <w:color w:val="auto"/>
                <w:sz w:val="24"/>
                <w:highlight w:val="none"/>
              </w:rPr>
              <w:t>2分；在此基础上，投标人还具有与本项目建设内容相关的其他类别的计算机软件著作权登记证书，每提供一项得0.5分，最多得2分。本项满分4分。</w:t>
            </w:r>
          </w:p>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须提供著作权为投标人独有的《计算机软件著作权登记证书》扫描件(证书软件名称可略有不同),否则不得分。</w:t>
            </w:r>
          </w:p>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2、投标人根据上一条要求提供的具有自主知识产权的软件产品中，能够兼容国产数据库管理软件和国产服务器操作系统的，每具有一个满足要求的产品得0.5分，本项满分1分。</w:t>
            </w:r>
          </w:p>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须提供国产数据库管理软件厂商、国产服务器操作系统厂商盖章的兼容认证证明材料扫描件，否则不得分。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
                <w:color w:val="auto"/>
                <w:sz w:val="24"/>
                <w:highlight w:val="none"/>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bCs/>
                <w:color w:val="auto"/>
                <w:sz w:val="24"/>
                <w:highlight w:val="none"/>
              </w:rPr>
            </w:pP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3、投标人具有与用户单位共同研制开发信息系统产品的经验，以计算机软件著作权登记证书为准。每提供一份满足要求的证明材料得1分，最多得2分。</w:t>
            </w:r>
          </w:p>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须提供计算机软件著作权登记证书(证书著作权人须包含用户单位和投标人名称)扫描件，否则不得分。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77" w:type="dxa"/>
            <w:vMerge w:val="continue"/>
            <w:tcBorders>
              <w:left w:val="single" w:color="auto" w:sz="4" w:space="0"/>
              <w:right w:val="single" w:color="auto" w:sz="4" w:space="0"/>
            </w:tcBorders>
            <w:vAlign w:val="center"/>
          </w:tcPr>
          <w:p>
            <w:pPr>
              <w:widowControl/>
              <w:jc w:val="left"/>
              <w:rPr>
                <w:rFonts w:ascii="宋体" w:hAnsi="宋体" w:cs="宋体"/>
                <w:b/>
                <w:color w:val="auto"/>
                <w:sz w:val="24"/>
                <w:highlight w:val="none"/>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bCs/>
                <w:color w:val="auto"/>
                <w:sz w:val="24"/>
                <w:highlight w:val="none"/>
              </w:rPr>
            </w:pP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4、投标人参与过国家卫健委（或原国家卫计委、原卫生部）统计信息中心组织的“电子病历基本架构与数据标准”的研制得2分。参与过省级卫生主管部门组织的本地化电子病历数据标准的研制得1分。</w:t>
            </w:r>
          </w:p>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须提供标准研制组织部门出具的证明材料扫描件，否则不得分。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项目案例（2分）</w:t>
            </w:r>
          </w:p>
        </w:tc>
        <w:tc>
          <w:tcPr>
            <w:tcW w:w="581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2021年1月1日以来，投标人具有同类项目业绩，每个得0.5分，最高得2分。须提供中标通知书和合同复印件，否则不得分。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75758"/>
    <w:multiLevelType w:val="multilevel"/>
    <w:tmpl w:val="0E07575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EwNWIyYzc2YjVlZWQyM2NiZGFlYWZhMTMwYzQifQ=="/>
  </w:docVars>
  <w:rsids>
    <w:rsidRoot w:val="00A4319A"/>
    <w:rsid w:val="00734582"/>
    <w:rsid w:val="008C71CF"/>
    <w:rsid w:val="00A4319A"/>
    <w:rsid w:val="00EF1263"/>
    <w:rsid w:val="04867F87"/>
    <w:rsid w:val="14AE3F2F"/>
    <w:rsid w:val="1B99201C"/>
    <w:rsid w:val="1EF437D7"/>
    <w:rsid w:val="1F415A60"/>
    <w:rsid w:val="20BF6991"/>
    <w:rsid w:val="251B5593"/>
    <w:rsid w:val="26CA6488"/>
    <w:rsid w:val="3A501F0F"/>
    <w:rsid w:val="3E575DAF"/>
    <w:rsid w:val="49373D0D"/>
    <w:rsid w:val="5BD37093"/>
    <w:rsid w:val="5D627AEE"/>
    <w:rsid w:val="621247C6"/>
    <w:rsid w:val="62751A14"/>
    <w:rsid w:val="6D2F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99"/>
    <w:pPr>
      <w:jc w:val="left"/>
    </w:pPr>
  </w:style>
  <w:style w:type="paragraph" w:styleId="3">
    <w:name w:val="Body Text Indent"/>
    <w:basedOn w:val="1"/>
    <w:next w:val="4"/>
    <w:autoRedefine/>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uiPriority w:val="0"/>
    <w:pPr>
      <w:tabs>
        <w:tab w:val="center" w:pos="4153"/>
        <w:tab w:val="right" w:pos="8306"/>
      </w:tabs>
      <w:snapToGrid w:val="0"/>
      <w:jc w:val="center"/>
    </w:pPr>
    <w:rPr>
      <w:sz w:val="18"/>
      <w:szCs w:val="18"/>
    </w:rPr>
  </w:style>
  <w:style w:type="paragraph" w:styleId="7">
    <w:name w:val="annotation subject"/>
    <w:basedOn w:val="2"/>
    <w:next w:val="2"/>
    <w:link w:val="16"/>
    <w:autoRedefine/>
    <w:qFormat/>
    <w:uiPriority w:val="0"/>
    <w:rPr>
      <w:b/>
      <w:bCs/>
    </w:rPr>
  </w:style>
  <w:style w:type="paragraph" w:styleId="8">
    <w:name w:val="Body Text First Indent 2"/>
    <w:basedOn w:val="3"/>
    <w:next w:val="1"/>
    <w:qFormat/>
    <w:uiPriority w:val="99"/>
    <w:pPr>
      <w:ind w:firstLine="420"/>
    </w:pPr>
  </w:style>
  <w:style w:type="character" w:styleId="11">
    <w:name w:val="annotation reference"/>
    <w:basedOn w:val="10"/>
    <w:autoRedefine/>
    <w:qFormat/>
    <w:uiPriority w:val="0"/>
    <w:rPr>
      <w:sz w:val="21"/>
      <w:szCs w:val="21"/>
    </w:rPr>
  </w:style>
  <w:style w:type="paragraph" w:styleId="12">
    <w:name w:val="List Paragraph"/>
    <w:basedOn w:val="1"/>
    <w:autoRedefine/>
    <w:qFormat/>
    <w:uiPriority w:val="34"/>
    <w:pPr>
      <w:ind w:firstLine="420" w:firstLineChars="200"/>
    </w:pPr>
  </w:style>
  <w:style w:type="character" w:customStyle="1" w:styleId="13">
    <w:name w:val="页眉 字符"/>
    <w:basedOn w:val="10"/>
    <w:link w:val="6"/>
    <w:autoRedefine/>
    <w:qFormat/>
    <w:uiPriority w:val="0"/>
    <w:rPr>
      <w:rFonts w:ascii="Times New Roman" w:hAnsi="Times New Roman" w:eastAsia="宋体" w:cs="Times New Roman"/>
      <w:kern w:val="2"/>
      <w:sz w:val="18"/>
      <w:szCs w:val="18"/>
    </w:rPr>
  </w:style>
  <w:style w:type="character" w:customStyle="1" w:styleId="14">
    <w:name w:val="页脚 字符"/>
    <w:basedOn w:val="10"/>
    <w:link w:val="5"/>
    <w:autoRedefine/>
    <w:qFormat/>
    <w:uiPriority w:val="0"/>
    <w:rPr>
      <w:rFonts w:ascii="Times New Roman" w:hAnsi="Times New Roman" w:eastAsia="宋体" w:cs="Times New Roman"/>
      <w:kern w:val="2"/>
      <w:sz w:val="18"/>
      <w:szCs w:val="18"/>
    </w:rPr>
  </w:style>
  <w:style w:type="character" w:customStyle="1" w:styleId="15">
    <w:name w:val="批注文字 字符"/>
    <w:basedOn w:val="10"/>
    <w:link w:val="2"/>
    <w:autoRedefine/>
    <w:qFormat/>
    <w:uiPriority w:val="99"/>
    <w:rPr>
      <w:rFonts w:ascii="Times New Roman" w:hAnsi="Times New Roman" w:eastAsia="宋体" w:cs="Times New Roman"/>
      <w:kern w:val="2"/>
      <w:sz w:val="21"/>
      <w:szCs w:val="24"/>
    </w:rPr>
  </w:style>
  <w:style w:type="character" w:customStyle="1" w:styleId="16">
    <w:name w:val="批注主题 字符"/>
    <w:basedOn w:val="15"/>
    <w:link w:val="7"/>
    <w:autoRedefine/>
    <w:qFormat/>
    <w:uiPriority w:val="0"/>
    <w:rPr>
      <w:rFonts w:ascii="Times New Roman" w:hAnsi="Times New Roman" w:eastAsia="宋体" w:cs="Times New Roman"/>
      <w:b/>
      <w:bCs/>
      <w:kern w:val="2"/>
      <w:sz w:val="21"/>
      <w:szCs w:val="24"/>
    </w:rPr>
  </w:style>
  <w:style w:type="character" w:customStyle="1" w:styleId="17">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905</Words>
  <Characters>5160</Characters>
  <Lines>43</Lines>
  <Paragraphs>12</Paragraphs>
  <TotalTime>33</TotalTime>
  <ScaleCrop>false</ScaleCrop>
  <LinksUpToDate>false</LinksUpToDate>
  <CharactersWithSpaces>6053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2024-05-10T01:38:00Z</dcterms:created>
  <dc:creator>52601</dc:creator>
  <cp:lastModifiedBy>徐名峰</cp:lastModifiedBy>
  <dcterms:modified xsi:type="dcterms:W3CDTF">2024-05-16T08:54:42Z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FD805125A0FB41DD872DCC855197CAAB_13</vt:lpwstr>
  </property>
</Properties>
</file>