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ascii="Arial" w:hAnsi="宋体" w:cs="Arial"/>
          <w:b/>
          <w:bCs/>
          <w:color w:val="000000" w:themeColor="text1"/>
          <w:sz w:val="48"/>
          <w:szCs w:val="48"/>
          <w14:textFill>
            <w14:solidFill>
              <w14:schemeClr w14:val="tx1"/>
            </w14:solidFill>
          </w14:textFill>
        </w:rPr>
      </w:pPr>
      <w:r>
        <w:rPr>
          <w:rFonts w:hint="eastAsia" w:ascii="Arial" w:hAnsi="宋体" w:cs="Arial"/>
          <w:b/>
          <w:bCs/>
          <w:color w:val="000000" w:themeColor="text1"/>
          <w:sz w:val="48"/>
          <w:szCs w:val="48"/>
          <w14:textFill>
            <w14:solidFill>
              <w14:schemeClr w14:val="tx1"/>
            </w14:solidFill>
          </w14:textFill>
        </w:rPr>
        <w:t>中国美术学院</w:t>
      </w:r>
    </w:p>
    <w:p>
      <w:pPr>
        <w:spacing w:line="600" w:lineRule="auto"/>
        <w:ind w:firstLine="0" w:firstLineChars="0"/>
        <w:jc w:val="center"/>
        <w:rPr>
          <w:rFonts w:ascii="Arial" w:hAnsi="宋体" w:cs="Arial"/>
          <w:b/>
          <w:bCs/>
          <w:color w:val="000000" w:themeColor="text1"/>
          <w:sz w:val="48"/>
          <w:szCs w:val="48"/>
          <w14:textFill>
            <w14:solidFill>
              <w14:schemeClr w14:val="tx1"/>
            </w14:solidFill>
          </w14:textFill>
        </w:rPr>
      </w:pPr>
      <w:r>
        <w:rPr>
          <w:rFonts w:hint="eastAsia" w:ascii="Arial" w:hAnsi="宋体" w:cs="Arial"/>
          <w:b/>
          <w:bCs/>
          <w:color w:val="000000" w:themeColor="text1"/>
          <w:sz w:val="48"/>
          <w:szCs w:val="48"/>
          <w14:textFill>
            <w14:solidFill>
              <w14:schemeClr w14:val="tx1"/>
            </w14:solidFill>
          </w14:textFill>
        </w:rPr>
        <w:t>2021级本科新生教材采购(非政府）</w:t>
      </w:r>
    </w:p>
    <w:p>
      <w:pPr>
        <w:spacing w:line="600" w:lineRule="auto"/>
        <w:ind w:firstLine="964"/>
        <w:jc w:val="center"/>
        <w:rPr>
          <w:rFonts w:ascii="Arial" w:hAnsi="宋体" w:cs="Arial"/>
          <w:b/>
          <w:bCs/>
          <w:color w:val="000000" w:themeColor="text1"/>
          <w:sz w:val="48"/>
          <w:szCs w:val="48"/>
          <w14:textFill>
            <w14:solidFill>
              <w14:schemeClr w14:val="tx1"/>
            </w14:solidFill>
          </w14:textFill>
        </w:rPr>
      </w:pPr>
    </w:p>
    <w:p>
      <w:pPr>
        <w:snapToGrid w:val="0"/>
        <w:ind w:firstLine="1687"/>
        <w:jc w:val="center"/>
        <w:rPr>
          <w:rFonts w:ascii="Arial" w:hAnsi="宋体" w:cs="Arial"/>
          <w:b/>
          <w:color w:val="000000" w:themeColor="text1"/>
          <w:sz w:val="84"/>
          <w:szCs w:val="84"/>
          <w14:textFill>
            <w14:solidFill>
              <w14:schemeClr w14:val="tx1"/>
            </w14:solidFill>
          </w14:textFill>
        </w:rPr>
      </w:pPr>
    </w:p>
    <w:p>
      <w:pPr>
        <w:pStyle w:val="11"/>
        <w:ind w:firstLine="210"/>
        <w:rPr>
          <w:color w:val="000000" w:themeColor="text1"/>
          <w14:textFill>
            <w14:solidFill>
              <w14:schemeClr w14:val="tx1"/>
            </w14:solidFill>
          </w14:textFill>
        </w:rPr>
      </w:pPr>
    </w:p>
    <w:p>
      <w:pPr>
        <w:snapToGrid w:val="0"/>
        <w:ind w:firstLine="1687"/>
        <w:jc w:val="center"/>
        <w:rPr>
          <w:rFonts w:ascii="Arial" w:hAnsi="宋体" w:cs="Arial"/>
          <w:b/>
          <w:color w:val="000000" w:themeColor="text1"/>
          <w:sz w:val="84"/>
          <w:szCs w:val="84"/>
          <w14:textFill>
            <w14:solidFill>
              <w14:schemeClr w14:val="tx1"/>
            </w14:solidFill>
          </w14:textFill>
        </w:rPr>
      </w:pPr>
    </w:p>
    <w:p>
      <w:pPr>
        <w:snapToGrid w:val="0"/>
        <w:ind w:firstLine="0" w:firstLineChars="0"/>
        <w:jc w:val="center"/>
        <w:rPr>
          <w:rFonts w:ascii="Arial" w:hAnsi="Arial" w:cs="Arial"/>
          <w:b/>
          <w:color w:val="000000" w:themeColor="text1"/>
          <w:sz w:val="84"/>
          <w:szCs w:val="84"/>
          <w14:textFill>
            <w14:solidFill>
              <w14:schemeClr w14:val="tx1"/>
            </w14:solidFill>
          </w14:textFill>
        </w:rPr>
      </w:pPr>
      <w:r>
        <w:rPr>
          <w:rFonts w:hint="eastAsia" w:ascii="Arial" w:hAnsi="宋体" w:cs="Arial"/>
          <w:b/>
          <w:color w:val="000000" w:themeColor="text1"/>
          <w:sz w:val="84"/>
          <w:szCs w:val="84"/>
          <w14:textFill>
            <w14:solidFill>
              <w14:schemeClr w14:val="tx1"/>
            </w14:solidFill>
          </w14:textFill>
        </w:rPr>
        <w:t>招标文件</w:t>
      </w: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招标项目：2021级本科新生教材采购(非政府）</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招标编号：ZJXL-MY-202141</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标</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人：中国美术学院</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代理机构：浙江信镧建设工程咨询有限公司</w:t>
      </w:r>
    </w:p>
    <w:p>
      <w:pPr>
        <w:snapToGrid w:val="0"/>
        <w:ind w:firstLine="560"/>
        <w:rPr>
          <w:rFonts w:ascii="宋体" w:cs="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hint="eastAsia" w:ascii="宋体" w:hAnsi="宋体" w:cs="宋体"/>
          <w:color w:val="000000" w:themeColor="text1"/>
          <w:sz w:val="28"/>
          <w:szCs w:val="28"/>
          <w14:textFill>
            <w14:solidFill>
              <w14:schemeClr w14:val="tx1"/>
            </w14:solidFill>
          </w14:textFill>
        </w:rPr>
        <w:t>时</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间：二〇二一年八月</w:t>
      </w:r>
    </w:p>
    <w:p>
      <w:pPr>
        <w:pStyle w:val="36"/>
        <w:ind w:firstLine="422"/>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目录</w:t>
      </w:r>
    </w:p>
    <w:p>
      <w:pPr>
        <w:pStyle w:val="18"/>
        <w:tabs>
          <w:tab w:val="right" w:leader="dot" w:pos="8306"/>
          <w:tab w:val="clear" w:pos="8296"/>
        </w:tabs>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"1-2" \h \z \u </w:instrText>
      </w:r>
      <w:r>
        <w:rPr>
          <w:color w:val="000000" w:themeColor="text1"/>
          <w14:textFill>
            <w14:solidFill>
              <w14:schemeClr w14:val="tx1"/>
            </w14:solidFill>
          </w14:textFill>
        </w:rPr>
        <w:fldChar w:fldCharType="separate"/>
      </w:r>
      <w:r>
        <w:fldChar w:fldCharType="begin"/>
      </w:r>
      <w:r>
        <w:instrText xml:space="preserve"> HYPERLINK \l "_Toc11322" </w:instrText>
      </w:r>
      <w:r>
        <w:fldChar w:fldCharType="separate"/>
      </w:r>
      <w:r>
        <w:rPr>
          <w:rFonts w:hint="eastAsia"/>
          <w:color w:val="000000" w:themeColor="text1"/>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_Toc11322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"_Toc20977" </w:instrText>
      </w:r>
      <w:r>
        <w:fldChar w:fldCharType="separate"/>
      </w:r>
      <w:r>
        <w:rPr>
          <w:rFonts w:hint="eastAsia"/>
          <w:color w:val="000000" w:themeColor="text1"/>
          <w14:textFill>
            <w14:solidFill>
              <w14:schemeClr w14:val="tx1"/>
            </w14:solidFill>
          </w14:textFill>
        </w:rPr>
        <w:t>一</w:t>
      </w:r>
      <w:r>
        <w:rPr>
          <w:rFonts w:ascii="宋体"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招标项目编号：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_Toc20977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"_Toc8790" </w:instrText>
      </w:r>
      <w:r>
        <w:fldChar w:fldCharType="separate"/>
      </w:r>
      <w:r>
        <w:rPr>
          <w:rFonts w:hint="eastAsia"/>
          <w:color w:val="000000" w:themeColor="text1"/>
          <w14:textFill>
            <w14:solidFill>
              <w14:schemeClr w14:val="tx1"/>
            </w14:solidFill>
          </w14:textFill>
        </w:rPr>
        <w:t>二</w:t>
      </w:r>
      <w:r>
        <w:rPr>
          <w:rFonts w:ascii="宋体"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采购组织类型：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_Toc8790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"_Toc25279" </w:instrText>
      </w:r>
      <w:r>
        <w:fldChar w:fldCharType="separate"/>
      </w:r>
      <w:r>
        <w:rPr>
          <w:rFonts w:hint="eastAsia"/>
          <w:color w:val="000000" w:themeColor="text1"/>
          <w14:textFill>
            <w14:solidFill>
              <w14:schemeClr w14:val="tx1"/>
            </w14:solidFill>
          </w14:textFill>
        </w:rPr>
        <w:t>三</w:t>
      </w:r>
      <w:r>
        <w:rPr>
          <w:rFonts w:ascii="宋体"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招标项目概况：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_Toc25279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"_Toc27176" </w:instrText>
      </w:r>
      <w:r>
        <w:fldChar w:fldCharType="separate"/>
      </w:r>
      <w:r>
        <w:rPr>
          <w:rFonts w:hint="eastAsia"/>
          <w:color w:val="000000" w:themeColor="text1"/>
          <w14:textFill>
            <w14:solidFill>
              <w14:schemeClr w14:val="tx1"/>
            </w14:solidFill>
          </w14:textFill>
        </w:rPr>
        <w:t>四</w:t>
      </w:r>
      <w:r>
        <w:rPr>
          <w:rFonts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投标供应商资格要求：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_Toc27176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"_Toc8619" </w:instrText>
      </w:r>
      <w:r>
        <w:fldChar w:fldCharType="separate"/>
      </w:r>
      <w:r>
        <w:rPr>
          <w:rFonts w:hint="eastAsia"/>
          <w:color w:val="000000" w:themeColor="text1"/>
          <w14:textFill>
            <w14:solidFill>
              <w14:schemeClr w14:val="tx1"/>
            </w14:solidFill>
          </w14:textFill>
        </w:rPr>
        <w:t>五</w:t>
      </w:r>
      <w:r>
        <w:rPr>
          <w:rFonts w:ascii="宋体"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招标文件的</w:t>
      </w:r>
      <w:r>
        <w:rPr>
          <w:rFonts w:hint="eastAsia" w:ascii="宋体" w:hAnsi="宋体" w:cs="宋体"/>
          <w:color w:val="000000" w:themeColor="text1"/>
          <w:szCs w:val="21"/>
          <w14:textFill>
            <w14:solidFill>
              <w14:schemeClr w14:val="tx1"/>
            </w14:solidFill>
          </w14:textFill>
        </w:rPr>
        <w:t>获取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_Toc8619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"_Toc23259" </w:instrText>
      </w:r>
      <w:r>
        <w:fldChar w:fldCharType="separate"/>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投标截止时间</w:t>
      </w:r>
      <w:r>
        <w:rPr>
          <w:rFonts w:hint="eastAsia" w:ascii="宋体" w:hAnsi="宋体"/>
          <w:color w:val="000000" w:themeColor="text1"/>
          <w:szCs w:val="2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"_Toc25659" </w:instrText>
      </w:r>
      <w:r>
        <w:fldChar w:fldCharType="separate"/>
      </w:r>
      <w:r>
        <w:rPr>
          <w:rFonts w:hint="eastAsia"/>
          <w:color w:val="000000" w:themeColor="text1"/>
          <w14:textFill>
            <w14:solidFill>
              <w14:schemeClr w14:val="tx1"/>
            </w14:solidFill>
          </w14:textFill>
        </w:rPr>
        <w:t>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投标地址：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_Toc25659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"_Toc14599" </w:instrText>
      </w:r>
      <w:r>
        <w:fldChar w:fldCharType="separate"/>
      </w:r>
      <w:r>
        <w:rPr>
          <w:rFonts w:hint="eastAsia"/>
          <w:color w:val="000000" w:themeColor="text1"/>
          <w14:textFill>
            <w14:solidFill>
              <w14:schemeClr w14:val="tx1"/>
            </w14:solidFill>
          </w14:textFill>
        </w:rPr>
        <w:t>八</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开标时间：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_Toc14599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"_Toc28434" </w:instrText>
      </w:r>
      <w:r>
        <w:fldChar w:fldCharType="separate"/>
      </w:r>
      <w:r>
        <w:rPr>
          <w:rFonts w:hint="eastAsia"/>
          <w:color w:val="000000" w:themeColor="text1"/>
          <w14:textFill>
            <w14:solidFill>
              <w14:schemeClr w14:val="tx1"/>
            </w14:solidFill>
          </w14:textFill>
        </w:rPr>
        <w:t>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开标地址：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_Toc28434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"_Toc23631" </w:instrText>
      </w:r>
      <w:r>
        <w:fldChar w:fldCharType="separate"/>
      </w:r>
      <w:r>
        <w:rPr>
          <w:rFonts w:hint="eastAsia"/>
          <w:color w:val="000000" w:themeColor="text1"/>
          <w14:textFill>
            <w14:solidFill>
              <w14:schemeClr w14:val="tx1"/>
            </w14:solidFill>
          </w14:textFill>
        </w:rPr>
        <w:t>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其他事项：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_Toc23631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"_Toc11499" </w:instrText>
      </w:r>
      <w:r>
        <w:fldChar w:fldCharType="separate"/>
      </w:r>
      <w:r>
        <w:rPr>
          <w:rFonts w:hint="eastAsia"/>
          <w:color w:val="000000" w:themeColor="text1"/>
          <w14:textFill>
            <w14:solidFill>
              <w14:schemeClr w14:val="tx1"/>
            </w14:solidFill>
          </w14:textFill>
        </w:rPr>
        <w:t>十一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"_Toc24270" </w:instrText>
      </w:r>
      <w:r>
        <w:fldChar w:fldCharType="separate"/>
      </w:r>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_Toc24270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"_Toc22516" </w:instrText>
      </w:r>
      <w:r>
        <w:fldChar w:fldCharType="separate"/>
      </w:r>
      <w:r>
        <w:rPr>
          <w:rFonts w:hint="eastAsia"/>
          <w:color w:val="000000" w:themeColor="text1"/>
          <w14:textFill>
            <w14:solidFill>
              <w14:schemeClr w14:val="tx1"/>
            </w14:solidFill>
          </w14:textFill>
        </w:rPr>
        <w:t>投标人须知前附表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_Toc22516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"_Toc4677" </w:instrText>
      </w:r>
      <w: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_Toc4677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"_Toc15222" </w:instrText>
      </w:r>
      <w: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招标文件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_Toc15222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"_Toc6949" </w:instrText>
      </w:r>
      <w: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投标文件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_Toc6949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"_Toc32582" </w:instrText>
      </w:r>
      <w: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投标文件的提交</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_Toc32582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"_Toc19078" </w:instrText>
      </w:r>
      <w:r>
        <w:fldChar w:fldCharType="separate"/>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开标、评标及合同签订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"_Toc15946" </w:instrText>
      </w:r>
      <w:r>
        <w:fldChar w:fldCharType="separate"/>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_Toc15946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"_Toc27942" </w:instrText>
      </w:r>
      <w:r>
        <w:fldChar w:fldCharType="separate"/>
      </w:r>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招标项目简介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_Toc27942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"_Toc25099" </w:instrText>
      </w:r>
      <w: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招标项目简介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_Toc25099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"_Toc24351" </w:instrText>
      </w:r>
      <w: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招标项目一览表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"_Toc29712" </w:instrText>
      </w:r>
      <w:r>
        <w:fldChar w:fldCharType="separate"/>
      </w:r>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招标项目技术规范和服务要求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_Toc29712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"_Toc29287" </w:instrText>
      </w:r>
      <w: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相关法规、管理条例与技术标准、行业规范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_Toc29287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"_Toc23251" </w:instrText>
      </w:r>
      <w: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具体要求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_Toc23251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"_Toc26216" </w:instrText>
      </w:r>
      <w:r>
        <w:fldChar w:fldCharType="separate"/>
      </w: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招标项目商务要求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_Toc26216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"_Toc26508" </w:instrText>
      </w:r>
      <w:r>
        <w:fldChar w:fldCharType="separate"/>
      </w:r>
      <w:r>
        <w:rPr>
          <w:rFonts w:hint="eastAsia" w:ascii="宋体" w:hAnsi="宋体" w:cs="宋体"/>
          <w:bCs/>
          <w:color w:val="000000" w:themeColor="text1"/>
          <w:szCs w:val="21"/>
          <w14:textFill>
            <w14:solidFill>
              <w14:schemeClr w14:val="tx1"/>
            </w14:solidFill>
          </w14:textFill>
        </w:rPr>
        <w:t>1供货期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_Toc26508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"_Toc24873" </w:instrText>
      </w:r>
      <w:r>
        <w:fldChar w:fldCharType="separate"/>
      </w:r>
      <w:r>
        <w:rPr>
          <w:rFonts w:hint="eastAsia" w:ascii="宋体" w:hAnsi="宋体" w:cs="宋体"/>
          <w:bCs/>
          <w:color w:val="000000" w:themeColor="text1"/>
          <w:szCs w:val="21"/>
          <w14:textFill>
            <w14:solidFill>
              <w14:schemeClr w14:val="tx1"/>
            </w14:solidFill>
          </w14:textFill>
        </w:rPr>
        <w:t>2质保期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_Toc24873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"_Toc807" </w:instrText>
      </w:r>
      <w:r>
        <w:fldChar w:fldCharType="separate"/>
      </w:r>
      <w:r>
        <w:rPr>
          <w:rFonts w:hint="eastAsia" w:ascii="宋体" w:hAnsi="宋体" w:cs="宋体"/>
          <w:bCs/>
          <w:color w:val="000000" w:themeColor="text1"/>
          <w:szCs w:val="21"/>
          <w14:textFill>
            <w14:solidFill>
              <w14:schemeClr w14:val="tx1"/>
            </w14:solidFill>
          </w14:textFill>
        </w:rPr>
        <w:t>3保存和运输要求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_Toc807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"_Toc7900" </w:instrText>
      </w:r>
      <w:r>
        <w:fldChar w:fldCharType="separate"/>
      </w:r>
      <w:r>
        <w:rPr>
          <w:rFonts w:hint="eastAsia" w:ascii="宋体" w:hAnsi="宋体" w:cs="宋体"/>
          <w:bCs/>
          <w:color w:val="000000" w:themeColor="text1"/>
          <w:szCs w:val="21"/>
          <w14:textFill>
            <w14:solidFill>
              <w14:schemeClr w14:val="tx1"/>
            </w14:solidFill>
          </w14:textFill>
        </w:rPr>
        <w:t>4验收标准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"_Toc31778" </w:instrText>
      </w:r>
      <w:r>
        <w:fldChar w:fldCharType="separate"/>
      </w:r>
      <w:r>
        <w:rPr>
          <w:rFonts w:hint="eastAsia" w:ascii="宋体" w:hAnsi="宋体" w:cs="宋体"/>
          <w:bCs/>
          <w:color w:val="000000" w:themeColor="text1"/>
          <w:szCs w:val="21"/>
          <w14:textFill>
            <w14:solidFill>
              <w14:schemeClr w14:val="tx1"/>
            </w14:solidFill>
          </w14:textFill>
        </w:rPr>
        <w:t>5售后服务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_Toc31778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"_Toc29394" </w:instrText>
      </w:r>
      <w:r>
        <w:fldChar w:fldCharType="separate"/>
      </w:r>
      <w:r>
        <w:rPr>
          <w:rFonts w:hint="eastAsia" w:ascii="宋体" w:hAnsi="宋体" w:cs="宋体"/>
          <w:bCs/>
          <w:color w:val="000000" w:themeColor="text1"/>
          <w:szCs w:val="21"/>
          <w14:textFill>
            <w14:solidFill>
              <w14:schemeClr w14:val="tx1"/>
            </w14:solidFill>
          </w14:textFill>
        </w:rPr>
        <w:t>6履约保证金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_Toc29394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"_Toc17447" </w:instrText>
      </w:r>
      <w:r>
        <w:fldChar w:fldCharType="separate"/>
      </w:r>
      <w:r>
        <w:rPr>
          <w:rFonts w:hint="eastAsia" w:ascii="宋体" w:hAnsi="宋体" w:cs="宋体"/>
          <w:bCs/>
          <w:color w:val="000000" w:themeColor="text1"/>
          <w:szCs w:val="21"/>
          <w14:textFill>
            <w14:solidFill>
              <w14:schemeClr w14:val="tx1"/>
            </w14:solidFill>
          </w14:textFill>
        </w:rPr>
        <w:t>7付款方式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_Toc17447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"_Toc19751" </w:instrText>
      </w:r>
      <w:r>
        <w:fldChar w:fldCharType="separate"/>
      </w:r>
      <w:r>
        <w:rPr>
          <w:rFonts w:hint="eastAsia"/>
          <w:color w:val="000000" w:themeColor="text1"/>
          <w14:textFill>
            <w14:solidFill>
              <w14:schemeClr w14:val="tx1"/>
            </w14:solidFill>
          </w14:textFill>
        </w:rPr>
        <w:t>第五章合同格式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_Toc19751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ind w:left="0" w:left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第六章</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投标文件内容及格式</w:t>
      </w:r>
    </w:p>
    <w:p>
      <w:pPr>
        <w:pStyle w:val="19"/>
        <w:tabs>
          <w:tab w:val="right" w:leader="dot" w:pos="8306"/>
          <w:tab w:val="clear" w:pos="8296"/>
        </w:tabs>
        <w:ind w:left="0" w:leftChars="0" w:firstLine="420" w:firstLineChars="200"/>
        <w:rPr>
          <w:color w:val="000000" w:themeColor="text1"/>
          <w14:textFill>
            <w14:solidFill>
              <w14:schemeClr w14:val="tx1"/>
            </w14:solidFill>
          </w14:textFill>
        </w:rPr>
      </w:pPr>
      <w:r>
        <w:fldChar w:fldCharType="begin"/>
      </w:r>
      <w:r>
        <w:instrText xml:space="preserve"> HYPERLINK \l "_Toc9113" </w:instrText>
      </w:r>
      <w: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投标人提交投标文件须知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_Toc9113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"_Toc21150" </w:instrText>
      </w:r>
      <w: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投标文件组成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_Toc21150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"_Toc23154" </w:instrText>
      </w:r>
      <w: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投标文件编制格式及规范要求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_Toc23154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8"/>
        <w:tabs>
          <w:tab w:val="right" w:leader="dot" w:pos="8306"/>
          <w:tab w:val="clear" w:pos="8296"/>
        </w:tabs>
        <w:rPr>
          <w:color w:val="000000" w:themeColor="text1"/>
          <w14:textFill>
            <w14:solidFill>
              <w14:schemeClr w14:val="tx1"/>
            </w14:solidFill>
          </w14:textFill>
        </w:rPr>
      </w:pPr>
      <w:r>
        <w:fldChar w:fldCharType="begin"/>
      </w:r>
      <w:r>
        <w:instrText xml:space="preserve"> HYPERLINK \l "_Toc16513" </w:instrText>
      </w:r>
      <w:r>
        <w:fldChar w:fldCharType="separate"/>
      </w:r>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_Toc16513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"_Toc8480" </w:instrText>
      </w:r>
      <w:r>
        <w:fldChar w:fldCharType="separate"/>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_Toc8480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"_Toc25745" </w:instrText>
      </w:r>
      <w:r>
        <w:fldChar w:fldCharType="separate"/>
      </w:r>
      <w:r>
        <w:rPr>
          <w:color w:val="000000" w:themeColor="text1"/>
          <w14:textFill>
            <w14:solidFill>
              <w14:schemeClr w14:val="tx1"/>
            </w14:solidFill>
          </w14:textFill>
        </w:rPr>
        <w:t>2</w:t>
      </w:r>
      <w:r>
        <w:rPr>
          <w:rFonts w:hint="eastAsia"/>
          <w:color w:val="000000" w:themeColor="text1"/>
          <w14:textFill>
            <w14:solidFill>
              <w14:schemeClr w14:val="tx1"/>
            </w14:solidFill>
          </w14:textFill>
        </w:rPr>
        <w:t>评标组织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_Toc25745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"_Toc20806" </w:instrText>
      </w:r>
      <w:r>
        <w:fldChar w:fldCharType="separate"/>
      </w:r>
      <w:r>
        <w:rPr>
          <w:color w:val="000000" w:themeColor="text1"/>
          <w14:textFill>
            <w14:solidFill>
              <w14:schemeClr w14:val="tx1"/>
            </w14:solidFill>
          </w14:textFill>
        </w:rPr>
        <w:t>3</w:t>
      </w:r>
      <w:r>
        <w:rPr>
          <w:rFonts w:hint="eastAsia"/>
          <w:color w:val="000000" w:themeColor="text1"/>
          <w14:textFill>
            <w14:solidFill>
              <w14:schemeClr w14:val="tx1"/>
            </w14:solidFill>
          </w14:textFill>
        </w:rPr>
        <w:t>评标程序和内容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_Toc20806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"_Toc28987" </w:instrText>
      </w:r>
      <w:r>
        <w:fldChar w:fldCharType="separate"/>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投标文件的审查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_Toc28987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"_Toc32142" </w:instrText>
      </w:r>
      <w:r>
        <w:fldChar w:fldCharType="separate"/>
      </w:r>
      <w:r>
        <w:rPr>
          <w:color w:val="000000" w:themeColor="text1"/>
          <w14:textFill>
            <w14:solidFill>
              <w14:schemeClr w14:val="tx1"/>
            </w14:solidFill>
          </w14:textFill>
        </w:rPr>
        <w:t>5</w:t>
      </w:r>
      <w:r>
        <w:rPr>
          <w:rFonts w:hint="eastAsia"/>
          <w:color w:val="000000" w:themeColor="text1"/>
          <w14:textFill>
            <w14:solidFill>
              <w14:schemeClr w14:val="tx1"/>
            </w14:solidFill>
          </w14:textFill>
        </w:rPr>
        <w:t>评标细则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_Toc32142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"_Toc28055" </w:instrText>
      </w:r>
      <w:r>
        <w:fldChar w:fldCharType="separate"/>
      </w:r>
      <w:r>
        <w:rPr>
          <w:color w:val="000000" w:themeColor="text1"/>
          <w14:textFill>
            <w14:solidFill>
              <w14:schemeClr w14:val="tx1"/>
            </w14:solidFill>
          </w14:textFill>
        </w:rPr>
        <w:t>6</w:t>
      </w:r>
      <w:r>
        <w:rPr>
          <w:rFonts w:hint="eastAsia"/>
          <w:color w:val="000000" w:themeColor="text1"/>
          <w14:textFill>
            <w14:solidFill>
              <w14:schemeClr w14:val="tx1"/>
            </w14:solidFill>
          </w14:textFill>
        </w:rPr>
        <w:t>评审报告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_Toc28055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9"/>
        <w:tabs>
          <w:tab w:val="right" w:leader="dot" w:pos="8306"/>
          <w:tab w:val="clear" w:pos="8296"/>
        </w:tabs>
        <w:rPr>
          <w:color w:val="000000" w:themeColor="text1"/>
          <w14:textFill>
            <w14:solidFill>
              <w14:schemeClr w14:val="tx1"/>
            </w14:solidFill>
          </w14:textFill>
        </w:rPr>
      </w:pPr>
      <w:r>
        <w:fldChar w:fldCharType="begin"/>
      </w:r>
      <w:r>
        <w:instrText xml:space="preserve"> HYPERLINK \l "_Toc4334" </w:instrText>
      </w:r>
      <w:r>
        <w:fldChar w:fldCharType="separate"/>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定标办法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_Toc4334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ind w:firstLine="420"/>
        <w:rPr>
          <w:color w:val="000000" w:themeColor="text1"/>
          <w:lang w:val="zh-CN"/>
          <w14:textFill>
            <w14:solidFill>
              <w14:schemeClr w14:val="tx1"/>
            </w14:solidFill>
          </w14:textFill>
        </w:rPr>
      </w:pPr>
      <w:r>
        <w:rPr>
          <w:color w:val="000000" w:themeColor="text1"/>
          <w14:textFill>
            <w14:solidFill>
              <w14:schemeClr w14:val="tx1"/>
            </w14:solidFill>
          </w14:textFill>
        </w:rPr>
        <w:fldChar w:fldCharType="end"/>
      </w:r>
    </w:p>
    <w:p>
      <w:pPr>
        <w:ind w:firstLine="420"/>
        <w:rPr>
          <w:color w:val="000000" w:themeColor="text1"/>
          <w14:textFill>
            <w14:solidFill>
              <w14:schemeClr w14:val="tx1"/>
            </w14:solidFill>
          </w14:textFill>
        </w:rPr>
      </w:pPr>
    </w:p>
    <w:p>
      <w:pPr>
        <w:snapToGrid w:val="0"/>
        <w:ind w:firstLine="560"/>
        <w:rPr>
          <w:rFonts w:ascii="宋体" w:cs="宋体"/>
          <w:color w:val="000000" w:themeColor="text1"/>
          <w:sz w:val="28"/>
          <w:szCs w:val="28"/>
          <w14:textFill>
            <w14:solidFill>
              <w14:schemeClr w14:val="tx1"/>
            </w14:solidFill>
          </w14:textFill>
        </w:rPr>
        <w:sectPr>
          <w:headerReference r:id="rId11" w:type="default"/>
          <w:footerReference r:id="rId13" w:type="default"/>
          <w:headerReference r:id="rId12" w:type="even"/>
          <w:footerReference r:id="rId14" w:type="even"/>
          <w:pgSz w:w="11906" w:h="16838"/>
          <w:pgMar w:top="1440" w:right="1800" w:bottom="1440" w:left="1800" w:header="851" w:footer="992" w:gutter="0"/>
          <w:pgNumType w:fmt="upperRoman" w:start="1"/>
          <w:cols w:space="720" w:num="1"/>
          <w:docGrid w:type="lines" w:linePitch="312" w:charSpace="0"/>
        </w:sectPr>
      </w:pPr>
    </w:p>
    <w:p>
      <w:pPr>
        <w:widowControl/>
        <w:shd w:val="clear" w:color="auto" w:fill="FDFAF5"/>
        <w:ind w:firstLine="0" w:firstLineChars="0"/>
        <w:jc w:val="center"/>
        <w:rPr>
          <w:rFonts w:ascii="Arial" w:hAnsi="Arial" w:cs="Arial"/>
          <w:b/>
          <w:bCs/>
          <w:color w:val="000000" w:themeColor="text1"/>
          <w:kern w:val="0"/>
          <w:sz w:val="24"/>
          <w14:textFill>
            <w14:solidFill>
              <w14:schemeClr w14:val="tx1"/>
            </w14:solidFill>
          </w14:textFill>
        </w:rPr>
      </w:pPr>
      <w:bookmarkStart w:id="0" w:name="_Toc452457411"/>
      <w:r>
        <w:rPr>
          <w:rFonts w:hint="eastAsia" w:ascii="Arial" w:hAnsi="Arial" w:cs="Arial"/>
          <w:b/>
          <w:bCs/>
          <w:color w:val="000000" w:themeColor="text1"/>
          <w:kern w:val="0"/>
          <w:sz w:val="24"/>
          <w14:textFill>
            <w14:solidFill>
              <w14:schemeClr w14:val="tx1"/>
            </w14:solidFill>
          </w14:textFill>
        </w:rPr>
        <w:t>浙江信镧建设工程咨询有限公司</w:t>
      </w:r>
    </w:p>
    <w:p>
      <w:pPr>
        <w:widowControl/>
        <w:shd w:val="clear" w:color="auto" w:fill="FDFAF5"/>
        <w:ind w:firstLine="0" w:firstLineChars="0"/>
        <w:jc w:val="center"/>
        <w:rPr>
          <w:rFonts w:ascii="Arial" w:hAnsi="Arial" w:cs="Arial"/>
          <w:b/>
          <w:bCs/>
          <w:color w:val="000000" w:themeColor="text1"/>
          <w:kern w:val="0"/>
          <w:sz w:val="24"/>
          <w14:textFill>
            <w14:solidFill>
              <w14:schemeClr w14:val="tx1"/>
            </w14:solidFill>
          </w14:textFill>
        </w:rPr>
      </w:pPr>
      <w:r>
        <w:rPr>
          <w:rFonts w:hint="eastAsia" w:ascii="Arial" w:hAnsi="Arial" w:cs="Arial"/>
          <w:b/>
          <w:bCs/>
          <w:color w:val="000000" w:themeColor="text1"/>
          <w:kern w:val="0"/>
          <w:sz w:val="24"/>
          <w14:textFill>
            <w14:solidFill>
              <w14:schemeClr w14:val="tx1"/>
            </w14:solidFill>
          </w14:textFill>
        </w:rPr>
        <w:t>关于中国美术学院2021级本科新生教材采购(非政府）采购的</w:t>
      </w:r>
    </w:p>
    <w:p>
      <w:pPr>
        <w:pStyle w:val="3"/>
        <w:ind w:firstLine="0" w:firstLineChars="0"/>
        <w:rPr>
          <w:color w:val="000000" w:themeColor="text1"/>
          <w:kern w:val="0"/>
          <w14:textFill>
            <w14:solidFill>
              <w14:schemeClr w14:val="tx1"/>
            </w14:solidFill>
          </w14:textFill>
        </w:rPr>
      </w:pPr>
      <w:bookmarkStart w:id="1" w:name="_Toc11322"/>
      <w:r>
        <w:rPr>
          <w:rStyle w:val="28"/>
          <w:rFonts w:hint="eastAsia"/>
          <w:b/>
          <w:color w:val="000000" w:themeColor="text1"/>
          <w:sz w:val="24"/>
          <w14:textFill>
            <w14:solidFill>
              <w14:schemeClr w14:val="tx1"/>
            </w14:solidFill>
          </w14:textFill>
        </w:rPr>
        <w:t>招标公告</w:t>
      </w:r>
      <w:bookmarkEnd w:id="1"/>
    </w:p>
    <w:p>
      <w:pPr>
        <w:ind w:firstLine="420"/>
        <w:rPr>
          <w:rFonts w:ascii="黑体" w:eastAsia="黑体"/>
          <w:b/>
          <w:color w:val="000000" w:themeColor="text1"/>
          <w14:textFill>
            <w14:solidFill>
              <w14:schemeClr w14:val="tx1"/>
            </w14:solidFill>
          </w14:textFill>
        </w:rPr>
      </w:pPr>
      <w:r>
        <w:rPr>
          <w:rFonts w:hint="eastAsia"/>
          <w:color w:val="000000" w:themeColor="text1"/>
          <w14:textFill>
            <w14:solidFill>
              <w14:schemeClr w14:val="tx1"/>
            </w14:solidFill>
          </w14:textFill>
        </w:rPr>
        <w:t>参照《中华人民共和国政府采购法》等有关规定，中国美术学院就2021级本科新生教材采购(非政府）进行公开招标，欢迎国内合格的供应商前来投标。</w:t>
      </w:r>
    </w:p>
    <w:p>
      <w:pPr>
        <w:pStyle w:val="4"/>
        <w:rPr>
          <w:vanish/>
          <w:color w:val="000000" w:themeColor="text1"/>
          <w14:textFill>
            <w14:solidFill>
              <w14:schemeClr w14:val="tx1"/>
            </w14:solidFill>
          </w14:textFill>
        </w:rPr>
      </w:pPr>
      <w:bookmarkStart w:id="2" w:name="B10_招标内容"/>
      <w:bookmarkEnd w:id="2"/>
      <w:bookmarkStart w:id="3" w:name="_Toc20977"/>
      <w:r>
        <w:rPr>
          <w:rFonts w:hint="eastAsia"/>
          <w:color w:val="000000" w:themeColor="text1"/>
          <w14:textFill>
            <w14:solidFill>
              <w14:schemeClr w14:val="tx1"/>
            </w14:solidFill>
          </w14:textFill>
        </w:rPr>
        <w:t>一</w:t>
      </w:r>
      <w:r>
        <w:rPr>
          <w:rStyle w:val="24"/>
          <w:rFonts w:ascii="宋体" w:cs="宋体"/>
          <w:b/>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招标项目编号</w:t>
      </w:r>
      <w:bookmarkStart w:id="4" w:name="B08_项目编号"/>
      <w:r>
        <w:rPr>
          <w:rFonts w:hint="eastAsia"/>
          <w:color w:val="000000" w:themeColor="text1"/>
          <w14:textFill>
            <w14:solidFill>
              <w14:schemeClr w14:val="tx1"/>
            </w14:solidFill>
          </w14:textFill>
        </w:rPr>
        <w:t>：</w:t>
      </w:r>
      <w:bookmarkEnd w:id="3"/>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 </w:t>
      </w:r>
      <w:bookmarkEnd w:id="4"/>
      <w:r>
        <w:rPr>
          <w:rFonts w:hint="eastAsia"/>
          <w:color w:val="000000" w:themeColor="text1"/>
          <w14:textFill>
            <w14:solidFill>
              <w14:schemeClr w14:val="tx1"/>
            </w14:solidFill>
          </w14:textFill>
        </w:rPr>
        <w:t>ZJXL-MY-202141</w:t>
      </w:r>
    </w:p>
    <w:p>
      <w:pPr>
        <w:pStyle w:val="4"/>
        <w:rPr>
          <w:vanish/>
          <w:color w:val="000000" w:themeColor="text1"/>
          <w14:textFill>
            <w14:solidFill>
              <w14:schemeClr w14:val="tx1"/>
            </w14:solidFill>
          </w14:textFill>
        </w:rPr>
      </w:pPr>
      <w:bookmarkStart w:id="5" w:name="_Toc8790"/>
      <w:r>
        <w:rPr>
          <w:rFonts w:hint="eastAsia"/>
          <w:color w:val="000000" w:themeColor="text1"/>
          <w14:textFill>
            <w14:solidFill>
              <w14:schemeClr w14:val="tx1"/>
            </w14:solidFill>
          </w14:textFill>
        </w:rPr>
        <w:t>二</w:t>
      </w:r>
      <w:r>
        <w:rPr>
          <w:rStyle w:val="24"/>
          <w:rFonts w:ascii="宋体" w:cs="宋体"/>
          <w:b/>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采购组织类型：</w:t>
      </w:r>
      <w:bookmarkEnd w:id="5"/>
    </w:p>
    <w:p>
      <w:pPr>
        <w:ind w:firstLine="420"/>
        <w:rPr>
          <w:color w:val="000000" w:themeColor="text1"/>
          <w14:textFill>
            <w14:solidFill>
              <w14:schemeClr w14:val="tx1"/>
            </w14:solidFill>
          </w14:textFill>
        </w:rPr>
      </w:pPr>
      <w:bookmarkStart w:id="6" w:name="B09_采购组织类型"/>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分散采购委托代理</w:t>
      </w:r>
      <w:bookmarkEnd w:id="6"/>
    </w:p>
    <w:p>
      <w:pPr>
        <w:pStyle w:val="4"/>
        <w:rPr>
          <w:color w:val="000000" w:themeColor="text1"/>
          <w14:textFill>
            <w14:solidFill>
              <w14:schemeClr w14:val="tx1"/>
            </w14:solidFill>
          </w14:textFill>
        </w:rPr>
      </w:pPr>
      <w:bookmarkStart w:id="7" w:name="_Toc25279"/>
      <w:r>
        <w:rPr>
          <w:rFonts w:hint="eastAsia"/>
          <w:color w:val="000000" w:themeColor="text1"/>
          <w14:textFill>
            <w14:solidFill>
              <w14:schemeClr w14:val="tx1"/>
            </w14:solidFill>
          </w14:textFill>
        </w:rPr>
        <w:t>三</w:t>
      </w:r>
      <w:r>
        <w:rPr>
          <w:rStyle w:val="24"/>
          <w:rFonts w:ascii="宋体" w:cs="宋体"/>
          <w:b/>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招标项目概况：</w:t>
      </w:r>
      <w:bookmarkEnd w:id="7"/>
    </w:p>
    <w:tbl>
      <w:tblPr>
        <w:tblStyle w:val="22"/>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869"/>
        <w:gridCol w:w="795"/>
        <w:gridCol w:w="735"/>
        <w:gridCol w:w="1425"/>
        <w:gridCol w:w="2298"/>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标项</w:t>
            </w:r>
          </w:p>
        </w:tc>
        <w:tc>
          <w:tcPr>
            <w:tcW w:w="1869"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标项内容</w:t>
            </w:r>
          </w:p>
        </w:tc>
        <w:tc>
          <w:tcPr>
            <w:tcW w:w="795"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数量</w:t>
            </w:r>
          </w:p>
        </w:tc>
        <w:tc>
          <w:tcPr>
            <w:tcW w:w="735"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单位</w:t>
            </w:r>
          </w:p>
        </w:tc>
        <w:tc>
          <w:tcPr>
            <w:tcW w:w="1425" w:type="dxa"/>
            <w:vAlign w:val="center"/>
          </w:tcPr>
          <w:p>
            <w:pPr>
              <w:pStyle w:val="13"/>
              <w:snapToGrid w:val="0"/>
              <w:spacing w:line="360" w:lineRule="auto"/>
              <w:ind w:firstLine="0" w:firstLineChars="0"/>
              <w:jc w:val="center"/>
              <w:rPr>
                <w:rFonts w:hAnsi="宋体" w:cs="宋体"/>
                <w:color w:val="000000" w:themeColor="text1"/>
                <w:spacing w:val="0"/>
                <w:sz w:val="21"/>
                <w:szCs w:val="21"/>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预算金额</w:t>
            </w:r>
          </w:p>
          <w:p>
            <w:pPr>
              <w:pStyle w:val="13"/>
              <w:snapToGrid w:val="0"/>
              <w:spacing w:line="360" w:lineRule="auto"/>
              <w:ind w:firstLine="0" w:firstLineChars="0"/>
              <w:jc w:val="center"/>
              <w:rPr>
                <w:rFonts w:hAnsi="宋体" w:cs="宋体"/>
                <w:color w:val="000000" w:themeColor="text1"/>
                <w:spacing w:val="0"/>
                <w:sz w:val="21"/>
                <w:szCs w:val="21"/>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（万元）</w:t>
            </w:r>
          </w:p>
        </w:tc>
        <w:tc>
          <w:tcPr>
            <w:tcW w:w="2298" w:type="dxa"/>
            <w:vAlign w:val="center"/>
          </w:tcPr>
          <w:p>
            <w:pPr>
              <w:pStyle w:val="13"/>
              <w:snapToGrid w:val="0"/>
              <w:spacing w:line="360" w:lineRule="auto"/>
              <w:ind w:firstLine="0" w:firstLineChars="0"/>
              <w:jc w:val="center"/>
              <w:rPr>
                <w:rFonts w:hAnsi="宋体" w:cs="宋体"/>
                <w:color w:val="000000" w:themeColor="text1"/>
                <w:spacing w:val="0"/>
                <w:sz w:val="21"/>
                <w:szCs w:val="21"/>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简要技术</w:t>
            </w:r>
          </w:p>
          <w:p>
            <w:pPr>
              <w:pStyle w:val="13"/>
              <w:snapToGrid w:val="0"/>
              <w:spacing w:line="360" w:lineRule="auto"/>
              <w:ind w:firstLine="0" w:firstLineChars="0"/>
              <w:jc w:val="center"/>
              <w:rPr>
                <w:rFonts w:hAnsi="宋体" w:cs="宋体"/>
                <w:color w:val="000000" w:themeColor="text1"/>
                <w:spacing w:val="0"/>
                <w:sz w:val="21"/>
                <w:szCs w:val="21"/>
                <w14:textFill>
                  <w14:solidFill>
                    <w14:schemeClr w14:val="tx1"/>
                  </w14:solidFill>
                </w14:textFill>
              </w:rPr>
            </w:pPr>
            <w:r>
              <w:rPr>
                <w:rFonts w:hint="eastAsia" w:hAnsi="宋体" w:cs="宋体"/>
                <w:color w:val="000000" w:themeColor="text1"/>
                <w:spacing w:val="0"/>
                <w:sz w:val="21"/>
                <w:szCs w:val="21"/>
                <w14:textFill>
                  <w14:solidFill>
                    <w14:schemeClr w14:val="tx1"/>
                  </w14:solidFill>
                </w14:textFill>
              </w:rPr>
              <w:t>要求、用途</w:t>
            </w:r>
          </w:p>
        </w:tc>
        <w:tc>
          <w:tcPr>
            <w:tcW w:w="984" w:type="dxa"/>
            <w:vAlign w:val="center"/>
          </w:tcPr>
          <w:p>
            <w:pPr>
              <w:widowControl/>
              <w:ind w:firstLine="0" w:firstLineChars="0"/>
              <w:jc w:val="left"/>
              <w:rPr>
                <w:rFonts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最高限价</w:t>
            </w:r>
            <w:r>
              <w:rPr>
                <w:rFonts w:hint="eastAsia" w:ascii="宋体" w:hAnsi="宋体"/>
                <w:color w:val="000000" w:themeColor="text1"/>
                <w:szCs w:val="21"/>
                <w14:textFill>
                  <w14:solidFill>
                    <w14:schemeClr w14:val="tx1"/>
                  </w14:solidFill>
                </w14:textFill>
              </w:rPr>
              <w:t>(折扣率)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w:t>
            </w:r>
          </w:p>
        </w:tc>
        <w:tc>
          <w:tcPr>
            <w:tcW w:w="1869" w:type="dxa"/>
            <w:vAlign w:val="center"/>
          </w:tcPr>
          <w:p>
            <w:pPr>
              <w:pStyle w:val="5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2021级本科新生教材采购(非政府）</w:t>
            </w:r>
          </w:p>
        </w:tc>
        <w:tc>
          <w:tcPr>
            <w:tcW w:w="795" w:type="dxa"/>
            <w:vAlign w:val="center"/>
          </w:tcPr>
          <w:p>
            <w:pPr>
              <w:pStyle w:val="5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w:t>
            </w:r>
          </w:p>
        </w:tc>
        <w:tc>
          <w:tcPr>
            <w:tcW w:w="735" w:type="dxa"/>
            <w:vAlign w:val="center"/>
          </w:tcPr>
          <w:p>
            <w:pPr>
              <w:pStyle w:val="5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批</w:t>
            </w:r>
          </w:p>
        </w:tc>
        <w:tc>
          <w:tcPr>
            <w:tcW w:w="1425" w:type="dxa"/>
            <w:vAlign w:val="center"/>
          </w:tcPr>
          <w:p>
            <w:pPr>
              <w:pStyle w:val="50"/>
              <w:spacing w:line="360" w:lineRule="auto"/>
              <w:jc w:val="center"/>
              <w:rPr>
                <w:rFonts w:hint="default" w:hAnsi="宋体" w:cs="宋体"/>
                <w:color w:val="000000" w:themeColor="text1"/>
                <w:szCs w:val="21"/>
                <w14:textFill>
                  <w14:solidFill>
                    <w14:schemeClr w14:val="tx1"/>
                  </w14:solidFill>
                </w14:textFill>
              </w:rPr>
            </w:pPr>
            <w:r>
              <w:rPr>
                <w:rFonts w:hAnsi="宋体" w:cs="宋体"/>
                <w:color w:val="000000" w:themeColor="text1"/>
                <w:szCs w:val="21"/>
                <w14:textFill>
                  <w14:solidFill>
                    <w14:schemeClr w14:val="tx1"/>
                  </w14:solidFill>
                </w14:textFill>
              </w:rPr>
              <w:t>190万元</w:t>
            </w:r>
          </w:p>
        </w:tc>
        <w:tc>
          <w:tcPr>
            <w:tcW w:w="2298" w:type="dxa"/>
            <w:vAlign w:val="center"/>
          </w:tcPr>
          <w:p>
            <w:pPr>
              <w:pStyle w:val="50"/>
              <w:snapToGrid w:val="0"/>
              <w:spacing w:line="360" w:lineRule="auto"/>
              <w:jc w:val="center"/>
              <w:rPr>
                <w:rFonts w:hint="default" w:hAnsi="宋体" w:cs="宋体"/>
                <w:color w:val="000000" w:themeColor="text1"/>
                <w:szCs w:val="21"/>
                <w14:textFill>
                  <w14:solidFill>
                    <w14:schemeClr w14:val="tx1"/>
                  </w14:solidFill>
                </w14:textFill>
              </w:rPr>
            </w:pPr>
            <w:bookmarkStart w:id="8" w:name="B16_简要技术要求、用途"/>
            <w:bookmarkEnd w:id="8"/>
            <w:r>
              <w:rPr>
                <w:rFonts w:hAnsi="宋体" w:cs="宋体"/>
                <w:color w:val="000000" w:themeColor="text1"/>
                <w:szCs w:val="21"/>
                <w14:textFill>
                  <w14:solidFill>
                    <w14:schemeClr w14:val="tx1"/>
                  </w14:solidFill>
                </w14:textFill>
              </w:rPr>
              <w:t>本科新生教材</w:t>
            </w:r>
          </w:p>
        </w:tc>
        <w:tc>
          <w:tcPr>
            <w:tcW w:w="984" w:type="dxa"/>
            <w:vAlign w:val="center"/>
          </w:tcPr>
          <w:p>
            <w:pPr>
              <w:ind w:firstLine="210" w:firstLineChars="100"/>
              <w:rPr>
                <w:rFonts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88%</w:t>
            </w:r>
          </w:p>
        </w:tc>
      </w:tr>
    </w:tbl>
    <w:p>
      <w:pPr>
        <w:ind w:firstLine="0" w:firstLineChars="0"/>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9" w:name="_Toc27176"/>
      <w:r>
        <w:rPr>
          <w:rFonts w:hint="eastAsia"/>
          <w:color w:val="000000" w:themeColor="text1"/>
          <w14:textFill>
            <w14:solidFill>
              <w14:schemeClr w14:val="tx1"/>
            </w14:solidFill>
          </w14:textFill>
        </w:rPr>
        <w:t>四</w:t>
      </w:r>
      <w:r>
        <w:rPr>
          <w:rFonts w:cs="宋体"/>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投标供应商资格要求：</w:t>
      </w:r>
      <w:bookmarkEnd w:id="9"/>
    </w:p>
    <w:p>
      <w:pPr>
        <w:pStyle w:val="6"/>
        <w:ind w:firstLine="42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基本资格要求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1.1符合《中华人民共和国政府采购法》第二十二条的规定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1.2未被“信用中国”（www.creditchina.gov.cn）、中国政府采购网（www.ccgp.gov.cn）列入失信被执行人、重大税收违法案件当事人名单、政府采购严重违法失信行为记录名单</w:t>
      </w:r>
    </w:p>
    <w:p>
      <w:pPr>
        <w:pStyle w:val="6"/>
        <w:ind w:firstLine="422"/>
      </w:pPr>
      <w:r>
        <w:t>2</w:t>
      </w:r>
      <w:r>
        <w:rPr>
          <w:rFonts w:hint="eastAsia"/>
        </w:rPr>
        <w:t>特定资格要求</w:t>
      </w:r>
    </w:p>
    <w:p>
      <w:pPr>
        <w:pStyle w:val="6"/>
        <w:ind w:firstLine="420"/>
        <w:rPr>
          <w:rFonts w:ascii="宋体" w:hAnsi="宋体" w:cs="宋体"/>
          <w:b w:val="0"/>
          <w:bCs w:val="0"/>
          <w:szCs w:val="21"/>
        </w:rPr>
      </w:pPr>
      <w:r>
        <w:rPr>
          <w:rFonts w:hint="eastAsia" w:ascii="宋体" w:hAnsi="宋体" w:cs="宋体"/>
          <w:b w:val="0"/>
          <w:bCs w:val="0"/>
          <w:szCs w:val="21"/>
        </w:rPr>
        <w:t>投标人需</w:t>
      </w:r>
      <w:r>
        <w:rPr>
          <w:rFonts w:hint="eastAsia" w:hAnsi="宋体"/>
          <w:b w:val="0"/>
          <w:bCs w:val="0"/>
          <w:szCs w:val="21"/>
        </w:rPr>
        <w:t>具有出版物经营许可证</w:t>
      </w:r>
    </w:p>
    <w:p>
      <w:pPr>
        <w:pStyle w:val="6"/>
        <w:ind w:firstLine="422"/>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联合体投标</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不接受联合体投标</w:t>
      </w:r>
    </w:p>
    <w:p>
      <w:pPr>
        <w:pStyle w:val="6"/>
        <w:ind w:firstLine="422"/>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转包及分包</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本项目不得转包及分包</w:t>
      </w:r>
    </w:p>
    <w:p>
      <w:pPr>
        <w:pStyle w:val="4"/>
        <w:rPr>
          <w:color w:val="000000" w:themeColor="text1"/>
          <w14:textFill>
            <w14:solidFill>
              <w14:schemeClr w14:val="tx1"/>
            </w14:solidFill>
          </w14:textFill>
        </w:rPr>
      </w:pPr>
      <w:bookmarkStart w:id="10" w:name="_Toc8619"/>
      <w:r>
        <w:rPr>
          <w:rFonts w:hint="eastAsia"/>
          <w:color w:val="000000" w:themeColor="text1"/>
          <w14:textFill>
            <w14:solidFill>
              <w14:schemeClr w14:val="tx1"/>
            </w14:solidFill>
          </w14:textFill>
        </w:rPr>
        <w:t>五</w:t>
      </w:r>
      <w:r>
        <w:rPr>
          <w:rStyle w:val="24"/>
          <w:rFonts w:ascii="宋体" w:cs="宋体"/>
          <w:b/>
          <w:color w:val="000000" w:themeColor="text1"/>
          <w:kern w:val="0"/>
          <w:shd w:val="clear" w:color="auto" w:fill="FDFAF5"/>
          <w14:textFill>
            <w14:solidFill>
              <w14:schemeClr w14:val="tx1"/>
            </w14:solidFill>
          </w14:textFill>
        </w:rPr>
        <w:t>.</w:t>
      </w:r>
      <w:r>
        <w:rPr>
          <w:rFonts w:hint="eastAsia"/>
          <w:color w:val="000000" w:themeColor="text1"/>
          <w14:textFill>
            <w14:solidFill>
              <w14:schemeClr w14:val="tx1"/>
            </w14:solidFill>
          </w14:textFill>
        </w:rPr>
        <w:t>招标文件的</w:t>
      </w:r>
      <w:r>
        <w:rPr>
          <w:rFonts w:hint="eastAsia" w:ascii="宋体" w:hAnsi="宋体" w:cs="宋体"/>
          <w:color w:val="000000" w:themeColor="text1"/>
          <w:szCs w:val="21"/>
          <w14:textFill>
            <w14:solidFill>
              <w14:schemeClr w14:val="tx1"/>
            </w14:solidFill>
          </w14:textFill>
        </w:rPr>
        <w:t>获取</w:t>
      </w:r>
      <w:r>
        <w:rPr>
          <w:rFonts w:hint="eastAsia"/>
          <w:color w:val="000000" w:themeColor="text1"/>
          <w14:textFill>
            <w14:solidFill>
              <w14:schemeClr w14:val="tx1"/>
            </w14:solidFill>
          </w14:textFill>
        </w:rPr>
        <w:t>：</w:t>
      </w:r>
      <w:bookmarkEnd w:id="10"/>
    </w:p>
    <w:p>
      <w:pPr>
        <w:widowControl/>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1.本项目招标文件实行投标人邮件报名后获取（平台下载，未报名获取招标文件的投标无效）不提供招标文件纸质版；</w:t>
      </w:r>
    </w:p>
    <w:p>
      <w:pPr>
        <w:ind w:firstLine="42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2.报名时间：2021年7月</w:t>
      </w:r>
      <w:r>
        <w:rPr>
          <w:rFonts w:hint="eastAsia" w:ascii="宋体" w:hAnsi="宋体" w:cs="宋体"/>
          <w:bCs/>
          <w:color w:val="000000" w:themeColor="text1"/>
          <w:szCs w:val="21"/>
          <w:lang w:val="en-US" w:eastAsia="zh-CN"/>
          <w14:textFill>
            <w14:solidFill>
              <w14:schemeClr w14:val="tx1"/>
            </w14:solidFill>
          </w14:textFill>
        </w:rPr>
        <w:t>28</w:t>
      </w:r>
      <w:r>
        <w:rPr>
          <w:rFonts w:hint="eastAsia" w:ascii="宋体" w:hAnsi="宋体" w:cs="宋体"/>
          <w:bCs/>
          <w:color w:val="000000" w:themeColor="text1"/>
          <w:szCs w:val="21"/>
          <w14:textFill>
            <w14:solidFill>
              <w14:schemeClr w14:val="tx1"/>
            </w14:solidFill>
          </w14:textFill>
        </w:rPr>
        <w:t>日至2021年8月</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cs="宋体"/>
          <w:bCs/>
          <w:color w:val="000000" w:themeColor="text1"/>
          <w:szCs w:val="21"/>
          <w14:textFill>
            <w14:solidFill>
              <w14:schemeClr w14:val="tx1"/>
            </w14:solidFill>
          </w14:textFill>
        </w:rPr>
        <w:t>日(双休日及法定节假日除外)；</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3.报名邮箱：</w:t>
      </w:r>
      <w:r>
        <w:rPr>
          <w:rFonts w:hint="eastAsia" w:ascii="宋体" w:hAnsi="宋体" w:cs="宋体"/>
          <w:color w:val="000000" w:themeColor="text1"/>
          <w:szCs w:val="21"/>
          <w14:textFill>
            <w14:solidFill>
              <w14:schemeClr w14:val="tx1"/>
            </w14:solidFill>
          </w14:textFill>
        </w:rPr>
        <w:t>ZJXL85024997@163.com；</w:t>
      </w:r>
    </w:p>
    <w:p>
      <w:pPr>
        <w:widowControl/>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4.投标人获取投标文件时须提交的文件资料：供应商报名登记表；</w:t>
      </w:r>
    </w:p>
    <w:p>
      <w:pPr>
        <w:ind w:firstLine="420"/>
        <w:rPr>
          <w:rFonts w:ascii="宋体" w:hAnsi="宋体" w:cs="宋体"/>
          <w:color w:val="000000" w:themeColor="text1"/>
          <w:kern w:val="0"/>
          <w14:textFill>
            <w14:solidFill>
              <w14:schemeClr w14:val="tx1"/>
            </w14:solidFill>
          </w14:textFill>
        </w:rPr>
      </w:pPr>
      <w:r>
        <w:rPr>
          <w:rFonts w:hint="eastAsia" w:ascii="宋体" w:hAnsi="宋体"/>
          <w:bCs/>
          <w:color w:val="000000" w:themeColor="text1"/>
          <w14:textFill>
            <w14:solidFill>
              <w14:schemeClr w14:val="tx1"/>
            </w14:solidFill>
          </w14:textFill>
        </w:rPr>
        <w:t>5</w:t>
      </w:r>
      <w:r>
        <w:rPr>
          <w:rFonts w:ascii="宋体" w:hAnsi="宋体"/>
          <w:bCs/>
          <w:color w:val="000000" w:themeColor="text1"/>
          <w14:textFill>
            <w14:solidFill>
              <w14:schemeClr w14:val="tx1"/>
            </w14:solidFill>
          </w14:textFill>
        </w:rPr>
        <w:t>.</w:t>
      </w:r>
      <w:r>
        <w:rPr>
          <w:rFonts w:hint="eastAsia" w:ascii="宋体" w:hAnsi="宋体"/>
          <w:bCs/>
          <w:color w:val="000000" w:themeColor="text1"/>
          <w14:textFill>
            <w14:solidFill>
              <w14:schemeClr w14:val="tx1"/>
            </w14:solidFill>
          </w14:textFill>
        </w:rPr>
        <w:t>标书售价</w:t>
      </w:r>
      <w:r>
        <w:rPr>
          <w:rFonts w:ascii="黑体" w:eastAsia="黑体"/>
          <w:bCs/>
          <w:color w:val="000000" w:themeColor="text1"/>
          <w14:textFill>
            <w14:solidFill>
              <w14:schemeClr w14:val="tx1"/>
            </w14:solidFill>
          </w14:textFill>
        </w:rPr>
        <w:t>(</w:t>
      </w:r>
      <w:r>
        <w:rPr>
          <w:rFonts w:hint="eastAsia" w:ascii="黑体" w:eastAsia="黑体"/>
          <w:bCs/>
          <w:color w:val="000000" w:themeColor="text1"/>
          <w14:textFill>
            <w14:solidFill>
              <w14:schemeClr w14:val="tx1"/>
            </w14:solidFill>
          </w14:textFill>
        </w:rPr>
        <w:t>元</w:t>
      </w:r>
      <w:r>
        <w:rPr>
          <w:rFonts w:ascii="黑体" w:eastAsia="黑体"/>
          <w:bCs/>
          <w:color w:val="000000" w:themeColor="text1"/>
          <w14:textFill>
            <w14:solidFill>
              <w14:schemeClr w14:val="tx1"/>
            </w14:solidFill>
          </w14:textFill>
        </w:rPr>
        <w:t>)</w:t>
      </w:r>
      <w:r>
        <w:rPr>
          <w:rFonts w:hint="eastAsia" w:ascii="黑体" w:eastAsia="黑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0</w:t>
      </w:r>
    </w:p>
    <w:p>
      <w:pPr>
        <w:pStyle w:val="4"/>
        <w:rPr>
          <w:rFonts w:ascii="宋体" w:hAnsi="宋体"/>
          <w:color w:val="000000" w:themeColor="text1"/>
          <w:szCs w:val="21"/>
          <w14:textFill>
            <w14:solidFill>
              <w14:schemeClr w14:val="tx1"/>
            </w14:solidFill>
          </w14:textFill>
        </w:rPr>
      </w:pPr>
      <w:bookmarkStart w:id="11" w:name="_Toc23259"/>
      <w:r>
        <w:rPr>
          <w:rFonts w:hint="eastAsia"/>
          <w:color w:val="000000" w:themeColor="text1"/>
          <w14:textFill>
            <w14:solidFill>
              <w14:schemeClr w14:val="tx1"/>
            </w14:solidFill>
          </w14:textFill>
        </w:rPr>
        <w:t>六</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投标截止时间</w:t>
      </w:r>
      <w:bookmarkStart w:id="12" w:name="B25_投标截止日期"/>
      <w:r>
        <w:rPr>
          <w:rFonts w:hint="eastAsia" w:ascii="宋体" w:hAnsi="宋体"/>
          <w:color w:val="000000" w:themeColor="text1"/>
          <w:szCs w:val="21"/>
          <w14:textFill>
            <w14:solidFill>
              <w14:schemeClr w14:val="tx1"/>
            </w14:solidFill>
          </w14:textFill>
        </w:rPr>
        <w:t>：</w:t>
      </w:r>
      <w:bookmarkEnd w:id="11"/>
    </w:p>
    <w:p>
      <w:pPr>
        <w:pStyle w:val="4"/>
        <w:ind w:firstLine="420" w:firstLineChars="200"/>
        <w:rPr>
          <w:rFonts w:ascii="宋体" w:hAnsi="宋体" w:cs="宋体"/>
          <w:b w:val="0"/>
          <w:color w:val="000000" w:themeColor="text1"/>
          <w:szCs w:val="21"/>
          <w14:textFill>
            <w14:solidFill>
              <w14:schemeClr w14:val="tx1"/>
            </w14:solidFill>
          </w14:textFill>
        </w:rPr>
      </w:pPr>
      <w:bookmarkStart w:id="13" w:name="_Toc7956"/>
      <w:bookmarkStart w:id="14" w:name="_Toc4544"/>
      <w:bookmarkStart w:id="15" w:name="_Toc30037"/>
      <w:r>
        <w:rPr>
          <w:rFonts w:hint="eastAsia" w:ascii="宋体" w:hAnsi="宋体" w:cs="宋体"/>
          <w:b w:val="0"/>
          <w:bCs w:val="0"/>
          <w:color w:val="000000" w:themeColor="text1"/>
          <w14:textFill>
            <w14:solidFill>
              <w14:schemeClr w14:val="tx1"/>
            </w14:solidFill>
          </w14:textFill>
        </w:rPr>
        <w:t>2021年8月</w:t>
      </w:r>
      <w:r>
        <w:rPr>
          <w:rFonts w:hint="eastAsia" w:ascii="宋体" w:hAnsi="宋体" w:cs="宋体"/>
          <w:b w:val="0"/>
          <w:bCs w:val="0"/>
          <w:color w:val="000000" w:themeColor="text1"/>
          <w:lang w:val="en-US" w:eastAsia="zh-CN"/>
          <w14:textFill>
            <w14:solidFill>
              <w14:schemeClr w14:val="tx1"/>
            </w14:solidFill>
          </w14:textFill>
        </w:rPr>
        <w:t>17</w:t>
      </w:r>
      <w:r>
        <w:rPr>
          <w:rFonts w:hint="eastAsia" w:ascii="宋体" w:hAnsi="宋体" w:cs="宋体"/>
          <w:b w:val="0"/>
          <w:bCs w:val="0"/>
          <w:color w:val="000000" w:themeColor="text1"/>
          <w14:textFill>
            <w14:solidFill>
              <w14:schemeClr w14:val="tx1"/>
            </w14:solidFill>
          </w14:textFill>
        </w:rPr>
        <w:t>日，</w:t>
      </w:r>
      <w:r>
        <w:rPr>
          <w:rFonts w:hint="eastAsia" w:ascii="宋体" w:hAnsi="宋体" w:cs="宋体"/>
          <w:b w:val="0"/>
          <w:bCs w:val="0"/>
          <w:color w:val="000000" w:themeColor="text1"/>
          <w:lang w:val="en-US" w:eastAsia="zh-CN"/>
          <w14:textFill>
            <w14:solidFill>
              <w14:schemeClr w14:val="tx1"/>
            </w14:solidFill>
          </w14:textFill>
        </w:rPr>
        <w:t>14</w:t>
      </w:r>
      <w:r>
        <w:rPr>
          <w:rFonts w:hint="eastAsia" w:ascii="宋体" w:hAnsi="宋体" w:cs="宋体"/>
          <w:b w:val="0"/>
          <w:bCs w:val="0"/>
          <w:color w:val="000000" w:themeColor="text1"/>
          <w14:textFill>
            <w14:solidFill>
              <w14:schemeClr w14:val="tx1"/>
            </w14:solidFill>
          </w14:textFill>
        </w:rPr>
        <w:t>:00</w:t>
      </w:r>
      <w:bookmarkEnd w:id="13"/>
      <w:bookmarkEnd w:id="14"/>
      <w:bookmarkEnd w:id="15"/>
    </w:p>
    <w:bookmarkEnd w:id="12"/>
    <w:p>
      <w:pPr>
        <w:pStyle w:val="4"/>
        <w:rPr>
          <w:vanish/>
          <w:color w:val="000000" w:themeColor="text1"/>
          <w14:textFill>
            <w14:solidFill>
              <w14:schemeClr w14:val="tx1"/>
            </w14:solidFill>
          </w14:textFill>
        </w:rPr>
      </w:pPr>
      <w:bookmarkStart w:id="16" w:name="_Toc25659"/>
      <w:r>
        <w:rPr>
          <w:rFonts w:hint="eastAsia"/>
          <w:color w:val="000000" w:themeColor="text1"/>
          <w14:textFill>
            <w14:solidFill>
              <w14:schemeClr w14:val="tx1"/>
            </w14:solidFill>
          </w14:textFill>
        </w:rPr>
        <w:t>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w:t>
      </w:r>
      <w:bookmarkStart w:id="17" w:name="B27_投标地点"/>
      <w:r>
        <w:rPr>
          <w:rFonts w:hint="eastAsia"/>
          <w:color w:val="000000" w:themeColor="text1"/>
          <w14:textFill>
            <w14:solidFill>
              <w14:schemeClr w14:val="tx1"/>
            </w14:solidFill>
          </w14:textFill>
        </w:rPr>
        <w:t>地址：</w:t>
      </w:r>
      <w:bookmarkEnd w:id="16"/>
    </w:p>
    <w:bookmarkEnd w:id="17"/>
    <w:p>
      <w:pPr>
        <w:pStyle w:val="4"/>
        <w:ind w:firstLine="420" w:firstLineChars="200"/>
        <w:rPr>
          <w:rFonts w:ascii="宋体" w:hAnsi="宋体" w:cs="宋体"/>
          <w:b w:val="0"/>
          <w:color w:val="000000" w:themeColor="text1"/>
          <w:szCs w:val="21"/>
          <w14:textFill>
            <w14:solidFill>
              <w14:schemeClr w14:val="tx1"/>
            </w14:solidFill>
          </w14:textFill>
        </w:rPr>
      </w:pPr>
      <w:bookmarkStart w:id="18" w:name="_Toc7826"/>
      <w:bookmarkStart w:id="19" w:name="_Toc30481"/>
      <w:bookmarkStart w:id="20" w:name="_Toc27452"/>
      <w:r>
        <w:rPr>
          <w:rFonts w:hint="eastAsia" w:ascii="宋体" w:hAnsi="宋体" w:cs="宋体"/>
          <w:b w:val="0"/>
          <w:color w:val="000000" w:themeColor="text1"/>
          <w:szCs w:val="21"/>
          <w14:textFill>
            <w14:solidFill>
              <w14:schemeClr w14:val="tx1"/>
            </w14:solidFill>
          </w14:textFill>
        </w:rPr>
        <w:t>鉴于新型冠状病毒感染的肺炎疫情防控工作的需要，要求供应商采用不接触方式（如邮寄等，邮寄信息另附。以代理机构工作人员签收时间为准）提交响应文件（如有样品，要求样品一并邮寄）进行投标，请供应商充分考虑疫情期间邮寄时效，确保代理机构能在响应截止时间前收到所提交的响应文件（含样品（如有）），否则将被视为“未在投标截止时间前提交响应文件”。</w:t>
      </w:r>
      <w:bookmarkEnd w:id="18"/>
      <w:bookmarkEnd w:id="19"/>
      <w:bookmarkEnd w:id="20"/>
    </w:p>
    <w:p>
      <w:pPr>
        <w:pStyle w:val="4"/>
        <w:rPr>
          <w:rFonts w:ascii="宋体" w:hAnsi="宋体" w:cs="宋体"/>
          <w:b w:val="0"/>
          <w:color w:val="000000" w:themeColor="text1"/>
          <w:szCs w:val="21"/>
          <w14:textFill>
            <w14:solidFill>
              <w14:schemeClr w14:val="tx1"/>
            </w14:solidFill>
          </w14:textFill>
        </w:rPr>
      </w:pPr>
      <w:bookmarkStart w:id="21" w:name="_Toc28429"/>
      <w:bookmarkStart w:id="22" w:name="_Toc7628"/>
      <w:bookmarkStart w:id="23" w:name="_Toc44755338"/>
      <w:bookmarkStart w:id="24" w:name="_Toc9439"/>
      <w:bookmarkStart w:id="25" w:name="_Toc43634287"/>
      <w:bookmarkStart w:id="26" w:name="_Toc19242"/>
      <w:bookmarkStart w:id="27" w:name="_Toc3166"/>
      <w:r>
        <w:rPr>
          <w:rFonts w:hint="eastAsia" w:ascii="宋体" w:hAnsi="宋体" w:cs="宋体"/>
          <w:b w:val="0"/>
          <w:color w:val="000000" w:themeColor="text1"/>
          <w:szCs w:val="21"/>
          <w14:textFill>
            <w14:solidFill>
              <w14:schemeClr w14:val="tx1"/>
            </w14:solidFill>
          </w14:textFill>
        </w:rPr>
        <w:t>邮寄地址:杭州市西湖区文二路391号西湖国际科技大厦B2楼507室浙江信镧建设工程咨询有限公司；</w:t>
      </w:r>
      <w:bookmarkEnd w:id="21"/>
      <w:bookmarkEnd w:id="22"/>
      <w:bookmarkEnd w:id="23"/>
      <w:bookmarkEnd w:id="24"/>
      <w:bookmarkEnd w:id="25"/>
      <w:bookmarkEnd w:id="26"/>
    </w:p>
    <w:p>
      <w:pPr>
        <w:pStyle w:val="4"/>
        <w:rPr>
          <w:rFonts w:ascii="宋体" w:hAnsi="宋体" w:cs="宋体"/>
          <w:b w:val="0"/>
          <w:color w:val="000000" w:themeColor="text1"/>
          <w:szCs w:val="21"/>
          <w14:textFill>
            <w14:solidFill>
              <w14:schemeClr w14:val="tx1"/>
            </w14:solidFill>
          </w14:textFill>
        </w:rPr>
      </w:pPr>
      <w:bookmarkStart w:id="28" w:name="_Toc44755339"/>
      <w:bookmarkStart w:id="29" w:name="_Toc5383"/>
      <w:bookmarkStart w:id="30" w:name="_Toc14743"/>
      <w:bookmarkStart w:id="31" w:name="_Toc43634288"/>
      <w:bookmarkStart w:id="32" w:name="_Toc7503"/>
      <w:bookmarkStart w:id="33" w:name="_Toc21002"/>
      <w:r>
        <w:rPr>
          <w:rFonts w:hint="eastAsia" w:ascii="宋体" w:hAnsi="宋体" w:cs="宋体"/>
          <w:b w:val="0"/>
          <w:color w:val="000000" w:themeColor="text1"/>
          <w:szCs w:val="21"/>
          <w14:textFill>
            <w14:solidFill>
              <w14:schemeClr w14:val="tx1"/>
            </w14:solidFill>
          </w14:textFill>
        </w:rPr>
        <w:t>邮件接收人:胡校芳；</w:t>
      </w:r>
      <w:bookmarkEnd w:id="28"/>
      <w:bookmarkEnd w:id="29"/>
      <w:bookmarkEnd w:id="30"/>
      <w:bookmarkEnd w:id="31"/>
      <w:bookmarkEnd w:id="32"/>
      <w:bookmarkEnd w:id="33"/>
    </w:p>
    <w:p>
      <w:pPr>
        <w:pStyle w:val="4"/>
        <w:rPr>
          <w:rFonts w:ascii="宋体" w:hAnsi="宋体" w:cs="宋体"/>
          <w:b w:val="0"/>
          <w:color w:val="000000" w:themeColor="text1"/>
          <w:szCs w:val="21"/>
          <w14:textFill>
            <w14:solidFill>
              <w14:schemeClr w14:val="tx1"/>
            </w14:solidFill>
          </w14:textFill>
        </w:rPr>
      </w:pPr>
      <w:bookmarkStart w:id="34" w:name="_Toc44755340"/>
      <w:bookmarkStart w:id="35" w:name="_Toc27829"/>
      <w:bookmarkStart w:id="36" w:name="_Toc6359"/>
      <w:bookmarkStart w:id="37" w:name="_Toc9096"/>
      <w:bookmarkStart w:id="38" w:name="_Toc26378"/>
      <w:bookmarkStart w:id="39" w:name="_Toc43634289"/>
      <w:r>
        <w:rPr>
          <w:rFonts w:hint="eastAsia" w:ascii="宋体" w:hAnsi="宋体" w:cs="宋体"/>
          <w:b w:val="0"/>
          <w:color w:val="000000" w:themeColor="text1"/>
          <w:szCs w:val="21"/>
          <w14:textFill>
            <w14:solidFill>
              <w14:schemeClr w14:val="tx1"/>
            </w14:solidFill>
          </w14:textFill>
        </w:rPr>
        <w:t>联系电话：0571-87967630</w:t>
      </w:r>
      <w:bookmarkEnd w:id="27"/>
      <w:bookmarkEnd w:id="34"/>
      <w:bookmarkEnd w:id="35"/>
      <w:bookmarkEnd w:id="36"/>
      <w:bookmarkEnd w:id="37"/>
      <w:bookmarkEnd w:id="38"/>
      <w:bookmarkEnd w:id="39"/>
    </w:p>
    <w:p>
      <w:pPr>
        <w:pStyle w:val="4"/>
        <w:rPr>
          <w:vanish/>
          <w:color w:val="000000" w:themeColor="text1"/>
          <w14:textFill>
            <w14:solidFill>
              <w14:schemeClr w14:val="tx1"/>
            </w14:solidFill>
          </w14:textFill>
        </w:rPr>
      </w:pPr>
      <w:bookmarkStart w:id="40" w:name="_Toc14599"/>
      <w:r>
        <w:rPr>
          <w:rFonts w:hint="eastAsia"/>
          <w:color w:val="000000" w:themeColor="text1"/>
          <w14:textFill>
            <w14:solidFill>
              <w14:schemeClr w14:val="tx1"/>
            </w14:solidFill>
          </w14:textFill>
        </w:rPr>
        <w:t>八</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开标时间</w:t>
      </w:r>
      <w:bookmarkStart w:id="41" w:name="B28_开标日期"/>
      <w:r>
        <w:rPr>
          <w:rFonts w:hint="eastAsia"/>
          <w:color w:val="000000" w:themeColor="text1"/>
          <w14:textFill>
            <w14:solidFill>
              <w14:schemeClr w14:val="tx1"/>
            </w14:solidFill>
          </w14:textFill>
        </w:rPr>
        <w:t>：</w:t>
      </w:r>
      <w:bookmarkEnd w:id="40"/>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2021年8月 </w:t>
      </w:r>
      <w:r>
        <w:rPr>
          <w:rFonts w:hint="eastAsia" w:ascii="宋体" w:hAnsi="宋体" w:cs="宋体"/>
          <w:color w:val="000000" w:themeColor="text1"/>
          <w:lang w:val="en-US" w:eastAsia="zh-CN"/>
          <w14:textFill>
            <w14:solidFill>
              <w14:schemeClr w14:val="tx1"/>
            </w14:solidFill>
          </w14:textFill>
        </w:rPr>
        <w:t>17</w:t>
      </w:r>
      <w:r>
        <w:rPr>
          <w:rFonts w:hint="eastAsia" w:ascii="宋体" w:hAnsi="宋体" w:cs="宋体"/>
          <w:color w:val="000000" w:themeColor="text1"/>
          <w14:textFill>
            <w14:solidFill>
              <w14:schemeClr w14:val="tx1"/>
            </w14:solidFill>
          </w14:textFill>
        </w:rPr>
        <w:t xml:space="preserve"> 日</w:t>
      </w:r>
      <w:bookmarkEnd w:id="41"/>
      <w:r>
        <w:rPr>
          <w:rFonts w:hint="eastAsia" w:ascii="宋体" w:hAnsi="宋体" w:cs="宋体"/>
          <w:color w:val="000000" w:themeColor="text1"/>
          <w14:textFill>
            <w14:solidFill>
              <w14:schemeClr w14:val="tx1"/>
            </w14:solidFill>
          </w14:textFill>
        </w:rPr>
        <w:t>，</w:t>
      </w:r>
      <w:bookmarkStart w:id="42" w:name="B29_开标时间"/>
      <w:r>
        <w:rPr>
          <w:rFonts w:hint="eastAsia" w:ascii="宋体" w:hAnsi="宋体" w:cs="宋体"/>
          <w:color w:val="000000" w:themeColor="text1"/>
          <w:lang w:val="en-US" w:eastAsia="zh-CN"/>
          <w14:textFill>
            <w14:solidFill>
              <w14:schemeClr w14:val="tx1"/>
            </w14:solidFill>
          </w14:textFill>
        </w:rPr>
        <w:t>14</w:t>
      </w:r>
      <w:r>
        <w:rPr>
          <w:rFonts w:hint="eastAsia" w:ascii="宋体" w:hAnsi="宋体" w:cs="宋体"/>
          <w:color w:val="000000" w:themeColor="text1"/>
          <w14:textFill>
            <w14:solidFill>
              <w14:schemeClr w14:val="tx1"/>
            </w14:solidFill>
          </w14:textFill>
        </w:rPr>
        <w:t>:00</w:t>
      </w:r>
      <w:bookmarkEnd w:id="42"/>
    </w:p>
    <w:p>
      <w:pPr>
        <w:pStyle w:val="4"/>
        <w:rPr>
          <w:vanish/>
          <w:color w:val="000000" w:themeColor="text1"/>
          <w14:textFill>
            <w14:solidFill>
              <w14:schemeClr w14:val="tx1"/>
            </w14:solidFill>
          </w14:textFill>
        </w:rPr>
      </w:pPr>
      <w:bookmarkStart w:id="43" w:name="_Toc28434"/>
      <w:r>
        <w:rPr>
          <w:rFonts w:hint="eastAsia"/>
          <w:color w:val="000000" w:themeColor="text1"/>
          <w14:textFill>
            <w14:solidFill>
              <w14:schemeClr w14:val="tx1"/>
            </w14:solidFill>
          </w14:textFill>
        </w:rPr>
        <w:t>九</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开标</w:t>
      </w:r>
      <w:bookmarkStart w:id="44" w:name="B30_开标地点"/>
      <w:r>
        <w:rPr>
          <w:rFonts w:hint="eastAsia"/>
          <w:color w:val="000000" w:themeColor="text1"/>
          <w14:textFill>
            <w14:solidFill>
              <w14:schemeClr w14:val="tx1"/>
            </w14:solidFill>
          </w14:textFill>
        </w:rPr>
        <w:t>地址：</w:t>
      </w:r>
      <w:bookmarkEnd w:id="43"/>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杭州市西湖区</w:t>
      </w:r>
      <w:bookmarkEnd w:id="44"/>
      <w:r>
        <w:rPr>
          <w:rFonts w:hint="eastAsia"/>
          <w:color w:val="000000" w:themeColor="text1"/>
          <w14:textFill>
            <w14:solidFill>
              <w14:schemeClr w14:val="tx1"/>
            </w14:solidFill>
          </w14:textFill>
        </w:rPr>
        <w:t>文二路391号西湖国际科技大厦B2楼507室浙江信镧建设工程咨询有限公司</w:t>
      </w:r>
    </w:p>
    <w:p>
      <w:pPr>
        <w:pStyle w:val="4"/>
        <w:rPr>
          <w:color w:val="000000" w:themeColor="text1"/>
          <w14:textFill>
            <w14:solidFill>
              <w14:schemeClr w14:val="tx1"/>
            </w14:solidFill>
          </w14:textFill>
        </w:rPr>
      </w:pPr>
      <w:bookmarkStart w:id="45" w:name="_Toc23631"/>
      <w:r>
        <w:rPr>
          <w:rFonts w:hint="eastAsia"/>
          <w:color w:val="000000" w:themeColor="text1"/>
          <w14:textFill>
            <w14:solidFill>
              <w14:schemeClr w14:val="tx1"/>
            </w14:solidFill>
          </w14:textFill>
        </w:rPr>
        <w:t>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其他事项：</w:t>
      </w:r>
      <w:bookmarkEnd w:id="45"/>
    </w:p>
    <w:p>
      <w:pPr>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．供应商认为采购文件使自己的权益受到损害的，可以自收到采购文件之日（发售截止日之后收到采购文件的，以发售截止日为准）或者采购文件公告期限届满之日（招标公告为公告发布后的第</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个工作日）起</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工作日内，以书面形式向采购人和采购代理机构提出质疑，逾期不再受理。质疑供应商对采购人、采购代理机构的答复不满意或者采购人、采购代理机构未在规定的时间内作出答复的，可以在答复期满后十五个工作日内向同级采购监督管理部门投诉。</w:t>
      </w:r>
    </w:p>
    <w:p>
      <w:pPr>
        <w:ind w:firstLine="420"/>
        <w:rPr>
          <w:color w:val="000000" w:themeColor="text1"/>
          <w:kern w:val="0"/>
          <w:szCs w:val="21"/>
          <w14:textFill>
            <w14:solidFill>
              <w14:schemeClr w14:val="tx1"/>
            </w14:solidFill>
          </w14:textFill>
        </w:rPr>
      </w:pPr>
      <w:r>
        <w:rPr>
          <w:rFonts w:ascii="宋体" w:hAnsi="宋体"/>
          <w:color w:val="000000" w:themeColor="text1"/>
          <w14:textFill>
            <w14:solidFill>
              <w14:schemeClr w14:val="tx1"/>
            </w14:solidFill>
          </w14:textFill>
        </w:rPr>
        <w:t>2.</w:t>
      </w:r>
      <w:r>
        <w:rPr>
          <w:color w:val="000000" w:themeColor="text1"/>
          <w:kern w:val="0"/>
          <w:szCs w:val="21"/>
          <w14:textFill>
            <w14:solidFill>
              <w14:schemeClr w14:val="tx1"/>
            </w14:solidFill>
          </w14:textFill>
        </w:rPr>
        <w:t>供应商是指向采购人提供货物、工程或者服务的法人、其他组织或者自然人。</w:t>
      </w:r>
    </w:p>
    <w:p>
      <w:pPr>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3.投标人购买标书时应提交的资料：</w:t>
      </w:r>
    </w:p>
    <w:p>
      <w:pPr>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供应商报名登记表</w:t>
      </w:r>
    </w:p>
    <w:p>
      <w:pPr>
        <w:ind w:firstLine="42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文件发售截止时间之后，不再受理报名。投标人如对招标文件有疑问，可以在招标文件规定的招标答疑时间前提出，逾期提出的，不予受理、答复。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信用记录：</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根据财库</w:t>
      </w:r>
      <w:r>
        <w:rPr>
          <w:color w:val="000000" w:themeColor="text1"/>
          <w14:textFill>
            <w14:solidFill>
              <w14:schemeClr w14:val="tx1"/>
            </w14:solidFill>
          </w14:textFill>
        </w:rPr>
        <w:t>[2016]125</w:t>
      </w:r>
      <w:r>
        <w:rPr>
          <w:rFonts w:hint="eastAsia"/>
          <w:color w:val="000000" w:themeColor="text1"/>
          <w14:textFill>
            <w14:solidFill>
              <w14:schemeClr w14:val="tx1"/>
            </w14:solidFill>
          </w14:textFill>
        </w:rPr>
        <w:t>号《关于在政府采购活动中查询及使用信用记录有关问题的通知》要求，采购代理机构会对供应商信用记录进行查询并甄别。</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）信用信息查询的截止时点：投标截止前一个工作日；</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）查询渠道：“信用中国”（</w:t>
      </w:r>
      <w:r>
        <w:rPr>
          <w:color w:val="000000" w:themeColor="text1"/>
          <w14:textFill>
            <w14:solidFill>
              <w14:schemeClr w14:val="tx1"/>
            </w14:solidFill>
          </w14:textFill>
        </w:rPr>
        <w:t>www.creditchina.gov.cn</w:t>
      </w:r>
      <w:r>
        <w:rPr>
          <w:rFonts w:hint="eastAsia"/>
          <w:color w:val="000000" w:themeColor="text1"/>
          <w14:textFill>
            <w14:solidFill>
              <w14:schemeClr w14:val="tx1"/>
            </w14:solidFill>
          </w14:textFill>
        </w:rPr>
        <w:t>）、“中国政府采购网”（</w:t>
      </w:r>
      <w:r>
        <w:rPr>
          <w:color w:val="000000" w:themeColor="text1"/>
          <w14:textFill>
            <w14:solidFill>
              <w14:schemeClr w14:val="tx1"/>
            </w14:solidFill>
          </w14:textFill>
        </w:rPr>
        <w:t>www.ccgp.gov.cn</w:t>
      </w:r>
      <w:r>
        <w:rPr>
          <w:rFonts w:hint="eastAsia"/>
          <w:color w:val="000000" w:themeColor="text1"/>
          <w14:textFill>
            <w14:solidFill>
              <w14:schemeClr w14:val="tx1"/>
            </w14:solidFill>
          </w14:textFill>
        </w:rPr>
        <w:t>）、“浙江政府采购网（</w:t>
      </w:r>
      <w:r>
        <w:rPr>
          <w:color w:val="000000" w:themeColor="text1"/>
          <w14:textFill>
            <w14:solidFill>
              <w14:schemeClr w14:val="tx1"/>
            </w14:solidFill>
          </w14:textFill>
        </w:rPr>
        <w:t>www.zjzfcg.gov.cn</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）信用信息查询记录和证据留存具体方式：采购代理机构经办人和监督人员将查询网页打印、签字与其他采购文件一并保存；</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）信用信息的使用规则：投标人存在不良信用记录的，其投标将被作为无效投标被拒绝。</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不良信用记录指：被列入失信被执行人、重大税收违法案件当事人名单、政府采购严重违法失信行为记录名单或浙江政府采购网曝光台中尚在行政处罚期内的。</w:t>
      </w:r>
    </w:p>
    <w:p>
      <w:pPr>
        <w:widowControl/>
        <w:ind w:firstLine="420"/>
        <w:jc w:val="left"/>
        <w:rPr>
          <w:color w:val="000000" w:themeColor="text1"/>
          <w14:textFill>
            <w14:solidFill>
              <w14:schemeClr w14:val="tx1"/>
            </w14:solidFill>
          </w14:textFill>
        </w:rPr>
      </w:pPr>
      <w:r>
        <w:rPr>
          <w:rFonts w:ascii="宋体" w:hAnsi="宋体" w:cs="宋体"/>
          <w:color w:val="000000" w:themeColor="text1"/>
          <w:kern w:val="0"/>
          <w:szCs w:val="21"/>
          <w:lang w:bidi="ar"/>
          <w14:textFill>
            <w14:solidFill>
              <w14:schemeClr w14:val="tx1"/>
            </w14:solidFill>
          </w14:textFill>
        </w:rPr>
        <w:t>5)行政处罚较大数额罚款标准认定：按照浙府法发【2014】10号文《浙江省人民政府法制办公室关于明确实施行政处罚适用听证程序较大数额罚款标准的函》进行认定。</w:t>
      </w:r>
    </w:p>
    <w:p>
      <w:pPr>
        <w:pStyle w:val="4"/>
        <w:rPr>
          <w:color w:val="000000" w:themeColor="text1"/>
          <w14:textFill>
            <w14:solidFill>
              <w14:schemeClr w14:val="tx1"/>
            </w14:solidFill>
          </w14:textFill>
        </w:rPr>
      </w:pPr>
      <w:bookmarkStart w:id="46" w:name="_Toc11499"/>
      <w:r>
        <w:rPr>
          <w:rFonts w:hint="eastAsia"/>
          <w:color w:val="000000" w:themeColor="text1"/>
          <w14:textFill>
            <w14:solidFill>
              <w14:schemeClr w14:val="tx1"/>
            </w14:solidFill>
          </w14:textFill>
        </w:rPr>
        <w:t>十一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联系方式：</w:t>
      </w:r>
      <w:bookmarkEnd w:id="46"/>
    </w:p>
    <w:bookmarkEnd w:id="0"/>
    <w:p>
      <w:pPr>
        <w:ind w:firstLine="42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采购代理机构名称：浙江信镧建设工程咨询有限公司</w:t>
      </w:r>
    </w:p>
    <w:p>
      <w:pPr>
        <w:ind w:firstLine="738" w:firstLineChars="350"/>
        <w:rPr>
          <w:rFonts w:ascii="宋体" w:hAns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报名、采购文件咨询联系人：</w:t>
      </w:r>
      <w:r>
        <w:rPr>
          <w:rFonts w:hint="eastAsia" w:ascii="宋体" w:hAnsi="宋体" w:cs="宋体"/>
          <w:color w:val="000000" w:themeColor="text1"/>
          <w14:textFill>
            <w14:solidFill>
              <w14:schemeClr w14:val="tx1"/>
            </w14:solidFill>
          </w14:textFill>
        </w:rPr>
        <w:t xml:space="preserve">陈宏卿  </w:t>
      </w:r>
    </w:p>
    <w:p>
      <w:pPr>
        <w:ind w:firstLine="735" w:firstLine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联系电话：0571-87967630</w:t>
      </w:r>
    </w:p>
    <w:p>
      <w:pPr>
        <w:pStyle w:val="11"/>
        <w:ind w:firstLine="21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b/>
          <w:bCs/>
          <w:color w:val="000000" w:themeColor="text1"/>
          <w14:textFill>
            <w14:solidFill>
              <w14:schemeClr w14:val="tx1"/>
            </w14:solidFill>
          </w14:textFill>
        </w:rPr>
        <w:t>磋商响应、成交通知书、合同签订联系人：</w:t>
      </w:r>
      <w:r>
        <w:rPr>
          <w:rFonts w:hint="eastAsia" w:ascii="宋体" w:hAnsi="宋体" w:eastAsia="宋体" w:cs="宋体"/>
          <w:color w:val="000000" w:themeColor="text1"/>
          <w14:textFill>
            <w14:solidFill>
              <w14:schemeClr w14:val="tx1"/>
            </w14:solidFill>
          </w14:textFill>
        </w:rPr>
        <w:t>胡校芳 葛长英</w:t>
      </w:r>
    </w:p>
    <w:p>
      <w:pPr>
        <w:ind w:firstLine="735" w:firstLine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联系电话：0571-87967630</w:t>
      </w:r>
    </w:p>
    <w:p>
      <w:pPr>
        <w:ind w:firstLine="735" w:firstLineChars="3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传真：0571-85024997</w:t>
      </w:r>
    </w:p>
    <w:p>
      <w:pPr>
        <w:ind w:firstLine="738" w:firstLineChars="35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财务咨询（磋商文件费、发票）联系人：张会计</w:t>
      </w:r>
    </w:p>
    <w:p>
      <w:pPr>
        <w:ind w:firstLine="735" w:firstLineChars="35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联系电话：</w:t>
      </w:r>
      <w:r>
        <w:rPr>
          <w:rFonts w:hint="eastAsia" w:ascii="宋体" w:hAnsi="宋体" w:cs="宋体"/>
          <w:color w:val="000000" w:themeColor="text1"/>
          <w14:textFill>
            <w14:solidFill>
              <w14:schemeClr w14:val="tx1"/>
            </w14:solidFill>
          </w14:textFill>
        </w:rPr>
        <w:t>18905813512</w:t>
      </w:r>
    </w:p>
    <w:p>
      <w:pPr>
        <w:ind w:firstLine="735" w:firstLineChars="350"/>
        <w:rPr>
          <w:color w:val="000000" w:themeColor="text1"/>
          <w14:textFill>
            <w14:solidFill>
              <w14:schemeClr w14:val="tx1"/>
            </w14:solidFill>
          </w14:textFill>
        </w:rPr>
      </w:pPr>
      <w:r>
        <w:rPr>
          <w:rFonts w:hint="eastAsia"/>
          <w:color w:val="000000" w:themeColor="text1"/>
          <w14:textFill>
            <w14:solidFill>
              <w14:schemeClr w14:val="tx1"/>
            </w14:solidFill>
          </w14:textFill>
        </w:rPr>
        <w:t>地址：</w:t>
      </w:r>
      <w:r>
        <w:rPr>
          <w:rFonts w:hint="eastAsia" w:ascii="宋体" w:hAnsi="宋体" w:cs="宋体"/>
          <w:bCs/>
          <w:color w:val="000000" w:themeColor="text1"/>
          <w14:textFill>
            <w14:solidFill>
              <w14:schemeClr w14:val="tx1"/>
            </w14:solidFill>
          </w14:textFill>
        </w:rPr>
        <w:t>杭州市</w:t>
      </w:r>
      <w:r>
        <w:rPr>
          <w:rFonts w:hint="eastAsia"/>
          <w:color w:val="000000" w:themeColor="text1"/>
          <w14:textFill>
            <w14:solidFill>
              <w14:schemeClr w14:val="tx1"/>
            </w14:solidFill>
          </w14:textFill>
        </w:rPr>
        <w:t>西湖区文二路391号西湖国际科技大厦B2楼507室</w:t>
      </w:r>
    </w:p>
    <w:p>
      <w:pPr>
        <w:widowControl/>
        <w:ind w:firstLine="472" w:firstLineChars="225"/>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2、采购人名称：</w:t>
      </w:r>
      <w:r>
        <w:rPr>
          <w:rFonts w:hint="eastAsia"/>
          <w:color w:val="000000" w:themeColor="text1"/>
          <w14:textFill>
            <w14:solidFill>
              <w14:schemeClr w14:val="tx1"/>
            </w14:solidFill>
          </w14:textFill>
        </w:rPr>
        <w:t>中国美术学院</w:t>
      </w:r>
    </w:p>
    <w:p>
      <w:pPr>
        <w:widowControl/>
        <w:ind w:firstLine="787" w:firstLineChars="375"/>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联系人：李</w:t>
      </w:r>
      <w:r>
        <w:rPr>
          <w:rFonts w:hint="eastAsia"/>
          <w:color w:val="000000" w:themeColor="text1"/>
          <w14:textFill>
            <w14:solidFill>
              <w14:schemeClr w14:val="tx1"/>
            </w14:solidFill>
          </w14:textFill>
        </w:rPr>
        <w:t>老师</w:t>
      </w:r>
    </w:p>
    <w:p>
      <w:pPr>
        <w:widowControl/>
        <w:ind w:firstLine="787" w:firstLineChars="375"/>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联系电话：</w:t>
      </w:r>
      <w:r>
        <w:rPr>
          <w:rFonts w:hint="eastAsia" w:ascii="宋体" w:hAnsi="宋体" w:cs="宋体"/>
          <w:color w:val="000000" w:themeColor="text1"/>
          <w:kern w:val="0"/>
          <w:szCs w:val="21"/>
          <w14:textFill>
            <w14:solidFill>
              <w14:schemeClr w14:val="tx1"/>
            </w14:solidFill>
          </w14:textFill>
        </w:rPr>
        <w:t>0571-87200027</w:t>
      </w:r>
    </w:p>
    <w:p>
      <w:pPr>
        <w:widowControl/>
        <w:ind w:firstLine="787" w:firstLineChars="375"/>
        <w:jc w:val="left"/>
        <w:rPr>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地址：</w:t>
      </w:r>
      <w:r>
        <w:rPr>
          <w:rFonts w:hint="eastAsia" w:ascii="宋体" w:hAnsi="宋体"/>
          <w:color w:val="000000" w:themeColor="text1"/>
          <w:kern w:val="0"/>
          <w:szCs w:val="21"/>
          <w14:textFill>
            <w14:solidFill>
              <w14:schemeClr w14:val="tx1"/>
            </w14:solidFill>
          </w14:textFill>
        </w:rPr>
        <w:t>杭州市上城区南山路218号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3、采购监督管理部门名称：中国美术学院</w:t>
      </w:r>
    </w:p>
    <w:p>
      <w:pPr>
        <w:ind w:firstLine="787" w:firstLineChars="3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联系人：</w:t>
      </w:r>
      <w:r>
        <w:rPr>
          <w:rFonts w:hint="eastAsia" w:ascii="宋体" w:hAnsi="宋体" w:cs="宋体"/>
          <w:color w:val="000000" w:themeColor="text1"/>
          <w:kern w:val="0"/>
          <w:szCs w:val="21"/>
          <w:highlight w:val="none"/>
          <w14:textFill>
            <w14:solidFill>
              <w14:schemeClr w14:val="tx1"/>
            </w14:solidFill>
          </w14:textFill>
        </w:rPr>
        <w:t>王老师</w:t>
      </w:r>
    </w:p>
    <w:p>
      <w:pPr>
        <w:ind w:firstLine="787" w:firstLineChars="3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监督投诉电话：</w:t>
      </w:r>
      <w:r>
        <w:rPr>
          <w:rFonts w:hint="eastAsia" w:ascii="宋体" w:hAnsi="宋体" w:cs="宋体"/>
          <w:color w:val="000000" w:themeColor="text1"/>
          <w:kern w:val="0"/>
          <w:szCs w:val="21"/>
          <w:highlight w:val="none"/>
          <w14:textFill>
            <w14:solidFill>
              <w14:schemeClr w14:val="tx1"/>
            </w14:solidFill>
          </w14:textFill>
        </w:rPr>
        <w:t>0571-871646</w:t>
      </w:r>
      <w:r>
        <w:rPr>
          <w:rFonts w:ascii="宋体" w:hAnsi="宋体" w:cs="宋体"/>
          <w:color w:val="000000" w:themeColor="text1"/>
          <w:kern w:val="0"/>
          <w:szCs w:val="21"/>
          <w:highlight w:val="none"/>
          <w14:textFill>
            <w14:solidFill>
              <w14:schemeClr w14:val="tx1"/>
            </w14:solidFill>
          </w14:textFill>
        </w:rPr>
        <w:t>35</w:t>
      </w:r>
    </w:p>
    <w:p>
      <w:pPr>
        <w:ind w:firstLine="787" w:firstLineChars="375"/>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w:t>
      </w:r>
      <w:r>
        <w:rPr>
          <w:rFonts w:hint="eastAsia"/>
          <w:color w:val="000000" w:themeColor="text1"/>
          <w:szCs w:val="21"/>
          <w:highlight w:val="none"/>
          <w14:textFill>
            <w14:solidFill>
              <w14:schemeClr w14:val="tx1"/>
            </w14:solidFill>
          </w14:textFill>
        </w:rPr>
        <w:t>杭州市上城区南山路218号</w:t>
      </w:r>
    </w:p>
    <w:p>
      <w:pPr>
        <w:ind w:firstLine="735" w:firstLineChars="350"/>
        <w:rPr>
          <w:rFonts w:ascii="宋体"/>
          <w:color w:val="000000" w:themeColor="text1"/>
          <w:kern w:val="0"/>
          <w14:textFill>
            <w14:solidFill>
              <w14:schemeClr w14:val="tx1"/>
            </w14:solidFill>
          </w14:textFill>
        </w:rPr>
      </w:pPr>
    </w:p>
    <w:p>
      <w:pPr>
        <w:ind w:firstLine="420"/>
        <w:rPr>
          <w:rFonts w:ascii="宋体"/>
          <w:color w:val="000000" w:themeColor="text1"/>
          <w14:textFill>
            <w14:solidFill>
              <w14:schemeClr w14:val="tx1"/>
            </w14:solidFill>
          </w14:textFill>
        </w:rPr>
      </w:pPr>
    </w:p>
    <w:p>
      <w:pPr>
        <w:pStyle w:val="3"/>
        <w:ind w:firstLine="482"/>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47" w:name="_Toc24270"/>
      <w:bookmarkStart w:id="48" w:name="_Toc452457412"/>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投标人须知</w:t>
      </w:r>
      <w:bookmarkEnd w:id="47"/>
      <w:bookmarkEnd w:id="48"/>
    </w:p>
    <w:p>
      <w:pPr>
        <w:pStyle w:val="4"/>
        <w:rPr>
          <w:color w:val="000000" w:themeColor="text1"/>
          <w14:textFill>
            <w14:solidFill>
              <w14:schemeClr w14:val="tx1"/>
            </w14:solidFill>
          </w14:textFill>
        </w:rPr>
      </w:pPr>
      <w:bookmarkStart w:id="49" w:name="_Toc22516"/>
      <w:bookmarkStart w:id="50" w:name="_Toc452457413"/>
      <w:r>
        <w:rPr>
          <w:rFonts w:hint="eastAsia"/>
          <w:color w:val="000000" w:themeColor="text1"/>
          <w14:textFill>
            <w14:solidFill>
              <w14:schemeClr w14:val="tx1"/>
            </w14:solidFill>
          </w14:textFill>
        </w:rPr>
        <w:t>投标人须知前附表</w:t>
      </w:r>
      <w:bookmarkEnd w:id="49"/>
      <w:bookmarkEnd w:id="50"/>
    </w:p>
    <w:tbl>
      <w:tblPr>
        <w:tblStyle w:val="22"/>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97"/>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条款号</w:t>
            </w:r>
          </w:p>
        </w:tc>
        <w:tc>
          <w:tcPr>
            <w:tcW w:w="1997" w:type="dxa"/>
            <w:vAlign w:val="center"/>
          </w:tcPr>
          <w:p>
            <w:pPr>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条款名称</w:t>
            </w:r>
          </w:p>
        </w:tc>
        <w:tc>
          <w:tcPr>
            <w:tcW w:w="6330" w:type="dxa"/>
            <w:vAlign w:val="center"/>
          </w:tcPr>
          <w:p>
            <w:pPr>
              <w:ind w:firstLine="42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color w:val="000000" w:themeColor="text1"/>
                <w:kern w:val="0"/>
                <w:szCs w:val="21"/>
                <w14:textFill>
                  <w14:solidFill>
                    <w14:schemeClr w14:val="tx1"/>
                  </w14:solidFill>
                </w14:textFill>
              </w:rPr>
            </w:pPr>
          </w:p>
        </w:tc>
        <w:tc>
          <w:tcPr>
            <w:tcW w:w="1997" w:type="dxa"/>
            <w:vAlign w:val="center"/>
          </w:tcPr>
          <w:p>
            <w:pPr>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招标人</w:t>
            </w:r>
          </w:p>
        </w:tc>
        <w:tc>
          <w:tcPr>
            <w:tcW w:w="6330" w:type="dxa"/>
            <w:vAlign w:val="center"/>
          </w:tcPr>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名称：中国美术学院</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r>
              <w:rPr>
                <w:rFonts w:hint="eastAsia" w:ascii="宋体" w:hAnsi="宋体"/>
                <w:color w:val="000000" w:themeColor="text1"/>
                <w:kern w:val="0"/>
                <w:szCs w:val="21"/>
                <w14:textFill>
                  <w14:solidFill>
                    <w14:schemeClr w14:val="tx1"/>
                  </w14:solidFill>
                </w14:textFill>
              </w:rPr>
              <w:t>杭州市上城区南山路218号</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联系人：李老师</w:t>
            </w:r>
          </w:p>
          <w:p>
            <w:pPr>
              <w:ind w:firstLine="420"/>
              <w:rPr>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电话：</w:t>
            </w:r>
            <w:r>
              <w:rPr>
                <w:rFonts w:hint="eastAsia" w:ascii="宋体" w:hAnsi="宋体" w:cs="宋体"/>
                <w:color w:val="000000" w:themeColor="text1"/>
                <w:kern w:val="0"/>
                <w14:textFill>
                  <w14:solidFill>
                    <w14:schemeClr w14:val="tx1"/>
                  </w14:solidFill>
                </w14:textFill>
              </w:rPr>
              <w:t>0571-87200027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color w:val="000000" w:themeColor="text1"/>
                <w:kern w:val="0"/>
                <w:szCs w:val="21"/>
                <w14:textFill>
                  <w14:solidFill>
                    <w14:schemeClr w14:val="tx1"/>
                  </w14:solidFill>
                </w14:textFill>
              </w:rPr>
            </w:pPr>
          </w:p>
        </w:tc>
        <w:tc>
          <w:tcPr>
            <w:tcW w:w="1997" w:type="dxa"/>
            <w:vAlign w:val="center"/>
          </w:tcPr>
          <w:p>
            <w:pPr>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招标代理机构</w:t>
            </w:r>
          </w:p>
        </w:tc>
        <w:tc>
          <w:tcPr>
            <w:tcW w:w="6330" w:type="dxa"/>
            <w:vAlign w:val="center"/>
          </w:tcPr>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名称：浙江信镧建设工程咨询有限公司</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地址：杭州市</w:t>
            </w:r>
            <w:r>
              <w:rPr>
                <w:rFonts w:hint="eastAsia" w:ascii="Arial" w:hAnsi="Arial"/>
                <w:color w:val="000000" w:themeColor="text1"/>
                <w14:textFill>
                  <w14:solidFill>
                    <w14:schemeClr w14:val="tx1"/>
                  </w14:solidFill>
                </w14:textFill>
              </w:rPr>
              <w:t>西湖区文二路391号西湖国际科技大厦B2楼507室浙江信镧建设工程咨询有限公司</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r>
              <w:rPr>
                <w:rFonts w:hint="eastAsia" w:ascii="宋体" w:hAnsi="宋体"/>
                <w:color w:val="000000" w:themeColor="text1"/>
                <w14:textFill>
                  <w14:solidFill>
                    <w14:schemeClr w14:val="tx1"/>
                  </w14:solidFill>
                </w14:textFill>
              </w:rPr>
              <w:t>陈宏卿</w:t>
            </w:r>
          </w:p>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电话：</w:t>
            </w:r>
            <w:r>
              <w:rPr>
                <w:rFonts w:hint="eastAsia" w:ascii="宋体" w:hAnsi="宋体" w:cs="宋体"/>
                <w:color w:val="000000" w:themeColor="text1"/>
                <w:szCs w:val="21"/>
                <w14:textFill>
                  <w14:solidFill>
                    <w14:schemeClr w14:val="tx1"/>
                  </w14:solidFill>
                </w14:textFill>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s="宋体"/>
                <w:color w:val="000000" w:themeColor="text1"/>
                <w:kern w:val="0"/>
                <w:szCs w:val="21"/>
                <w14:textFill>
                  <w14:solidFill>
                    <w14:schemeClr w14:val="tx1"/>
                  </w14:solidFill>
                </w14:textFill>
              </w:rPr>
            </w:pPr>
          </w:p>
        </w:tc>
        <w:tc>
          <w:tcPr>
            <w:tcW w:w="1997" w:type="dxa"/>
            <w:vAlign w:val="center"/>
          </w:tcPr>
          <w:p>
            <w:pPr>
              <w:spacing w:before="24" w:beforeLines="10"/>
              <w:ind w:firstLine="0" w:firstLineChars="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招标编号</w:t>
            </w:r>
          </w:p>
        </w:tc>
        <w:tc>
          <w:tcPr>
            <w:tcW w:w="6330" w:type="dxa"/>
            <w:vAlign w:val="center"/>
          </w:tcPr>
          <w:p>
            <w:pPr>
              <w:spacing w:before="24" w:beforeLines="10"/>
              <w:ind w:firstLine="42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ZJXL-MY-202141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left="210" w:hanging="210" w:hangingChars="10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招标内容</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2021级本科新生教材采购(非政府）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招标文件发售时间</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招标文件发售价格</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投标文件提交地点</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杭州市</w:t>
            </w:r>
            <w:r>
              <w:rPr>
                <w:rFonts w:hint="eastAsia" w:ascii="Arial" w:hAnsi="Arial"/>
                <w:color w:val="000000" w:themeColor="text1"/>
                <w14:textFill>
                  <w14:solidFill>
                    <w14:schemeClr w14:val="tx1"/>
                  </w14:solidFill>
                </w14:textFill>
              </w:rPr>
              <w:t>西湖区</w:t>
            </w:r>
            <w:r>
              <w:rPr>
                <w:rFonts w:hint="eastAsia" w:ascii="宋体" w:hAnsi="宋体"/>
                <w:color w:val="000000" w:themeColor="text1"/>
                <w14:textFill>
                  <w14:solidFill>
                    <w14:schemeClr w14:val="tx1"/>
                  </w14:solidFill>
                </w14:textFill>
              </w:rPr>
              <w:t>文二路391号西湖国际科技大厦B2楼507室浙江信镧建设工程咨询有限公司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投标文件提交截止时间</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开标时间</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color w:val="000000" w:themeColor="text1"/>
                <w14:textFill>
                  <w14:solidFill>
                    <w14:schemeClr w14:val="tx1"/>
                  </w14:solidFill>
                </w14:textFill>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开标地点</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杭州市</w:t>
            </w:r>
            <w:r>
              <w:rPr>
                <w:rFonts w:hint="eastAsia" w:ascii="Arial" w:hAnsi="Arial"/>
                <w:color w:val="000000" w:themeColor="text1"/>
                <w14:textFill>
                  <w14:solidFill>
                    <w14:schemeClr w14:val="tx1"/>
                  </w14:solidFill>
                </w14:textFill>
              </w:rPr>
              <w:t>西湖区</w:t>
            </w:r>
            <w:r>
              <w:rPr>
                <w:rFonts w:hint="eastAsia" w:ascii="宋体" w:hAnsi="宋体"/>
                <w:color w:val="000000" w:themeColor="text1"/>
                <w14:textFill>
                  <w14:solidFill>
                    <w14:schemeClr w14:val="tx1"/>
                  </w14:solidFill>
                </w14:textFill>
              </w:rPr>
              <w:t>文二路391号西湖国际科技大厦B2楼507室浙江信镧建设工程咨询有限公司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采购方式</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ind w:firstLine="0" w:firstLineChars="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开标程序</w:t>
            </w:r>
          </w:p>
        </w:tc>
        <w:tc>
          <w:tcPr>
            <w:tcW w:w="6330" w:type="dxa"/>
            <w:vAlign w:val="center"/>
          </w:tcPr>
          <w:p>
            <w:pPr>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开标顺序：先审核资格证明文件，然后对通过资格审查的供应商的商务文件和资信技术文件进行评审，最后开报价文件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投标保证金</w:t>
            </w:r>
          </w:p>
        </w:tc>
        <w:tc>
          <w:tcPr>
            <w:tcW w:w="6330" w:type="dxa"/>
            <w:vAlign w:val="center"/>
          </w:tcPr>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履约保证金</w:t>
            </w:r>
          </w:p>
          <w:p>
            <w:pPr>
              <w:spacing w:before="24" w:beforeLines="10"/>
              <w:ind w:firstLine="0" w:firstLineChars="0"/>
              <w:jc w:val="left"/>
              <w:rPr>
                <w:rFonts w:ascii="宋体"/>
                <w:color w:val="000000" w:themeColor="text1"/>
                <w:kern w:val="0"/>
                <w14:textFill>
                  <w14:solidFill>
                    <w14:schemeClr w14:val="tx1"/>
                  </w14:solidFill>
                </w14:textFill>
              </w:rPr>
            </w:pPr>
          </w:p>
        </w:tc>
        <w:tc>
          <w:tcPr>
            <w:tcW w:w="6330" w:type="dxa"/>
            <w:vAlign w:val="center"/>
          </w:tcPr>
          <w:p>
            <w:pPr>
              <w:spacing w:before="24" w:beforeLines="10"/>
              <w:ind w:firstLine="420"/>
              <w:jc w:val="left"/>
              <w:rPr>
                <w:rFonts w:ascii="宋体" w:hAnsi="宋体" w:eastAsiaTheme="minorEastAsia"/>
                <w:color w:val="000000" w:themeColor="text1"/>
                <w:kern w:val="0"/>
                <w14:textFill>
                  <w14:solidFill>
                    <w14:schemeClr w14:val="tx1"/>
                  </w14:solidFill>
                </w14:textFill>
              </w:rPr>
            </w:pPr>
            <w:r>
              <w:rPr>
                <w:rFonts w:hint="eastAsia" w:ascii="宋体" w:hAnsi="宋体" w:eastAsiaTheme="minorEastAsia"/>
                <w:color w:val="000000" w:themeColor="text1"/>
                <w:kern w:val="0"/>
                <w14:textFill>
                  <w14:solidFill>
                    <w14:schemeClr w14:val="tx1"/>
                  </w14:solidFill>
                </w14:textFill>
              </w:rPr>
              <w:t>1.中标人在合同签订之日起5个工作日内向采购人指定账户交纳贰万元的履约保证金。履约保证金的交付方式：以银行转账、支票、汇票、本票或者金融机构、担保机构出具的保函等非现金形式提交。</w:t>
            </w:r>
          </w:p>
          <w:p>
            <w:pPr>
              <w:ind w:firstLine="420"/>
              <w:jc w:val="left"/>
              <w:rPr>
                <w:rFonts w:ascii="宋体"/>
                <w:color w:val="000000" w:themeColor="text1"/>
                <w14:textFill>
                  <w14:solidFill>
                    <w14:schemeClr w14:val="tx1"/>
                  </w14:solidFill>
                </w14:textFill>
              </w:rPr>
            </w:pPr>
            <w:r>
              <w:rPr>
                <w:rFonts w:hint="eastAsia" w:ascii="宋体" w:hAnsi="宋体" w:eastAsiaTheme="minorEastAsia"/>
                <w:color w:val="000000" w:themeColor="text1"/>
                <w:kern w:val="0"/>
                <w14:textFill>
                  <w14:solidFill>
                    <w14:schemeClr w14:val="tx1"/>
                  </w14:solidFill>
                </w14:textFill>
              </w:rPr>
              <w:t>2.履约保证金在验收合格，采购人正常使用满一年，确认投标人无违约行为后30日内无息返还。（遇周末及国定假日顺延）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招标文件的更改</w:t>
            </w:r>
          </w:p>
        </w:tc>
        <w:tc>
          <w:tcPr>
            <w:tcW w:w="6330" w:type="dxa"/>
            <w:vAlign w:val="center"/>
          </w:tcPr>
          <w:p>
            <w:pPr>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公告发出后，招标人或招标代理机构可以对已经发出的招标文件进行必要的澄清或者修改。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招标答疑截止时间</w:t>
            </w:r>
          </w:p>
        </w:tc>
        <w:tc>
          <w:tcPr>
            <w:tcW w:w="6330" w:type="dxa"/>
            <w:vAlign w:val="center"/>
          </w:tcPr>
          <w:p>
            <w:pPr>
              <w:ind w:firstLine="420"/>
              <w:rPr>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投标人对本招标文件有疑问的，应当在</w:t>
            </w:r>
            <w:r>
              <w:rPr>
                <w:rFonts w:hint="eastAsia"/>
                <w:color w:val="000000" w:themeColor="text1"/>
                <w:szCs w:val="21"/>
                <w14:textFill>
                  <w14:solidFill>
                    <w14:schemeClr w14:val="tx1"/>
                  </w14:solidFill>
                </w14:textFill>
              </w:rPr>
              <w:t>报名截止后</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个工作日内</w:t>
            </w:r>
            <w:r>
              <w:rPr>
                <w:rFonts w:hint="eastAsia"/>
                <w:color w:val="000000" w:themeColor="text1"/>
                <w14:textFill>
                  <w14:solidFill>
                    <w14:schemeClr w14:val="tx1"/>
                  </w14:solidFill>
                </w14:textFill>
              </w:rPr>
              <w:t>向代理机构以书面形式一次性全部提出，同时将疑问的电子版发送至邮箱：</w:t>
            </w:r>
            <w:r>
              <w:rPr>
                <w:rFonts w:hint="eastAsia" w:ascii="宋体" w:hAnsi="宋体"/>
                <w:color w:val="000000" w:themeColor="text1"/>
                <w:u w:val="single"/>
                <w14:textFill>
                  <w14:solidFill>
                    <w14:schemeClr w14:val="tx1"/>
                  </w14:solidFill>
                </w14:textFill>
              </w:rPr>
              <w:t>ZJXL</w:t>
            </w:r>
            <w:r>
              <w:rPr>
                <w:rFonts w:ascii="宋体" w:hAnsi="宋体"/>
                <w:color w:val="000000" w:themeColor="text1"/>
                <w:u w:val="single"/>
                <w14:textFill>
                  <w14:solidFill>
                    <w14:schemeClr w14:val="tx1"/>
                  </w14:solidFill>
                </w14:textFill>
              </w:rPr>
              <w:t>85024997@163.com</w:t>
            </w:r>
            <w:r>
              <w:rPr>
                <w:rFonts w:hint="eastAsia"/>
                <w:color w:val="000000" w:themeColor="text1"/>
                <w14:textFill>
                  <w14:solidFill>
                    <w14:schemeClr w14:val="tx1"/>
                  </w14:solidFill>
                </w14:textFill>
              </w:rPr>
              <w:t>。逾期不予受理，并将视为同意招标文件的各条款。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投标文件份数</w:t>
            </w:r>
          </w:p>
        </w:tc>
        <w:tc>
          <w:tcPr>
            <w:tcW w:w="6330" w:type="dxa"/>
            <w:vAlign w:val="center"/>
          </w:tcPr>
          <w:p>
            <w:pPr>
              <w:ind w:firstLine="420"/>
              <w:rPr>
                <w:rFonts w:asci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纸质版：正本一份，副本四份</w:t>
            </w:r>
          </w:p>
          <w:p>
            <w:pPr>
              <w:ind w:firstLine="420"/>
              <w:rPr>
                <w:rFonts w:asci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响应文件电子版：</w:t>
            </w:r>
            <w:r>
              <w:rPr>
                <w:rFonts w:ascii="宋体" w:hAnsi="宋体"/>
                <w:color w:val="000000" w:themeColor="text1"/>
                <w:szCs w:val="21"/>
                <w:u w:val="single"/>
                <w14:textFill>
                  <w14:solidFill>
                    <w14:schemeClr w14:val="tx1"/>
                  </w14:solidFill>
                </w14:textFill>
              </w:rPr>
              <w:t xml:space="preserve"> 1 </w:t>
            </w:r>
            <w:r>
              <w:rPr>
                <w:rFonts w:hint="eastAsia" w:ascii="宋体" w:hAnsi="宋体"/>
                <w:color w:val="000000" w:themeColor="text1"/>
                <w:szCs w:val="21"/>
                <w14:textFill>
                  <w14:solidFill>
                    <w14:schemeClr w14:val="tx1"/>
                  </w14:solidFill>
                </w14:textFill>
              </w:rPr>
              <w:t>份，内容与纸质响应文件正本一致，</w:t>
            </w:r>
            <w:r>
              <w:rPr>
                <w:rFonts w:ascii="宋体" w:hAnsi="宋体"/>
                <w:color w:val="000000" w:themeColor="text1"/>
                <w:szCs w:val="21"/>
                <w14:textFill>
                  <w14:solidFill>
                    <w14:schemeClr w14:val="tx1"/>
                  </w14:solidFill>
                </w14:textFill>
              </w:rPr>
              <w:t>PDF</w:t>
            </w:r>
            <w:r>
              <w:rPr>
                <w:rFonts w:hint="eastAsia" w:ascii="宋体" w:hAnsi="宋体"/>
                <w:color w:val="000000" w:themeColor="text1"/>
                <w:szCs w:val="21"/>
                <w14:textFill>
                  <w14:solidFill>
                    <w14:schemeClr w14:val="tx1"/>
                  </w14:solidFill>
                </w14:textFill>
              </w:rPr>
              <w:t>格式，</w:t>
            </w:r>
            <w:r>
              <w:rPr>
                <w:rFonts w:ascii="宋体" w:hAnsi="宋体"/>
                <w:color w:val="000000" w:themeColor="text1"/>
                <w:szCs w:val="21"/>
                <w14:textFill>
                  <w14:solidFill>
                    <w14:schemeClr w14:val="tx1"/>
                  </w14:solidFill>
                </w14:textFill>
              </w:rPr>
              <w:t>U</w:t>
            </w:r>
            <w:r>
              <w:rPr>
                <w:rFonts w:hint="eastAsia" w:ascii="宋体" w:hAnsi="宋体"/>
                <w:color w:val="000000" w:themeColor="text1"/>
                <w:szCs w:val="21"/>
                <w14:textFill>
                  <w14:solidFill>
                    <w14:schemeClr w14:val="tx1"/>
                  </w14:solidFill>
                </w14:textFill>
              </w:rPr>
              <w:t>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投标文件编制及装订要求</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投标人应按本招标文件规定的格式和顺序编制、装订投标文件并标注页码，提供目录。投标文件必须胶装。</w:t>
            </w:r>
          </w:p>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将</w:t>
            </w:r>
            <w:r>
              <w:rPr>
                <w:rFonts w:hint="eastAsia"/>
                <w:color w:val="000000" w:themeColor="text1"/>
                <w14:textFill>
                  <w14:solidFill>
                    <w14:schemeClr w14:val="tx1"/>
                  </w14:solidFill>
                </w14:textFill>
              </w:rPr>
              <w:t>资格证明文件、</w:t>
            </w:r>
            <w:r>
              <w:rPr>
                <w:rFonts w:hint="eastAsia" w:ascii="宋体" w:hAnsi="宋体"/>
                <w:color w:val="000000" w:themeColor="text1"/>
                <w14:textFill>
                  <w14:solidFill>
                    <w14:schemeClr w14:val="tx1"/>
                  </w14:solidFill>
                </w14:textFill>
              </w:rPr>
              <w:t>报价文件、商务技术文件分别装订、分别密封，并在封皮上注明：采购单位名称、项目名称、项目编号、所投标项、投标单位名称、授权委托人姓名。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投标有效期</w:t>
            </w:r>
          </w:p>
        </w:tc>
        <w:tc>
          <w:tcPr>
            <w:tcW w:w="6330" w:type="dxa"/>
            <w:vAlign w:val="center"/>
          </w:tcPr>
          <w:p>
            <w:pPr>
              <w:adjustRightInd w:val="0"/>
              <w:snapToGrid w:val="0"/>
              <w:ind w:firstLine="420"/>
              <w:jc w:val="left"/>
              <w:rPr>
                <w:rFonts w:asci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自投标文件提交截止之日起</w:t>
            </w:r>
            <w:r>
              <w:rPr>
                <w:rFonts w:hAnsi="宋体"/>
                <w:color w:val="000000" w:themeColor="text1"/>
                <w14:textFill>
                  <w14:solidFill>
                    <w14:schemeClr w14:val="tx1"/>
                  </w14:solidFill>
                </w14:textFill>
              </w:rPr>
              <w:t>90</w:t>
            </w:r>
            <w:r>
              <w:rPr>
                <w:rFonts w:hint="eastAsia" w:hAnsi="宋体"/>
                <w:color w:val="000000" w:themeColor="text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实质性响应</w:t>
            </w:r>
          </w:p>
        </w:tc>
        <w:tc>
          <w:tcPr>
            <w:tcW w:w="6330" w:type="dxa"/>
            <w:vAlign w:val="center"/>
          </w:tcPr>
          <w:p>
            <w:pPr>
              <w:spacing w:before="24" w:beforeLines="10"/>
              <w:ind w:firstLine="42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投标人应仔细阅读本招标文件。对其中带“</w:t>
            </w: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”的条款，投标人须作出实质性响应。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中标通知书及落标通知书领取</w:t>
            </w:r>
          </w:p>
        </w:tc>
        <w:tc>
          <w:tcPr>
            <w:tcW w:w="6330" w:type="dxa"/>
            <w:vAlign w:val="center"/>
          </w:tcPr>
          <w:p>
            <w:pPr>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、中标单位应在中标公告发布之后主动来我公司领取中标通知书；</w:t>
            </w:r>
          </w:p>
          <w:p>
            <w:pPr>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、未中标单位应在中标公告发布之日起</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个工作日之内主动来我公司领取落标通知书，逾期视为放弃该权益。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招标代理服务费</w:t>
            </w:r>
          </w:p>
        </w:tc>
        <w:tc>
          <w:tcPr>
            <w:tcW w:w="6330" w:type="dxa"/>
            <w:vAlign w:val="center"/>
          </w:tcPr>
          <w:p>
            <w:pPr>
              <w:ind w:firstLine="420"/>
              <w:rPr>
                <w:rFonts w:ascii="宋体" w:hAnsi="宋体" w:cs="宋体"/>
                <w:kern w:val="0"/>
                <w:szCs w:val="21"/>
              </w:rPr>
            </w:pPr>
            <w:r>
              <w:rPr>
                <w:rFonts w:hint="eastAsia" w:ascii="宋体" w:hAnsi="宋体" w:cs="宋体"/>
                <w:kern w:val="0"/>
                <w:szCs w:val="21"/>
              </w:rPr>
              <w:t>本项目的采购代理服务费为：</w:t>
            </w:r>
          </w:p>
          <w:p>
            <w:pPr>
              <w:ind w:firstLine="420"/>
              <w:rPr>
                <w:rFonts w:ascii="宋体" w:hAnsi="宋体" w:cs="宋体"/>
                <w:kern w:val="0"/>
                <w:szCs w:val="21"/>
              </w:rPr>
            </w:pPr>
            <w:r>
              <w:rPr>
                <w:rFonts w:hint="eastAsia" w:ascii="宋体" w:hAnsi="宋体" w:cs="宋体"/>
                <w:kern w:val="0"/>
                <w:szCs w:val="21"/>
              </w:rPr>
              <w:t>（1）采购代理服务收费采用差额定率累进计费方式，以成交金额为计算基数（按实结算）。</w:t>
            </w:r>
          </w:p>
          <w:p>
            <w:pPr>
              <w:ind w:firstLine="420"/>
              <w:rPr>
                <w:rFonts w:ascii="宋体" w:hAnsi="宋体" w:cs="宋体"/>
                <w:kern w:val="0"/>
                <w:szCs w:val="21"/>
              </w:rPr>
            </w:pPr>
            <w:r>
              <w:rPr>
                <w:rFonts w:hint="eastAsia" w:ascii="宋体" w:hAnsi="宋体" w:cs="宋体"/>
                <w:kern w:val="0"/>
                <w:szCs w:val="21"/>
              </w:rPr>
              <w:t>（2）各区段具体收费标准如下：</w:t>
            </w:r>
          </w:p>
          <w:p>
            <w:pPr>
              <w:ind w:firstLine="420"/>
              <w:rPr>
                <w:rFonts w:ascii="宋体" w:hAnsi="宋体" w:cs="宋体"/>
                <w:kern w:val="0"/>
                <w:szCs w:val="21"/>
              </w:rPr>
            </w:pPr>
            <w:r>
              <w:rPr>
                <w:rFonts w:hint="eastAsia" w:ascii="宋体" w:hAnsi="宋体" w:cs="宋体"/>
                <w:kern w:val="0"/>
                <w:szCs w:val="21"/>
              </w:rPr>
              <w:t>成交金额              费率</w:t>
            </w:r>
          </w:p>
          <w:p>
            <w:pPr>
              <w:ind w:firstLine="420"/>
              <w:rPr>
                <w:rFonts w:ascii="宋体" w:hAnsi="宋体" w:cs="宋体"/>
                <w:kern w:val="0"/>
                <w:szCs w:val="21"/>
              </w:rPr>
            </w:pPr>
            <w:r>
              <w:rPr>
                <w:rFonts w:hint="eastAsia" w:ascii="宋体" w:hAnsi="宋体" w:cs="宋体"/>
                <w:kern w:val="0"/>
                <w:szCs w:val="21"/>
              </w:rPr>
              <w:t>100万元以下          1.2%</w:t>
            </w:r>
          </w:p>
          <w:p>
            <w:pPr>
              <w:ind w:firstLine="420"/>
              <w:rPr>
                <w:rFonts w:ascii="宋体" w:hAnsi="宋体" w:cs="宋体"/>
                <w:kern w:val="0"/>
                <w:szCs w:val="21"/>
              </w:rPr>
            </w:pPr>
            <w:r>
              <w:rPr>
                <w:rFonts w:hint="eastAsia" w:ascii="宋体" w:hAnsi="宋体" w:cs="宋体"/>
                <w:kern w:val="0"/>
                <w:szCs w:val="21"/>
              </w:rPr>
              <w:t>100-500万元          0.88%</w:t>
            </w:r>
          </w:p>
          <w:p>
            <w:pPr>
              <w:ind w:firstLine="420"/>
              <w:rPr>
                <w:rFonts w:ascii="宋体" w:hAnsi="宋体" w:cs="宋体"/>
                <w:kern w:val="0"/>
              </w:rPr>
            </w:pPr>
            <w:r>
              <w:rPr>
                <w:rFonts w:hint="eastAsia" w:ascii="宋体" w:hAnsi="宋体" w:cs="宋体"/>
                <w:kern w:val="0"/>
                <w:szCs w:val="21"/>
              </w:rPr>
              <w:t>备注：本项费用在报价表中不单列报价子项，由供应商自行在企业运营成本等或各单价中列支。</w:t>
            </w:r>
            <w:r>
              <w:rPr>
                <w:rFonts w:hint="eastAsia" w:ascii="宋体" w:hAnsi="宋体"/>
                <w:kern w:val="0"/>
              </w:rPr>
              <w:t>不足</w:t>
            </w:r>
            <w:r>
              <w:rPr>
                <w:rFonts w:ascii="宋体" w:hAnsi="宋体"/>
                <w:kern w:val="0"/>
              </w:rPr>
              <w:t>3000</w:t>
            </w:r>
            <w:r>
              <w:rPr>
                <w:rFonts w:hint="eastAsia" w:ascii="宋体" w:hAnsi="宋体"/>
                <w:kern w:val="0"/>
              </w:rPr>
              <w:t>元，按</w:t>
            </w:r>
            <w:r>
              <w:rPr>
                <w:rFonts w:ascii="宋体" w:hAnsi="宋体"/>
                <w:kern w:val="0"/>
              </w:rPr>
              <w:t>3000</w:t>
            </w:r>
            <w:r>
              <w:rPr>
                <w:rFonts w:hint="eastAsia" w:ascii="宋体" w:hAnsi="宋体"/>
                <w:kern w:val="0"/>
              </w:rPr>
              <w:t>元收取。</w:t>
            </w:r>
            <w:r>
              <w:rPr>
                <w:rFonts w:hint="eastAsia" w:ascii="宋体" w:hAnsi="宋体" w:cs="宋体"/>
                <w:kern w:val="0"/>
              </w:rPr>
              <w:t>由成交人在领取成交通知书时一次性向采购代理机构付清。</w:t>
            </w:r>
          </w:p>
          <w:p>
            <w:pPr>
              <w:ind w:firstLine="420"/>
              <w:rPr>
                <w:rFonts w:ascii="宋体" w:hAnsi="宋体" w:cs="宋体"/>
              </w:rPr>
            </w:pPr>
            <w:r>
              <w:rPr>
                <w:rFonts w:hint="eastAsia" w:ascii="宋体" w:hAnsi="宋体" w:cs="宋体"/>
              </w:rPr>
              <w:t>收款账号：</w:t>
            </w:r>
          </w:p>
          <w:p>
            <w:pPr>
              <w:ind w:firstLine="420"/>
              <w:rPr>
                <w:rFonts w:ascii="宋体" w:hAnsi="宋体" w:cs="宋体"/>
              </w:rPr>
            </w:pPr>
            <w:r>
              <w:rPr>
                <w:rFonts w:hint="eastAsia" w:ascii="宋体" w:hAnsi="宋体" w:cs="宋体"/>
              </w:rPr>
              <w:t>收款单位（户名）：浙江信镧建设工程咨询有限公司</w:t>
            </w:r>
          </w:p>
          <w:p>
            <w:pPr>
              <w:ind w:firstLine="420"/>
              <w:rPr>
                <w:rFonts w:ascii="宋体" w:hAnsi="宋体" w:cs="宋体"/>
              </w:rPr>
            </w:pPr>
            <w:r>
              <w:rPr>
                <w:rFonts w:hint="eastAsia" w:ascii="宋体" w:hAnsi="宋体" w:cs="宋体"/>
              </w:rPr>
              <w:t>开户银行：交通银行华浙广场支行</w:t>
            </w:r>
          </w:p>
          <w:p>
            <w:pPr>
              <w:ind w:firstLine="420"/>
              <w:rPr>
                <w:rFonts w:ascii="宋体"/>
                <w:color w:val="000000" w:themeColor="text1"/>
                <w14:textFill>
                  <w14:solidFill>
                    <w14:schemeClr w14:val="tx1"/>
                  </w14:solidFill>
                </w14:textFill>
              </w:rPr>
            </w:pPr>
            <w:r>
              <w:rPr>
                <w:rFonts w:hint="eastAsia" w:ascii="宋体" w:hAnsi="宋体" w:cs="宋体"/>
              </w:rPr>
              <w:t>银行账号：331066090018170036304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851" w:type="dxa"/>
            <w:vAlign w:val="center"/>
          </w:tcPr>
          <w:p>
            <w:pPr>
              <w:numPr>
                <w:ilvl w:val="0"/>
                <w:numId w:val="1"/>
              </w:numPr>
              <w:spacing w:before="24" w:beforeLines="10"/>
              <w:ind w:firstLineChars="0"/>
              <w:jc w:val="center"/>
              <w:rPr>
                <w:rFonts w:ascii="宋体"/>
                <w:color w:val="000000" w:themeColor="text1"/>
                <w:kern w:val="0"/>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质疑与投诉</w:t>
            </w:r>
          </w:p>
        </w:tc>
        <w:tc>
          <w:tcPr>
            <w:tcW w:w="6330" w:type="dxa"/>
            <w:vAlign w:val="center"/>
          </w:tcPr>
          <w:p>
            <w:pPr>
              <w:widowControl/>
              <w:ind w:firstLine="42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质疑：根据财政部94号令（《政府采购质疑和投诉办法》）的规定，投标人认为招标文件、采购过程和中标、成交结果使自己的权益受到损害的，可以在知道或者应知其权益受到损害之日起七个工作日内，以书面形式向招标人、招标代理机构提出质疑。</w:t>
            </w:r>
            <w:r>
              <w:rPr>
                <w:rFonts w:hint="eastAsia"/>
                <w:color w:val="000000" w:themeColor="text1"/>
                <w14:textFill>
                  <w14:solidFill>
                    <w14:schemeClr w14:val="tx1"/>
                  </w14:solidFill>
                </w14:textFill>
              </w:rPr>
              <w:t>供应商在法定质疑期内一次性提出针对同一采购程序环节的质疑。</w:t>
            </w:r>
            <w:r>
              <w:rPr>
                <w:rFonts w:asci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质疑起算日期：</w:t>
            </w: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、对采购公告信息（含投标人资格条件）提出质疑的，质疑期限自采购公告发布之日起计算。</w:t>
            </w: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、对招标文件提出质疑的，质疑期限自投标人获得招标文件之日起计算。（发售截止日之后报名的供应商，质疑起算日期以发售截止日起计算）</w:t>
            </w: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、对采购过程提出质疑的，为各采购程序环节结束之日。</w:t>
            </w:r>
            <w:r>
              <w:rPr>
                <w:rFonts w:ascii="宋体" w:hAnsi="宋体" w:cs="宋体"/>
                <w:color w:val="000000" w:themeColor="text1"/>
                <w:kern w:val="0"/>
                <w:szCs w:val="21"/>
                <w14:textFill>
                  <w14:solidFill>
                    <w14:schemeClr w14:val="tx1"/>
                  </w14:solidFill>
                </w14:textFill>
              </w:rPr>
              <w:t>4</w:t>
            </w:r>
            <w:r>
              <w:rPr>
                <w:rFonts w:hint="eastAsia" w:ascii="宋体" w:hAnsi="宋体" w:cs="宋体"/>
                <w:color w:val="000000" w:themeColor="text1"/>
                <w:kern w:val="0"/>
                <w:szCs w:val="21"/>
                <w14:textFill>
                  <w14:solidFill>
                    <w14:schemeClr w14:val="tx1"/>
                  </w14:solidFill>
                </w14:textFill>
              </w:rPr>
              <w:t>、对采购结果提出质疑的，质疑期限自采购结果公告（包括公示、预公告、结果变更公告等）之日起计算。否则，被质疑人可不予接受。</w:t>
            </w:r>
            <w:r>
              <w:rPr>
                <w:rFonts w:asci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r>
              <w:rPr>
                <w:rFonts w:ascii="宋体" w:cs="宋体"/>
                <w:color w:val="000000" w:themeColor="text1"/>
                <w:kern w:val="0"/>
                <w:szCs w:val="21"/>
                <w14:textFill>
                  <w14:solidFill>
                    <w14:schemeClr w14:val="tx1"/>
                  </w14:solidFill>
                </w14:textFill>
              </w:rPr>
              <w:br w:type="textWrapping"/>
            </w:r>
            <w:r>
              <w:rPr>
                <w:rFonts w:hint="eastAsia" w:ascii="宋体" w:hAnsi="宋体" w:cs="宋体"/>
                <w:color w:val="000000" w:themeColor="text1"/>
                <w:kern w:val="0"/>
                <w:szCs w:val="21"/>
                <w14:textFill>
                  <w14:solidFill>
                    <w14:schemeClr w14:val="tx1"/>
                  </w14:solidFill>
                </w14:textFill>
              </w:rPr>
              <w:t>投诉：根据《政府采购质疑和投诉办法》的规定，质疑投标人对招标人、招标代理机构的答复不满意或者招标人、招标代理机构未在规定的时间内作出答复的，可以在答复期满后十五个工作日内向同级采购监督管理部门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代理机构质疑联系方式</w:t>
            </w:r>
          </w:p>
        </w:tc>
        <w:tc>
          <w:tcPr>
            <w:tcW w:w="6330" w:type="dxa"/>
            <w:vAlign w:val="center"/>
          </w:tcPr>
          <w:p>
            <w:pPr>
              <w:spacing w:before="24" w:beforeLines="10"/>
              <w:ind w:firstLine="420"/>
              <w:jc w:val="left"/>
              <w:rPr>
                <w:rFonts w:ascii="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联系人：姚工，电话：</w:t>
            </w:r>
            <w:r>
              <w:rPr>
                <w:rFonts w:ascii="宋体" w:hAnsi="宋体"/>
                <w:color w:val="000000" w:themeColor="text1"/>
                <w14:textFill>
                  <w14:solidFill>
                    <w14:schemeClr w14:val="tx1"/>
                  </w14:solidFill>
                </w14:textFill>
              </w:rPr>
              <w:t>0571-87967630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招标人质疑联系方式</w:t>
            </w:r>
          </w:p>
        </w:tc>
        <w:tc>
          <w:tcPr>
            <w:tcW w:w="6330" w:type="dxa"/>
            <w:vAlign w:val="center"/>
          </w:tcPr>
          <w:p>
            <w:pPr>
              <w:spacing w:before="24" w:beforeLines="10"/>
              <w:ind w:firstLine="420"/>
              <w:jc w:val="left"/>
              <w:rPr>
                <w:rFonts w:ascii="宋体"/>
                <w:color w:val="000000" w:themeColor="text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联系人：李老师，电话：</w:t>
            </w:r>
            <w:r>
              <w:rPr>
                <w:rStyle w:val="42"/>
                <w:rFonts w:hint="eastAsia" w:ascii="宋体" w:hAnsi="宋体" w:cs="宋体"/>
                <w:color w:val="000000" w:themeColor="text1"/>
                <w:kern w:val="0"/>
                <w:szCs w:val="21"/>
                <w:highlight w:val="none"/>
                <w14:textFill>
                  <w14:solidFill>
                    <w14:schemeClr w14:val="tx1"/>
                  </w14:solidFill>
                </w14:textFill>
              </w:rPr>
              <w:t>0571-87200027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投诉联系方式</w:t>
            </w:r>
          </w:p>
        </w:tc>
        <w:tc>
          <w:tcPr>
            <w:tcW w:w="6330" w:type="dxa"/>
            <w:vAlign w:val="center"/>
          </w:tcPr>
          <w:p>
            <w:pPr>
              <w:ind w:firstLine="735" w:firstLineChars="3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中国美术学院</w:t>
            </w:r>
          </w:p>
          <w:p>
            <w:pPr>
              <w:ind w:firstLine="735" w:firstLineChars="35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联系人：王老师</w:t>
            </w:r>
          </w:p>
          <w:p>
            <w:pPr>
              <w:ind w:firstLine="735" w:firstLineChars="35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监督投诉电话：</w:t>
            </w:r>
            <w:r>
              <w:rPr>
                <w:rFonts w:ascii="宋体" w:hAnsi="宋体"/>
                <w:color w:val="000000" w:themeColor="text1"/>
                <w:kern w:val="0"/>
                <w:highlight w:val="none"/>
                <w14:textFill>
                  <w14:solidFill>
                    <w14:schemeClr w14:val="tx1"/>
                  </w14:solidFill>
                </w14:textFill>
              </w:rPr>
              <w:t>0571-</w:t>
            </w:r>
            <w:r>
              <w:rPr>
                <w:rFonts w:hint="eastAsia" w:ascii="宋体" w:hAnsi="宋体" w:cs="宋体"/>
                <w:color w:val="000000" w:themeColor="text1"/>
                <w:kern w:val="0"/>
                <w:highlight w:val="none"/>
                <w14:textFill>
                  <w14:solidFill>
                    <w14:schemeClr w14:val="tx1"/>
                  </w14:solidFill>
                </w14:textFill>
              </w:rPr>
              <w:t>871646</w:t>
            </w:r>
            <w:r>
              <w:rPr>
                <w:rFonts w:ascii="宋体" w:hAnsi="宋体" w:cs="宋体"/>
                <w:color w:val="000000" w:themeColor="text1"/>
                <w:kern w:val="0"/>
                <w:highlight w:val="none"/>
                <w14:textFill>
                  <w14:solidFill>
                    <w14:schemeClr w14:val="tx1"/>
                  </w14:solidFill>
                </w14:textFill>
              </w:rPr>
              <w:t>35</w:t>
            </w:r>
          </w:p>
          <w:p>
            <w:pPr>
              <w:ind w:firstLine="735" w:firstLineChars="350"/>
              <w:rPr>
                <w:rFonts w:asci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地址：</w:t>
            </w:r>
            <w:r>
              <w:rPr>
                <w:rFonts w:hint="eastAsia" w:ascii="宋体" w:hAnsi="宋体"/>
                <w:color w:val="000000" w:themeColor="text1"/>
                <w:kern w:val="0"/>
                <w:szCs w:val="21"/>
                <w:highlight w:val="none"/>
                <w14:textFill>
                  <w14:solidFill>
                    <w14:schemeClr w14:val="tx1"/>
                  </w14:solidFill>
                </w14:textFill>
              </w:rPr>
              <w:t>杭州市上城区南山路218号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不良信用记录查询</w:t>
            </w:r>
          </w:p>
        </w:tc>
        <w:tc>
          <w:tcPr>
            <w:tcW w:w="6330" w:type="dxa"/>
            <w:vAlign w:val="center"/>
          </w:tcPr>
          <w:p>
            <w:pPr>
              <w:spacing w:before="24" w:beforeLines="10"/>
              <w:ind w:firstLine="42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为落实《国务院关于印发社会信用体系建设规划纲要（</w:t>
            </w:r>
            <w:r>
              <w:rPr>
                <w:rFonts w:ascii="宋体" w:hAnsi="宋体" w:cs="宋体"/>
                <w:color w:val="000000" w:themeColor="text1"/>
                <w:kern w:val="0"/>
                <w:szCs w:val="21"/>
                <w14:textFill>
                  <w14:solidFill>
                    <w14:schemeClr w14:val="tx1"/>
                  </w14:solidFill>
                </w14:textFill>
              </w:rPr>
              <w:t>2014-2020</w:t>
            </w:r>
            <w:r>
              <w:rPr>
                <w:rFonts w:hint="eastAsia" w:ascii="宋体" w:hAnsi="宋体" w:cs="宋体"/>
                <w:color w:val="000000" w:themeColor="text1"/>
                <w:kern w:val="0"/>
                <w:szCs w:val="21"/>
                <w14:textFill>
                  <w14:solidFill>
                    <w14:schemeClr w14:val="tx1"/>
                  </w14:solidFill>
                </w14:textFill>
              </w:rPr>
              <w:t>年）的通知》（国发〔</w:t>
            </w:r>
            <w:r>
              <w:rPr>
                <w:rFonts w:ascii="宋体" w:hAnsi="宋体" w:cs="宋体"/>
                <w:color w:val="000000" w:themeColor="text1"/>
                <w:kern w:val="0"/>
                <w:szCs w:val="21"/>
                <w14:textFill>
                  <w14:solidFill>
                    <w14:schemeClr w14:val="tx1"/>
                  </w14:solidFill>
                </w14:textFill>
              </w:rPr>
              <w:t>2014</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号）、《国务院关于建立完善守信联合激励和失信联合惩戒制度加快推进社会诚信体系建设的指导意见》（国发〔</w:t>
            </w:r>
            <w:r>
              <w:rPr>
                <w:rFonts w:ascii="宋体" w:hAnsi="宋体" w:cs="宋体"/>
                <w:color w:val="000000" w:themeColor="text1"/>
                <w:kern w:val="0"/>
                <w:szCs w:val="21"/>
                <w14:textFill>
                  <w14:solidFill>
                    <w14:schemeClr w14:val="tx1"/>
                  </w14:solidFill>
                </w14:textFill>
              </w:rPr>
              <w:t>2016</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33</w:t>
            </w:r>
            <w:r>
              <w:rPr>
                <w:rFonts w:hint="eastAsia" w:ascii="宋体" w:hAnsi="宋体" w:cs="宋体"/>
                <w:color w:val="000000" w:themeColor="text1"/>
                <w:kern w:val="0"/>
                <w:szCs w:val="21"/>
                <w14:textFill>
                  <w14:solidFill>
                    <w14:schemeClr w14:val="tx1"/>
                  </w14:solidFill>
                </w14:textFill>
              </w:rPr>
              <w:t>号）以及《国务院办公厅关于运用大数据加强对市场主体服务和监管的若干意见》（国办发〔</w:t>
            </w:r>
            <w:r>
              <w:rPr>
                <w:rFonts w:ascii="宋体" w:hAnsi="宋体" w:cs="宋体"/>
                <w:color w:val="000000" w:themeColor="text1"/>
                <w:kern w:val="0"/>
                <w:szCs w:val="21"/>
                <w14:textFill>
                  <w14:solidFill>
                    <w14:schemeClr w14:val="tx1"/>
                  </w14:solidFill>
                </w14:textFill>
              </w:rPr>
              <w:t>2015</w:t>
            </w:r>
            <w:r>
              <w:rPr>
                <w:rFonts w:hint="eastAsia" w:ascii="宋体" w:hAnsi="宋体" w:cs="宋体"/>
                <w:color w:val="000000" w:themeColor="text1"/>
                <w:kern w:val="0"/>
                <w:szCs w:val="21"/>
                <w14:textFill>
                  <w14:solidFill>
                    <w14:schemeClr w14:val="tx1"/>
                  </w14:solidFill>
                </w14:textFill>
              </w:rPr>
              <w:t>〕</w:t>
            </w:r>
            <w:r>
              <w:rPr>
                <w:rFonts w:ascii="宋体" w:hAnsi="宋体" w:cs="宋体"/>
                <w:color w:val="000000" w:themeColor="text1"/>
                <w:kern w:val="0"/>
                <w:szCs w:val="21"/>
                <w14:textFill>
                  <w14:solidFill>
                    <w14:schemeClr w14:val="tx1"/>
                  </w14:solidFill>
                </w14:textFill>
              </w:rPr>
              <w:t>51</w:t>
            </w:r>
            <w:r>
              <w:rPr>
                <w:rFonts w:hint="eastAsia" w:ascii="宋体" w:hAnsi="宋体" w:cs="宋体"/>
                <w:color w:val="000000" w:themeColor="text1"/>
                <w:kern w:val="0"/>
                <w:szCs w:val="21"/>
                <w14:textFill>
                  <w14:solidFill>
                    <w14:schemeClr w14:val="tx1"/>
                  </w14:solidFill>
                </w14:textFill>
              </w:rPr>
              <w:t>号）等文件的有关要求，采购代理机构将在投标截止时间前一个工作日通过“信用中国”（</w:t>
            </w:r>
            <w:r>
              <w:rPr>
                <w:rFonts w:ascii="宋体" w:hAnsi="宋体" w:cs="宋体"/>
                <w:color w:val="000000" w:themeColor="text1"/>
                <w:kern w:val="0"/>
                <w:szCs w:val="21"/>
                <w14:textFill>
                  <w14:solidFill>
                    <w14:schemeClr w14:val="tx1"/>
                  </w14:solidFill>
                </w14:textFill>
              </w:rPr>
              <w:t>www.creditchina.gov.cn</w:t>
            </w:r>
            <w:r>
              <w:rPr>
                <w:rFonts w:hint="eastAsia" w:ascii="宋体" w:hAnsi="宋体" w:cs="宋体"/>
                <w:color w:val="000000" w:themeColor="text1"/>
                <w:kern w:val="0"/>
                <w:szCs w:val="21"/>
                <w14:textFill>
                  <w14:solidFill>
                    <w14:schemeClr w14:val="tx1"/>
                  </w14:solidFill>
                </w14:textFill>
              </w:rPr>
              <w:t>）、“中国政府采购网”（</w:t>
            </w:r>
            <w:r>
              <w:rPr>
                <w:rFonts w:ascii="宋体" w:hAnsi="宋体" w:cs="宋体"/>
                <w:color w:val="000000" w:themeColor="text1"/>
                <w:kern w:val="0"/>
                <w:szCs w:val="21"/>
                <w14:textFill>
                  <w14:solidFill>
                    <w14:schemeClr w14:val="tx1"/>
                  </w14:solidFill>
                </w14:textFill>
              </w:rPr>
              <w:t>www.ccgp.gov.cn</w:t>
            </w:r>
            <w:r>
              <w:rPr>
                <w:rFonts w:hint="eastAsia" w:ascii="宋体" w:hAnsi="宋体" w:cs="宋体"/>
                <w:color w:val="000000" w:themeColor="text1"/>
                <w:kern w:val="0"/>
                <w:szCs w:val="21"/>
                <w14:textFill>
                  <w14:solidFill>
                    <w14:schemeClr w14:val="tx1"/>
                  </w14:solidFill>
                </w14:textFill>
              </w:rPr>
              <w:t>）、“浙江政府采购网（</w:t>
            </w:r>
            <w:r>
              <w:rPr>
                <w:rFonts w:ascii="宋体" w:hAnsi="宋体" w:cs="宋体"/>
                <w:color w:val="000000" w:themeColor="text1"/>
                <w:kern w:val="0"/>
                <w:szCs w:val="21"/>
                <w14:textFill>
                  <w14:solidFill>
                    <w14:schemeClr w14:val="tx1"/>
                  </w14:solidFill>
                </w14:textFill>
              </w:rPr>
              <w:t>www.zjzfcg.gov.cn</w:t>
            </w:r>
            <w:r>
              <w:rPr>
                <w:rFonts w:hint="eastAsia" w:ascii="宋体" w:hAnsi="宋体" w:cs="宋体"/>
                <w:color w:val="000000" w:themeColor="text1"/>
                <w:kern w:val="0"/>
                <w:szCs w:val="21"/>
                <w14:textFill>
                  <w14:solidFill>
                    <w14:schemeClr w14:val="tx1"/>
                  </w14:solidFill>
                </w14:textFill>
              </w:rPr>
              <w:t>）三个渠道对本项目投标供应商信用记录进行符合查询。被列入失信被执行人、重大税收违法案件当事人名单、采购严重违法失信行为记录名单及其他不符合《中华人民共和国政府采购法》第二十二条规定条件的供应商，将被拒绝参与本项目采购活动。两个以上的自然人、法人或者其他组织组成一个联合体，以一个供应商的身份共同参加采购活动的，若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numPr>
                <w:ilvl w:val="0"/>
                <w:numId w:val="1"/>
              </w:numPr>
              <w:spacing w:before="24" w:beforeLines="10"/>
              <w:ind w:firstLineChars="0"/>
              <w:jc w:val="center"/>
              <w:rPr>
                <w:rFonts w:ascii="宋体"/>
                <w:color w:val="000000" w:themeColor="text1"/>
                <w14:textFill>
                  <w14:solidFill>
                    <w14:schemeClr w14:val="tx1"/>
                  </w14:solidFill>
                </w14:textFill>
              </w:rPr>
            </w:pPr>
          </w:p>
        </w:tc>
        <w:tc>
          <w:tcPr>
            <w:tcW w:w="1997" w:type="dxa"/>
            <w:vAlign w:val="center"/>
          </w:tcPr>
          <w:p>
            <w:pPr>
              <w:spacing w:before="24" w:beforeLines="10"/>
              <w:ind w:firstLine="0" w:firstLineChars="0"/>
              <w:jc w:val="lef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解释顺序</w:t>
            </w:r>
          </w:p>
        </w:tc>
        <w:tc>
          <w:tcPr>
            <w:tcW w:w="6330" w:type="dxa"/>
            <w:vAlign w:val="center"/>
          </w:tcPr>
          <w:p>
            <w:pPr>
              <w:spacing w:before="24" w:beforeLines="10"/>
              <w:ind w:firstLine="420"/>
              <w:jc w:val="left"/>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招标文件内容与投标人须知前附表不符之处，浙江信镧建设工程咨询有限公司拥有最终解释权。</w:t>
            </w:r>
          </w:p>
        </w:tc>
      </w:tr>
    </w:tbl>
    <w:p>
      <w:pPr>
        <w:pStyle w:val="4"/>
        <w:rPr>
          <w:color w:val="000000" w:themeColor="text1"/>
          <w14:textFill>
            <w14:solidFill>
              <w14:schemeClr w14:val="tx1"/>
            </w14:solidFill>
          </w14:textFill>
        </w:rPr>
      </w:pPr>
      <w:bookmarkStart w:id="51" w:name="_Toc246996175"/>
      <w:bookmarkStart w:id="52" w:name="_Toc144974497"/>
      <w:bookmarkStart w:id="53" w:name="_Toc247085689"/>
      <w:bookmarkStart w:id="54" w:name="_Toc452457414"/>
      <w:bookmarkStart w:id="55" w:name="_Toc179632546"/>
      <w:bookmarkStart w:id="56" w:name="_Toc152045529"/>
      <w:bookmarkStart w:id="57" w:name="_Toc296602420"/>
      <w:bookmarkStart w:id="58" w:name="_Toc152042305"/>
      <w:bookmarkStart w:id="59" w:name="_Toc246996918"/>
      <w:r>
        <w:rPr>
          <w:color w:val="000000" w:themeColor="text1"/>
          <w14:textFill>
            <w14:solidFill>
              <w14:schemeClr w14:val="tx1"/>
            </w14:solidFill>
          </w14:textFill>
        </w:rPr>
        <w:br w:type="page"/>
      </w:r>
      <w:bookmarkEnd w:id="51"/>
      <w:bookmarkEnd w:id="52"/>
      <w:bookmarkEnd w:id="53"/>
      <w:bookmarkEnd w:id="54"/>
      <w:bookmarkEnd w:id="55"/>
      <w:bookmarkEnd w:id="56"/>
      <w:bookmarkEnd w:id="57"/>
      <w:bookmarkEnd w:id="58"/>
      <w:bookmarkEnd w:id="59"/>
      <w:bookmarkStart w:id="60" w:name="_Toc450840073"/>
      <w:bookmarkStart w:id="61" w:name="_Toc82338239"/>
      <w:bookmarkStart w:id="62" w:name="_Toc4677"/>
      <w:bookmarkStart w:id="63" w:name="_Toc82873322"/>
      <w:bookmarkStart w:id="64" w:name="_Toc152042306"/>
      <w:bookmarkStart w:id="65" w:name="_Toc144974498"/>
      <w:bookmarkStart w:id="66" w:name="_Toc179632547"/>
      <w:bookmarkStart w:id="67" w:name="_Toc247085690"/>
      <w:bookmarkStart w:id="68" w:name="_Toc246996919"/>
      <w:bookmarkStart w:id="69" w:name="_Toc152045530"/>
      <w:bookmarkStart w:id="70" w:name="_Toc246996176"/>
      <w:bookmarkStart w:id="71" w:name="_Toc296602421"/>
      <w:r>
        <w:rPr>
          <w:color w:val="000000" w:themeColor="text1"/>
          <w14:textFill>
            <w14:solidFill>
              <w14:schemeClr w14:val="tx1"/>
            </w14:solidFill>
          </w14:textFill>
        </w:rPr>
        <w:t>1</w:t>
      </w:r>
      <w:r>
        <w:rPr>
          <w:rFonts w:hint="eastAsia"/>
          <w:color w:val="000000" w:themeColor="text1"/>
          <w14:textFill>
            <w14:solidFill>
              <w14:schemeClr w14:val="tx1"/>
            </w14:solidFill>
          </w14:textFill>
        </w:rPr>
        <w:t>采购说明</w:t>
      </w:r>
      <w:bookmarkEnd w:id="60"/>
      <w:bookmarkEnd w:id="61"/>
      <w:bookmarkEnd w:id="62"/>
      <w:bookmarkEnd w:id="63"/>
    </w:p>
    <w:p>
      <w:pPr>
        <w:pStyle w:val="5"/>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采购法律依据</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本次采购工作是参照《中华人民共和国政府采购法》、《中华人民共和国政府采购法实施条例》等有关法规组织和实施。</w:t>
      </w:r>
    </w:p>
    <w:p>
      <w:pPr>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如发现招标文件及其评标办法中存在含糊不清、相互矛盾、多种含义以及歧视性不公正条款或违法违规等内容时，请在规定的询疑时间前同时向招标人和招标代理机构书面反映，逾期不得再对招标文件的条款提出质疑。</w:t>
      </w:r>
    </w:p>
    <w:p>
      <w:pPr>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各参加采购投标人对该采购过程和预中标结果等有异议的，可以自预中标结果公示之日起</w:t>
      </w:r>
      <w:bookmarkStart w:id="72" w:name="B19_最短质疑期限"/>
      <w:r>
        <w:rPr>
          <w:bCs/>
          <w:color w:val="000000" w:themeColor="text1"/>
          <w14:textFill>
            <w14:solidFill>
              <w14:schemeClr w14:val="tx1"/>
            </w14:solidFill>
          </w14:textFill>
        </w:rPr>
        <w:t>7</w:t>
      </w:r>
      <w:bookmarkEnd w:id="72"/>
      <w:r>
        <w:rPr>
          <w:rFonts w:hint="eastAsia"/>
          <w:bCs/>
          <w:color w:val="000000" w:themeColor="text1"/>
          <w14:textFill>
            <w14:solidFill>
              <w14:schemeClr w14:val="tx1"/>
            </w14:solidFill>
          </w14:textFill>
        </w:rPr>
        <w:t>个工作日内，以书面形式向招标人或其委托的招标代理机构提出质疑。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本招标文件及相应的补充文件、通知等解释权归浙江信镧建设工程咨询有限公司所有。</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定义</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（一）“招标代理机构”系指浙江信镧建设工程咨询有限公司。</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（二）“投标人”系指向采购方提交投标文件的投标人。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（三）“货物和服务”系指按招标文件要求的货物和服务。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（四）“招标人”或“采购人”系指“见投标人须知前附表”。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（五）“</w:t>
      </w:r>
      <w:r>
        <w:rPr>
          <w:rFonts w:hint="eastAsia" w:ascii="宋体" w:hAnsi="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”指实质性响应内容。</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（六）“废标”系指整个招标活动无效，当时的招标、开标、评标工作不得再继续，应予废标，即便确定了中标人，中标也无效；</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（七）“无效标”系指指某一投标人的投标文件经评委初审认定为无效，将失去参加被评审的资格，在该次投标活动中，该投标人失去中标的可能。</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（八）有下列情形之一的，视为投标人串通投标，其投标无效：</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（一）不同投标人的投标文件由同一单位或者个人编制；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（二）不同投标人委托同一单位或者个人办理投标事宜；</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（三）不同投标人的投标文件载明的项目管理成员或者联系人员为同一人；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（四）不同投标人的投标文件异常一致或者投标报价呈规律性差异；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（五）不同投标人的投标文件相互混装；</w:t>
      </w:r>
    </w:p>
    <w:p>
      <w:pPr>
        <w:tabs>
          <w:tab w:val="left" w:pos="1590"/>
        </w:tabs>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（六）不同投标人的投标保证金从同一单位或者个人的账户转出。</w:t>
      </w:r>
    </w:p>
    <w:p>
      <w:pPr>
        <w:pStyle w:val="5"/>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合格的投标人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详见招标公告</w:t>
      </w:r>
    </w:p>
    <w:p>
      <w:pPr>
        <w:pStyle w:val="5"/>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对投标人的限制</w:t>
      </w:r>
    </w:p>
    <w:p>
      <w:pPr>
        <w:ind w:firstLine="422"/>
        <w:rPr>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单位负责人为同一人或者存在直接控股、管理关系的不同投标人，不得参加同一合同项下的采购活动。除单一来源采购项目外，为采购项目提供整体设计、规范编制或者项目管理、监理、检测等服务的投标人，不得再参加该采购项目投标。</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1.4</w:t>
      </w:r>
      <w:r>
        <w:rPr>
          <w:rFonts w:hint="eastAsia"/>
          <w:color w:val="000000" w:themeColor="text1"/>
          <w14:textFill>
            <w14:solidFill>
              <w14:schemeClr w14:val="tx1"/>
            </w14:solidFill>
          </w14:textFill>
        </w:rPr>
        <w:t>如果投标人代表不是法定代表人，需持有《法定代表人授权书》。</w:t>
      </w:r>
    </w:p>
    <w:p>
      <w:pPr>
        <w:ind w:firstLine="420"/>
        <w:rPr>
          <w:b/>
          <w:color w:val="000000" w:themeColor="text1"/>
          <w14:textFill>
            <w14:solidFill>
              <w14:schemeClr w14:val="tx1"/>
            </w14:solidFill>
          </w14:textFill>
        </w:rPr>
      </w:pPr>
      <w:r>
        <w:rPr>
          <w:color w:val="000000" w:themeColor="text1"/>
          <w14:textFill>
            <w14:solidFill>
              <w14:schemeClr w14:val="tx1"/>
            </w14:solidFill>
          </w14:textFill>
        </w:rPr>
        <w:t>1.5</w:t>
      </w:r>
      <w:r>
        <w:rPr>
          <w:rFonts w:hint="eastAsia"/>
          <w:color w:val="000000" w:themeColor="text1"/>
          <w14:textFill>
            <w14:solidFill>
              <w14:schemeClr w14:val="tx1"/>
            </w14:solidFill>
          </w14:textFill>
        </w:rPr>
        <w:t>合同实施过程中，须与招标人积极配合。如果中标，中标单位为履行合同引起的相关人员的差旅费、食宿费以及其它不可预知的费用由中标人自理。</w:t>
      </w:r>
    </w:p>
    <w:p>
      <w:pPr>
        <w:ind w:firstLine="420"/>
        <w:rPr>
          <w:bCs/>
          <w:color w:val="000000" w:themeColor="text1"/>
          <w14:textFill>
            <w14:solidFill>
              <w14:schemeClr w14:val="tx1"/>
            </w14:solidFill>
          </w14:textFill>
        </w:rPr>
      </w:pPr>
      <w:r>
        <w:rPr>
          <w:color w:val="000000" w:themeColor="text1"/>
          <w14:textFill>
            <w14:solidFill>
              <w14:schemeClr w14:val="tx1"/>
            </w14:solidFill>
          </w14:textFill>
        </w:rPr>
        <w:t>1.6</w:t>
      </w:r>
      <w:r>
        <w:rPr>
          <w:rFonts w:hint="eastAsia"/>
          <w:color w:val="000000" w:themeColor="text1"/>
          <w14:textFill>
            <w14:solidFill>
              <w14:schemeClr w14:val="tx1"/>
            </w14:solidFill>
          </w14:textFill>
        </w:rPr>
        <w:t>无论采购过程中的作法和结果如何，投标人自行承担投标活动中所发生的全部费用。</w:t>
      </w:r>
      <w:r>
        <w:rPr>
          <w:rFonts w:hint="eastAsia"/>
          <w:bCs/>
          <w:color w:val="000000" w:themeColor="text1"/>
          <w14:textFill>
            <w14:solidFill>
              <w14:schemeClr w14:val="tx1"/>
            </w14:solidFill>
          </w14:textFill>
        </w:rPr>
        <w:t>所有接收后的投标文件概不退还。</w:t>
      </w:r>
    </w:p>
    <w:p>
      <w:pPr>
        <w:pStyle w:val="4"/>
        <w:rPr>
          <w:color w:val="000000" w:themeColor="text1"/>
          <w14:textFill>
            <w14:solidFill>
              <w14:schemeClr w14:val="tx1"/>
            </w14:solidFill>
          </w14:textFill>
        </w:rPr>
      </w:pPr>
      <w:bookmarkStart w:id="73" w:name="_Toc82873323"/>
      <w:bookmarkStart w:id="74" w:name="_Toc450840074"/>
      <w:bookmarkStart w:id="75" w:name="_Toc15222"/>
      <w:bookmarkStart w:id="76" w:name="_Toc82338240"/>
      <w:r>
        <w:rPr>
          <w:color w:val="000000" w:themeColor="text1"/>
          <w14:textFill>
            <w14:solidFill>
              <w14:schemeClr w14:val="tx1"/>
            </w14:solidFill>
          </w14:textFill>
        </w:rPr>
        <w:t>2</w:t>
      </w:r>
      <w:r>
        <w:rPr>
          <w:rFonts w:hint="eastAsia"/>
          <w:color w:val="000000" w:themeColor="text1"/>
          <w14:textFill>
            <w14:solidFill>
              <w14:schemeClr w14:val="tx1"/>
            </w14:solidFill>
          </w14:textFill>
        </w:rPr>
        <w:t>招标文件</w:t>
      </w:r>
      <w:bookmarkEnd w:id="73"/>
      <w:bookmarkEnd w:id="74"/>
      <w:bookmarkEnd w:id="75"/>
      <w:bookmarkEnd w:id="76"/>
    </w:p>
    <w:p>
      <w:pPr>
        <w:pStyle w:val="5"/>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招标文件的组成</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招标文件由招标文件目录所列内容及招标补充文件（如有）等组成。</w:t>
      </w:r>
    </w:p>
    <w:p>
      <w:pPr>
        <w:pStyle w:val="5"/>
        <w:rPr>
          <w:color w:val="000000" w:themeColor="text1"/>
          <w14:textFill>
            <w14:solidFill>
              <w14:schemeClr w14:val="tx1"/>
            </w14:solidFill>
          </w14:textFill>
        </w:rPr>
      </w:pPr>
      <w:r>
        <w:rPr>
          <w:color w:val="000000" w:themeColor="text1"/>
          <w14:textFill>
            <w14:solidFill>
              <w14:schemeClr w14:val="tx1"/>
            </w14:solidFill>
          </w14:textFill>
        </w:rPr>
        <w:t>2.2</w:t>
      </w:r>
      <w:r>
        <w:rPr>
          <w:rFonts w:hint="eastAsia"/>
          <w:color w:val="000000" w:themeColor="text1"/>
          <w14:textFill>
            <w14:solidFill>
              <w14:schemeClr w14:val="tx1"/>
            </w14:solidFill>
          </w14:textFill>
        </w:rPr>
        <w:t>招标文件的澄清</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投标人对招标文件如有疑点要求澄清，可用书面形式（包括信函、传真）按投标人须知前附表中规定的时间（代理机构预期不再受理疑点澄清）通知招标代理机构，招标代理机构将用书面形式对必要问题予以答复</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任何口头答复均不作为投标依据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，预期不再受理。并将答复发给所有投标人。</w:t>
      </w:r>
    </w:p>
    <w:p>
      <w:pPr>
        <w:pStyle w:val="5"/>
        <w:rPr>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招标文件的修改</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2.3.1 </w:t>
      </w:r>
      <w:r>
        <w:rPr>
          <w:rFonts w:hint="eastAsia"/>
          <w:color w:val="000000" w:themeColor="text1"/>
          <w14:textFill>
            <w14:solidFill>
              <w14:schemeClr w14:val="tx1"/>
            </w14:solidFill>
          </w14:textFill>
        </w:rPr>
        <w:t>在投标文件提交截止时间前，招标人有权修改招标文件，并以书面形式通知投标人。修改文件作为招标文件的补充和组成部分，对所有投标人均有约束力。</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2.3.2 </w:t>
      </w:r>
      <w:r>
        <w:rPr>
          <w:rFonts w:hint="eastAsia"/>
          <w:color w:val="000000" w:themeColor="text1"/>
          <w14:textFill>
            <w14:solidFill>
              <w14:schemeClr w14:val="tx1"/>
            </w14:solidFill>
          </w14:textFill>
        </w:rPr>
        <w:t>为使投标人有足够的时间按修改文件要求修正投标文件，招标人可酌情推迟投标截止时间和开标时间，并将此变更在投标截止日期</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天前通知投标人。</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2.3.3 </w:t>
      </w:r>
      <w:r>
        <w:rPr>
          <w:rFonts w:hint="eastAsia"/>
          <w:color w:val="000000" w:themeColor="text1"/>
          <w14:textFill>
            <w14:solidFill>
              <w14:schemeClr w14:val="tx1"/>
            </w14:solidFill>
          </w14:textFill>
        </w:rPr>
        <w:t>若对文件有实质性更改的，则从更改之日起的</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天后开标。</w:t>
      </w:r>
    </w:p>
    <w:p>
      <w:pPr>
        <w:pStyle w:val="4"/>
        <w:rPr>
          <w:color w:val="000000" w:themeColor="text1"/>
          <w14:textFill>
            <w14:solidFill>
              <w14:schemeClr w14:val="tx1"/>
            </w14:solidFill>
          </w14:textFill>
        </w:rPr>
      </w:pPr>
      <w:bookmarkStart w:id="77" w:name="_Toc6949"/>
      <w:bookmarkStart w:id="78" w:name="_Toc82338241"/>
      <w:bookmarkStart w:id="79" w:name="_Toc450840075"/>
      <w:bookmarkStart w:id="80" w:name="_Toc82873324"/>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投标文件</w:t>
      </w:r>
      <w:bookmarkEnd w:id="77"/>
      <w:bookmarkEnd w:id="78"/>
      <w:bookmarkEnd w:id="79"/>
      <w:bookmarkEnd w:id="80"/>
    </w:p>
    <w:p>
      <w:pPr>
        <w:pStyle w:val="5"/>
        <w:rPr>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14:textFill>
            <w14:solidFill>
              <w14:schemeClr w14:val="tx1"/>
            </w14:solidFill>
          </w14:textFill>
        </w:rPr>
        <w:t>投标文件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3.1.1 </w:t>
      </w:r>
      <w:r>
        <w:rPr>
          <w:rFonts w:hint="eastAsia"/>
          <w:color w:val="000000" w:themeColor="text1"/>
          <w14:textFill>
            <w14:solidFill>
              <w14:schemeClr w14:val="tx1"/>
            </w14:solidFill>
          </w14:textFill>
        </w:rPr>
        <w:t>投标人应仔细阅读招标文件中的所有内容，按照招标文件要求，详细编制投标文件，提供相关技术参数、资料，对招标文件中的各个项目给予实质性答复，并保证投标文件的正确性和真实性，</w:t>
      </w:r>
      <w:r>
        <w:rPr>
          <w:rFonts w:hint="eastAsia"/>
          <w:bCs/>
          <w:color w:val="000000" w:themeColor="text1"/>
          <w14:textFill>
            <w14:solidFill>
              <w14:schemeClr w14:val="tx1"/>
            </w14:solidFill>
          </w14:textFill>
        </w:rPr>
        <w:t>否则可能导致不利于其投标的评定</w:t>
      </w:r>
      <w:r>
        <w:rPr>
          <w:rFonts w:hint="eastAsia"/>
          <w:color w:val="000000" w:themeColor="text1"/>
          <w14:textFill>
            <w14:solidFill>
              <w14:schemeClr w14:val="tx1"/>
            </w14:solidFill>
          </w14:textFill>
        </w:rPr>
        <w:t>。</w:t>
      </w:r>
      <w:r>
        <w:rPr>
          <w:rFonts w:hint="eastAsia"/>
          <w:bCs/>
          <w:color w:val="000000" w:themeColor="text1"/>
          <w14:textFill>
            <w14:solidFill>
              <w14:schemeClr w14:val="tx1"/>
            </w14:solidFill>
          </w14:textFill>
        </w:rPr>
        <w:t>技术和商务如有偏离均应填写偏离表，如不填写，招标人有权视作完全响应招标文件要求。</w:t>
      </w:r>
      <w:r>
        <w:rPr>
          <w:rFonts w:hint="eastAsia"/>
          <w:color w:val="000000" w:themeColor="text1"/>
          <w14:textFill>
            <w14:solidFill>
              <w14:schemeClr w14:val="tx1"/>
            </w14:solidFill>
          </w14:textFill>
        </w:rPr>
        <w:t>投标文件统一采用汉语言文字，计量单位应使用国际单位（文件中另有规定的除外）。</w:t>
      </w:r>
    </w:p>
    <w:p>
      <w:pPr>
        <w:pStyle w:val="5"/>
        <w:rPr>
          <w:color w:val="000000" w:themeColor="text1"/>
          <w14:textFill>
            <w14:solidFill>
              <w14:schemeClr w14:val="tx1"/>
            </w14:solidFill>
          </w14:textFill>
        </w:rPr>
      </w:pPr>
      <w:r>
        <w:rPr>
          <w:color w:val="000000" w:themeColor="text1"/>
          <w14:textFill>
            <w14:solidFill>
              <w14:schemeClr w14:val="tx1"/>
            </w14:solidFill>
          </w14:textFill>
        </w:rPr>
        <w:t>3.2</w:t>
      </w:r>
      <w:r>
        <w:rPr>
          <w:rFonts w:hint="eastAsia"/>
          <w:color w:val="000000" w:themeColor="text1"/>
          <w14:textFill>
            <w14:solidFill>
              <w14:schemeClr w14:val="tx1"/>
            </w14:solidFill>
          </w14:textFill>
        </w:rPr>
        <w:t>投标文件的组成</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投标文件由资格证明文件、报价文件、商务文件、资信技术文件组成。投标文件的内容和格式见本招标文件第六章。</w:t>
      </w:r>
    </w:p>
    <w:p>
      <w:pPr>
        <w:pStyle w:val="5"/>
        <w:rPr>
          <w:color w:val="000000" w:themeColor="text1"/>
          <w14:textFill>
            <w14:solidFill>
              <w14:schemeClr w14:val="tx1"/>
            </w14:solidFill>
          </w14:textFill>
        </w:rPr>
      </w:pPr>
      <w:r>
        <w:rPr>
          <w:color w:val="000000" w:themeColor="text1"/>
          <w14:textFill>
            <w14:solidFill>
              <w14:schemeClr w14:val="tx1"/>
            </w14:solidFill>
          </w14:textFill>
        </w:rPr>
        <w:t>3.3</w:t>
      </w:r>
      <w:r>
        <w:rPr>
          <w:rFonts w:hint="eastAsia"/>
          <w:color w:val="000000" w:themeColor="text1"/>
          <w14:textFill>
            <w14:solidFill>
              <w14:schemeClr w14:val="tx1"/>
            </w14:solidFill>
          </w14:textFill>
        </w:rPr>
        <w:t>投标内容填写说明</w:t>
      </w:r>
    </w:p>
    <w:p>
      <w:pPr>
        <w:ind w:firstLine="420"/>
        <w:rPr>
          <w:bCs/>
          <w:color w:val="000000" w:themeColor="text1"/>
          <w14:textFill>
            <w14:solidFill>
              <w14:schemeClr w14:val="tx1"/>
            </w14:solidFill>
          </w14:textFill>
        </w:rPr>
      </w:pPr>
      <w:r>
        <w:rPr>
          <w:rFonts w:hint="eastAsia"/>
          <w:color w:val="000000" w:themeColor="text1"/>
          <w14:textFill>
            <w14:solidFill>
              <w14:schemeClr w14:val="tx1"/>
            </w14:solidFill>
          </w14:textFill>
        </w:rPr>
        <w:t>投标人应按照上述第</w:t>
      </w:r>
      <w:r>
        <w:rPr>
          <w:color w:val="000000" w:themeColor="text1"/>
          <w14:textFill>
            <w14:solidFill>
              <w14:schemeClr w14:val="tx1"/>
            </w14:solidFill>
          </w14:textFill>
        </w:rPr>
        <w:t>3.1</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条中所提出的</w:t>
      </w:r>
      <w:r>
        <w:rPr>
          <w:rFonts w:hint="eastAsia"/>
          <w:bCs/>
          <w:color w:val="000000" w:themeColor="text1"/>
          <w14:textFill>
            <w14:solidFill>
              <w14:schemeClr w14:val="tx1"/>
            </w14:solidFill>
          </w14:textFill>
        </w:rPr>
        <w:t>内容和格式，按顺序编写，装订成册，</w:t>
      </w:r>
      <w:r>
        <w:rPr>
          <w:rFonts w:hint="eastAsia"/>
          <w:color w:val="000000" w:themeColor="text1"/>
          <w14:textFill>
            <w14:solidFill>
              <w14:schemeClr w14:val="tx1"/>
            </w14:solidFill>
          </w14:textFill>
        </w:rPr>
        <w:t>并标注页码，提供目录</w:t>
      </w:r>
      <w:r>
        <w:rPr>
          <w:rFonts w:hint="eastAsia"/>
          <w:bCs/>
          <w:color w:val="000000" w:themeColor="text1"/>
          <w14:textFill>
            <w14:solidFill>
              <w14:schemeClr w14:val="tx1"/>
            </w14:solidFill>
          </w14:textFill>
        </w:rPr>
        <w:t>。</w:t>
      </w:r>
    </w:p>
    <w:p>
      <w:pPr>
        <w:pStyle w:val="5"/>
        <w:rPr>
          <w:color w:val="000000" w:themeColor="text1"/>
          <w14:textFill>
            <w14:solidFill>
              <w14:schemeClr w14:val="tx1"/>
            </w14:solidFill>
          </w14:textFill>
        </w:rPr>
      </w:pPr>
      <w:r>
        <w:rPr>
          <w:color w:val="000000" w:themeColor="text1"/>
          <w14:textFill>
            <w14:solidFill>
              <w14:schemeClr w14:val="tx1"/>
            </w14:solidFill>
          </w14:textFill>
        </w:rPr>
        <w:t>3.4</w:t>
      </w:r>
      <w:r>
        <w:rPr>
          <w:rFonts w:hint="eastAsia"/>
          <w:color w:val="000000" w:themeColor="text1"/>
          <w14:textFill>
            <w14:solidFill>
              <w14:schemeClr w14:val="tx1"/>
            </w14:solidFill>
          </w14:textFill>
        </w:rPr>
        <w:t>投标文件的签署和份数</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3.4.1 </w:t>
      </w:r>
      <w:r>
        <w:rPr>
          <w:rFonts w:hint="eastAsia"/>
          <w:color w:val="000000" w:themeColor="text1"/>
          <w14:textFill>
            <w14:solidFill>
              <w14:schemeClr w14:val="tx1"/>
            </w14:solidFill>
          </w14:textFill>
        </w:rPr>
        <w:t>投标文件的正本需打印或用不退色的墨水填写，并注明“正本”字样。副本可以复印。</w:t>
      </w:r>
    </w:p>
    <w:p>
      <w:pPr>
        <w:ind w:firstLine="420"/>
        <w:rPr>
          <w:bCs/>
          <w:color w:val="000000" w:themeColor="text1"/>
          <w:u w:val="thick"/>
          <w14:textFill>
            <w14:solidFill>
              <w14:schemeClr w14:val="tx1"/>
            </w14:solidFill>
          </w14:textFill>
        </w:rPr>
      </w:pPr>
      <w:r>
        <w:rPr>
          <w:color w:val="000000" w:themeColor="text1"/>
          <w14:textFill>
            <w14:solidFill>
              <w14:schemeClr w14:val="tx1"/>
            </w14:solidFill>
          </w14:textFill>
        </w:rPr>
        <w:t xml:space="preserve">3.4.2 </w:t>
      </w:r>
      <w:r>
        <w:rPr>
          <w:rFonts w:hint="eastAsia"/>
          <w:bCs/>
          <w:color w:val="000000" w:themeColor="text1"/>
          <w14:textFill>
            <w14:solidFill>
              <w14:schemeClr w14:val="tx1"/>
            </w14:solidFill>
          </w14:textFill>
        </w:rPr>
        <w:t>投标文件需按招标文件提供的格式要求由投标人盖公章、法定代表人或法定代表人授权委托人签字，投标人应写全称。</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3.4.3 </w:t>
      </w:r>
      <w:r>
        <w:rPr>
          <w:rFonts w:hint="eastAsia"/>
          <w:color w:val="000000" w:themeColor="text1"/>
          <w14:textFill>
            <w14:solidFill>
              <w14:schemeClr w14:val="tx1"/>
            </w14:solidFill>
          </w14:textFill>
        </w:rPr>
        <w:t>投标文件的份数</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投标文件份数见投标人须知前附表。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投标人应在每一份投标文件上要明确注明“正本”或“副本”字样，一旦正本和副本有差异，以正本为准。在密封袋封皮上写明招标编号、招标项目名称、投标人。封口处应有投标人公章或投标人授权委托人签字。</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3.4.4 </w:t>
      </w:r>
      <w:r>
        <w:rPr>
          <w:rFonts w:hint="eastAsia"/>
          <w:color w:val="000000" w:themeColor="text1"/>
          <w14:textFill>
            <w14:solidFill>
              <w14:schemeClr w14:val="tx1"/>
            </w14:solidFill>
          </w14:textFill>
        </w:rPr>
        <w:t>投标文件不得涂改和增删，如有错漏必须修改，修改处须由投标人法定代表人或</w:t>
      </w:r>
      <w:r>
        <w:rPr>
          <w:rFonts w:hint="eastAsia"/>
          <w:bCs/>
          <w:color w:val="000000" w:themeColor="text1"/>
          <w14:textFill>
            <w14:solidFill>
              <w14:schemeClr w14:val="tx1"/>
            </w14:solidFill>
          </w14:textFill>
        </w:rPr>
        <w:t>法定代表人授权委托人同一人签字或加盖公章</w:t>
      </w:r>
      <w:r>
        <w:rPr>
          <w:rFonts w:hint="eastAsia"/>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3.4.5 </w:t>
      </w:r>
      <w:r>
        <w:rPr>
          <w:rFonts w:hint="eastAsia"/>
          <w:color w:val="000000" w:themeColor="text1"/>
          <w14:textFill>
            <w14:solidFill>
              <w14:schemeClr w14:val="tx1"/>
            </w14:solidFill>
          </w14:textFill>
        </w:rPr>
        <w:t>由于字迹模糊或表达不清引起的后果由投标人负责。</w:t>
      </w:r>
    </w:p>
    <w:p>
      <w:pPr>
        <w:pStyle w:val="5"/>
        <w:rPr>
          <w:color w:val="000000" w:themeColor="text1"/>
          <w14:textFill>
            <w14:solidFill>
              <w14:schemeClr w14:val="tx1"/>
            </w14:solidFill>
          </w14:textFill>
        </w:rPr>
      </w:pPr>
      <w:r>
        <w:rPr>
          <w:color w:val="000000" w:themeColor="text1"/>
          <w14:textFill>
            <w14:solidFill>
              <w14:schemeClr w14:val="tx1"/>
            </w14:solidFill>
          </w14:textFill>
        </w:rPr>
        <w:t>3.5</w:t>
      </w:r>
      <w:r>
        <w:rPr>
          <w:rFonts w:hint="eastAsia"/>
          <w:color w:val="000000" w:themeColor="text1"/>
          <w14:textFill>
            <w14:solidFill>
              <w14:schemeClr w14:val="tx1"/>
            </w14:solidFill>
          </w14:textFill>
        </w:rPr>
        <w:t>报价要求</w:t>
      </w:r>
    </w:p>
    <w:p>
      <w:pPr>
        <w:ind w:firstLine="420"/>
        <w:rPr>
          <w:rFonts w:ascii="宋体" w:hAnsi="宋体" w:cs="宋体"/>
          <w:bCs/>
          <w:color w:val="000000" w:themeColor="text1"/>
          <w:szCs w:val="21"/>
          <w14:textFill>
            <w14:solidFill>
              <w14:schemeClr w14:val="tx1"/>
            </w14:solidFill>
          </w14:textFill>
        </w:rPr>
      </w:pPr>
      <w:r>
        <w:rPr>
          <w:color w:val="000000" w:themeColor="text1"/>
          <w:szCs w:val="21"/>
          <w14:textFill>
            <w14:solidFill>
              <w14:schemeClr w14:val="tx1"/>
            </w14:solidFill>
          </w14:textFill>
        </w:rPr>
        <w:t>3.5.1</w:t>
      </w:r>
      <w:r>
        <w:rPr>
          <w:rFonts w:hint="eastAsia" w:ascii="宋体" w:hAnsi="宋体" w:cs="宋体"/>
          <w:color w:val="000000" w:themeColor="text1"/>
          <w:szCs w:val="21"/>
          <w14:textFill>
            <w14:solidFill>
              <w14:schemeClr w14:val="tx1"/>
            </w14:solidFill>
          </w14:textFill>
        </w:rPr>
        <w:t>投标人根据招标文件的要求，将产品、标准附件、技术服务，包装、仓储、装卸、运输，保险、税金，货到就位以及质保等通过验收直至交付使用单位，达到使用要求及质量标准、质保期服务所需的全部费用及采购代理服务费、履约验收费用均包含在总价之中。</w:t>
      </w:r>
      <w:r>
        <w:rPr>
          <w:rFonts w:hint="eastAsia" w:ascii="宋体" w:hAnsi="宋体" w:cs="宋体"/>
          <w:bCs/>
          <w:color w:val="000000" w:themeColor="text1"/>
          <w:szCs w:val="21"/>
          <w14:textFill>
            <w14:solidFill>
              <w14:schemeClr w14:val="tx1"/>
            </w14:solidFill>
          </w14:textFill>
        </w:rPr>
        <w:t>投标人的报价应按招标文件要求的格式、顺序编制。</w:t>
      </w:r>
    </w:p>
    <w:p>
      <w:pPr>
        <w:ind w:firstLine="420"/>
        <w:rPr>
          <w:rFonts w:ascii="宋体" w:hAnsi="宋体" w:cs="宋体"/>
          <w:color w:val="000000" w:themeColor="text1"/>
          <w:szCs w:val="21"/>
          <w14:textFill>
            <w14:solidFill>
              <w14:schemeClr w14:val="tx1"/>
            </w14:solidFill>
          </w14:textFill>
        </w:rPr>
      </w:pPr>
      <w:r>
        <w:rPr>
          <w:color w:val="000000" w:themeColor="text1"/>
          <w:szCs w:val="21"/>
          <w14:textFill>
            <w14:solidFill>
              <w14:schemeClr w14:val="tx1"/>
            </w14:solidFill>
          </w14:textFill>
        </w:rPr>
        <w:t>3.5.2</w:t>
      </w:r>
      <w:r>
        <w:rPr>
          <w:rFonts w:hint="eastAsia" w:ascii="宋体" w:hAnsi="宋体" w:cs="宋体"/>
          <w:color w:val="000000" w:themeColor="text1"/>
          <w:szCs w:val="21"/>
          <w14:textFill>
            <w14:solidFill>
              <w14:schemeClr w14:val="tx1"/>
            </w14:solidFill>
          </w14:textFill>
        </w:rPr>
        <w:t xml:space="preserve"> 投标报价应按不同费用构成分开填写，详见投标文件附件格式。</w:t>
      </w:r>
    </w:p>
    <w:p>
      <w:pPr>
        <w:ind w:firstLine="420"/>
        <w:rPr>
          <w:rFonts w:ascii="宋体" w:hAnsi="宋体" w:cs="宋体"/>
          <w:color w:val="000000" w:themeColor="text1"/>
          <w:szCs w:val="21"/>
          <w14:textFill>
            <w14:solidFill>
              <w14:schemeClr w14:val="tx1"/>
            </w14:solidFill>
          </w14:textFill>
        </w:rPr>
      </w:pPr>
      <w:r>
        <w:rPr>
          <w:bCs/>
          <w:color w:val="000000" w:themeColor="text1"/>
          <w:szCs w:val="21"/>
          <w14:textFill>
            <w14:solidFill>
              <w14:schemeClr w14:val="tx1"/>
            </w14:solidFill>
          </w14:textFill>
        </w:rPr>
        <w:t>3.5.3</w:t>
      </w:r>
      <w:r>
        <w:rPr>
          <w:rFonts w:hint="eastAsia" w:ascii="宋体" w:hAnsi="宋体" w:cs="宋体"/>
          <w:bCs/>
          <w:color w:val="000000" w:themeColor="text1"/>
          <w:szCs w:val="21"/>
          <w14:textFill>
            <w14:solidFill>
              <w14:schemeClr w14:val="tx1"/>
            </w14:solidFill>
          </w14:textFill>
        </w:rPr>
        <w:t>本项目只允许有一个报价，不接受有选择报价的投标文件。</w:t>
      </w:r>
    </w:p>
    <w:p>
      <w:pPr>
        <w:ind w:firstLine="420"/>
        <w:rPr>
          <w:rFonts w:ascii="宋体" w:hAnsi="宋体" w:cs="宋体"/>
          <w:bCs/>
          <w:color w:val="000000" w:themeColor="text1"/>
          <w:szCs w:val="21"/>
          <w14:textFill>
            <w14:solidFill>
              <w14:schemeClr w14:val="tx1"/>
            </w14:solidFill>
          </w14:textFill>
        </w:rPr>
      </w:pPr>
      <w:r>
        <w:rPr>
          <w:bCs/>
          <w:color w:val="000000" w:themeColor="text1"/>
          <w:szCs w:val="21"/>
          <w14:textFill>
            <w14:solidFill>
              <w14:schemeClr w14:val="tx1"/>
            </w14:solidFill>
          </w14:textFill>
        </w:rPr>
        <w:t>3.5.4</w:t>
      </w:r>
      <w:r>
        <w:rPr>
          <w:rFonts w:hint="eastAsia" w:ascii="宋体" w:hAnsi="宋体" w:cs="宋体"/>
          <w:bCs/>
          <w:color w:val="000000" w:themeColor="text1"/>
          <w:szCs w:val="21"/>
          <w14:textFill>
            <w14:solidFill>
              <w14:schemeClr w14:val="tx1"/>
            </w14:solidFill>
          </w14:textFill>
        </w:rPr>
        <w:t>投标人应对本项目规定的全部内容进行报价。</w:t>
      </w:r>
    </w:p>
    <w:p>
      <w:pPr>
        <w:pStyle w:val="11"/>
        <w:ind w:firstLineChars="200"/>
        <w:rPr>
          <w:rFonts w:eastAsia="宋体"/>
          <w:color w:val="000000" w:themeColor="text1"/>
          <w14:textFill>
            <w14:solidFill>
              <w14:schemeClr w14:val="tx1"/>
            </w14:solidFill>
          </w14:textFill>
        </w:rPr>
      </w:pPr>
      <w:r>
        <w:rPr>
          <w:rFonts w:eastAsia="宋体"/>
          <w:bCs/>
          <w:color w:val="000000" w:themeColor="text1"/>
          <w:szCs w:val="21"/>
          <w14:textFill>
            <w14:solidFill>
              <w14:schemeClr w14:val="tx1"/>
            </w14:solidFill>
          </w14:textFill>
        </w:rPr>
        <w:t>3.5.5</w:t>
      </w:r>
      <w:r>
        <w:rPr>
          <w:rFonts w:hint="eastAsia" w:ascii="宋体" w:hAnsi="宋体" w:eastAsia="宋体" w:cs="宋体"/>
          <w:bCs/>
          <w:color w:val="000000" w:themeColor="text1"/>
          <w:szCs w:val="21"/>
          <w14:textFill>
            <w14:solidFill>
              <w14:schemeClr w14:val="tx1"/>
            </w14:solidFill>
          </w14:textFill>
        </w:rPr>
        <w:t xml:space="preserve"> 本次报价为图书的</w:t>
      </w:r>
      <w:r>
        <w:rPr>
          <w:rFonts w:hint="eastAsia" w:ascii="宋体" w:hAnsi="宋体" w:eastAsia="宋体" w:cs="宋体"/>
          <w:color w:val="000000" w:themeColor="text1"/>
          <w:szCs w:val="21"/>
          <w14:textFill>
            <w14:solidFill>
              <w14:schemeClr w14:val="tx1"/>
            </w14:solidFill>
          </w14:textFill>
        </w:rPr>
        <w:t>【码洋折扣率】。</w:t>
      </w:r>
    </w:p>
    <w:p>
      <w:pPr>
        <w:pStyle w:val="5"/>
        <w:rPr>
          <w:color w:val="000000" w:themeColor="text1"/>
          <w14:textFill>
            <w14:solidFill>
              <w14:schemeClr w14:val="tx1"/>
            </w14:solidFill>
          </w14:textFill>
        </w:rPr>
      </w:pPr>
      <w:r>
        <w:rPr>
          <w:color w:val="000000" w:themeColor="text1"/>
          <w14:textFill>
            <w14:solidFill>
              <w14:schemeClr w14:val="tx1"/>
            </w14:solidFill>
          </w14:textFill>
        </w:rPr>
        <w:t>3.6</w:t>
      </w:r>
      <w:r>
        <w:rPr>
          <w:rFonts w:hint="eastAsia"/>
          <w:color w:val="000000" w:themeColor="text1"/>
          <w14:textFill>
            <w14:solidFill>
              <w14:schemeClr w14:val="tx1"/>
            </w14:solidFill>
          </w14:textFill>
        </w:rPr>
        <w:t>投标保证金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无</w:t>
      </w:r>
    </w:p>
    <w:p>
      <w:pPr>
        <w:pStyle w:val="5"/>
        <w:rPr>
          <w:color w:val="000000" w:themeColor="text1"/>
          <w14:textFill>
            <w14:solidFill>
              <w14:schemeClr w14:val="tx1"/>
            </w14:solidFill>
          </w14:textFill>
        </w:rPr>
      </w:pPr>
      <w:r>
        <w:rPr>
          <w:color w:val="000000" w:themeColor="text1"/>
          <w14:textFill>
            <w14:solidFill>
              <w14:schemeClr w14:val="tx1"/>
            </w14:solidFill>
          </w14:textFill>
        </w:rPr>
        <w:t>3.7</w:t>
      </w:r>
      <w:r>
        <w:rPr>
          <w:rFonts w:hint="eastAsia"/>
          <w:color w:val="000000" w:themeColor="text1"/>
          <w14:textFill>
            <w14:solidFill>
              <w14:schemeClr w14:val="tx1"/>
            </w14:solidFill>
          </w14:textFill>
        </w:rPr>
        <w:t>投标有效期</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3.7.1 </w:t>
      </w:r>
      <w:r>
        <w:rPr>
          <w:rFonts w:hint="eastAsia"/>
          <w:color w:val="000000" w:themeColor="text1"/>
          <w14:textFill>
            <w14:solidFill>
              <w14:schemeClr w14:val="tx1"/>
            </w14:solidFill>
          </w14:textFill>
        </w:rPr>
        <w:t>投标有效期见投标人须知前附表</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投标有效期内，投标文件应保持有效。</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3.7.2 </w:t>
      </w:r>
      <w:r>
        <w:rPr>
          <w:rFonts w:hint="eastAsia"/>
          <w:color w:val="000000" w:themeColor="text1"/>
          <w14:textFill>
            <w14:solidFill>
              <w14:schemeClr w14:val="tx1"/>
            </w14:solidFill>
          </w14:textFill>
        </w:rPr>
        <w:t>在特殊情况下，招标人可与投标人协商延长投标有效期，这种要求和答复均应以书面形式进行。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3.7.3 </w:t>
      </w:r>
      <w:r>
        <w:rPr>
          <w:rFonts w:hint="eastAsia"/>
          <w:color w:val="000000" w:themeColor="text1"/>
          <w14:textFill>
            <w14:solidFill>
              <w14:schemeClr w14:val="tx1"/>
            </w14:solidFill>
          </w14:textFill>
        </w:rPr>
        <w:t>投标人可拒绝接受延期要求而不会导致投标保证金被没收。同意延长有效期的投标人不能修改投标文件。</w:t>
      </w:r>
    </w:p>
    <w:p>
      <w:pPr>
        <w:pStyle w:val="4"/>
        <w:rPr>
          <w:color w:val="000000" w:themeColor="text1"/>
          <w14:textFill>
            <w14:solidFill>
              <w14:schemeClr w14:val="tx1"/>
            </w14:solidFill>
          </w14:textFill>
        </w:rPr>
      </w:pPr>
      <w:bookmarkStart w:id="81" w:name="_Toc32582"/>
      <w:bookmarkStart w:id="82" w:name="_Toc82873325"/>
      <w:bookmarkStart w:id="83" w:name="_Toc82338242"/>
      <w:bookmarkStart w:id="84" w:name="_Toc450840076"/>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投标文件的提交</w:t>
      </w:r>
      <w:bookmarkEnd w:id="81"/>
      <w:bookmarkEnd w:id="82"/>
      <w:bookmarkEnd w:id="83"/>
      <w:bookmarkEnd w:id="84"/>
    </w:p>
    <w:p>
      <w:pPr>
        <w:pStyle w:val="5"/>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投标文件的密封及标记</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4.1.1 </w:t>
      </w:r>
      <w:r>
        <w:rPr>
          <w:rFonts w:hint="eastAsia"/>
          <w:color w:val="000000" w:themeColor="text1"/>
          <w14:textFill>
            <w14:solidFill>
              <w14:schemeClr w14:val="tx1"/>
            </w14:solidFill>
          </w14:textFill>
        </w:rPr>
        <w:t>投标文件应按以下方法装袋密封</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见投标人须知前附表</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4.1.2 </w:t>
      </w:r>
      <w:r>
        <w:rPr>
          <w:rFonts w:hint="eastAsia"/>
          <w:color w:val="000000" w:themeColor="text1"/>
          <w14:textFill>
            <w14:solidFill>
              <w14:schemeClr w14:val="tx1"/>
            </w14:solidFill>
          </w14:textFill>
        </w:rPr>
        <w:t>如果投标人未按上述要求密封及加写标记，招标人对投标文件的误投和提前启封不负责任。</w:t>
      </w:r>
    </w:p>
    <w:p>
      <w:pPr>
        <w:pStyle w:val="5"/>
        <w:rPr>
          <w:color w:val="000000" w:themeColor="text1"/>
          <w14:textFill>
            <w14:solidFill>
              <w14:schemeClr w14:val="tx1"/>
            </w14:solidFill>
          </w14:textFill>
        </w:rPr>
      </w:pPr>
      <w:r>
        <w:rPr>
          <w:color w:val="000000" w:themeColor="text1"/>
          <w14:textFill>
            <w14:solidFill>
              <w14:schemeClr w14:val="tx1"/>
            </w14:solidFill>
          </w14:textFill>
        </w:rPr>
        <w:t>4.2</w:t>
      </w:r>
      <w:r>
        <w:rPr>
          <w:rFonts w:hint="eastAsia"/>
          <w:color w:val="000000" w:themeColor="text1"/>
          <w14:textFill>
            <w14:solidFill>
              <w14:schemeClr w14:val="tx1"/>
            </w14:solidFill>
          </w14:textFill>
        </w:rPr>
        <w:t>投标截止时间</w:t>
      </w:r>
    </w:p>
    <w:p>
      <w:pPr>
        <w:ind w:firstLine="420"/>
        <w:rPr>
          <w:bCs/>
          <w:color w:val="000000" w:themeColor="text1"/>
          <w14:textFill>
            <w14:solidFill>
              <w14:schemeClr w14:val="tx1"/>
            </w14:solidFill>
          </w14:textFill>
        </w:rPr>
      </w:pPr>
      <w:r>
        <w:rPr>
          <w:color w:val="000000" w:themeColor="text1"/>
          <w14:textFill>
            <w14:solidFill>
              <w14:schemeClr w14:val="tx1"/>
            </w14:solidFill>
          </w14:textFill>
        </w:rPr>
        <w:t xml:space="preserve">4.2.1 </w:t>
      </w:r>
      <w:r>
        <w:rPr>
          <w:rFonts w:hint="eastAsia"/>
          <w:bCs/>
          <w:color w:val="000000" w:themeColor="text1"/>
          <w14:textFill>
            <w14:solidFill>
              <w14:schemeClr w14:val="tx1"/>
            </w14:solidFill>
          </w14:textFill>
        </w:rPr>
        <w:t>投标文件必须在规定的提交截止时间前（见投标人须知前附表）按招标文件规定送达指定的投标文件提交地点，逾期送达的，采购代理机构将拒收其投标文件。</w:t>
      </w:r>
    </w:p>
    <w:p>
      <w:pPr>
        <w:ind w:firstLine="420"/>
        <w:rPr>
          <w:color w:val="000000" w:themeColor="text1"/>
          <w14:textFill>
            <w14:solidFill>
              <w14:schemeClr w14:val="tx1"/>
            </w14:solidFill>
          </w14:textFill>
        </w:rPr>
      </w:pPr>
      <w:r>
        <w:rPr>
          <w:bCs/>
          <w:color w:val="000000" w:themeColor="text1"/>
          <w14:textFill>
            <w14:solidFill>
              <w14:schemeClr w14:val="tx1"/>
            </w14:solidFill>
          </w14:textFill>
        </w:rPr>
        <w:t>4.2.2</w:t>
      </w:r>
      <w:r>
        <w:rPr>
          <w:rFonts w:hint="eastAsia"/>
          <w:bCs/>
          <w:color w:val="000000" w:themeColor="text1"/>
          <w14:textFill>
            <w14:solidFill>
              <w14:schemeClr w14:val="tx1"/>
            </w14:solidFill>
          </w14:textFill>
        </w:rPr>
        <w:t>延长投标截止时间和开标时间，至少应当在招标文件要求提交投标文件的截止时间一日前书面通知所有招标文件收受人。</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4.2.3</w:t>
      </w:r>
      <w:r>
        <w:rPr>
          <w:rFonts w:hint="eastAsia"/>
          <w:color w:val="000000" w:themeColor="text1"/>
          <w14:textFill>
            <w14:solidFill>
              <w14:schemeClr w14:val="tx1"/>
            </w14:solidFill>
          </w14:textFill>
        </w:rPr>
        <w:t>招标人如因故推迟投标截止时间，应以书面形式通知所有投标人。在这种情况下，招标人和投标人的权利和义务将受到新的截止时间的约束。</w:t>
      </w:r>
    </w:p>
    <w:p>
      <w:pPr>
        <w:pStyle w:val="5"/>
        <w:rPr>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投标文件的修改和撤回</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4.3.1 </w:t>
      </w:r>
      <w:r>
        <w:rPr>
          <w:rFonts w:hint="eastAsia"/>
          <w:color w:val="000000" w:themeColor="text1"/>
          <w14:textFill>
            <w14:solidFill>
              <w14:schemeClr w14:val="tx1"/>
            </w14:solidFill>
          </w14:textFill>
        </w:rPr>
        <w:t>投标人递交投标文件以后，在规定的投标截止时间之前，可以书面形式（需密封）对投标文件进行补充、修改，修改文件须加盖单位公章，并由法定代表人或授权委托人签字盖章，在投标截止时间以后，不能修改、补充投标文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4.3.2</w:t>
      </w:r>
      <w:r>
        <w:rPr>
          <w:rFonts w:hint="eastAsia"/>
          <w:color w:val="000000" w:themeColor="text1"/>
          <w14:textFill>
            <w14:solidFill>
              <w14:schemeClr w14:val="tx1"/>
            </w14:solidFill>
          </w14:textFill>
        </w:rPr>
        <w:t>投标人的修改文件，应按本须知规定编制、密封、标志和递交（在密封物上标明修改字样），如果一份投标文件有几份函件时，应注明哪一份有效，否则所作修改视为无效。</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4.3.3 </w:t>
      </w:r>
      <w:r>
        <w:rPr>
          <w:rFonts w:hint="eastAsia"/>
          <w:color w:val="000000" w:themeColor="text1"/>
          <w14:textFill>
            <w14:solidFill>
              <w14:schemeClr w14:val="tx1"/>
            </w14:solidFill>
          </w14:textFill>
        </w:rPr>
        <w:t>投标修改文件必须密封，在密封袋上写明招标编号、招标项目名称、投标人、并注明“修改文件”、“开标时启封”字样。</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4.3.4 </w:t>
      </w:r>
      <w:r>
        <w:rPr>
          <w:rFonts w:hint="eastAsia"/>
          <w:color w:val="000000" w:themeColor="text1"/>
          <w14:textFill>
            <w14:solidFill>
              <w14:schemeClr w14:val="tx1"/>
            </w14:solidFill>
          </w14:textFill>
        </w:rPr>
        <w:t>投标人以传真或电报形式通知招标人撤标时，必须随后补充有法定代表人或法定代表人授权委托人签署的正式文件。但投标文件提交截止时间以后要求撤标的，其投标保证金将被没收。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4.3.5</w:t>
      </w:r>
      <w:r>
        <w:rPr>
          <w:rFonts w:hint="eastAsia"/>
          <w:color w:val="000000" w:themeColor="text1"/>
          <w14:textFill>
            <w14:solidFill>
              <w14:schemeClr w14:val="tx1"/>
            </w14:solidFill>
          </w14:textFill>
        </w:rPr>
        <w:t>投标文件不得涂改，若有修改错漏处，须加盖供应商公章或者法定代表人或授权委托人签名或盖章。投标文件因字迹潦草或表达不清所引起的后果由投标人负责。</w:t>
      </w:r>
    </w:p>
    <w:p>
      <w:pPr>
        <w:pStyle w:val="5"/>
        <w:rPr>
          <w:color w:val="000000" w:themeColor="text1"/>
          <w14:textFill>
            <w14:solidFill>
              <w14:schemeClr w14:val="tx1"/>
            </w14:solidFill>
          </w14:textFill>
        </w:rPr>
      </w:pPr>
      <w:r>
        <w:rPr>
          <w:color w:val="000000" w:themeColor="text1"/>
          <w14:textFill>
            <w14:solidFill>
              <w14:schemeClr w14:val="tx1"/>
            </w14:solidFill>
          </w14:textFill>
        </w:rPr>
        <w:t>4.4</w:t>
      </w:r>
      <w:r>
        <w:rPr>
          <w:rFonts w:hint="eastAsia"/>
          <w:color w:val="000000" w:themeColor="text1"/>
          <w14:textFill>
            <w14:solidFill>
              <w14:schemeClr w14:val="tx1"/>
            </w14:solidFill>
          </w14:textFill>
        </w:rPr>
        <w:t>投标文件的澄清与修正</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4.4.1</w:t>
      </w:r>
      <w:r>
        <w:rPr>
          <w:rFonts w:hint="eastAsia"/>
          <w:color w:val="000000" w:themeColor="text1"/>
          <w14:textFill>
            <w14:solidFill>
              <w14:schemeClr w14:val="tx1"/>
            </w14:solidFill>
          </w14:textFill>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4.4.2 </w:t>
      </w:r>
      <w:r>
        <w:rPr>
          <w:rFonts w:hint="eastAsia"/>
          <w:color w:val="000000" w:themeColor="text1"/>
          <w14:textFill>
            <w14:solidFill>
              <w14:schemeClr w14:val="tx1"/>
            </w14:solidFill>
          </w14:textFill>
        </w:rPr>
        <w:t>投标文件报价出现前后不一致的，除招标文件另有规定外，按照下列规定修正：</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（一）投标文件中开标一览表（报价表）内容与投标文件中相应内容不一致的，以开标一览表（报价表）为准；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（二）大写金额和小写金额不一致的，以大写金额为准；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（三）单价金额小数点或者百分比有明显错位的，以开标一览表的总价为准，并修改单价；</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（四）总价金额与按单价汇总金额不一致的，以单价金额计算结果为准。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　同时出现两种以上不一致的，按照前款规定的顺序修正。由投标人采用书面形式修正报价，并加盖公章，或者由法定代表人或其授权的代表签字确认。经投标人确认后产生约束力，投标人不确认的，其投标无效。</w:t>
      </w:r>
    </w:p>
    <w:p>
      <w:pPr>
        <w:pStyle w:val="4"/>
        <w:rPr>
          <w:color w:val="000000" w:themeColor="text1"/>
          <w14:textFill>
            <w14:solidFill>
              <w14:schemeClr w14:val="tx1"/>
            </w14:solidFill>
          </w14:textFill>
        </w:rPr>
      </w:pPr>
      <w:bookmarkStart w:id="85" w:name="_Toc82873326"/>
      <w:bookmarkStart w:id="86" w:name="_Toc82338243"/>
      <w:bookmarkStart w:id="87" w:name="_Toc450840077"/>
      <w:bookmarkStart w:id="88" w:name="_Toc19078"/>
      <w:bookmarkStart w:id="89" w:name="_Toc482006357"/>
      <w:r>
        <w:rPr>
          <w:color w:val="000000" w:themeColor="text1"/>
          <w14:textFill>
            <w14:solidFill>
              <w14:schemeClr w14:val="tx1"/>
            </w14:solidFill>
          </w14:textFill>
        </w:rPr>
        <w:t>5</w:t>
      </w:r>
      <w:r>
        <w:rPr>
          <w:rFonts w:hint="eastAsia"/>
          <w:color w:val="000000" w:themeColor="text1"/>
          <w14:textFill>
            <w14:solidFill>
              <w14:schemeClr w14:val="tx1"/>
            </w14:solidFill>
          </w14:textFill>
        </w:rPr>
        <w:t>开标、评</w:t>
      </w:r>
      <w:bookmarkEnd w:id="85"/>
      <w:bookmarkEnd w:id="86"/>
      <w:r>
        <w:rPr>
          <w:rFonts w:hint="eastAsia"/>
          <w:color w:val="000000" w:themeColor="text1"/>
          <w14:textFill>
            <w14:solidFill>
              <w14:schemeClr w14:val="tx1"/>
            </w14:solidFill>
          </w14:textFill>
        </w:rPr>
        <w:t>标及合同签订</w:t>
      </w:r>
      <w:bookmarkEnd w:id="87"/>
      <w:bookmarkEnd w:id="88"/>
      <w:bookmarkEnd w:id="89"/>
    </w:p>
    <w:p>
      <w:pPr>
        <w:pStyle w:val="5"/>
        <w:rPr>
          <w:color w:val="000000" w:themeColor="text1"/>
          <w14:textFill>
            <w14:solidFill>
              <w14:schemeClr w14:val="tx1"/>
            </w14:solidFill>
          </w14:textFill>
        </w:rPr>
      </w:pPr>
      <w:r>
        <w:rPr>
          <w:color w:val="000000" w:themeColor="text1"/>
          <w14:textFill>
            <w14:solidFill>
              <w14:schemeClr w14:val="tx1"/>
            </w14:solidFill>
          </w14:textFill>
        </w:rPr>
        <w:t>5.1</w:t>
      </w:r>
      <w:r>
        <w:rPr>
          <w:rFonts w:hint="eastAsia"/>
          <w:color w:val="000000" w:themeColor="text1"/>
          <w14:textFill>
            <w14:solidFill>
              <w14:schemeClr w14:val="tx1"/>
            </w14:solidFill>
          </w14:textFill>
        </w:rPr>
        <w:t>开标</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）开启开标场地的录音录像采集设备，并确保其正常运行。</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）投标人法定代表人或法定代表人授权委托人出席开标会的应签名报到，以证明其出席开标会议，且随身携带身份证原件</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或招标人认可的其他身份证明</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、法定代表人授权委托书（如密封在标书里，开标时查验符合要求也可以）。（投标人法定代表人或其授权委托人因故未参加开标、评审活动，或者授权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身份证明有瑕疵，或者拒绝签字确认的，不影响开标、评审程序继续进行，事后不得要求补办相关现场确认手续，也不得要求相关工作人员还原或重复履行相关工作义务，但被确定为中标（成交）投标人的，应补签《采购活动现场确认声明书》。投标人未参加开标的，视同认可开标结果。）</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）对现场接收采购响应文件的，由现场工作人员接收采购响应文件并登记，请供应商代表对采购响应文件的递交记录情况进行签字确认。</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）主持人宣布开标，介绍开标现场的人员情况，宣读递交采购响应文件的供应商名单、开标纪律、应当回避的情形等注意事项，组织供应商签署不存在影响公平竞争的《采购活动现场确认声明书》。</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）清点采购响应文件（包括正本、副本）数量，将其中密封的报价文件（含开标</w:t>
      </w:r>
      <w:r>
        <w:rPr>
          <w:color w:val="000000" w:themeColor="text1"/>
          <w14:textFill>
            <w14:solidFill>
              <w14:schemeClr w14:val="tx1"/>
            </w14:solidFill>
          </w14:textFill>
        </w:rPr>
        <w:t>&lt;</w:t>
      </w:r>
      <w:r>
        <w:rPr>
          <w:rFonts w:hint="eastAsia"/>
          <w:color w:val="000000" w:themeColor="text1"/>
          <w14:textFill>
            <w14:solidFill>
              <w14:schemeClr w14:val="tx1"/>
            </w14:solidFill>
          </w14:textFill>
        </w:rPr>
        <w:t>报价</w:t>
      </w:r>
      <w:r>
        <w:rPr>
          <w:color w:val="000000" w:themeColor="text1"/>
          <w14:textFill>
            <w14:solidFill>
              <w14:schemeClr w14:val="tx1"/>
            </w14:solidFill>
          </w14:textFill>
        </w:rPr>
        <w:t>&gt;</w:t>
      </w:r>
      <w:r>
        <w:rPr>
          <w:rFonts w:hint="eastAsia"/>
          <w:color w:val="000000" w:themeColor="text1"/>
          <w14:textFill>
            <w14:solidFill>
              <w14:schemeClr w14:val="tx1"/>
            </w14:solidFill>
          </w14:textFill>
        </w:rPr>
        <w:t>一览表、报价明细表等，下同）现场集中封存保管等候拆封。</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）对供应商资格证明文件进行查验、核实，应当由投标人或者其推选的代表检查投标文件的密封情况。资格审查不通过的，不再进行商务文件、资信技术文件、报价文件的评审。并退还其他投标文件。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）对资格审查通过的商务和技术文件由现场工作人员护送至指定的评审地点。对不符合装订要求的采购响应文件，由现场工作人员退还供应商代表。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商务和技术评审结束后，主持人宣告商务和技术评审无效供应商名称及理由，供应商代表可收回未拆封的报价文件并签字确认；公布经商务和技术评审符合采购需求的供应商名单，采用综合评分法的，应同时公布其商务和技术总得分情况。</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按供应商提交采购响应文件的先后顺序拆封供应商报价文件，宣读开标一览表有关内容，并制作并打印开标记录表，由供应商代表、唱标人、记录人和现场监督员在开标记录表上签字确认（不予确认的应说明理由，否则视为无异议）。唱标结束后，现场工作人员将报价文件及开标记录表护送至指定评审地点，由评审小组对报价的合理性、准确性等进行审查核实。</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）评审结束后，主持人公布投标供应商的商务和技术及报价的评审总得分与排序。</w:t>
      </w:r>
    </w:p>
    <w:p>
      <w:pPr>
        <w:pStyle w:val="5"/>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投标人不足三家情况处理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投标截止时间结束后或评审过程中参加标项投标的供应商不足三家的，除采购任务取消情形外，采购人可选择以下方式之一处理：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）可将本标项作废标处理，重新组织采购；</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）可按省级财政部门的审批意见采用其他采购方式组织采购；</w:t>
      </w:r>
    </w:p>
    <w:p>
      <w:pPr>
        <w:pStyle w:val="5"/>
        <w:rPr>
          <w:color w:val="000000" w:themeColor="text1"/>
          <w14:textFill>
            <w14:solidFill>
              <w14:schemeClr w14:val="tx1"/>
            </w14:solidFill>
          </w14:textFill>
        </w:rPr>
      </w:pPr>
      <w:r>
        <w:rPr>
          <w:color w:val="000000" w:themeColor="text1"/>
          <w14:textFill>
            <w14:solidFill>
              <w14:schemeClr w14:val="tx1"/>
            </w14:solidFill>
          </w14:textFill>
        </w:rPr>
        <w:t>5.3</w:t>
      </w:r>
      <w:r>
        <w:rPr>
          <w:rFonts w:hint="eastAsia"/>
          <w:color w:val="000000" w:themeColor="text1"/>
          <w14:textFill>
            <w14:solidFill>
              <w14:schemeClr w14:val="tx1"/>
            </w14:solidFill>
          </w14:textFill>
        </w:rPr>
        <w:t>审查内容</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5.3.1</w:t>
      </w:r>
      <w:r>
        <w:rPr>
          <w:rFonts w:hint="eastAsia"/>
          <w:b/>
          <w:color w:val="000000" w:themeColor="text1"/>
          <w14:textFill>
            <w14:solidFill>
              <w14:schemeClr w14:val="tx1"/>
            </w14:solidFill>
          </w14:textFill>
        </w:rPr>
        <w:t>投标文件资格性审查</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5.3.2.1</w:t>
      </w:r>
      <w:r>
        <w:rPr>
          <w:rFonts w:hint="eastAsia"/>
          <w:color w:val="000000" w:themeColor="text1"/>
          <w14:textFill>
            <w14:solidFill>
              <w14:schemeClr w14:val="tx1"/>
            </w14:solidFill>
          </w14:textFill>
        </w:rPr>
        <w:t>采购人或者采购代理机构应当依法对投标人的资格进行审查，以确定投标人是否具备投标资格。</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5.3.2.2</w:t>
      </w:r>
      <w:r>
        <w:rPr>
          <w:rFonts w:hint="eastAsia"/>
          <w:color w:val="000000" w:themeColor="text1"/>
          <w14:textFill>
            <w14:solidFill>
              <w14:schemeClr w14:val="tx1"/>
            </w14:solidFill>
          </w14:textFill>
        </w:rPr>
        <w:t>投标人以投标文件中提供的书面材料为准。</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5.3.2.3</w:t>
      </w:r>
      <w:r>
        <w:rPr>
          <w:rFonts w:hint="eastAsia"/>
          <w:color w:val="000000" w:themeColor="text1"/>
          <w14:textFill>
            <w14:solidFill>
              <w14:schemeClr w14:val="tx1"/>
            </w14:solidFill>
          </w14:textFill>
        </w:rPr>
        <w:t>招标人对投标文件的判定，只依据投标内容本身，不依靠开标后的任何外来证明。如投标人提交的资质证明或其他内容不齐全，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由此造成的后果由投标人自己负责。</w:t>
      </w:r>
      <w:r>
        <w:rPr>
          <w:color w:val="000000" w:themeColor="text1"/>
          <w14:textFill>
            <w14:solidFill>
              <w14:schemeClr w14:val="tx1"/>
            </w14:solidFill>
          </w14:textFill>
        </w:rPr>
        <w:t xml:space="preserve">  </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 xml:space="preserve">5.3.2 </w:t>
      </w:r>
      <w:r>
        <w:rPr>
          <w:rFonts w:hint="eastAsia"/>
          <w:b/>
          <w:color w:val="000000" w:themeColor="text1"/>
          <w14:textFill>
            <w14:solidFill>
              <w14:schemeClr w14:val="tx1"/>
            </w14:solidFill>
          </w14:textFill>
        </w:rPr>
        <w:t>投标文件符合性审查</w:t>
      </w:r>
    </w:p>
    <w:p>
      <w:pPr>
        <w:ind w:firstLine="420"/>
        <w:rPr>
          <w:color w:val="000000" w:themeColor="text1"/>
          <w:szCs w:val="20"/>
          <w14:textFill>
            <w14:solidFill>
              <w14:schemeClr w14:val="tx1"/>
            </w14:solidFill>
          </w14:textFill>
        </w:rPr>
      </w:pPr>
      <w:r>
        <w:rPr>
          <w:rFonts w:hint="eastAsia"/>
          <w:color w:val="000000" w:themeColor="text1"/>
          <w14:textFill>
            <w14:solidFill>
              <w14:schemeClr w14:val="tx1"/>
            </w14:solidFill>
          </w14:textFill>
        </w:rPr>
        <w:t>评标委员会应当对符合资格的投标人的投标文件进行符合性审查，以确定其是否满足招标文件的实质性要求。</w:t>
      </w:r>
      <w:r>
        <w:rPr>
          <w:rFonts w:hint="eastAsia"/>
          <w:color w:val="000000" w:themeColor="text1"/>
          <w:szCs w:val="20"/>
          <w14:textFill>
            <w14:solidFill>
              <w14:schemeClr w14:val="tx1"/>
            </w14:solidFill>
          </w14:textFill>
        </w:rPr>
        <w:t>如果投标文件实质上不响应招标文件的要求，</w:t>
      </w:r>
      <w:r>
        <w:rPr>
          <w:rFonts w:hint="eastAsia"/>
          <w:color w:val="000000" w:themeColor="text1"/>
          <w14:textFill>
            <w14:solidFill>
              <w14:schemeClr w14:val="tx1"/>
            </w14:solidFill>
          </w14:textFill>
        </w:rPr>
        <w:t>评标委员会</w:t>
      </w:r>
      <w:r>
        <w:rPr>
          <w:rFonts w:hint="eastAsia"/>
          <w:color w:val="000000" w:themeColor="text1"/>
          <w:szCs w:val="20"/>
          <w14:textFill>
            <w14:solidFill>
              <w14:schemeClr w14:val="tx1"/>
            </w14:solidFill>
          </w14:textFill>
        </w:rPr>
        <w:t>将予以拒绝，并且不允许通过修正或撤消不符合要求的差异或保留，使之成为具有响应性的投标。</w:t>
      </w:r>
    </w:p>
    <w:p>
      <w:pPr>
        <w:pStyle w:val="5"/>
        <w:rPr>
          <w:color w:val="000000" w:themeColor="text1"/>
          <w14:textFill>
            <w14:solidFill>
              <w14:schemeClr w14:val="tx1"/>
            </w14:solidFill>
          </w14:textFill>
        </w:rPr>
      </w:pPr>
      <w:r>
        <w:rPr>
          <w:color w:val="000000" w:themeColor="text1"/>
          <w14:textFill>
            <w14:solidFill>
              <w14:schemeClr w14:val="tx1"/>
            </w14:solidFill>
          </w14:textFill>
        </w:rPr>
        <w:t>5.4</w:t>
      </w:r>
      <w:r>
        <w:rPr>
          <w:rFonts w:hint="eastAsia"/>
          <w:color w:val="000000" w:themeColor="text1"/>
          <w14:textFill>
            <w14:solidFill>
              <w14:schemeClr w14:val="tx1"/>
            </w14:solidFill>
          </w14:textFill>
        </w:rPr>
        <w:t>评标</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5.4.1 </w:t>
      </w:r>
      <w:r>
        <w:rPr>
          <w:rFonts w:hint="eastAsia"/>
          <w:color w:val="000000" w:themeColor="text1"/>
          <w14:textFill>
            <w14:solidFill>
              <w14:schemeClr w14:val="tx1"/>
            </w14:solidFill>
          </w14:textFill>
        </w:rPr>
        <w:t>评标原则</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评标委员会必须公平、公正、客观，不受任何倾向性和启发性；不得向外界透露任何与评标有关的内容；任何单位和个人不得干扰、影响评标的正常进行；评标委员会及有关工作人员不得私下与投标人接触。</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5.4.2 </w:t>
      </w:r>
      <w:r>
        <w:rPr>
          <w:rFonts w:hint="eastAsia"/>
          <w:color w:val="000000" w:themeColor="text1"/>
          <w14:textFill>
            <w14:solidFill>
              <w14:schemeClr w14:val="tx1"/>
            </w14:solidFill>
          </w14:textFill>
        </w:rPr>
        <w:t>评标组织</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5.4.2.1 </w:t>
      </w:r>
      <w:r>
        <w:rPr>
          <w:rFonts w:hint="eastAsia"/>
          <w:color w:val="000000" w:themeColor="text1"/>
          <w14:textFill>
            <w14:solidFill>
              <w14:schemeClr w14:val="tx1"/>
            </w14:solidFill>
          </w14:textFill>
        </w:rPr>
        <w:t>评审工作由招标人组建的评标委员会负责。评标委员会由采购人代表和评审专家组成，成员人数应当为5人以上单数，其中评审专家不得少于成员总数的三分之二。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5.4.2.2 </w:t>
      </w:r>
      <w:r>
        <w:rPr>
          <w:rFonts w:hint="eastAsia"/>
          <w:color w:val="000000" w:themeColor="text1"/>
          <w14:textFill>
            <w14:solidFill>
              <w14:schemeClr w14:val="tx1"/>
            </w14:solidFill>
          </w14:textFill>
        </w:rPr>
        <w:t>评标委员会在成员之中（除采购人代表）可推荐一名组长，主持评审工作，集各成员意见，使整个评审工作有序有效的进行。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5.4.3 </w:t>
      </w:r>
      <w:r>
        <w:rPr>
          <w:rFonts w:hint="eastAsia"/>
          <w:color w:val="000000" w:themeColor="text1"/>
          <w14:textFill>
            <w14:solidFill>
              <w14:schemeClr w14:val="tx1"/>
            </w14:solidFill>
          </w14:textFill>
        </w:rPr>
        <w:t>评审纪律</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5.4.3.1</w:t>
      </w:r>
      <w:r>
        <w:rPr>
          <w:rFonts w:hint="eastAsia"/>
          <w:color w:val="000000" w:themeColor="text1"/>
          <w14:textFill>
            <w14:solidFill>
              <w14:schemeClr w14:val="tx1"/>
            </w14:solidFill>
          </w14:textFill>
        </w:rPr>
        <w:t>整个开标、评审过程由代理机构监督代表、采购人纪检人员（如有）全过程监督。整个评审项目应严格保密，评标委员会成员及工作人员应严格遵守纪律，不得泄露任何评标信息。</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5.4.3.2</w:t>
      </w:r>
      <w:r>
        <w:rPr>
          <w:rFonts w:hint="eastAsia"/>
          <w:color w:val="000000" w:themeColor="text1"/>
          <w14:textFill>
            <w14:solidFill>
              <w14:schemeClr w14:val="tx1"/>
            </w14:solidFill>
          </w14:textFill>
        </w:rPr>
        <w:t>评标委员会应遵循公平、公正、科学、择优的原则，对招标文件规定的条件和标准，对各投标文件的合规性、完整性和有效性进行审查、比较和评估。如属于实质性负偏离或符合无效条款的，应当询问投标人，并允许投标人进行陈述申辩、但不允许其对实质性偏离条款进行补充、修正和撤回。</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5.4.3.3</w:t>
      </w:r>
      <w:r>
        <w:rPr>
          <w:rFonts w:hint="eastAsia"/>
          <w:color w:val="000000" w:themeColor="text1"/>
          <w14:textFill>
            <w14:solidFill>
              <w14:schemeClr w14:val="tx1"/>
            </w14:solidFill>
          </w14:textFill>
        </w:rPr>
        <w:t>评标委员会对投标文件的判定，只依据投标文件内容本身，不依靠开标后的任何外来证明。</w:t>
      </w:r>
    </w:p>
    <w:p>
      <w:pPr>
        <w:pStyle w:val="5"/>
        <w:rPr>
          <w:color w:val="000000" w:themeColor="text1"/>
          <w14:textFill>
            <w14:solidFill>
              <w14:schemeClr w14:val="tx1"/>
            </w14:solidFill>
          </w14:textFill>
        </w:rPr>
      </w:pPr>
      <w:r>
        <w:rPr>
          <w:color w:val="000000" w:themeColor="text1"/>
          <w14:textFill>
            <w14:solidFill>
              <w14:schemeClr w14:val="tx1"/>
            </w14:solidFill>
          </w14:textFill>
        </w:rPr>
        <w:t>5.5</w:t>
      </w:r>
      <w:r>
        <w:rPr>
          <w:rFonts w:hint="eastAsia"/>
          <w:color w:val="000000" w:themeColor="text1"/>
          <w14:textFill>
            <w14:solidFill>
              <w14:schemeClr w14:val="tx1"/>
            </w14:solidFill>
          </w14:textFill>
        </w:rPr>
        <w:t>评标顺序</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资格审查（未通过资格审查的供应商不再进行后续评审）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评标委员会推荐组长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符合性审查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资信部分复核打分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技术部分评审打分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公布技术、资信得分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商务唱报价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报价文件审核</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评审报告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宣布评审结果。</w:t>
      </w:r>
    </w:p>
    <w:p>
      <w:pPr>
        <w:pStyle w:val="5"/>
        <w:rPr>
          <w:color w:val="000000" w:themeColor="text1"/>
          <w14:textFill>
            <w14:solidFill>
              <w14:schemeClr w14:val="tx1"/>
            </w14:solidFill>
          </w14:textFill>
        </w:rPr>
      </w:pPr>
      <w:r>
        <w:rPr>
          <w:color w:val="000000" w:themeColor="text1"/>
          <w14:textFill>
            <w14:solidFill>
              <w14:schemeClr w14:val="tx1"/>
            </w14:solidFill>
          </w14:textFill>
        </w:rPr>
        <w:t>5.6</w:t>
      </w:r>
      <w:r>
        <w:rPr>
          <w:rFonts w:hint="eastAsia"/>
          <w:color w:val="000000" w:themeColor="text1"/>
          <w14:textFill>
            <w14:solidFill>
              <w14:schemeClr w14:val="tx1"/>
            </w14:solidFill>
          </w14:textFill>
        </w:rPr>
        <w:t>评审报告</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5.6.1</w:t>
      </w:r>
      <w:r>
        <w:rPr>
          <w:rFonts w:hint="eastAsia"/>
          <w:color w:val="000000" w:themeColor="text1"/>
          <w14:textFill>
            <w14:solidFill>
              <w14:schemeClr w14:val="tx1"/>
            </w14:solidFill>
          </w14:textFill>
        </w:rPr>
        <w:t>评审结束后，应当向招标人提交项目评审报告。评审报告是招标人确定招标人的合法依据，评标委员会应当如实、客观地反映评审情况，评标结果按评审后得分由高到低顺序排列。如排名第一的中标候选人投标报价为最高报价的，评审报告中必须对其报价的合理性等进行分析和特别说明。</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5.6.2</w:t>
      </w:r>
      <w:r>
        <w:rPr>
          <w:rFonts w:hint="eastAsia"/>
          <w:color w:val="000000" w:themeColor="text1"/>
          <w14:textFill>
            <w14:solidFill>
              <w14:schemeClr w14:val="tx1"/>
            </w14:solidFill>
          </w14:textFill>
        </w:rPr>
        <w:t>评标委员会将评审综合得分最高的前两名投标人作为中标候选人向招标人推荐，得分最高的为第一中标候选人，得分次高的为第二中标候选人（得分相同的，按投标报价由低到高顺序排列。得分且投标报价相同的并列。投标文件满足招标文件全部实质性要求，且按照评审因素的量化指标评审得分最高的投标人为排名第一的中标候选人。）并提交经评标委员会成员签字的评审报告。</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5.6.3</w:t>
      </w:r>
      <w:r>
        <w:rPr>
          <w:rFonts w:hint="eastAsia"/>
          <w:color w:val="000000" w:themeColor="text1"/>
          <w14:textFill>
            <w14:solidFill>
              <w14:schemeClr w14:val="tx1"/>
            </w14:solidFill>
          </w14:textFill>
        </w:rPr>
        <w:t>各评审人员应当独立、客观、公正地提出评审意见，不得带有倾向性，不得影响其他人员评审，并在评审报告上签字；如对评审报告有异议的，可以在报告中签署不同意见，并说明理由，否则将视为同意</w:t>
      </w:r>
    </w:p>
    <w:p>
      <w:pPr>
        <w:pStyle w:val="5"/>
        <w:rPr>
          <w:color w:val="000000" w:themeColor="text1"/>
          <w14:textFill>
            <w14:solidFill>
              <w14:schemeClr w14:val="tx1"/>
            </w14:solidFill>
          </w14:textFill>
        </w:rPr>
      </w:pPr>
      <w:r>
        <w:rPr>
          <w:color w:val="000000" w:themeColor="text1"/>
          <w14:textFill>
            <w14:solidFill>
              <w14:schemeClr w14:val="tx1"/>
            </w14:solidFill>
          </w14:textFill>
        </w:rPr>
        <w:t>5.7</w:t>
      </w:r>
      <w:r>
        <w:rPr>
          <w:rFonts w:hint="eastAsia"/>
          <w:color w:val="000000" w:themeColor="text1"/>
          <w14:textFill>
            <w14:solidFill>
              <w14:schemeClr w14:val="tx1"/>
            </w14:solidFill>
          </w14:textFill>
        </w:rPr>
        <w:t>评标过程的监控</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本项目评标过程实行全程录像监控，代理机构监督人员、采购人纪检人员（如有）全过程监督。投标人在评标过程中试图影响评标工作的活动，将导致其投标无效。</w:t>
      </w:r>
    </w:p>
    <w:p>
      <w:pPr>
        <w:pStyle w:val="5"/>
        <w:rPr>
          <w:color w:val="000000" w:themeColor="text1"/>
          <w14:textFill>
            <w14:solidFill>
              <w14:schemeClr w14:val="tx1"/>
            </w14:solidFill>
          </w14:textFill>
        </w:rPr>
      </w:pPr>
      <w:r>
        <w:rPr>
          <w:color w:val="000000" w:themeColor="text1"/>
          <w14:textFill>
            <w14:solidFill>
              <w14:schemeClr w14:val="tx1"/>
            </w14:solidFill>
          </w14:textFill>
        </w:rPr>
        <w:t>5.8</w:t>
      </w:r>
      <w:r>
        <w:rPr>
          <w:rFonts w:hint="eastAsia"/>
          <w:color w:val="000000" w:themeColor="text1"/>
          <w14:textFill>
            <w14:solidFill>
              <w14:schemeClr w14:val="tx1"/>
            </w14:solidFill>
          </w14:textFill>
        </w:rPr>
        <w:t>评审过程保密</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5.8.1</w:t>
      </w:r>
      <w:r>
        <w:rPr>
          <w:rFonts w:hint="eastAsia"/>
          <w:color w:val="000000" w:themeColor="text1"/>
          <w14:textFill>
            <w14:solidFill>
              <w14:schemeClr w14:val="tx1"/>
            </w14:solidFill>
          </w14:textFill>
        </w:rPr>
        <w:t>开标之后，直到授予投标人合同止，凡是属于投标文件的审查、澄清的投标有关资料，专家的评价、比较等评标资料，均不得向投标人或其他无关的人员透露。</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5.8.2</w:t>
      </w:r>
      <w:r>
        <w:rPr>
          <w:rFonts w:hint="eastAsia"/>
          <w:color w:val="000000" w:themeColor="text1"/>
          <w14:textFill>
            <w14:solidFill>
              <w14:schemeClr w14:val="tx1"/>
            </w14:solidFill>
          </w14:textFill>
        </w:rPr>
        <w:t>在评审期间，投标人企图影响招标人的任何活动，将导致投标被拒绝，并承担相应的法律责任。</w:t>
      </w:r>
    </w:p>
    <w:p>
      <w:pPr>
        <w:pStyle w:val="5"/>
        <w:rPr>
          <w:color w:val="000000" w:themeColor="text1"/>
          <w14:textFill>
            <w14:solidFill>
              <w14:schemeClr w14:val="tx1"/>
            </w14:solidFill>
          </w14:textFill>
        </w:rPr>
      </w:pPr>
      <w:r>
        <w:rPr>
          <w:color w:val="000000" w:themeColor="text1"/>
          <w14:textFill>
            <w14:solidFill>
              <w14:schemeClr w14:val="tx1"/>
            </w14:solidFill>
          </w14:textFill>
        </w:rPr>
        <w:t>5.9</w:t>
      </w:r>
      <w:r>
        <w:rPr>
          <w:rFonts w:hint="eastAsia"/>
          <w:color w:val="000000" w:themeColor="text1"/>
          <w14:textFill>
            <w14:solidFill>
              <w14:schemeClr w14:val="tx1"/>
            </w14:solidFill>
          </w14:textFill>
        </w:rPr>
        <w:t>中标条件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5.9.1</w:t>
      </w:r>
      <w:r>
        <w:rPr>
          <w:rFonts w:hint="eastAsia"/>
          <w:color w:val="000000" w:themeColor="text1"/>
          <w14:textFill>
            <w14:solidFill>
              <w14:schemeClr w14:val="tx1"/>
            </w14:solidFill>
          </w14:textFill>
        </w:rPr>
        <w:t>通过资格审查的。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5.9.2</w:t>
      </w:r>
      <w:r>
        <w:rPr>
          <w:rFonts w:hint="eastAsia"/>
          <w:color w:val="000000" w:themeColor="text1"/>
          <w14:textFill>
            <w14:solidFill>
              <w14:schemeClr w14:val="tx1"/>
            </w14:solidFill>
          </w14:textFill>
        </w:rPr>
        <w:t>投标文件完全响应招标文件中的实质性要求。</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5.9.3</w:t>
      </w:r>
      <w:r>
        <w:rPr>
          <w:rFonts w:hint="eastAsia"/>
          <w:color w:val="000000" w:themeColor="text1"/>
          <w14:textFill>
            <w14:solidFill>
              <w14:schemeClr w14:val="tx1"/>
            </w14:solidFill>
          </w14:textFill>
        </w:rPr>
        <w:t>有良好的执行合同能力和售后服务承诺。</w:t>
      </w:r>
    </w:p>
    <w:p>
      <w:pPr>
        <w:ind w:firstLine="420"/>
        <w:rPr>
          <w:color w:val="000000" w:themeColor="text1"/>
          <w14:textFill>
            <w14:solidFill>
              <w14:schemeClr w14:val="tx1"/>
            </w14:solidFill>
          </w14:textFill>
        </w:rPr>
      </w:pPr>
      <w:r>
        <w:rPr>
          <w:bCs/>
          <w:color w:val="000000" w:themeColor="text1"/>
          <w14:textFill>
            <w14:solidFill>
              <w14:schemeClr w14:val="tx1"/>
            </w14:solidFill>
          </w14:textFill>
        </w:rPr>
        <w:t>5.9.4</w:t>
      </w:r>
      <w:r>
        <w:rPr>
          <w:rFonts w:hint="eastAsia"/>
          <w:bCs/>
          <w:color w:val="000000" w:themeColor="text1"/>
          <w14:textFill>
            <w14:solidFill>
              <w14:schemeClr w14:val="tx1"/>
            </w14:solidFill>
          </w14:textFill>
        </w:rPr>
        <w:t>招标人将把中标通知书授予最佳投标人</w:t>
      </w:r>
      <w:r>
        <w:rPr>
          <w:rFonts w:hint="eastAsia"/>
          <w:color w:val="000000" w:themeColor="text1"/>
          <w14:textFill>
            <w14:solidFill>
              <w14:schemeClr w14:val="tx1"/>
            </w14:solidFill>
          </w14:textFill>
        </w:rPr>
        <w:t>，</w:t>
      </w:r>
      <w:r>
        <w:rPr>
          <w:rFonts w:hint="eastAsia"/>
          <w:bCs/>
          <w:color w:val="000000" w:themeColor="text1"/>
          <w14:textFill>
            <w14:solidFill>
              <w14:schemeClr w14:val="tx1"/>
            </w14:solidFill>
          </w14:textFill>
        </w:rPr>
        <w:t>但最低报价并不是中标的保证。</w:t>
      </w:r>
    </w:p>
    <w:p>
      <w:pPr>
        <w:pStyle w:val="5"/>
        <w:rPr>
          <w:color w:val="000000" w:themeColor="text1"/>
          <w14:textFill>
            <w14:solidFill>
              <w14:schemeClr w14:val="tx1"/>
            </w14:solidFill>
          </w14:textFill>
        </w:rPr>
      </w:pPr>
      <w:r>
        <w:rPr>
          <w:color w:val="000000" w:themeColor="text1"/>
          <w14:textFill>
            <w14:solidFill>
              <w14:schemeClr w14:val="tx1"/>
            </w14:solidFill>
          </w14:textFill>
        </w:rPr>
        <w:t>5.10</w:t>
      </w:r>
      <w:r>
        <w:rPr>
          <w:rFonts w:hint="eastAsia"/>
          <w:color w:val="000000" w:themeColor="text1"/>
          <w14:textFill>
            <w14:solidFill>
              <w14:schemeClr w14:val="tx1"/>
            </w14:solidFill>
          </w14:textFill>
        </w:rPr>
        <w:t>定标办法</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5.10.1</w:t>
      </w:r>
      <w:r>
        <w:rPr>
          <w:rFonts w:hint="eastAsia"/>
          <w:color w:val="000000" w:themeColor="text1"/>
          <w14:textFill>
            <w14:solidFill>
              <w14:schemeClr w14:val="tx1"/>
            </w14:solidFill>
          </w14:textFill>
        </w:rPr>
        <w:t>定标由采购人授权评审委员会确定，原则上应确定通过资格审查且综合得分排名第一的中标候选人为中标人。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定标中，应坚持第一中标候选人为中标人。但按照相关政策法规规定，如出现下列情况之一的，招标人可以确定排名第二的候选人为中标人：</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）排名第一的候选投标人，因自身原因放弃中标成交或因不可抗力不能履行合同的；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）经质疑，采购组织机构审查确认因排名第一的候选投标人在本次采购活动中存在违法违规行为或其他原因使质疑成立的。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5.10.2</w:t>
      </w:r>
      <w:r>
        <w:rPr>
          <w:rFonts w:hint="eastAsia"/>
          <w:color w:val="000000" w:themeColor="text1"/>
          <w14:textFill>
            <w14:solidFill>
              <w14:schemeClr w14:val="tx1"/>
            </w14:solidFill>
          </w14:textFill>
        </w:rPr>
        <w:t>招标人在确定第二中标候选人为中标人的，应当在确定前向财政部门报告说明。</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5.10.3</w:t>
      </w:r>
      <w:r>
        <w:rPr>
          <w:rFonts w:hint="eastAsia"/>
          <w:color w:val="000000" w:themeColor="text1"/>
          <w14:textFill>
            <w14:solidFill>
              <w14:schemeClr w14:val="tx1"/>
            </w14:solidFill>
          </w14:textFill>
        </w:rPr>
        <w:t>定标且公示无异议后，由招标代理机构发出中标通知书。</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5.10.4 </w:t>
      </w:r>
      <w:r>
        <w:rPr>
          <w:rFonts w:hint="eastAsia"/>
          <w:color w:val="000000" w:themeColor="text1"/>
          <w14:textFill>
            <w14:solidFill>
              <w14:schemeClr w14:val="tx1"/>
            </w14:solidFill>
          </w14:textFill>
        </w:rPr>
        <w:t>招标人、招标代理机构及评标委员会对未中标的投标人不作落标原因解释。</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5.10.5</w:t>
      </w:r>
      <w:r>
        <w:rPr>
          <w:rFonts w:hint="eastAsia"/>
          <w:color w:val="000000" w:themeColor="text1"/>
          <w14:textFill>
            <w14:solidFill>
              <w14:schemeClr w14:val="tx1"/>
            </w14:solidFill>
          </w14:textFill>
        </w:rPr>
        <w:t>不得通过对样品进行检测、对供应商进行考察等方式改变评审结果。</w:t>
      </w:r>
    </w:p>
    <w:p>
      <w:pPr>
        <w:pStyle w:val="5"/>
        <w:rPr>
          <w:color w:val="000000" w:themeColor="text1"/>
          <w14:textFill>
            <w14:solidFill>
              <w14:schemeClr w14:val="tx1"/>
            </w14:solidFill>
          </w14:textFill>
        </w:rPr>
      </w:pPr>
      <w:r>
        <w:rPr>
          <w:color w:val="000000" w:themeColor="text1"/>
          <w14:textFill>
            <w14:solidFill>
              <w14:schemeClr w14:val="tx1"/>
            </w14:solidFill>
          </w14:textFill>
        </w:rPr>
        <w:t>5.11</w:t>
      </w:r>
      <w:r>
        <w:rPr>
          <w:rFonts w:hint="eastAsia"/>
          <w:color w:val="000000" w:themeColor="text1"/>
          <w14:textFill>
            <w14:solidFill>
              <w14:schemeClr w14:val="tx1"/>
            </w14:solidFill>
          </w14:textFill>
        </w:rPr>
        <w:t>中标公示</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5.11.1 </w:t>
      </w:r>
      <w:r>
        <w:rPr>
          <w:rFonts w:hint="eastAsia"/>
          <w:color w:val="000000" w:themeColor="text1"/>
          <w14:textFill>
            <w14:solidFill>
              <w14:schemeClr w14:val="tx1"/>
            </w14:solidFill>
          </w14:textFill>
        </w:rPr>
        <w:t>根据评审报告内容，在浙江政府采购网公布中标候选人。</w:t>
      </w:r>
    </w:p>
    <w:p>
      <w:pPr>
        <w:ind w:firstLine="420"/>
        <w:rPr>
          <w:bCs/>
          <w:color w:val="000000" w:themeColor="text1"/>
          <w14:textFill>
            <w14:solidFill>
              <w14:schemeClr w14:val="tx1"/>
            </w14:solidFill>
          </w14:textFill>
        </w:rPr>
      </w:pPr>
      <w:r>
        <w:rPr>
          <w:color w:val="000000" w:themeColor="text1"/>
          <w14:textFill>
            <w14:solidFill>
              <w14:schemeClr w14:val="tx1"/>
            </w14:solidFill>
          </w14:textFill>
        </w:rPr>
        <w:t xml:space="preserve">5.11.2 </w:t>
      </w:r>
      <w:r>
        <w:rPr>
          <w:rFonts w:hint="eastAsia"/>
          <w:color w:val="000000" w:themeColor="text1"/>
          <w14:textFill>
            <w14:solidFill>
              <w14:schemeClr w14:val="tx1"/>
            </w14:solidFill>
          </w14:textFill>
        </w:rPr>
        <w:t>公示时间为1个工作日。</w:t>
      </w:r>
    </w:p>
    <w:p>
      <w:pPr>
        <w:pStyle w:val="5"/>
        <w:rPr>
          <w:color w:val="000000" w:themeColor="text1"/>
          <w14:textFill>
            <w14:solidFill>
              <w14:schemeClr w14:val="tx1"/>
            </w14:solidFill>
          </w14:textFill>
        </w:rPr>
      </w:pPr>
      <w:r>
        <w:rPr>
          <w:color w:val="000000" w:themeColor="text1"/>
          <w14:textFill>
            <w14:solidFill>
              <w14:schemeClr w14:val="tx1"/>
            </w14:solidFill>
          </w14:textFill>
        </w:rPr>
        <w:t>5.12</w:t>
      </w:r>
      <w:r>
        <w:rPr>
          <w:rFonts w:hint="eastAsia"/>
          <w:color w:val="000000" w:themeColor="text1"/>
          <w14:textFill>
            <w14:solidFill>
              <w14:schemeClr w14:val="tx1"/>
            </w14:solidFill>
          </w14:textFill>
        </w:rPr>
        <w:t>签订合同</w:t>
      </w:r>
    </w:p>
    <w:p>
      <w:pPr>
        <w:ind w:firstLine="420"/>
        <w:rPr>
          <w:bCs/>
          <w:color w:val="000000" w:themeColor="text1"/>
          <w14:textFill>
            <w14:solidFill>
              <w14:schemeClr w14:val="tx1"/>
            </w14:solidFill>
          </w14:textFill>
        </w:rPr>
      </w:pPr>
      <w:r>
        <w:rPr>
          <w:color w:val="000000" w:themeColor="text1"/>
          <w14:textFill>
            <w14:solidFill>
              <w14:schemeClr w14:val="tx1"/>
            </w14:solidFill>
          </w14:textFill>
        </w:rPr>
        <w:t xml:space="preserve">5.12.1 </w:t>
      </w:r>
      <w:r>
        <w:rPr>
          <w:rFonts w:hint="eastAsia"/>
          <w:color w:val="000000" w:themeColor="text1"/>
          <w14:textFill>
            <w14:solidFill>
              <w14:schemeClr w14:val="tx1"/>
            </w14:solidFill>
          </w14:textFill>
        </w:rPr>
        <w:t>中标人应在接到中标通知书后按中标通知书规定的时间、地点与招标人签订合同，</w:t>
      </w:r>
      <w:r>
        <w:rPr>
          <w:rFonts w:hint="eastAsia"/>
          <w:bCs/>
          <w:color w:val="000000" w:themeColor="text1"/>
          <w14:textFill>
            <w14:solidFill>
              <w14:schemeClr w14:val="tx1"/>
            </w14:solidFill>
          </w14:textFill>
        </w:rPr>
        <w:t>如果投标人为代理商，</w:t>
      </w:r>
      <w:r>
        <w:rPr>
          <w:rFonts w:hint="eastAsia"/>
          <w:color w:val="000000" w:themeColor="text1"/>
          <w14:textFill>
            <w14:solidFill>
              <w14:schemeClr w14:val="tx1"/>
            </w14:solidFill>
          </w14:textFill>
        </w:rPr>
        <w:t>在签订合同前必须提供</w:t>
      </w:r>
      <w:r>
        <w:rPr>
          <w:rFonts w:hint="eastAsia"/>
          <w:bCs/>
          <w:color w:val="000000" w:themeColor="text1"/>
          <w14:textFill>
            <w14:solidFill>
              <w14:schemeClr w14:val="tx1"/>
            </w14:solidFill>
          </w14:textFill>
        </w:rPr>
        <w:t>主要产品的合法有效的产品销售资格证明文件。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5.12.2</w:t>
      </w:r>
      <w:r>
        <w:rPr>
          <w:rFonts w:hint="eastAsia"/>
          <w:color w:val="000000" w:themeColor="text1"/>
          <w14:textFill>
            <w14:solidFill>
              <w14:schemeClr w14:val="tx1"/>
            </w14:solidFill>
          </w14:textFill>
        </w:rPr>
        <w:t>招标文件、中标人的投标文件及投标修改文件、评标过程中有关澄清文件及经双方签字的询标纪要和中标通知书均作为合同附件。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5.12.3</w:t>
      </w:r>
      <w:r>
        <w:rPr>
          <w:rFonts w:hint="eastAsia"/>
          <w:color w:val="000000" w:themeColor="text1"/>
          <w14:textFill>
            <w14:solidFill>
              <w14:schemeClr w14:val="tx1"/>
            </w14:solidFill>
          </w14:textFill>
        </w:rPr>
        <w:t>拒签合同的责任</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中标人接到中标通知书后，在规定时间内借故否认已经承诺的条件而拒签合同者，以投标违约处理，并赔偿招标人由此造成的直接经济损失。</w:t>
      </w:r>
    </w:p>
    <w:p>
      <w:pPr>
        <w:pStyle w:val="5"/>
        <w:rPr>
          <w:color w:val="000000" w:themeColor="text1"/>
          <w14:textFill>
            <w14:solidFill>
              <w14:schemeClr w14:val="tx1"/>
            </w14:solidFill>
          </w14:textFill>
        </w:rPr>
      </w:pPr>
      <w:r>
        <w:rPr>
          <w:color w:val="000000" w:themeColor="text1"/>
          <w14:textFill>
            <w14:solidFill>
              <w14:schemeClr w14:val="tx1"/>
            </w14:solidFill>
          </w14:textFill>
        </w:rPr>
        <w:t>5.13</w:t>
      </w:r>
      <w:r>
        <w:rPr>
          <w:rFonts w:hint="eastAsia"/>
          <w:color w:val="000000" w:themeColor="text1"/>
          <w14:textFill>
            <w14:solidFill>
              <w14:schemeClr w14:val="tx1"/>
            </w14:solidFill>
          </w14:textFill>
        </w:rPr>
        <w:t>履约保证金及质量保证金</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见投标人须知前附表</w:t>
      </w:r>
    </w:p>
    <w:p>
      <w:pPr>
        <w:pStyle w:val="5"/>
        <w:rPr>
          <w:color w:val="000000" w:themeColor="text1"/>
          <w14:textFill>
            <w14:solidFill>
              <w14:schemeClr w14:val="tx1"/>
            </w14:solidFill>
          </w14:textFill>
        </w:rPr>
      </w:pPr>
      <w:r>
        <w:rPr>
          <w:color w:val="000000" w:themeColor="text1"/>
          <w14:textFill>
            <w14:solidFill>
              <w14:schemeClr w14:val="tx1"/>
            </w14:solidFill>
          </w14:textFill>
        </w:rPr>
        <w:t>5.14</w:t>
      </w:r>
      <w:r>
        <w:rPr>
          <w:rFonts w:hint="eastAsia"/>
          <w:color w:val="000000" w:themeColor="text1"/>
          <w14:textFill>
            <w14:solidFill>
              <w14:schemeClr w14:val="tx1"/>
            </w14:solidFill>
          </w14:textFill>
        </w:rPr>
        <w:t>招标代理服务费</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招标代理服务费，支付标准、支付时间、支付账号见投标人须知前附表。</w:t>
      </w:r>
    </w:p>
    <w:p>
      <w:pPr>
        <w:pStyle w:val="4"/>
        <w:rPr>
          <w:color w:val="000000" w:themeColor="text1"/>
          <w14:textFill>
            <w14:solidFill>
              <w14:schemeClr w14:val="tx1"/>
            </w14:solidFill>
          </w14:textFill>
        </w:rPr>
      </w:pPr>
      <w:bookmarkStart w:id="90" w:name="_Toc450840078"/>
      <w:bookmarkStart w:id="91" w:name="_Toc15946"/>
      <w:bookmarkStart w:id="92" w:name="_Toc444084291"/>
      <w:bookmarkStart w:id="93" w:name="_Toc439316483"/>
      <w:r>
        <w:rPr>
          <w:color w:val="000000" w:themeColor="text1"/>
          <w14:textFill>
            <w14:solidFill>
              <w14:schemeClr w14:val="tx1"/>
            </w14:solidFill>
          </w14:textFill>
        </w:rPr>
        <w:t>6</w:t>
      </w:r>
      <w:r>
        <w:rPr>
          <w:rFonts w:hint="eastAsia"/>
          <w:color w:val="000000" w:themeColor="text1"/>
          <w14:textFill>
            <w14:solidFill>
              <w14:schemeClr w14:val="tx1"/>
            </w14:solidFill>
          </w14:textFill>
        </w:rPr>
        <w:t>其他</w:t>
      </w:r>
      <w:bookmarkEnd w:id="90"/>
      <w:bookmarkEnd w:id="91"/>
      <w:bookmarkEnd w:id="92"/>
      <w:bookmarkEnd w:id="93"/>
    </w:p>
    <w:p>
      <w:pPr>
        <w:pStyle w:val="5"/>
        <w:rPr>
          <w:rFonts w:ascii="宋体" w:hAnsi="宋体" w:cs="宋体"/>
          <w:color w:val="000000" w:themeColor="text1"/>
          <w:szCs w:val="21"/>
          <w14:textFill>
            <w14:solidFill>
              <w14:schemeClr w14:val="tx1"/>
            </w14:solidFill>
          </w14:textFill>
        </w:rPr>
      </w:pPr>
      <w:bookmarkStart w:id="94" w:name="_Toc82338233"/>
      <w:bookmarkStart w:id="95" w:name="_Toc450840079"/>
      <w:bookmarkStart w:id="96" w:name="_Toc82873316"/>
      <w:r>
        <w:rPr>
          <w:rFonts w:hint="eastAsia" w:ascii="宋体" w:hAnsi="宋体" w:cs="宋体"/>
          <w:color w:val="000000" w:themeColor="text1"/>
          <w:szCs w:val="21"/>
          <w14:textFill>
            <w14:solidFill>
              <w14:schemeClr w14:val="tx1"/>
            </w14:solidFill>
          </w14:textFill>
        </w:rPr>
        <w:t>6.1质疑</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6.1.1</w:t>
      </w:r>
      <w:r>
        <w:rPr>
          <w:rFonts w:hint="eastAsia" w:ascii="宋体" w:hAnsi="宋体" w:cs="宋体"/>
          <w:color w:val="000000" w:themeColor="text1"/>
          <w:kern w:val="0"/>
          <w:szCs w:val="21"/>
          <w14:textFill>
            <w14:solidFill>
              <w14:schemeClr w14:val="tx1"/>
            </w14:solidFill>
          </w14:textFill>
        </w:rPr>
        <w:t>根据《政府采购质疑和投诉办法》（财政部令第94号）的规定，</w:t>
      </w:r>
      <w:r>
        <w:rPr>
          <w:rFonts w:hint="eastAsia" w:ascii="宋体" w:hAnsi="宋体" w:cs="宋体"/>
          <w:color w:val="000000" w:themeColor="text1"/>
          <w:szCs w:val="21"/>
          <w14:textFill>
            <w14:solidFill>
              <w14:schemeClr w14:val="tx1"/>
            </w14:solidFill>
          </w14:textFill>
        </w:rPr>
        <w:t>供应商认为磋商文件、采购过程和中标、成交结果使自己的权益受到损害的，可以在知道或者应知其权益受到损害之日起7个工作日内，以书面形式向采购代理机构提出质疑，供应商应当在法定质疑期内一次性提出针对同一采购程序环节的质疑。上述供应商应知其权益受到损害之日，是指：</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（1）对可以质疑的磋商文件提出质疑的，为收到磋商文件之日或者磋商文件公告期限届满之日；</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（2）对采购过程提出质疑的，为各采购程序环节结束之日；</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（3）对中标或者成交结果提出质疑的，为中标或者成交结果公告期限届满之日。</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6.1.2提出质疑的供应商（以下简称质疑供应商）应当是参与所质疑项目采购活动的供应商。</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6.1.3供应商为自然人的，应当由本人签字；供应商为法人或者其他组织的，应当由法定代表人、主要负责人，或者其授权代表签字或者盖章，并加盖公章。</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以联合体形式参加采购活动的，其投诉应当由组成联合体的所有供应商共同提出。</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6.1.4供应商提交的质疑书需一式三份，质疑书至少应包括下列主要内容：</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（一）供应商的姓名或者名称、地址、邮编、联系人及联系电话；</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（二）质疑项目的名称、编号；</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（三）具体、明确的质疑事项和与质疑事项相关的请求；</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（四）事实依据；</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（五）必要的法律依据；</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（六）提出质疑的日期。</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6.1.5</w:t>
      </w:r>
      <w:r>
        <w:rPr>
          <w:rFonts w:hint="eastAsia" w:ascii="宋体" w:hAnsi="宋体" w:cs="宋体"/>
          <w:color w:val="000000" w:themeColor="text1"/>
          <w:szCs w:val="21"/>
          <w:shd w:val="clear" w:color="auto" w:fill="FFFFFF"/>
          <w14:textFill>
            <w14:solidFill>
              <w14:schemeClr w14:val="tx1"/>
            </w14:solidFill>
          </w14:textFill>
        </w:rPr>
        <w:t>采购人、采购代理机构不得拒收质疑供应商在法定质疑期内发出的质疑函，应当在收到质疑函后7个工作日内作出答复，质疑答复的内容不得涉及商业秘密，并以书面形式通知被质疑供应商和其他有关供应商。</w:t>
      </w:r>
    </w:p>
    <w:p>
      <w:pPr>
        <w:pStyle w:val="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6.2投诉</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6.2.1质疑供应商对采购人、采购代理机构的答复不满意，或者采购人、采购代理机构未在规定时间内作出答复的，可以在答复期满后15个工作日内向《政府采购质疑和投诉办法》（</w:t>
      </w:r>
      <w:r>
        <w:rPr>
          <w:rFonts w:hint="eastAsia" w:ascii="宋体" w:hAnsi="宋体" w:cs="宋体"/>
          <w:color w:val="000000" w:themeColor="text1"/>
          <w:kern w:val="0"/>
          <w:szCs w:val="21"/>
          <w14:textFill>
            <w14:solidFill>
              <w14:schemeClr w14:val="tx1"/>
            </w14:solidFill>
          </w14:textFill>
        </w:rPr>
        <w:t>财政部令第94号</w:t>
      </w:r>
      <w:r>
        <w:rPr>
          <w:rFonts w:hint="eastAsia" w:ascii="宋体" w:hAnsi="宋体" w:cs="宋体"/>
          <w:color w:val="000000" w:themeColor="text1"/>
          <w:szCs w:val="21"/>
          <w:shd w:val="clear" w:color="auto" w:fill="FFFFFF"/>
          <w14:textFill>
            <w14:solidFill>
              <w14:schemeClr w14:val="tx1"/>
            </w14:solidFill>
          </w14:textFill>
        </w:rPr>
        <w:t>）第六条规定的财政部门提起投诉。</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6.2.2供应商投诉的事项不得超出已质疑事项的范围，但基于质疑答复内容提出的投诉事项除外。</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6.2.3投诉人提起投诉应当符合下列条件：</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（一）提起投诉前已依法进行质疑；</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（二）投诉书内容符合本办法的规定；</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（三）在投诉有效期限内提起投诉；</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（四）同一投诉事项未经财政部门投诉处理；</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（五）财政部规定的其他条件。</w:t>
      </w:r>
    </w:p>
    <w:p>
      <w:pPr>
        <w:ind w:firstLine="422"/>
        <w:rPr>
          <w:rFonts w:ascii="宋体" w:hAnsi="宋体" w:cs="宋体"/>
          <w:b/>
          <w:color w:val="000000" w:themeColor="text1"/>
          <w:szCs w:val="21"/>
          <w:shd w:val="clear" w:color="auto" w:fill="FFFFFF"/>
          <w14:textFill>
            <w14:solidFill>
              <w14:schemeClr w14:val="tx1"/>
            </w14:solidFill>
          </w14:textFill>
        </w:rPr>
      </w:pPr>
      <w:r>
        <w:rPr>
          <w:rFonts w:hint="eastAsia" w:ascii="宋体" w:hAnsi="宋体" w:cs="宋体"/>
          <w:b/>
          <w:color w:val="000000" w:themeColor="text1"/>
          <w:szCs w:val="21"/>
          <w:shd w:val="clear" w:color="auto" w:fill="FFFFFF"/>
          <w14:textFill>
            <w14:solidFill>
              <w14:schemeClr w14:val="tx1"/>
            </w14:solidFill>
          </w14:textFill>
        </w:rPr>
        <w:t>6.2.4投诉人在全国范围12个月内三次以上投诉查无实据的，由财政部门列入不良行为记录名单。</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6.2.5投诉人有下列行为之一的，属于虚假、恶意投诉，由财政部门列入不良行为记录名单，禁止其1至3年内参加本单位采购活动：</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（一）捏造事实；</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（二）提供虚假材料；</w:t>
      </w:r>
    </w:p>
    <w:p>
      <w:pPr>
        <w:ind w:firstLine="420"/>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（三）以非法手段取得证明材料。证据来源的合法性存在明显疑问，投诉人无法证明其取得方式合法的，视为以非法手段取得证明材料。</w:t>
      </w:r>
    </w:p>
    <w:p>
      <w:pPr>
        <w:ind w:firstLine="420"/>
        <w:rPr>
          <w:color w:val="000000" w:themeColor="text1"/>
          <w:highlight w:val="green"/>
          <w:shd w:val="clear" w:color="auto" w:fill="FFFFFF"/>
          <w14:textFill>
            <w14:solidFill>
              <w14:schemeClr w14:val="tx1"/>
            </w14:solidFill>
          </w14:textFill>
        </w:rPr>
      </w:pPr>
    </w:p>
    <w:p>
      <w:pPr>
        <w:ind w:firstLine="420"/>
        <w:rPr>
          <w:color w:val="000000" w:themeColor="text1"/>
          <w:highlight w:val="green"/>
          <w:shd w:val="clear" w:color="auto" w:fill="FFFFFF"/>
          <w14:textFill>
            <w14:solidFill>
              <w14:schemeClr w14:val="tx1"/>
            </w14:solidFill>
          </w14:textFill>
        </w:rPr>
        <w:sectPr>
          <w:headerReference r:id="rId15" w:type="first"/>
          <w:footerReference r:id="rId16" w:type="first"/>
          <w:pgSz w:w="11907" w:h="16840"/>
          <w:pgMar w:top="1247" w:right="1304" w:bottom="1021" w:left="1304" w:header="720" w:footer="720" w:gutter="0"/>
          <w:pgNumType w:start="1"/>
          <w:cols w:space="720" w:num="1"/>
          <w:docGrid w:linePitch="286" w:charSpace="0"/>
        </w:sectPr>
      </w:pPr>
    </w:p>
    <w:p>
      <w:pPr>
        <w:pStyle w:val="3"/>
        <w:ind w:firstLine="482"/>
        <w:rPr>
          <w:color w:val="000000" w:themeColor="text1"/>
          <w14:textFill>
            <w14:solidFill>
              <w14:schemeClr w14:val="tx1"/>
            </w14:solidFill>
          </w14:textFill>
        </w:rPr>
      </w:pPr>
      <w:bookmarkStart w:id="97" w:name="_Toc27942"/>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招标项目简介</w:t>
      </w:r>
      <w:bookmarkEnd w:id="94"/>
      <w:bookmarkEnd w:id="95"/>
      <w:bookmarkEnd w:id="96"/>
      <w:bookmarkEnd w:id="97"/>
    </w:p>
    <w:p>
      <w:pPr>
        <w:pStyle w:val="4"/>
        <w:rPr>
          <w:color w:val="000000" w:themeColor="text1"/>
          <w14:textFill>
            <w14:solidFill>
              <w14:schemeClr w14:val="tx1"/>
            </w14:solidFill>
          </w14:textFill>
        </w:rPr>
      </w:pPr>
      <w:bookmarkStart w:id="98" w:name="_Toc450840080"/>
      <w:bookmarkStart w:id="99" w:name="_Toc25099"/>
      <w:r>
        <w:rPr>
          <w:color w:val="000000" w:themeColor="text1"/>
          <w14:textFill>
            <w14:solidFill>
              <w14:schemeClr w14:val="tx1"/>
            </w14:solidFill>
          </w14:textFill>
        </w:rPr>
        <w:t>1</w:t>
      </w:r>
      <w:r>
        <w:rPr>
          <w:rFonts w:hint="eastAsia"/>
          <w:color w:val="000000" w:themeColor="text1"/>
          <w14:textFill>
            <w14:solidFill>
              <w14:schemeClr w14:val="tx1"/>
            </w14:solidFill>
          </w14:textFill>
        </w:rPr>
        <w:t>招标项目简介</w:t>
      </w:r>
      <w:bookmarkEnd w:id="98"/>
      <w:bookmarkEnd w:id="99"/>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中国美术学院拟以公开招标方式采购2021级本科新生教材采购(非政府）。</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本次采购的资金已经落实。</w:t>
      </w:r>
    </w:p>
    <w:p>
      <w:pPr>
        <w:pStyle w:val="4"/>
        <w:rPr>
          <w:color w:val="000000" w:themeColor="text1"/>
          <w14:textFill>
            <w14:solidFill>
              <w14:schemeClr w14:val="tx1"/>
            </w14:solidFill>
          </w14:textFill>
        </w:rPr>
      </w:pPr>
      <w:bookmarkStart w:id="100" w:name="_Toc24351"/>
      <w:bookmarkStart w:id="101" w:name="_Toc450840081"/>
      <w:bookmarkStart w:id="102" w:name="OLE_LINK3"/>
      <w:r>
        <w:rPr>
          <w:color w:val="000000" w:themeColor="text1"/>
          <w14:textFill>
            <w14:solidFill>
              <w14:schemeClr w14:val="tx1"/>
            </w14:solidFill>
          </w14:textFill>
        </w:rPr>
        <w:t>2</w:t>
      </w:r>
      <w:r>
        <w:rPr>
          <w:rFonts w:hint="eastAsia"/>
          <w:color w:val="000000" w:themeColor="text1"/>
          <w14:textFill>
            <w14:solidFill>
              <w14:schemeClr w14:val="tx1"/>
            </w14:solidFill>
          </w14:textFill>
        </w:rPr>
        <w:t>招标项目一览表</w:t>
      </w:r>
      <w:bookmarkEnd w:id="100"/>
      <w:bookmarkEnd w:id="101"/>
    </w:p>
    <w:bookmarkEnd w:id="102"/>
    <w:p>
      <w:pPr>
        <w:ind w:firstLine="420"/>
        <w:rPr>
          <w:color w:val="000000" w:themeColor="text1"/>
          <w14:textFill>
            <w14:solidFill>
              <w14:schemeClr w14:val="tx1"/>
            </w14:solidFill>
          </w14:textFill>
        </w:rPr>
      </w:pPr>
      <w:bookmarkStart w:id="103" w:name="_Toc82338234"/>
      <w:bookmarkStart w:id="104" w:name="_Toc82873317"/>
    </w:p>
    <w:tbl>
      <w:tblPr>
        <w:tblStyle w:val="22"/>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960"/>
        <w:gridCol w:w="1629"/>
        <w:gridCol w:w="198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56"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1960"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标项内容</w:t>
            </w:r>
          </w:p>
        </w:tc>
        <w:tc>
          <w:tcPr>
            <w:tcW w:w="1629"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服务期</w:t>
            </w:r>
          </w:p>
        </w:tc>
        <w:tc>
          <w:tcPr>
            <w:tcW w:w="1988"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服务地点</w:t>
            </w:r>
          </w:p>
        </w:tc>
        <w:tc>
          <w:tcPr>
            <w:tcW w:w="1266"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56" w:type="dxa"/>
            <w:vAlign w:val="center"/>
          </w:tcPr>
          <w:p>
            <w:pPr>
              <w:widowControl/>
              <w:ind w:firstLine="0" w:firstLineChars="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-6</w:t>
            </w:r>
          </w:p>
        </w:tc>
        <w:tc>
          <w:tcPr>
            <w:tcW w:w="1960" w:type="dxa"/>
            <w:vAlign w:val="center"/>
          </w:tcPr>
          <w:p>
            <w:pPr>
              <w:spacing w:line="40" w:lineRule="atLeast"/>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2021级本科新生教材采购(非政府）</w:t>
            </w:r>
          </w:p>
        </w:tc>
        <w:tc>
          <w:tcPr>
            <w:tcW w:w="1629"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1年</w:t>
            </w:r>
          </w:p>
        </w:tc>
        <w:tc>
          <w:tcPr>
            <w:tcW w:w="1988" w:type="dxa"/>
            <w:vAlign w:val="center"/>
          </w:tcPr>
          <w:p>
            <w:pPr>
              <w:ind w:firstLine="0" w:firstLineChars="0"/>
              <w:jc w:val="center"/>
              <w:rPr>
                <w:rFonts w:asci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采购人指定地点</w:t>
            </w:r>
          </w:p>
        </w:tc>
        <w:tc>
          <w:tcPr>
            <w:tcW w:w="1266" w:type="dxa"/>
            <w:vAlign w:val="center"/>
          </w:tcPr>
          <w:p>
            <w:pPr>
              <w:widowControl/>
              <w:ind w:firstLine="0" w:firstLineChars="0"/>
              <w:jc w:val="center"/>
              <w:rPr>
                <w:rFonts w:ascii="宋体" w:cs="宋体"/>
                <w:color w:val="000000" w:themeColor="text1"/>
                <w:kern w:val="0"/>
                <w:szCs w:val="21"/>
                <w14:textFill>
                  <w14:solidFill>
                    <w14:schemeClr w14:val="tx1"/>
                  </w14:solidFill>
                </w14:textFill>
              </w:rPr>
            </w:pPr>
          </w:p>
        </w:tc>
      </w:tr>
    </w:tbl>
    <w:p>
      <w:pPr>
        <w:ind w:firstLine="420"/>
        <w:rPr>
          <w:color w:val="000000" w:themeColor="text1"/>
          <w14:textFill>
            <w14:solidFill>
              <w14:schemeClr w14:val="tx1"/>
            </w14:solidFill>
          </w14:textFill>
        </w:rPr>
        <w:sectPr>
          <w:headerReference r:id="rId17" w:type="default"/>
          <w:footerReference r:id="rId18" w:type="default"/>
          <w:pgSz w:w="11907" w:h="16840"/>
          <w:pgMar w:top="1247" w:right="1304" w:bottom="1021" w:left="1304" w:header="720" w:footer="720" w:gutter="0"/>
          <w:cols w:space="720" w:num="1"/>
          <w:docGrid w:linePitch="286" w:charSpace="0"/>
        </w:sectPr>
      </w:pPr>
    </w:p>
    <w:p>
      <w:pPr>
        <w:pStyle w:val="3"/>
        <w:ind w:firstLine="482"/>
        <w:rPr>
          <w:color w:val="000000" w:themeColor="text1"/>
          <w14:textFill>
            <w14:solidFill>
              <w14:schemeClr w14:val="tx1"/>
            </w14:solidFill>
          </w14:textFill>
        </w:rPr>
      </w:pPr>
      <w:bookmarkStart w:id="105" w:name="_Toc450840083"/>
      <w:bookmarkStart w:id="106" w:name="_Toc29712"/>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招标项目技术规范和服务要求</w:t>
      </w:r>
      <w:bookmarkEnd w:id="103"/>
      <w:bookmarkEnd w:id="104"/>
      <w:bookmarkEnd w:id="105"/>
      <w:bookmarkEnd w:id="106"/>
    </w:p>
    <w:p>
      <w:pPr>
        <w:ind w:firstLine="420"/>
        <w:rPr>
          <w:color w:val="000000" w:themeColor="text1"/>
          <w14:textFill>
            <w14:solidFill>
              <w14:schemeClr w14:val="tx1"/>
            </w14:solidFill>
          </w14:textFill>
        </w:rPr>
      </w:pPr>
    </w:p>
    <w:p>
      <w:pPr>
        <w:pStyle w:val="4"/>
        <w:rPr>
          <w:color w:val="000000" w:themeColor="text1"/>
          <w14:textFill>
            <w14:solidFill>
              <w14:schemeClr w14:val="tx1"/>
            </w14:solidFill>
          </w14:textFill>
        </w:rPr>
      </w:pPr>
      <w:bookmarkStart w:id="107" w:name="_Toc82338235"/>
      <w:bookmarkStart w:id="108" w:name="_Toc29287"/>
      <w:bookmarkStart w:id="109" w:name="_Toc82873318"/>
      <w:bookmarkStart w:id="110" w:name="_Toc450840084"/>
      <w:r>
        <w:rPr>
          <w:color w:val="000000" w:themeColor="text1"/>
          <w14:textFill>
            <w14:solidFill>
              <w14:schemeClr w14:val="tx1"/>
            </w14:solidFill>
          </w14:textFill>
        </w:rPr>
        <w:t>1</w:t>
      </w:r>
      <w:r>
        <w:rPr>
          <w:rFonts w:hint="eastAsia"/>
          <w:color w:val="000000" w:themeColor="text1"/>
          <w14:textFill>
            <w14:solidFill>
              <w14:schemeClr w14:val="tx1"/>
            </w14:solidFill>
          </w14:textFill>
        </w:rPr>
        <w:t>相关法规、管理条例与技术标准、行业规范</w:t>
      </w:r>
      <w:bookmarkEnd w:id="107"/>
      <w:bookmarkEnd w:id="108"/>
      <w:bookmarkEnd w:id="109"/>
      <w:bookmarkEnd w:id="110"/>
    </w:p>
    <w:p>
      <w:pPr>
        <w:ind w:firstLine="420"/>
        <w:rPr>
          <w:color w:val="000000" w:themeColor="text1"/>
          <w14:textFill>
            <w14:solidFill>
              <w14:schemeClr w14:val="tx1"/>
            </w14:solidFill>
          </w14:textFill>
        </w:rPr>
      </w:pPr>
      <w:r>
        <w:rPr>
          <w:color w:val="000000" w:themeColor="text1"/>
          <w14:textFill>
            <w14:solidFill>
              <w14:schemeClr w14:val="tx1"/>
            </w14:solidFill>
          </w14:textFill>
        </w:rPr>
        <w:t>1.1</w:t>
      </w:r>
      <w:r>
        <w:rPr>
          <w:rFonts w:hint="eastAsia"/>
          <w:color w:val="000000" w:themeColor="text1"/>
          <w14:textFill>
            <w14:solidFill>
              <w14:schemeClr w14:val="tx1"/>
            </w14:solidFill>
          </w14:textFill>
        </w:rPr>
        <w:t>国家规定的标准和规范，有新标准按新标准执行；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1.2</w:t>
      </w:r>
      <w:r>
        <w:rPr>
          <w:rFonts w:hint="eastAsia"/>
          <w:color w:val="000000" w:themeColor="text1"/>
          <w14:textFill>
            <w14:solidFill>
              <w14:schemeClr w14:val="tx1"/>
            </w14:solidFill>
          </w14:textFill>
        </w:rPr>
        <w:t>行业标准及规范，有新标准按新标准执行；</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14:textFill>
            <w14:solidFill>
              <w14:schemeClr w14:val="tx1"/>
            </w14:solidFill>
          </w14:textFill>
        </w:rPr>
        <w:t>其他相关标准。</w:t>
      </w:r>
    </w:p>
    <w:p>
      <w:pPr>
        <w:pStyle w:val="4"/>
        <w:rPr>
          <w:color w:val="000000" w:themeColor="text1"/>
          <w14:textFill>
            <w14:solidFill>
              <w14:schemeClr w14:val="tx1"/>
            </w14:solidFill>
          </w14:textFill>
        </w:rPr>
      </w:pPr>
      <w:bookmarkStart w:id="111" w:name="_Toc23251"/>
      <w:bookmarkStart w:id="112" w:name="_Toc450840085"/>
      <w:r>
        <w:rPr>
          <w:color w:val="000000" w:themeColor="text1"/>
          <w14:textFill>
            <w14:solidFill>
              <w14:schemeClr w14:val="tx1"/>
            </w14:solidFill>
          </w14:textFill>
        </w:rPr>
        <w:t>2</w:t>
      </w:r>
      <w:r>
        <w:rPr>
          <w:rFonts w:hint="eastAsia"/>
          <w:color w:val="000000" w:themeColor="text1"/>
          <w14:textFill>
            <w14:solidFill>
              <w14:schemeClr w14:val="tx1"/>
            </w14:solidFill>
          </w14:textFill>
        </w:rPr>
        <w:t>具体要求</w:t>
      </w:r>
      <w:bookmarkEnd w:id="111"/>
    </w:p>
    <w:bookmarkEnd w:id="112"/>
    <w:p>
      <w:pPr>
        <w:numPr>
          <w:ilvl w:val="0"/>
          <w:numId w:val="2"/>
        </w:numPr>
        <w:ind w:firstLine="420"/>
        <w:rPr>
          <w:rFonts w:ascii="宋体" w:hAnsi="宋体" w:cs="宋体"/>
          <w:szCs w:val="21"/>
        </w:rPr>
      </w:pPr>
      <w:bookmarkStart w:id="113" w:name="_Toc450840086"/>
      <w:r>
        <w:rPr>
          <w:rFonts w:hint="eastAsia" w:ascii="宋体" w:hAnsi="宋体"/>
          <w:szCs w:val="21"/>
        </w:rPr>
        <w:t>服务标准</w:t>
      </w:r>
    </w:p>
    <w:p>
      <w:pPr>
        <w:numPr>
          <w:ilvl w:val="0"/>
          <w:numId w:val="0"/>
        </w:numPr>
        <w:tabs>
          <w:tab w:val="left" w:pos="312"/>
        </w:tabs>
        <w:ind w:left="0" w:firstLine="420"/>
        <w:rPr>
          <w:rFonts w:hint="eastAsia" w:ascii="宋体" w:hAnsi="宋体" w:eastAsia="宋体" w:cs="宋体"/>
          <w:szCs w:val="21"/>
          <w:highlight w:val="none"/>
          <w:lang w:eastAsia="zh-CN"/>
        </w:rPr>
      </w:pPr>
      <w:r>
        <w:rPr>
          <w:rFonts w:hint="eastAsia" w:ascii="宋体" w:hAnsi="宋体" w:cs="宋体"/>
          <w:szCs w:val="21"/>
        </w:rPr>
        <w:t>1</w:t>
      </w:r>
      <w:r>
        <w:rPr>
          <w:rFonts w:ascii="宋体" w:hAnsi="宋体" w:cs="宋体"/>
          <w:szCs w:val="21"/>
        </w:rPr>
        <w:t>.</w:t>
      </w:r>
      <w:r>
        <w:rPr>
          <w:rFonts w:hint="eastAsia" w:ascii="宋体" w:hAnsi="宋体" w:cs="宋体"/>
          <w:szCs w:val="21"/>
        </w:rPr>
        <w:t>中标人应按招标文件规定和教材订购的要求，向采购人提供未经使用的、全新正版的</w:t>
      </w:r>
      <w:r>
        <w:rPr>
          <w:rFonts w:hint="eastAsia" w:ascii="宋体" w:hAnsi="宋体" w:cs="宋体"/>
          <w:szCs w:val="21"/>
          <w:highlight w:val="none"/>
        </w:rPr>
        <w:t>合格教</w:t>
      </w:r>
      <w:r>
        <w:rPr>
          <w:rFonts w:hint="eastAsia" w:ascii="宋体" w:hAnsi="宋体" w:cs="宋体"/>
          <w:szCs w:val="21"/>
          <w:highlight w:val="none"/>
          <w:lang w:eastAsia="zh-CN"/>
        </w:rPr>
        <w:t>材。</w:t>
      </w:r>
    </w:p>
    <w:p>
      <w:pPr>
        <w:ind w:left="0" w:firstLine="420" w:firstLineChars="200"/>
        <w:rPr>
          <w:rFonts w:ascii="宋体" w:hAnsi="宋体" w:cs="宋体"/>
          <w:szCs w:val="21"/>
        </w:rPr>
      </w:pPr>
      <w:r>
        <w:rPr>
          <w:rFonts w:hint="eastAsia" w:ascii="宋体" w:hAnsi="宋体" w:cs="宋体"/>
          <w:szCs w:val="21"/>
        </w:rPr>
        <w:t>2.在保证期内因货物本身的质量问题发生故障，中标人应负责包退、包换。对达不到要求，根据实际情况，经双方协商，可按以下办法处理：</w:t>
      </w:r>
    </w:p>
    <w:p>
      <w:pPr>
        <w:spacing w:line="288" w:lineRule="auto"/>
        <w:ind w:firstLine="420"/>
        <w:rPr>
          <w:rFonts w:ascii="宋体" w:hAnsi="宋体" w:cs="宋体"/>
          <w:szCs w:val="21"/>
        </w:rPr>
      </w:pPr>
      <w:r>
        <w:rPr>
          <w:rFonts w:hint="eastAsia" w:ascii="宋体" w:hAnsi="宋体" w:cs="宋体"/>
          <w:szCs w:val="21"/>
        </w:rPr>
        <w:t>更换：更换同一版本、同一年批次的教材，由此产生的费用全部由中标人承担。</w:t>
      </w:r>
    </w:p>
    <w:p>
      <w:pPr>
        <w:spacing w:line="288" w:lineRule="auto"/>
        <w:ind w:firstLine="420"/>
        <w:rPr>
          <w:rFonts w:ascii="宋体" w:hAnsi="宋体" w:cs="宋体"/>
          <w:szCs w:val="21"/>
        </w:rPr>
      </w:pPr>
      <w:r>
        <w:rPr>
          <w:rFonts w:hint="eastAsia" w:ascii="宋体" w:hAnsi="宋体" w:cs="宋体"/>
          <w:szCs w:val="21"/>
        </w:rPr>
        <w:t>退货处理：中标人应退还采购人支付的货物款，同时应承担该货物的直接费用（运输、保险、检验、货款利息及银行手续费等）。</w:t>
      </w:r>
    </w:p>
    <w:p>
      <w:pPr>
        <w:spacing w:line="288" w:lineRule="auto"/>
        <w:ind w:firstLine="420"/>
        <w:rPr>
          <w:rFonts w:ascii="宋体" w:hAnsi="宋体" w:cs="宋体"/>
          <w:szCs w:val="21"/>
        </w:rPr>
      </w:pPr>
      <w:r>
        <w:rPr>
          <w:rFonts w:hint="eastAsia" w:ascii="宋体" w:hAnsi="宋体" w:cs="宋体"/>
          <w:szCs w:val="21"/>
        </w:rPr>
        <w:t>如在使用过程中发生质量问题，中标人在接到采购人通知后应在合同规定时间内到达采购人现场。</w:t>
      </w:r>
    </w:p>
    <w:p>
      <w:pPr>
        <w:spacing w:line="288" w:lineRule="auto"/>
        <w:ind w:firstLine="420" w:firstLineChars="200"/>
        <w:rPr>
          <w:rFonts w:ascii="宋体" w:hAnsi="宋体" w:cs="宋体"/>
          <w:szCs w:val="21"/>
        </w:rPr>
      </w:pPr>
      <w:r>
        <w:rPr>
          <w:rFonts w:hint="eastAsia" w:ascii="宋体" w:hAnsi="宋体" w:cs="宋体"/>
          <w:szCs w:val="21"/>
        </w:rPr>
        <w:t>3.在质保期内，中标人应对教材出现的问题负责处理解决，若出现教材质量缺陷应予以随时调换。</w:t>
      </w:r>
    </w:p>
    <w:p>
      <w:pPr>
        <w:pStyle w:val="11"/>
        <w:ind w:firstLine="420" w:firstLineChars="200"/>
        <w:rPr>
          <w:rFonts w:ascii="宋体" w:hAnsi="宋体" w:eastAsia="宋体" w:cs="宋体"/>
        </w:rPr>
      </w:pPr>
      <w:r>
        <w:rPr>
          <w:rFonts w:hint="eastAsia" w:ascii="宋体" w:hAnsi="宋体" w:eastAsia="宋体" w:cs="宋体"/>
          <w:szCs w:val="21"/>
        </w:rPr>
        <w:t>4.在质保期内，中标人批量的教材在质保期内有15%的教材存在相同问题，中标人应召回全部问题教材，采购人有权要求更换教材或退货，由此产生的一切费用由中标人负担。</w:t>
      </w:r>
    </w:p>
    <w:p>
      <w:pPr>
        <w:ind w:firstLine="420"/>
        <w:rPr>
          <w:rFonts w:ascii="宋体" w:hAnsi="宋体" w:cs="宋体"/>
          <w:b/>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二、采购需求总表-2021级教材清单</w:t>
      </w:r>
    </w:p>
    <w:tbl>
      <w:tblPr>
        <w:tblStyle w:val="22"/>
        <w:tblW w:w="5036" w:type="pct"/>
        <w:tblInd w:w="-106" w:type="dxa"/>
        <w:tblLayout w:type="fixed"/>
        <w:tblCellMar>
          <w:top w:w="0" w:type="dxa"/>
          <w:left w:w="0" w:type="dxa"/>
          <w:bottom w:w="0" w:type="dxa"/>
          <w:right w:w="0" w:type="dxa"/>
        </w:tblCellMar>
      </w:tblPr>
      <w:tblGrid>
        <w:gridCol w:w="722"/>
        <w:gridCol w:w="2203"/>
        <w:gridCol w:w="1145"/>
        <w:gridCol w:w="1280"/>
        <w:gridCol w:w="2203"/>
        <w:gridCol w:w="1312"/>
        <w:gridCol w:w="1456"/>
        <w:gridCol w:w="1449"/>
        <w:gridCol w:w="1755"/>
        <w:gridCol w:w="1176"/>
      </w:tblGrid>
      <w:tr>
        <w:tblPrEx>
          <w:tblCellMar>
            <w:top w:w="0" w:type="dxa"/>
            <w:left w:w="0" w:type="dxa"/>
            <w:bottom w:w="0" w:type="dxa"/>
            <w:right w:w="0" w:type="dxa"/>
          </w:tblCellMar>
        </w:tblPrEx>
        <w:trPr>
          <w:trHeight w:val="1119" w:hRule="atLeast"/>
        </w:trPr>
        <w:tc>
          <w:tcPr>
            <w:tcW w:w="245"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748"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书名</w:t>
            </w:r>
          </w:p>
        </w:tc>
        <w:tc>
          <w:tcPr>
            <w:tcW w:w="389"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作者</w:t>
            </w:r>
          </w:p>
        </w:tc>
        <w:tc>
          <w:tcPr>
            <w:tcW w:w="435"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版次</w:t>
            </w:r>
          </w:p>
        </w:tc>
        <w:tc>
          <w:tcPr>
            <w:tcW w:w="748"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单价（元）</w:t>
            </w:r>
          </w:p>
        </w:tc>
        <w:tc>
          <w:tcPr>
            <w:tcW w:w="495"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数量（册）</w:t>
            </w:r>
          </w:p>
        </w:tc>
        <w:tc>
          <w:tcPr>
            <w:tcW w:w="493"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对应课程</w:t>
            </w:r>
          </w:p>
        </w:tc>
        <w:tc>
          <w:tcPr>
            <w:tcW w:w="596" w:type="pct"/>
            <w:tcBorders>
              <w:top w:val="single" w:color="000000" w:sz="4" w:space="0"/>
              <w:left w:val="single" w:color="000000" w:sz="4" w:space="0"/>
              <w:bottom w:val="single" w:color="000000" w:sz="4" w:space="0"/>
              <w:right w:val="single" w:color="000000" w:sz="4" w:space="0"/>
            </w:tcBorders>
            <w:shd w:val="clear" w:color="auto" w:fill="FDEADA"/>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教学部门</w:t>
            </w:r>
          </w:p>
        </w:tc>
        <w:tc>
          <w:tcPr>
            <w:tcW w:w="400" w:type="pct"/>
            <w:tcBorders>
              <w:top w:val="single" w:color="000000" w:sz="4" w:space="0"/>
              <w:left w:val="single" w:color="000000" w:sz="4" w:space="0"/>
              <w:bottom w:val="single" w:color="000000" w:sz="4" w:space="0"/>
              <w:right w:val="single" w:color="000000" w:sz="4" w:space="0"/>
            </w:tcBorders>
            <w:shd w:val="clear" w:color="auto" w:fill="FDEADA"/>
            <w:noWrap/>
            <w:tcMar>
              <w:top w:w="12" w:type="dxa"/>
              <w:left w:w="12" w:type="dxa"/>
              <w:right w:w="12" w:type="dxa"/>
            </w:tcMar>
            <w:vAlign w:val="center"/>
          </w:tcPr>
          <w:p>
            <w:pPr>
              <w:widowControl/>
              <w:ind w:firstLine="0" w:firstLineChars="0"/>
              <w:jc w:val="center"/>
              <w:textAlignment w:val="center"/>
              <w:rPr>
                <w:rFonts w:ascii="宋体" w:hAnsi="宋体" w:cs="宋体"/>
                <w:b/>
                <w:color w:val="000000"/>
                <w:szCs w:val="21"/>
              </w:rPr>
            </w:pPr>
            <w:r>
              <w:rPr>
                <w:rFonts w:hint="eastAsia" w:ascii="宋体" w:hAnsi="宋体" w:cs="宋体"/>
                <w:b/>
                <w:color w:val="000000"/>
                <w:kern w:val="0"/>
                <w:szCs w:val="21"/>
                <w:lang w:bidi="ar"/>
              </w:rPr>
              <w:t>备注</w:t>
            </w: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马克思主义基本原理概论（2021版）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刘建军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23.00</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1823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原理</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毛泽东思想和中国特色社会主义理论体系概论（2021版）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秦宣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1823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概论</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中国近现代史纲要（2021版）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欧阳淞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1823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纲要</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思想道德修养与法律基础（2021版）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沈壮海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1823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基础</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中华人民共和国史</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程中原、吴敏先、陈述、柳建辉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2013.11.27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高等教育出版社、人民出版社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52.00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1823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四史课程</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马工程重点教材</w:t>
            </w: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第1册 学生用书（附一书一码）</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李荫华主编;季佩英,冯豫分册主编</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2020.3.1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第2册 学生用书（附一书一码）</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李荫华主编;范烨,梁正溜分册主编</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2020.3.1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第3册 学生用书（附一书一码）</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李荫华主编;吴晓真，陈进分册主编</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2020.3.1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综合训练1（附mp3下载）</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冯豫</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2019.8.1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22.00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综合训练2（附mp3下载）</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冯豫</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2019.11.1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22.00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全新版大学进阶英语：综合教程 综合训练3（附mp3下载）</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冯豫</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2019.11.1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上海外语教育出版社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12</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新视野大学英语 第三版（智慧版）（视听说教程)学生用书1</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郑树棠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第3版智慧版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外语教学与研究出版社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55.90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新视野大学英语 第三版（智慧版）（视听说教程)学生用书2</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郑树棠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第3版智慧版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外语教学与研究出版社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55.90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新视野大学英语 第三版（智慧版）（视听说教程)学生用书3</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郑树棠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第3版智慧版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外语教学与研究出版社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58.90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新视野大学英语 第三版（智慧版）（视听说教程)学生用书4</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郑树棠</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第3版智慧版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外语教学与研究出版社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58.90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大学英语</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《外国美术史》欧阳英</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欧阳英</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外国美术史</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《中国美术史》</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洪再新</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62.00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中国美术史</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大学语文新编教程（文学卷）</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毛信德</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浙江大学出版社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中国文学、外国文学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当代西方文学思潮评析（第二版）</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冯宪光、江宁康</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2018.08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38.10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通识选修课</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马工程重点教材</w:t>
            </w: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体育与健康--乒乓球羽毛球网球教程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2016</w:t>
            </w:r>
            <w:r>
              <w:rPr>
                <w:rStyle w:val="53"/>
                <w:rFonts w:hint="default"/>
                <w:sz w:val="21"/>
                <w:szCs w:val="21"/>
                <w:lang w:bidi="ar"/>
              </w:rPr>
              <w:t>年</w:t>
            </w:r>
            <w:r>
              <w:rPr>
                <w:rStyle w:val="52"/>
                <w:rFonts w:hint="eastAsia" w:ascii="宋体" w:hAnsi="宋体" w:cs="宋体"/>
                <w:sz w:val="21"/>
                <w:szCs w:val="21"/>
                <w:lang w:bidi="ar"/>
              </w:rPr>
              <w:t>12</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羽毛球、网球、体育保健课</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公共体育部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体育与健康--篮球足球排球教程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2016</w:t>
            </w:r>
            <w:r>
              <w:rPr>
                <w:rStyle w:val="53"/>
                <w:rFonts w:hint="default"/>
                <w:sz w:val="21"/>
                <w:szCs w:val="21"/>
                <w:lang w:bidi="ar"/>
              </w:rPr>
              <w:t>年</w:t>
            </w:r>
            <w:r>
              <w:rPr>
                <w:rStyle w:val="52"/>
                <w:rFonts w:hint="eastAsia" w:ascii="宋体" w:hAnsi="宋体" w:cs="宋体"/>
                <w:sz w:val="21"/>
                <w:szCs w:val="21"/>
                <w:lang w:bidi="ar"/>
              </w:rPr>
              <w:t>12</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足球、排球、篮球</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公共体育部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22</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健美操教程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2014</w:t>
            </w:r>
            <w:r>
              <w:rPr>
                <w:rStyle w:val="53"/>
                <w:rFonts w:hint="default"/>
                <w:sz w:val="21"/>
                <w:szCs w:val="21"/>
                <w:lang w:bidi="ar"/>
              </w:rPr>
              <w:t>年</w:t>
            </w:r>
            <w:r>
              <w:rPr>
                <w:rStyle w:val="52"/>
                <w:rFonts w:hint="eastAsia" w:ascii="宋体" w:hAnsi="宋体" w:cs="宋体"/>
                <w:sz w:val="21"/>
                <w:szCs w:val="21"/>
                <w:lang w:bidi="ar"/>
              </w:rPr>
              <w:t>4</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1874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健美操、体育舞蹈、啦啦操、太极拳</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公共体育部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大学生心理健康教程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马建青</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第2版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浙江大学出版社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大学生心理健康</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学工部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大学生就业指导</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胡钟华 竺照轩等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第3版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机械工业出版社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29.00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1848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大学生就业指导</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学工部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陶瓷工艺与艺术</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（美）皮特森 著 王霞译</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第4版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武汉理工大学出版社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142.00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陶艺专业课</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漆艺</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乔十光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4"/>
                <w:rFonts w:hint="default"/>
                <w:sz w:val="21"/>
                <w:szCs w:val="21"/>
                <w:lang w:bidi="ar"/>
              </w:rPr>
              <w:t>2000年</w:t>
            </w:r>
            <w:r>
              <w:rPr>
                <w:rStyle w:val="55"/>
                <w:rFonts w:hint="eastAsia" w:ascii="宋体" w:hAnsi="宋体" w:cs="宋体"/>
                <w:sz w:val="21"/>
                <w:szCs w:val="21"/>
                <w:lang w:bidi="ar"/>
              </w:rPr>
              <w:t>5</w:t>
            </w:r>
            <w:r>
              <w:rPr>
                <w:rStyle w:val="54"/>
                <w:rFonts w:hint="default"/>
                <w:sz w:val="21"/>
                <w:szCs w:val="21"/>
                <w:lang w:bidi="ar"/>
              </w:rPr>
              <w:t>月第</w:t>
            </w:r>
            <w:r>
              <w:rPr>
                <w:rStyle w:val="55"/>
                <w:rFonts w:hint="eastAsia" w:ascii="宋体" w:hAnsi="宋体" w:cs="宋体"/>
                <w:sz w:val="21"/>
                <w:szCs w:val="21"/>
                <w:lang w:bidi="ar"/>
              </w:rPr>
              <w:t>1</w:t>
            </w:r>
            <w:r>
              <w:rPr>
                <w:rStyle w:val="54"/>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42.00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漆艺专业学生</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5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世界玻璃工艺史</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（英）卡明斯著 薛吕 译</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2014/2/1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上海交通大学出版社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玻璃专业学生</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26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可佩戴雕塑</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汪正虹</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2018/6/1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30 </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首饰专业学生</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0" w:firstLineChars="0"/>
              <w:jc w:val="center"/>
              <w:rPr>
                <w:rFonts w:ascii="宋体" w:hAnsi="宋体" w:cs="宋体"/>
                <w:color w:val="000000"/>
                <w:szCs w:val="21"/>
              </w:rPr>
            </w:pP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马克思主义基本原理概论（2021版）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刘建军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原理</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41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毛泽东思想和中国特色社会主义理论体系概论（2021版）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秦宣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25.00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概论</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中国近现代史纲要（2021版）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欧阳淞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26.00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纲要</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32</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思想道德修养与法律基础（2021版）</w:t>
            </w:r>
          </w:p>
        </w:tc>
        <w:tc>
          <w:tcPr>
            <w:tcW w:w="389"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沈壮海 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2021版</w:t>
            </w:r>
          </w:p>
        </w:tc>
        <w:tc>
          <w:tcPr>
            <w:tcW w:w="748"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基础</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中华人民共和国史</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程中原、吴敏先、陈述、柳建辉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2013.11.27</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高等教育出版社、人民出版社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52.00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四史课程</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马工程重点教材书目、教师用书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《习近平总书记教育重要论述讲义》</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本书编写组</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35.00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思政课程</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马克思主义学院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35</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《外国美术史》</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欧阳英</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60.00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外国美术史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36</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《中国美术史》</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洪再新</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62.00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《艺术与文明》</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范景中</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最新版</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上海书画出版社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138.00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外国美术史</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059"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当代西方文学思潮评析（第二版）</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冯宪光、江宁康</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2018.08</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高等教育出版社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38.10 </w:t>
            </w:r>
          </w:p>
        </w:tc>
        <w:tc>
          <w:tcPr>
            <w:tcW w:w="495" w:type="pc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通识选修课</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艺术人文学院通识教学部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39</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体育与健康--乒乓球羽毛球网球教程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2016</w:t>
            </w:r>
            <w:r>
              <w:rPr>
                <w:rStyle w:val="53"/>
                <w:rFonts w:hint="default"/>
                <w:sz w:val="21"/>
                <w:szCs w:val="21"/>
                <w:lang w:bidi="ar"/>
              </w:rPr>
              <w:t>年</w:t>
            </w:r>
            <w:r>
              <w:rPr>
                <w:rStyle w:val="52"/>
                <w:rFonts w:hint="eastAsia" w:ascii="宋体" w:hAnsi="宋体" w:cs="宋体"/>
                <w:sz w:val="21"/>
                <w:szCs w:val="21"/>
                <w:lang w:bidi="ar"/>
              </w:rPr>
              <w:t>12</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羽毛球、网球、体育保健课</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40</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体育与健康--篮球足球排球教程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张杰等</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2016</w:t>
            </w:r>
            <w:r>
              <w:rPr>
                <w:rStyle w:val="53"/>
                <w:rFonts w:hint="default"/>
                <w:sz w:val="21"/>
                <w:szCs w:val="21"/>
                <w:lang w:bidi="ar"/>
              </w:rPr>
              <w:t>年</w:t>
            </w:r>
            <w:r>
              <w:rPr>
                <w:rStyle w:val="52"/>
                <w:rFonts w:hint="eastAsia" w:ascii="宋体" w:hAnsi="宋体" w:cs="宋体"/>
                <w:sz w:val="21"/>
                <w:szCs w:val="21"/>
                <w:lang w:bidi="ar"/>
              </w:rPr>
              <w:t>12</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足球、排球、篮球</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健美操教程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张杰</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2"/>
                <w:rFonts w:hint="eastAsia" w:ascii="宋体" w:hAnsi="宋体" w:cs="宋体"/>
                <w:sz w:val="21"/>
                <w:szCs w:val="21"/>
                <w:lang w:bidi="ar"/>
              </w:rPr>
              <w:t>2014</w:t>
            </w:r>
            <w:r>
              <w:rPr>
                <w:rStyle w:val="53"/>
                <w:rFonts w:hint="default"/>
                <w:sz w:val="21"/>
                <w:szCs w:val="21"/>
                <w:lang w:bidi="ar"/>
              </w:rPr>
              <w:t>年</w:t>
            </w:r>
            <w:r>
              <w:rPr>
                <w:rStyle w:val="52"/>
                <w:rFonts w:hint="eastAsia" w:ascii="宋体" w:hAnsi="宋体" w:cs="宋体"/>
                <w:sz w:val="21"/>
                <w:szCs w:val="21"/>
                <w:lang w:bidi="ar"/>
              </w:rPr>
              <w:t>4</w:t>
            </w:r>
            <w:r>
              <w:rPr>
                <w:rStyle w:val="53"/>
                <w:rFonts w:hint="default"/>
                <w:sz w:val="21"/>
                <w:szCs w:val="21"/>
                <w:lang w:bidi="ar"/>
              </w:rPr>
              <w:t>月第</w:t>
            </w:r>
            <w:r>
              <w:rPr>
                <w:rStyle w:val="52"/>
                <w:rFonts w:hint="eastAsia" w:ascii="宋体" w:hAnsi="宋体" w:cs="宋体"/>
                <w:sz w:val="21"/>
                <w:szCs w:val="21"/>
                <w:lang w:bidi="ar"/>
              </w:rPr>
              <w:t>1</w:t>
            </w:r>
            <w:r>
              <w:rPr>
                <w:rStyle w:val="53"/>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北京体育大学出版社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健美操、体育舞蹈、啦啦操、太极拳</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体育部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42</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大学生心理健康教程</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马建青</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第2版</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浙江大学出版社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23.00 </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大学生心理健康</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学工部</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43</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中国古代漆艺史料辑注</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潘天波</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2018年10月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江苏凤凰美术出版社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480.00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漆艺专业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44</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髹漆工艺</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郭小一</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2020年2月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化学工业出版社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漆艺专业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45</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世界玻璃工艺史</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（英）卡明斯著 薛吕 译</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2014/2/1</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上海交通大学出版社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玻璃专业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46</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陶瓷工艺与艺术</w:t>
            </w:r>
          </w:p>
        </w:tc>
        <w:tc>
          <w:tcPr>
            <w:tcW w:w="3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（美）皮特森 著王霞 译</w:t>
            </w:r>
          </w:p>
        </w:tc>
        <w:tc>
          <w:tcPr>
            <w:tcW w:w="43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Style w:val="54"/>
                <w:rFonts w:hint="default"/>
                <w:sz w:val="21"/>
                <w:szCs w:val="21"/>
                <w:lang w:bidi="ar"/>
              </w:rPr>
              <w:t>第</w:t>
            </w:r>
            <w:r>
              <w:rPr>
                <w:rStyle w:val="55"/>
                <w:rFonts w:hint="eastAsia" w:ascii="宋体" w:hAnsi="宋体" w:cs="宋体"/>
                <w:sz w:val="21"/>
                <w:szCs w:val="21"/>
                <w:lang w:bidi="ar"/>
              </w:rPr>
              <w:t>4</w:t>
            </w:r>
            <w:r>
              <w:rPr>
                <w:rStyle w:val="54"/>
                <w:rFonts w:hint="default"/>
                <w:sz w:val="21"/>
                <w:szCs w:val="21"/>
                <w:lang w:bidi="ar"/>
              </w:rPr>
              <w:t>版</w:t>
            </w:r>
          </w:p>
        </w:tc>
        <w:tc>
          <w:tcPr>
            <w:tcW w:w="74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武汉理工大学出版社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142.00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陶艺专业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47</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可佩戴雕塑</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汪正虹</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2018/6/1</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中国美术学院出版社</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78.00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首饰专业</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手工艺术学院</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教师用书</w:t>
            </w:r>
          </w:p>
        </w:tc>
      </w:tr>
      <w:tr>
        <w:tblPrEx>
          <w:tblCellMar>
            <w:top w:w="0" w:type="dxa"/>
            <w:left w:w="0" w:type="dxa"/>
            <w:bottom w:w="0" w:type="dxa"/>
            <w:right w:w="0" w:type="dxa"/>
          </w:tblCellMar>
        </w:tblPrEx>
        <w:trPr>
          <w:trHeight w:val="114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0" w:firstLineChars="0"/>
              <w:jc w:val="center"/>
              <w:rPr>
                <w:rFonts w:ascii="宋体" w:hAnsi="宋体" w:cs="宋体"/>
                <w:color w:val="000000"/>
                <w:szCs w:val="21"/>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其他待采购教科书</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待定</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待定</w:t>
            </w: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待定</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178681.70 </w:t>
            </w:r>
          </w:p>
        </w:tc>
        <w:tc>
          <w:tcPr>
            <w:tcW w:w="49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49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待定</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待定</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ind w:firstLine="0" w:firstLineChars="0"/>
              <w:jc w:val="center"/>
              <w:textAlignment w:val="center"/>
              <w:rPr>
                <w:rFonts w:ascii="宋体" w:hAnsi="宋体" w:cs="宋体"/>
                <w:color w:val="000000"/>
                <w:szCs w:val="21"/>
              </w:rPr>
            </w:pPr>
            <w:r>
              <w:rPr>
                <w:rFonts w:hint="eastAsia" w:ascii="宋体" w:hAnsi="宋体" w:cs="宋体"/>
                <w:color w:val="000000"/>
                <w:kern w:val="0"/>
                <w:szCs w:val="21"/>
                <w:lang w:bidi="ar"/>
              </w:rPr>
              <w:t>待教学部门确定</w:t>
            </w:r>
          </w:p>
        </w:tc>
      </w:tr>
    </w:tbl>
    <w:p>
      <w:pPr>
        <w:ind w:firstLine="0" w:firstLineChars="0"/>
        <w:jc w:val="center"/>
        <w:rPr>
          <w:color w:val="000000" w:themeColor="text1"/>
          <w14:textFill>
            <w14:solidFill>
              <w14:schemeClr w14:val="tx1"/>
            </w14:solidFill>
          </w14:textFill>
        </w:rPr>
      </w:pPr>
    </w:p>
    <w:p>
      <w:pPr>
        <w:pStyle w:val="2"/>
      </w:pPr>
    </w:p>
    <w:p>
      <w:pPr>
        <w:widowControl/>
        <w:autoSpaceDE w:val="0"/>
        <w:autoSpaceDN w:val="0"/>
        <w:adjustRightInd w:val="0"/>
        <w:snapToGrid w:val="0"/>
        <w:ind w:firstLine="420"/>
        <w:textAlignment w:val="bottom"/>
        <w:rPr>
          <w:rFonts w:ascii="宋体" w:hAnsi="宋体" w:cs="宋体"/>
          <w:b/>
          <w:bCs/>
          <w:snapToGrid w:val="0"/>
          <w:kern w:val="0"/>
          <w:szCs w:val="21"/>
        </w:rPr>
      </w:pPr>
      <w:bookmarkStart w:id="114" w:name="_Toc26216"/>
      <w:r>
        <w:rPr>
          <w:rFonts w:hint="eastAsia" w:ascii="宋体" w:hAnsi="宋体" w:cs="宋体"/>
          <w:snapToGrid w:val="0"/>
          <w:kern w:val="0"/>
          <w:szCs w:val="21"/>
        </w:rPr>
        <w:t>三、质量保证和服务承诺</w:t>
      </w:r>
    </w:p>
    <w:p>
      <w:pPr>
        <w:ind w:firstLine="420"/>
        <w:rPr>
          <w:rFonts w:ascii="宋体" w:hAnsi="宋体" w:cs="宋体"/>
          <w:szCs w:val="21"/>
        </w:rPr>
      </w:pPr>
      <w:r>
        <w:rPr>
          <w:rFonts w:hint="eastAsia" w:ascii="宋体" w:hAnsi="宋体" w:cs="宋体"/>
          <w:szCs w:val="21"/>
        </w:rPr>
        <w:t>1、中标人应在订书</w:t>
      </w:r>
      <w:r>
        <w:rPr>
          <w:rFonts w:hint="eastAsia" w:ascii="宋体" w:hAnsi="宋体" w:cs="宋体"/>
          <w:color w:val="000000" w:themeColor="text1"/>
          <w:szCs w:val="21"/>
          <w14:textFill>
            <w14:solidFill>
              <w14:schemeClr w14:val="tx1"/>
            </w14:solidFill>
          </w14:textFill>
        </w:rPr>
        <w:t>前半个月无</w:t>
      </w:r>
      <w:r>
        <w:rPr>
          <w:rFonts w:hint="eastAsia" w:ascii="宋体" w:hAnsi="宋体" w:cs="宋体"/>
          <w:szCs w:val="21"/>
        </w:rPr>
        <w:t>偿向采购人提供各出版社教材目录、光盘等出版、发行信息资料，以供查询、征订。</w:t>
      </w:r>
    </w:p>
    <w:p>
      <w:pPr>
        <w:ind w:firstLine="420"/>
        <w:rPr>
          <w:rFonts w:ascii="宋体" w:hAnsi="宋体" w:cs="宋体"/>
          <w:szCs w:val="21"/>
        </w:rPr>
      </w:pPr>
      <w:r>
        <w:rPr>
          <w:rFonts w:hint="eastAsia" w:ascii="宋体" w:hAnsi="宋体" w:cs="宋体"/>
          <w:szCs w:val="21"/>
        </w:rPr>
        <w:t>2、对采购人委托订购的教材中标人应从品种和数量上无条件提供保证。若教材信息不对称须在接到教材征订单三日内告知采购人；如确因出版社无书供应而不能提供的，需在接到教材征订单五日内通知采购人，以便进行调整。</w:t>
      </w:r>
    </w:p>
    <w:p>
      <w:pPr>
        <w:ind w:firstLine="420"/>
        <w:rPr>
          <w:rFonts w:ascii="宋体" w:hAnsi="宋体" w:cs="宋体"/>
          <w:szCs w:val="21"/>
        </w:rPr>
      </w:pPr>
      <w:r>
        <w:rPr>
          <w:rFonts w:hint="eastAsia" w:ascii="宋体" w:hAnsi="宋体" w:cs="宋体"/>
          <w:szCs w:val="21"/>
        </w:rPr>
        <w:t>3、对采购人因教学计划临时调整、学生人数变化等引起的教材数量变动应给予无条件的多退少补，补订教材价格折扣率与中标价格折扣率一致。</w:t>
      </w:r>
    </w:p>
    <w:p>
      <w:pPr>
        <w:ind w:firstLine="420"/>
        <w:rPr>
          <w:rFonts w:ascii="宋体" w:hAnsi="宋体" w:cs="宋体"/>
          <w:szCs w:val="21"/>
        </w:rPr>
      </w:pPr>
      <w:r>
        <w:rPr>
          <w:rFonts w:hint="eastAsia" w:ascii="宋体" w:hAnsi="宋体" w:cs="宋体"/>
          <w:szCs w:val="21"/>
        </w:rPr>
        <w:t>4、中标人应按教材订购单要求，向采购人提供未经使用的、全新正版的合格教材。发现教材与订购不符时一律退回，中标人的教材供应发货差错率应低于千分之三。</w:t>
      </w:r>
    </w:p>
    <w:p>
      <w:pPr>
        <w:ind w:firstLine="420"/>
        <w:rPr>
          <w:rFonts w:ascii="宋体" w:hAnsi="宋体" w:cs="宋体"/>
          <w:szCs w:val="21"/>
        </w:rPr>
      </w:pPr>
      <w:r>
        <w:rPr>
          <w:rFonts w:hint="eastAsia" w:ascii="宋体" w:hAnsi="宋体" w:cs="宋体"/>
          <w:szCs w:val="21"/>
        </w:rPr>
        <w:t>5、在质保期内发现教材缺页、脱落等质量问题，中标人应负责包换、包退。对达不到要求的教材，根据实际情况，由双方协商处理解决。</w:t>
      </w:r>
    </w:p>
    <w:p>
      <w:pPr>
        <w:ind w:firstLine="420"/>
        <w:rPr>
          <w:rFonts w:ascii="宋体" w:hAnsi="宋体" w:cs="宋体"/>
          <w:szCs w:val="21"/>
        </w:rPr>
      </w:pPr>
      <w:r>
        <w:rPr>
          <w:rFonts w:hint="eastAsia" w:ascii="宋体" w:hAnsi="宋体" w:cs="宋体"/>
          <w:szCs w:val="21"/>
        </w:rPr>
        <w:t>包换：更换同一版本、同一批次的教材，由此产生的费用全部由中标人承担。</w:t>
      </w:r>
    </w:p>
    <w:p>
      <w:pPr>
        <w:ind w:firstLine="420"/>
        <w:rPr>
          <w:rFonts w:ascii="宋体" w:hAnsi="宋体" w:cs="宋体"/>
          <w:szCs w:val="21"/>
        </w:rPr>
      </w:pPr>
      <w:r>
        <w:rPr>
          <w:rFonts w:hint="eastAsia" w:ascii="宋体" w:hAnsi="宋体" w:cs="宋体"/>
          <w:szCs w:val="21"/>
        </w:rPr>
        <w:t>包退：中标人应退还采购人支付的该教材款额，同时承担该教材订购的直接费用（运输、保险、检验、利息及银行手续费等）。</w:t>
      </w:r>
    </w:p>
    <w:p>
      <w:pPr>
        <w:ind w:firstLine="420"/>
        <w:rPr>
          <w:rFonts w:ascii="宋体" w:hAnsi="宋体" w:cs="宋体"/>
          <w:szCs w:val="21"/>
        </w:rPr>
      </w:pPr>
      <w:r>
        <w:rPr>
          <w:rFonts w:hint="eastAsia" w:ascii="宋体" w:hAnsi="宋体" w:cs="宋体"/>
          <w:szCs w:val="21"/>
        </w:rPr>
        <w:t>6、中标人应根据采购人提供的2021级教材本科生用书分配表进行图书的分配打包，各种教材按系、专业、班级、每个学生完整一份打包、并在包装上显著、清晰标注包号、系、班级和教材名称、数量；同时负责对采购人自备的教材、讲义等（约占总数1/3）按要求打包、入库。</w:t>
      </w:r>
    </w:p>
    <w:p>
      <w:pPr>
        <w:ind w:firstLine="420"/>
        <w:rPr>
          <w:rFonts w:ascii="宋体" w:hAnsi="宋体" w:cs="宋体"/>
          <w:szCs w:val="21"/>
        </w:rPr>
      </w:pPr>
      <w:r>
        <w:rPr>
          <w:rFonts w:hint="eastAsia" w:ascii="宋体" w:hAnsi="宋体" w:cs="宋体"/>
          <w:szCs w:val="21"/>
        </w:rPr>
        <w:t>7、在指定日期供应商在保证报务质量的同时，负责将教材运送到采购人指定地点，并依照采购人要求发放到学生手中。</w:t>
      </w:r>
    </w:p>
    <w:p>
      <w:pPr>
        <w:ind w:firstLine="420"/>
        <w:rPr>
          <w:rFonts w:ascii="宋体" w:hAnsi="宋体" w:cs="宋体"/>
          <w:szCs w:val="21"/>
        </w:rPr>
      </w:pPr>
      <w:r>
        <w:rPr>
          <w:rFonts w:hint="eastAsia" w:ascii="宋体" w:hAnsi="宋体" w:cs="宋体"/>
          <w:szCs w:val="21"/>
        </w:rPr>
        <w:t>8、对于在中标人所订购的教材予以跨学期、跨年度退货。</w:t>
      </w:r>
    </w:p>
    <w:p>
      <w:pPr>
        <w:spacing w:line="288" w:lineRule="auto"/>
        <w:ind w:firstLine="420"/>
        <w:rPr>
          <w:rFonts w:ascii="宋体" w:hAnsi="宋体" w:cs="宋体"/>
          <w:szCs w:val="21"/>
        </w:rPr>
      </w:pPr>
    </w:p>
    <w:p>
      <w:pPr>
        <w:pStyle w:val="3"/>
        <w:ind w:firstLine="482"/>
        <w:rPr>
          <w:color w:val="000000" w:themeColor="text1"/>
          <w14:textFill>
            <w14:solidFill>
              <w14:schemeClr w14:val="tx1"/>
            </w14:solidFill>
          </w14:textFill>
        </w:rPr>
        <w:sectPr>
          <w:pgSz w:w="16840" w:h="11907" w:orient="landscape"/>
          <w:pgMar w:top="1304" w:right="1247" w:bottom="1304" w:left="1021" w:header="720" w:footer="720" w:gutter="0"/>
          <w:cols w:space="720" w:num="1"/>
          <w:docGrid w:linePitch="286" w:charSpace="0"/>
        </w:sectPr>
      </w:pPr>
    </w:p>
    <w:p>
      <w:pPr>
        <w:pStyle w:val="3"/>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招标项目商务</w:t>
      </w:r>
      <w:bookmarkEnd w:id="113"/>
      <w:r>
        <w:rPr>
          <w:rFonts w:hint="eastAsia"/>
          <w:color w:val="000000" w:themeColor="text1"/>
          <w14:textFill>
            <w14:solidFill>
              <w14:schemeClr w14:val="tx1"/>
            </w14:solidFill>
          </w14:textFill>
        </w:rPr>
        <w:t>要求</w:t>
      </w:r>
      <w:bookmarkEnd w:id="114"/>
    </w:p>
    <w:p>
      <w:pPr>
        <w:ind w:firstLine="0" w:firstLineChars="0"/>
        <w:rPr>
          <w:b/>
          <w:bCs/>
          <w:color w:val="000000" w:themeColor="text1"/>
          <w14:textFill>
            <w14:solidFill>
              <w14:schemeClr w14:val="tx1"/>
            </w14:solidFill>
          </w14:textFill>
        </w:rPr>
      </w:pPr>
      <w:bookmarkStart w:id="115" w:name="_Toc26508"/>
      <w:r>
        <w:rPr>
          <w:rFonts w:hint="eastAsia" w:ascii="宋体" w:hAnsi="宋体" w:cs="宋体"/>
          <w:b/>
          <w:bCs/>
          <w:color w:val="000000" w:themeColor="text1"/>
          <w:szCs w:val="21"/>
          <w14:textFill>
            <w14:solidFill>
              <w14:schemeClr w14:val="tx1"/>
            </w14:solidFill>
          </w14:textFill>
        </w:rPr>
        <w:t>1供</w:t>
      </w:r>
      <w:r>
        <w:rPr>
          <w:rFonts w:hint="eastAsia"/>
          <w:b/>
          <w:bCs/>
          <w:color w:val="000000" w:themeColor="text1"/>
          <w14:textFill>
            <w14:solidFill>
              <w14:schemeClr w14:val="tx1"/>
            </w14:solidFill>
          </w14:textFill>
        </w:rPr>
        <w:t>货期</w:t>
      </w:r>
      <w:bookmarkEnd w:id="115"/>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教材采购按甲方要求开始采购。正常采购的教材，应保证在开学前到位，按个人打包，按顺序摆放，并自行做好验收及发放工作。</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16" w:name="_Toc24873"/>
      <w:r>
        <w:rPr>
          <w:rFonts w:hint="eastAsia" w:ascii="宋体" w:hAnsi="宋体" w:cs="宋体"/>
          <w:b/>
          <w:bCs/>
          <w:color w:val="000000" w:themeColor="text1"/>
          <w:szCs w:val="21"/>
          <w14:textFill>
            <w14:solidFill>
              <w14:schemeClr w14:val="tx1"/>
            </w14:solidFill>
          </w14:textFill>
        </w:rPr>
        <w:t>2质保期</w:t>
      </w:r>
      <w:bookmarkEnd w:id="116"/>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质保期1年，</w:t>
      </w:r>
      <w:r>
        <w:rPr>
          <w:rFonts w:hint="eastAsia"/>
          <w:color w:val="000000" w:themeColor="text1"/>
          <w14:textFill>
            <w14:solidFill>
              <w14:schemeClr w14:val="tx1"/>
            </w14:solidFill>
          </w14:textFill>
        </w:rPr>
        <w:t>使用期间发现有图文不清、缺页、装订错误等不合格的图书一律予以退换，由此造成的损失及费用全部由供应商承担。</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17" w:name="_Toc807"/>
      <w:r>
        <w:rPr>
          <w:rFonts w:hint="eastAsia" w:ascii="宋体" w:hAnsi="宋体" w:cs="宋体"/>
          <w:b/>
          <w:bCs/>
          <w:color w:val="000000" w:themeColor="text1"/>
          <w:szCs w:val="21"/>
          <w14:textFill>
            <w14:solidFill>
              <w14:schemeClr w14:val="tx1"/>
            </w14:solidFill>
          </w14:textFill>
        </w:rPr>
        <w:t>3保存和运输要求</w:t>
      </w:r>
      <w:bookmarkEnd w:id="117"/>
    </w:p>
    <w:p>
      <w:pPr>
        <w:ind w:firstLine="396"/>
        <w:rPr>
          <w:rFonts w:ascii="宋体" w:hAnsi="宋体"/>
          <w:spacing w:val="-6"/>
          <w:szCs w:val="21"/>
        </w:rPr>
      </w:pPr>
      <w:r>
        <w:rPr>
          <w:rFonts w:hint="eastAsia" w:ascii="宋体" w:hAnsi="宋体"/>
          <w:spacing w:val="-6"/>
          <w:szCs w:val="21"/>
        </w:rPr>
        <w:t>教材包装、发运及运输：</w:t>
      </w:r>
    </w:p>
    <w:p>
      <w:pPr>
        <w:ind w:firstLine="396"/>
        <w:rPr>
          <w:rFonts w:ascii="宋体" w:hAnsi="宋体"/>
          <w:spacing w:val="-6"/>
          <w:szCs w:val="21"/>
        </w:rPr>
      </w:pPr>
      <w:r>
        <w:rPr>
          <w:rFonts w:hint="eastAsia" w:ascii="宋体" w:hAnsi="宋体"/>
          <w:spacing w:val="-6"/>
          <w:szCs w:val="21"/>
        </w:rPr>
        <w:t>3.1.中标人应在教材发运前对其进行满足于运输距离、防潮和防破损装卸要求的包装，以保证教材安全运输到达采购人指定地点。</w:t>
      </w:r>
    </w:p>
    <w:p>
      <w:pPr>
        <w:ind w:firstLine="396"/>
        <w:rPr>
          <w:rFonts w:ascii="宋体" w:hAnsi="宋体"/>
          <w:spacing w:val="-6"/>
          <w:szCs w:val="21"/>
        </w:rPr>
      </w:pPr>
      <w:r>
        <w:rPr>
          <w:rFonts w:hint="eastAsia" w:ascii="宋体" w:hAnsi="宋体"/>
          <w:spacing w:val="-6"/>
          <w:szCs w:val="21"/>
        </w:rPr>
        <w:t>3.2.发货清单一式两份（加盖公章），附于包装货件内一并交给采购人。</w:t>
      </w:r>
    </w:p>
    <w:p>
      <w:pPr>
        <w:ind w:firstLine="396"/>
        <w:rPr>
          <w:rFonts w:ascii="宋体" w:hAnsi="宋体"/>
          <w:spacing w:val="-6"/>
          <w:szCs w:val="21"/>
        </w:rPr>
      </w:pPr>
      <w:r>
        <w:rPr>
          <w:rFonts w:hint="eastAsia" w:ascii="宋体" w:hAnsi="宋体"/>
          <w:spacing w:val="-6"/>
          <w:szCs w:val="21"/>
        </w:rPr>
        <w:t>3.3.教材在发运手续办理后24小时内，中标人应用电话或传真通知采购人，以便采购人准备接货。</w:t>
      </w:r>
    </w:p>
    <w:p>
      <w:pPr>
        <w:ind w:firstLine="396"/>
        <w:rPr>
          <w:rFonts w:ascii="宋体" w:hAnsi="宋体"/>
          <w:spacing w:val="-6"/>
          <w:szCs w:val="21"/>
        </w:rPr>
      </w:pPr>
      <w:r>
        <w:rPr>
          <w:rFonts w:hint="eastAsia" w:ascii="宋体" w:hAnsi="宋体"/>
          <w:spacing w:val="-6"/>
          <w:szCs w:val="21"/>
        </w:rPr>
        <w:t>3.4.教材在到达采购人所在地前发生的不可预见的风险均由中标人负责。</w:t>
      </w:r>
    </w:p>
    <w:p>
      <w:pPr>
        <w:ind w:firstLine="396"/>
        <w:rPr>
          <w:rFonts w:ascii="宋体" w:hAnsi="宋体" w:cs="宋体"/>
          <w:color w:val="000000" w:themeColor="text1"/>
          <w:szCs w:val="21"/>
          <w14:textFill>
            <w14:solidFill>
              <w14:schemeClr w14:val="tx1"/>
            </w14:solidFill>
          </w14:textFill>
        </w:rPr>
      </w:pPr>
      <w:r>
        <w:rPr>
          <w:rFonts w:hint="eastAsia" w:ascii="宋体" w:hAnsi="宋体"/>
          <w:spacing w:val="-6"/>
          <w:szCs w:val="21"/>
        </w:rPr>
        <w:t>3.5.教材供应商根据教材订单要求保质保量按时提供教材，并要求一人一包整理堆放，分别打包、标识、发放教材以及相关服务。</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18" w:name="_Toc7900"/>
      <w:r>
        <w:rPr>
          <w:rFonts w:hint="eastAsia" w:ascii="宋体" w:hAnsi="宋体" w:cs="宋体"/>
          <w:b/>
          <w:bCs/>
          <w:color w:val="000000" w:themeColor="text1"/>
          <w:szCs w:val="21"/>
          <w14:textFill>
            <w14:solidFill>
              <w14:schemeClr w14:val="tx1"/>
            </w14:solidFill>
          </w14:textFill>
        </w:rPr>
        <w:t>4验收标准</w:t>
      </w:r>
      <w:bookmarkEnd w:id="118"/>
    </w:p>
    <w:p>
      <w:pPr>
        <w:ind w:firstLine="396"/>
        <w:rPr>
          <w:rFonts w:ascii="宋体" w:hAnsi="宋体"/>
          <w:spacing w:val="-6"/>
          <w:szCs w:val="21"/>
        </w:rPr>
      </w:pPr>
      <w:r>
        <w:rPr>
          <w:rFonts w:hint="eastAsia" w:ascii="宋体" w:hAnsi="宋体"/>
          <w:spacing w:val="-6"/>
          <w:szCs w:val="21"/>
        </w:rPr>
        <w:t>4.1.验收中标人交货前应对教材做出抽检。其记录附在质量证明书内，作为采购人收货验收和使用的技术条件依据。但有关质量、数量的抽检不应视为最终检验。中标人检验的结果应随货物交采购人。</w:t>
      </w:r>
    </w:p>
    <w:p>
      <w:pPr>
        <w:ind w:firstLine="396"/>
        <w:rPr>
          <w:rFonts w:ascii="宋体" w:hAnsi="宋体"/>
          <w:spacing w:val="-6"/>
          <w:szCs w:val="21"/>
        </w:rPr>
      </w:pPr>
      <w:r>
        <w:rPr>
          <w:rFonts w:hint="eastAsia" w:ascii="宋体" w:hAnsi="宋体"/>
          <w:spacing w:val="-6"/>
          <w:szCs w:val="21"/>
        </w:rPr>
        <w:t>4.2.采购人应在教材到达指定地点之日起在合同规定的工作日内验收完毕，非不可抗力因素而拒绝验收或无故刁难、超过规定期限的，视同验收，损失采购人自负。</w:t>
      </w:r>
    </w:p>
    <w:p>
      <w:pPr>
        <w:ind w:firstLine="396"/>
        <w:rPr>
          <w:rFonts w:ascii="宋体" w:hAnsi="宋体" w:cs="宋体"/>
          <w:color w:val="000000" w:themeColor="text1"/>
          <w:szCs w:val="21"/>
          <w14:textFill>
            <w14:solidFill>
              <w14:schemeClr w14:val="tx1"/>
            </w14:solidFill>
          </w14:textFill>
        </w:rPr>
      </w:pPr>
      <w:r>
        <w:rPr>
          <w:rFonts w:hint="eastAsia" w:ascii="宋体" w:hAnsi="宋体"/>
          <w:spacing w:val="-6"/>
          <w:szCs w:val="21"/>
        </w:rPr>
        <w:t>4.3.如验收产生费用由中标人承担。</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19" w:name="_Toc31778"/>
      <w:r>
        <w:rPr>
          <w:rFonts w:hint="eastAsia" w:ascii="宋体" w:hAnsi="宋体" w:cs="宋体"/>
          <w:b/>
          <w:bCs/>
          <w:color w:val="000000" w:themeColor="text1"/>
          <w:szCs w:val="21"/>
          <w14:textFill>
            <w14:solidFill>
              <w14:schemeClr w14:val="tx1"/>
            </w14:solidFill>
          </w14:textFill>
        </w:rPr>
        <w:t>5售后服务</w:t>
      </w:r>
      <w:bookmarkEnd w:id="119"/>
      <w:r>
        <w:rPr>
          <w:rFonts w:hint="eastAsia" w:ascii="宋体" w:hAnsi="宋体" w:cs="宋体"/>
          <w:b/>
          <w:bCs/>
          <w:color w:val="000000" w:themeColor="text1"/>
          <w:szCs w:val="21"/>
          <w14:textFill>
            <w14:solidFill>
              <w14:schemeClr w14:val="tx1"/>
            </w14:solidFill>
          </w14:textFill>
        </w:rPr>
        <w:t xml:space="preserve"> </w:t>
      </w:r>
    </w:p>
    <w:p>
      <w:pPr>
        <w:ind w:firstLine="420"/>
        <w:rPr>
          <w:rFonts w:ascii="宋体" w:hAnsi="宋体" w:cs="宋体"/>
          <w:color w:val="000000" w:themeColor="text1"/>
          <w:szCs w:val="21"/>
          <w14:textFill>
            <w14:solidFill>
              <w14:schemeClr w14:val="tx1"/>
            </w14:solidFill>
          </w14:textFill>
        </w:rPr>
      </w:pPr>
      <w:r>
        <w:rPr>
          <w:rFonts w:hint="eastAsia" w:ascii="宋体" w:hAnsi="宋体"/>
          <w:szCs w:val="21"/>
        </w:rPr>
        <w:t>合同货物出现问题后，中标人接到采购人通知应在不超过2小时内做出响应，不超过2个工作日内解决问题。</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20" w:name="_Toc29394"/>
      <w:r>
        <w:rPr>
          <w:rFonts w:hint="eastAsia" w:ascii="宋体" w:hAnsi="宋体" w:cs="宋体"/>
          <w:b/>
          <w:bCs/>
          <w:color w:val="000000" w:themeColor="text1"/>
          <w:szCs w:val="21"/>
          <w14:textFill>
            <w14:solidFill>
              <w14:schemeClr w14:val="tx1"/>
            </w14:solidFill>
          </w14:textFill>
        </w:rPr>
        <w:t>6履约保证金</w:t>
      </w:r>
      <w:bookmarkEnd w:id="120"/>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详见投标人须知前附表</w:t>
      </w:r>
    </w:p>
    <w:p>
      <w:pPr>
        <w:keepNext/>
        <w:keepLines/>
        <w:ind w:firstLine="0" w:firstLineChars="0"/>
        <w:outlineLvl w:val="1"/>
        <w:rPr>
          <w:rFonts w:ascii="宋体" w:hAnsi="宋体" w:cs="宋体"/>
          <w:b/>
          <w:bCs/>
          <w:color w:val="000000" w:themeColor="text1"/>
          <w:szCs w:val="21"/>
          <w14:textFill>
            <w14:solidFill>
              <w14:schemeClr w14:val="tx1"/>
            </w14:solidFill>
          </w14:textFill>
        </w:rPr>
      </w:pPr>
      <w:bookmarkStart w:id="121" w:name="_Toc17447"/>
      <w:r>
        <w:rPr>
          <w:rFonts w:hint="eastAsia" w:ascii="宋体" w:hAnsi="宋体" w:cs="宋体"/>
          <w:b/>
          <w:bCs/>
          <w:color w:val="000000" w:themeColor="text1"/>
          <w:szCs w:val="21"/>
          <w14:textFill>
            <w14:solidFill>
              <w14:schemeClr w14:val="tx1"/>
            </w14:solidFill>
          </w14:textFill>
        </w:rPr>
        <w:t>7付款方式</w:t>
      </w:r>
      <w:bookmarkEnd w:id="121"/>
    </w:p>
    <w:p>
      <w:pPr>
        <w:pStyle w:val="3"/>
        <w:ind w:firstLine="420"/>
        <w:jc w:val="both"/>
        <w:rPr>
          <w:b w:val="0"/>
          <w:bCs w:val="0"/>
          <w:color w:val="000000" w:themeColor="text1"/>
          <w:sz w:val="21"/>
          <w:szCs w:val="21"/>
          <w:highlight w:val="none"/>
          <w14:textFill>
            <w14:solidFill>
              <w14:schemeClr w14:val="tx1"/>
            </w14:solidFill>
          </w14:textFill>
        </w:rPr>
      </w:pPr>
      <w:bookmarkStart w:id="122" w:name="_Toc19751"/>
      <w:r>
        <w:rPr>
          <w:rFonts w:hint="eastAsia"/>
          <w:b w:val="0"/>
          <w:bCs w:val="0"/>
          <w:color w:val="000000" w:themeColor="text1"/>
          <w:sz w:val="21"/>
          <w:szCs w:val="21"/>
          <w:highlight w:val="none"/>
          <w14:textFill>
            <w14:solidFill>
              <w14:schemeClr w14:val="tx1"/>
            </w14:solidFill>
          </w14:textFill>
        </w:rPr>
        <w:t>每</w:t>
      </w:r>
      <w:r>
        <w:rPr>
          <w:rFonts w:hint="eastAsia" w:hAnsi="宋体"/>
          <w:b w:val="0"/>
          <w:bCs w:val="0"/>
          <w:color w:val="000000" w:themeColor="text1"/>
          <w:sz w:val="21"/>
          <w:szCs w:val="21"/>
          <w:highlight w:val="none"/>
          <w14:textFill>
            <w14:solidFill>
              <w14:schemeClr w14:val="tx1"/>
            </w14:solidFill>
          </w14:textFill>
        </w:rPr>
        <w:t>一批教材验收合格后一</w:t>
      </w:r>
      <w:r>
        <w:rPr>
          <w:rFonts w:hint="eastAsia"/>
          <w:b w:val="0"/>
          <w:bCs w:val="0"/>
          <w:color w:val="000000" w:themeColor="text1"/>
          <w:sz w:val="21"/>
          <w:szCs w:val="21"/>
          <w:highlight w:val="none"/>
          <w14:textFill>
            <w14:solidFill>
              <w14:schemeClr w14:val="tx1"/>
            </w14:solidFill>
          </w14:textFill>
        </w:rPr>
        <w:t>个月内结清。</w:t>
      </w:r>
    </w:p>
    <w:p>
      <w:pPr>
        <w:pStyle w:val="3"/>
        <w:ind w:firstLine="420"/>
        <w:jc w:val="both"/>
        <w:rPr>
          <w:b w:val="0"/>
          <w:bCs w:val="0"/>
          <w:color w:val="000000" w:themeColor="text1"/>
          <w:sz w:val="21"/>
          <w:szCs w:val="21"/>
          <w14:textFill>
            <w14:solidFill>
              <w14:schemeClr w14:val="tx1"/>
            </w14:solidFill>
          </w14:textFill>
        </w:rPr>
      </w:pPr>
    </w:p>
    <w:p>
      <w:pPr>
        <w:pStyle w:val="3"/>
        <w:ind w:firstLine="420"/>
        <w:rPr>
          <w:b w:val="0"/>
          <w:bCs w:val="0"/>
          <w:color w:val="000000" w:themeColor="text1"/>
          <w:sz w:val="21"/>
          <w:szCs w:val="21"/>
          <w14:textFill>
            <w14:solidFill>
              <w14:schemeClr w14:val="tx1"/>
            </w14:solidFill>
          </w14:textFill>
        </w:rPr>
      </w:pPr>
      <w:r>
        <w:rPr>
          <w:b w:val="0"/>
          <w:bCs w:val="0"/>
          <w:color w:val="000000" w:themeColor="text1"/>
          <w:sz w:val="21"/>
          <w:szCs w:val="21"/>
          <w14:textFill>
            <w14:solidFill>
              <w14:schemeClr w14:val="tx1"/>
            </w14:solidFill>
          </w14:textFill>
        </w:rPr>
        <w:br w:type="page"/>
      </w:r>
      <w:bookmarkStart w:id="123" w:name="_Toc62048515"/>
    </w:p>
    <w:p>
      <w:pPr>
        <w:pStyle w:val="3"/>
        <w:ind w:firstLine="420"/>
        <w:rPr>
          <w:b w:val="0"/>
          <w:bCs w:val="0"/>
          <w:color w:val="000000" w:themeColor="text1"/>
          <w:sz w:val="21"/>
          <w:szCs w:val="21"/>
          <w14:textFill>
            <w14:solidFill>
              <w14:schemeClr w14:val="tx1"/>
            </w14:solidFill>
          </w14:textFill>
        </w:rPr>
      </w:pPr>
    </w:p>
    <w:p>
      <w:pPr>
        <w:pStyle w:val="3"/>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第五章合同格式</w:t>
      </w:r>
      <w:bookmarkEnd w:id="122"/>
      <w:bookmarkEnd w:id="123"/>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中标人的投标文件正本；投标人在评标答疑时的书面澄清或说明；中标通知书等文件是构成合同不可分割的部分。</w:t>
      </w:r>
    </w:p>
    <w:p>
      <w:pPr>
        <w:snapToGrid w:val="0"/>
        <w:ind w:firstLine="413" w:firstLineChars="196"/>
        <w:jc w:val="center"/>
        <w:rPr>
          <w:rFonts w:ascii="宋体" w:hAnsi="宋体" w:cs="宋体"/>
          <w:b/>
          <w:bCs/>
          <w:color w:val="000000" w:themeColor="text1"/>
          <w:szCs w:val="21"/>
          <w14:textFill>
            <w14:solidFill>
              <w14:schemeClr w14:val="tx1"/>
            </w14:solidFill>
          </w14:textFill>
        </w:rPr>
      </w:pPr>
    </w:p>
    <w:p>
      <w:pPr>
        <w:snapToGrid w:val="0"/>
        <w:ind w:firstLine="413" w:firstLineChars="196"/>
        <w:jc w:val="center"/>
        <w:rPr>
          <w:rFonts w:ascii="宋体" w:hAnsi="宋体" w:cs="宋体"/>
          <w:b/>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合同主要条款</w:t>
      </w:r>
    </w:p>
    <w:p>
      <w:pPr>
        <w:ind w:firstLine="420"/>
        <w:rPr>
          <w:rFonts w:ascii="宋体" w:hAnsi="宋体"/>
          <w:szCs w:val="21"/>
        </w:rPr>
      </w:pPr>
      <w:r>
        <w:rPr>
          <w:rFonts w:hint="eastAsia" w:ascii="宋体" w:hAnsi="宋体"/>
          <w:szCs w:val="21"/>
        </w:rPr>
        <w:t>甲方：</w:t>
      </w:r>
    </w:p>
    <w:p>
      <w:pPr>
        <w:ind w:firstLine="420"/>
        <w:rPr>
          <w:rFonts w:ascii="宋体" w:hAnsi="宋体"/>
          <w:szCs w:val="21"/>
        </w:rPr>
      </w:pPr>
      <w:r>
        <w:rPr>
          <w:rFonts w:hint="eastAsia" w:ascii="宋体" w:hAnsi="宋体"/>
          <w:szCs w:val="21"/>
        </w:rPr>
        <w:t>乙方：</w:t>
      </w:r>
    </w:p>
    <w:p>
      <w:pPr>
        <w:ind w:firstLine="420"/>
        <w:rPr>
          <w:rFonts w:ascii="宋体" w:hAnsi="宋体"/>
          <w:szCs w:val="21"/>
        </w:rPr>
      </w:pPr>
    </w:p>
    <w:p>
      <w:pPr>
        <w:ind w:firstLine="422"/>
        <w:rPr>
          <w:rFonts w:ascii="宋体" w:hAnsi="宋体"/>
          <w:b/>
          <w:szCs w:val="21"/>
        </w:rPr>
      </w:pPr>
      <w:r>
        <w:rPr>
          <w:rFonts w:hint="eastAsia" w:ascii="宋体" w:hAnsi="宋体"/>
          <w:b/>
          <w:szCs w:val="21"/>
        </w:rPr>
        <w:t>一、说  明</w:t>
      </w:r>
    </w:p>
    <w:p>
      <w:pPr>
        <w:pStyle w:val="20"/>
        <w:spacing w:before="0" w:beforeAutospacing="0" w:after="0" w:afterAutospacing="0" w:line="360" w:lineRule="auto"/>
        <w:ind w:firstLine="420" w:firstLineChars="200"/>
        <w:rPr>
          <w:rFonts w:ascii="宋体" w:hAnsi="宋体"/>
          <w:kern w:val="2"/>
          <w:sz w:val="21"/>
          <w:szCs w:val="21"/>
        </w:rPr>
      </w:pPr>
      <w:r>
        <w:rPr>
          <w:rFonts w:hint="eastAsia" w:ascii="宋体" w:hAnsi="宋体"/>
          <w:kern w:val="2"/>
          <w:sz w:val="21"/>
          <w:szCs w:val="21"/>
        </w:rPr>
        <w:t>1.合同基本条款是指商品需方（以下简称甲方）和中标人（以下简称乙方）应共同遵守的基本原则，并作为双方签约的依据。对于合同的其他条款，双方应本着互谅互让的精神协商解决。</w:t>
      </w:r>
      <w:r>
        <w:rPr>
          <w:rFonts w:hint="eastAsia" w:ascii="宋体" w:hAnsi="宋体"/>
          <w:kern w:val="2"/>
          <w:sz w:val="21"/>
          <w:szCs w:val="21"/>
        </w:rPr>
        <w:br w:type="textWrapping"/>
      </w:r>
      <w:r>
        <w:rPr>
          <w:rFonts w:hint="eastAsia" w:ascii="宋体" w:hAnsi="宋体"/>
          <w:kern w:val="2"/>
          <w:sz w:val="21"/>
          <w:szCs w:val="21"/>
        </w:rPr>
        <w:t xml:space="preserve">    2.制定“合同主要条款”的依据是《中华人民共和国民法典》。</w:t>
      </w:r>
    </w:p>
    <w:p>
      <w:pPr>
        <w:ind w:firstLine="420"/>
        <w:rPr>
          <w:rFonts w:ascii="宋体" w:hAnsi="宋体"/>
          <w:szCs w:val="21"/>
        </w:rPr>
      </w:pPr>
      <w:r>
        <w:rPr>
          <w:rFonts w:hint="eastAsia" w:ascii="宋体" w:hAnsi="宋体"/>
          <w:szCs w:val="21"/>
        </w:rPr>
        <w:t>3.合同价格（折扣率）。</w:t>
      </w:r>
    </w:p>
    <w:p>
      <w:pPr>
        <w:pStyle w:val="20"/>
        <w:spacing w:before="0" w:beforeAutospacing="0" w:after="0" w:afterAutospacing="0" w:line="360" w:lineRule="auto"/>
        <w:rPr>
          <w:rFonts w:ascii="宋体" w:hAnsi="宋体"/>
          <w:b/>
          <w:kern w:val="2"/>
          <w:sz w:val="21"/>
          <w:szCs w:val="21"/>
        </w:rPr>
      </w:pPr>
      <w:r>
        <w:rPr>
          <w:rFonts w:hint="eastAsia" w:ascii="宋体" w:hAnsi="宋体"/>
          <w:b/>
          <w:kern w:val="2"/>
          <w:sz w:val="21"/>
          <w:szCs w:val="21"/>
        </w:rPr>
        <w:t>二、合同条款</w:t>
      </w:r>
    </w:p>
    <w:p>
      <w:pPr>
        <w:ind w:firstLine="420"/>
        <w:rPr>
          <w:rFonts w:ascii="宋体" w:hAnsi="宋体"/>
          <w:szCs w:val="21"/>
        </w:rPr>
      </w:pPr>
      <w:r>
        <w:rPr>
          <w:rFonts w:hint="eastAsia" w:ascii="宋体" w:hAnsi="宋体"/>
          <w:szCs w:val="21"/>
        </w:rPr>
        <w:t>甲、乙双方应以招标文件、投标文件及评标委员会确认的商品质量标准、</w:t>
      </w:r>
      <w:r>
        <w:rPr>
          <w:rStyle w:val="56"/>
          <w:rFonts w:hint="eastAsia" w:ascii="宋体" w:hAnsi="宋体"/>
          <w:bCs/>
          <w:szCs w:val="21"/>
        </w:rPr>
        <w:t>品种数量</w:t>
      </w:r>
      <w:r>
        <w:rPr>
          <w:rFonts w:hint="eastAsia" w:ascii="宋体" w:hAnsi="宋体"/>
          <w:szCs w:val="21"/>
        </w:rPr>
        <w:t>和交货日期等作为本条款的基础。</w:t>
      </w:r>
    </w:p>
    <w:p>
      <w:pPr>
        <w:pStyle w:val="20"/>
        <w:spacing w:before="0" w:beforeAutospacing="0" w:after="0" w:afterAutospacing="0" w:line="360" w:lineRule="auto"/>
        <w:rPr>
          <w:rFonts w:ascii="宋体" w:hAnsi="宋体"/>
          <w:b/>
          <w:kern w:val="2"/>
          <w:sz w:val="21"/>
          <w:szCs w:val="21"/>
        </w:rPr>
      </w:pPr>
      <w:r>
        <w:rPr>
          <w:rFonts w:hint="eastAsia" w:ascii="宋体" w:hAnsi="宋体"/>
          <w:b/>
          <w:kern w:val="2"/>
          <w:sz w:val="21"/>
          <w:szCs w:val="21"/>
        </w:rPr>
        <w:t>三、</w:t>
      </w:r>
      <w:r>
        <w:rPr>
          <w:rFonts w:hint="eastAsia" w:ascii="宋体" w:hAnsi="宋体"/>
          <w:b/>
          <w:bCs/>
          <w:sz w:val="21"/>
          <w:szCs w:val="21"/>
        </w:rPr>
        <w:t>质量保证及服务内容</w:t>
      </w:r>
    </w:p>
    <w:p>
      <w:pPr>
        <w:ind w:firstLine="440"/>
        <w:rPr>
          <w:rStyle w:val="56"/>
          <w:rFonts w:ascii="宋体" w:hAnsi="宋体"/>
          <w:szCs w:val="21"/>
        </w:rPr>
      </w:pPr>
      <w:r>
        <w:rPr>
          <w:rStyle w:val="56"/>
          <w:rFonts w:hint="eastAsia" w:ascii="宋体" w:hAnsi="宋体"/>
          <w:szCs w:val="21"/>
        </w:rPr>
        <w:t>1.乙方保证就甲方委托采购的教材，按甲方要求的到货</w:t>
      </w:r>
      <w:r>
        <w:rPr>
          <w:rStyle w:val="56"/>
          <w:rFonts w:hint="eastAsia" w:ascii="宋体" w:hAnsi="宋体"/>
          <w:b/>
          <w:bCs/>
          <w:szCs w:val="21"/>
        </w:rPr>
        <w:t>时间、品种、数量</w:t>
      </w:r>
      <w:r>
        <w:rPr>
          <w:rStyle w:val="56"/>
          <w:rFonts w:hint="eastAsia" w:ascii="宋体" w:hAnsi="宋体"/>
          <w:szCs w:val="21"/>
        </w:rPr>
        <w:t>，</w:t>
      </w:r>
      <w:r>
        <w:rPr>
          <w:rStyle w:val="56"/>
          <w:rFonts w:hint="eastAsia" w:ascii="宋体" w:hAnsi="宋体"/>
          <w:b/>
          <w:bCs/>
          <w:szCs w:val="21"/>
        </w:rPr>
        <w:t>免运</w:t>
      </w:r>
      <w:r>
        <w:rPr>
          <w:rStyle w:val="56"/>
          <w:rFonts w:hint="eastAsia" w:ascii="宋体" w:hAnsi="宋体"/>
          <w:szCs w:val="21"/>
        </w:rPr>
        <w:t>费打包送至甲方指定的地点。</w:t>
      </w:r>
    </w:p>
    <w:p>
      <w:pPr>
        <w:ind w:firstLine="440"/>
        <w:rPr>
          <w:rStyle w:val="56"/>
          <w:rFonts w:ascii="宋体" w:hAnsi="宋体"/>
          <w:color w:val="000000" w:themeColor="text1"/>
          <w:szCs w:val="21"/>
          <w14:textFill>
            <w14:solidFill>
              <w14:schemeClr w14:val="tx1"/>
            </w14:solidFill>
          </w14:textFill>
        </w:rPr>
      </w:pPr>
      <w:r>
        <w:rPr>
          <w:rStyle w:val="56"/>
          <w:rFonts w:hint="eastAsia" w:ascii="宋体" w:hAnsi="宋体"/>
          <w:szCs w:val="21"/>
        </w:rPr>
        <w:t>2.甲方所购教材，因出版社无书供应或出版</w:t>
      </w:r>
      <w:r>
        <w:rPr>
          <w:rStyle w:val="56"/>
          <w:rFonts w:hint="eastAsia" w:ascii="宋体" w:hAnsi="宋体"/>
          <w:color w:val="000000" w:themeColor="text1"/>
          <w:szCs w:val="21"/>
          <w14:textFill>
            <w14:solidFill>
              <w14:schemeClr w14:val="tx1"/>
            </w14:solidFill>
          </w14:textFill>
        </w:rPr>
        <w:t>时间有问题时，乙方应在接到征订单后一周内回告甲方教务处，并主动告知出版社的出书和供书时间。</w:t>
      </w:r>
    </w:p>
    <w:p>
      <w:pPr>
        <w:ind w:firstLine="440"/>
        <w:rPr>
          <w:rStyle w:val="56"/>
          <w:rFonts w:ascii="宋体" w:hAnsi="宋体"/>
          <w:color w:val="000000" w:themeColor="text1"/>
          <w:szCs w:val="21"/>
          <w14:textFill>
            <w14:solidFill>
              <w14:schemeClr w14:val="tx1"/>
            </w14:solidFill>
          </w14:textFill>
        </w:rPr>
      </w:pPr>
      <w:r>
        <w:rPr>
          <w:rStyle w:val="56"/>
          <w:rFonts w:hint="eastAsia" w:ascii="宋体" w:hAnsi="宋体"/>
          <w:color w:val="000000" w:themeColor="text1"/>
          <w:szCs w:val="21"/>
          <w14:textFill>
            <w14:solidFill>
              <w14:schemeClr w14:val="tx1"/>
            </w14:solidFill>
          </w14:textFill>
        </w:rPr>
        <w:t>3.乙方保证不提供盗版教材。</w:t>
      </w:r>
    </w:p>
    <w:p>
      <w:pPr>
        <w:ind w:firstLine="440"/>
        <w:rPr>
          <w:rStyle w:val="56"/>
          <w:rFonts w:ascii="宋体" w:hAnsi="宋体"/>
          <w:szCs w:val="21"/>
        </w:rPr>
      </w:pPr>
      <w:r>
        <w:rPr>
          <w:rStyle w:val="56"/>
          <w:rFonts w:hint="eastAsia" w:ascii="宋体" w:hAnsi="宋体"/>
          <w:color w:val="000000" w:themeColor="text1"/>
          <w:szCs w:val="21"/>
          <w14:textFill>
            <w14:solidFill>
              <w14:schemeClr w14:val="tx1"/>
            </w14:solidFill>
          </w14:textFill>
        </w:rPr>
        <w:t>4.乙方无条件接受甲方提供的追补教材订单（品种和数量不限），并保证在15天内将追补教</w:t>
      </w:r>
      <w:r>
        <w:rPr>
          <w:rStyle w:val="56"/>
          <w:rFonts w:hint="eastAsia" w:ascii="宋体" w:hAnsi="宋体"/>
          <w:szCs w:val="21"/>
        </w:rPr>
        <w:t>材送达甲方指定地点。追补教材的折扣率与中标价的折扣率一致。</w:t>
      </w:r>
    </w:p>
    <w:p>
      <w:pPr>
        <w:ind w:firstLine="440"/>
        <w:rPr>
          <w:rStyle w:val="56"/>
          <w:rFonts w:ascii="宋体" w:hAnsi="宋体"/>
          <w:szCs w:val="21"/>
        </w:rPr>
      </w:pPr>
      <w:r>
        <w:rPr>
          <w:rStyle w:val="56"/>
          <w:rFonts w:hint="eastAsia" w:ascii="宋体" w:hAnsi="宋体"/>
          <w:szCs w:val="21"/>
        </w:rPr>
        <w:t>5.因计划变动造成的多订教材，乙方包退换。在甲方选用新版教材时，对甲方可用但版次不同的相关教材乙方负责全部清退或更换（出版社在版目录内）。</w:t>
      </w:r>
    </w:p>
    <w:p>
      <w:pPr>
        <w:pStyle w:val="20"/>
        <w:widowControl w:val="0"/>
        <w:kinsoku w:val="0"/>
        <w:overflowPunct w:val="0"/>
        <w:autoSpaceDE w:val="0"/>
        <w:autoSpaceDN w:val="0"/>
        <w:adjustRightInd w:val="0"/>
        <w:snapToGrid w:val="0"/>
        <w:spacing w:before="0" w:beforeAutospacing="0" w:after="0" w:afterAutospacing="0" w:line="360" w:lineRule="auto"/>
        <w:ind w:firstLine="420" w:firstLineChars="200"/>
        <w:textAlignment w:val="top"/>
        <w:rPr>
          <w:rStyle w:val="56"/>
          <w:rFonts w:ascii="宋体" w:hAnsi="宋体"/>
          <w:sz w:val="21"/>
          <w:szCs w:val="21"/>
        </w:rPr>
      </w:pPr>
      <w:r>
        <w:rPr>
          <w:rStyle w:val="56"/>
          <w:rFonts w:hint="eastAsia" w:ascii="宋体" w:hAnsi="宋体"/>
          <w:sz w:val="21"/>
          <w:szCs w:val="21"/>
        </w:rPr>
        <w:t>6.乙方在甲方发放教材之前负责做好教材整理，在教材发放期间派专人（2人以上）负责做好教材发放工作，教材发放完成后协助甲方教务处做好教材出库工作。</w:t>
      </w:r>
    </w:p>
    <w:p>
      <w:pPr>
        <w:ind w:firstLine="440"/>
        <w:rPr>
          <w:rStyle w:val="56"/>
          <w:rFonts w:ascii="宋体" w:hAnsi="宋体"/>
          <w:szCs w:val="21"/>
        </w:rPr>
      </w:pPr>
      <w:r>
        <w:rPr>
          <w:rStyle w:val="56"/>
          <w:rFonts w:hint="eastAsia" w:ascii="宋体" w:hAnsi="宋体"/>
          <w:szCs w:val="21"/>
        </w:rPr>
        <w:t>7.乙方所供教材如有价格、数量、版本等差错以及缺页、倒装、污损等质量问题，乙方无条件退换、补差，由此造成的损失由乙方承担。</w:t>
      </w:r>
    </w:p>
    <w:p>
      <w:pPr>
        <w:ind w:firstLine="440"/>
        <w:rPr>
          <w:rStyle w:val="56"/>
          <w:rFonts w:ascii="宋体" w:hAnsi="宋体"/>
          <w:szCs w:val="21"/>
        </w:rPr>
      </w:pPr>
      <w:r>
        <w:rPr>
          <w:rStyle w:val="56"/>
          <w:rFonts w:hint="eastAsia" w:ascii="宋体" w:hAnsi="宋体"/>
          <w:szCs w:val="21"/>
        </w:rPr>
        <w:t>8.乙方向甲方无偿提供各大出版社及新华书店教材征订目录，以及相关教材出版信息、发行资料、教材征订目录等。</w:t>
      </w:r>
    </w:p>
    <w:p>
      <w:pPr>
        <w:ind w:firstLine="422"/>
        <w:rPr>
          <w:rFonts w:ascii="宋体" w:hAnsi="宋体"/>
          <w:b/>
          <w:bCs/>
          <w:szCs w:val="21"/>
        </w:rPr>
      </w:pPr>
      <w:r>
        <w:rPr>
          <w:rFonts w:hint="eastAsia" w:ascii="宋体" w:hAnsi="宋体"/>
          <w:b/>
          <w:szCs w:val="21"/>
        </w:rPr>
        <w:t>四、</w:t>
      </w:r>
      <w:r>
        <w:rPr>
          <w:rFonts w:hint="eastAsia" w:ascii="宋体" w:hAnsi="宋体"/>
          <w:b/>
          <w:bCs/>
          <w:szCs w:val="21"/>
        </w:rPr>
        <w:t>包装及运输</w:t>
      </w:r>
    </w:p>
    <w:p>
      <w:pPr>
        <w:ind w:firstLine="411" w:firstLineChars="196"/>
        <w:rPr>
          <w:rFonts w:ascii="宋体" w:hAnsi="宋体"/>
          <w:szCs w:val="21"/>
        </w:rPr>
      </w:pPr>
      <w:r>
        <w:rPr>
          <w:rFonts w:hint="eastAsia" w:ascii="宋体" w:hAnsi="宋体"/>
          <w:szCs w:val="21"/>
        </w:rPr>
        <w:t>1.乙方向甲方提供的教材，均应采用国家或专业标准保护措施进行包装，使包装适应于远距离运输、防潮和防粗暴装卸，确保教材安全无损运抵甲方</w:t>
      </w:r>
      <w:r>
        <w:rPr>
          <w:rFonts w:hint="eastAsia" w:ascii="宋体" w:hAnsi="宋体"/>
          <w:b/>
          <w:bCs/>
          <w:szCs w:val="21"/>
        </w:rPr>
        <w:t>教务处指定地点</w:t>
      </w:r>
      <w:r>
        <w:rPr>
          <w:rFonts w:hint="eastAsia" w:ascii="宋体" w:hAnsi="宋体"/>
          <w:szCs w:val="21"/>
        </w:rPr>
        <w:t>，同时</w:t>
      </w:r>
      <w:r>
        <w:rPr>
          <w:rStyle w:val="56"/>
          <w:rFonts w:hint="eastAsia" w:ascii="宋体" w:hAnsi="宋体"/>
          <w:szCs w:val="21"/>
        </w:rPr>
        <w:t>包装标签应按甲方要求制作，应有班级编号、班级名称、教材名称、数量、价格等内容。</w:t>
      </w:r>
      <w:r>
        <w:rPr>
          <w:rFonts w:hint="eastAsia" w:ascii="宋体" w:hAnsi="宋体"/>
          <w:szCs w:val="21"/>
        </w:rPr>
        <w:t>由于包装不善所引起的教材损坏和丢失，均由乙方承担。</w:t>
      </w:r>
    </w:p>
    <w:p>
      <w:pPr>
        <w:ind w:firstLine="420"/>
        <w:rPr>
          <w:rFonts w:ascii="宋体" w:hAnsi="宋体"/>
          <w:szCs w:val="21"/>
        </w:rPr>
      </w:pPr>
      <w:r>
        <w:rPr>
          <w:rFonts w:hint="eastAsia" w:ascii="宋体" w:hAnsi="宋体"/>
          <w:szCs w:val="21"/>
        </w:rPr>
        <w:t>2.包装费及运费由乙方承担。</w:t>
      </w:r>
    </w:p>
    <w:p>
      <w:pPr>
        <w:pStyle w:val="20"/>
        <w:spacing w:before="0" w:beforeAutospacing="0" w:after="0" w:afterAutospacing="0" w:line="360" w:lineRule="auto"/>
        <w:ind w:firstLine="420" w:firstLineChars="200"/>
        <w:rPr>
          <w:rFonts w:ascii="宋体" w:hAnsi="宋体"/>
          <w:b/>
          <w:kern w:val="2"/>
          <w:sz w:val="21"/>
          <w:szCs w:val="21"/>
        </w:rPr>
      </w:pPr>
      <w:r>
        <w:rPr>
          <w:rFonts w:hint="eastAsia" w:ascii="宋体" w:hAnsi="宋体"/>
          <w:b/>
          <w:kern w:val="2"/>
          <w:sz w:val="21"/>
          <w:szCs w:val="21"/>
        </w:rPr>
        <w:t>五、验收</w:t>
      </w:r>
    </w:p>
    <w:p>
      <w:pPr>
        <w:ind w:firstLine="420"/>
        <w:rPr>
          <w:rFonts w:ascii="宋体" w:hAnsi="宋体"/>
          <w:szCs w:val="21"/>
        </w:rPr>
      </w:pPr>
      <w:r>
        <w:rPr>
          <w:rFonts w:hint="eastAsia" w:ascii="宋体" w:hAnsi="宋体"/>
          <w:szCs w:val="21"/>
        </w:rPr>
        <w:t>1.教材到达甲方指定地点后，甲乙双方共同验收（本次验收仅限于教材的品种与数量），品种与数量验收合格后双方签字确认。</w:t>
      </w:r>
    </w:p>
    <w:p>
      <w:pPr>
        <w:ind w:firstLine="420"/>
        <w:rPr>
          <w:rFonts w:ascii="宋体" w:hAnsi="宋体"/>
          <w:szCs w:val="21"/>
        </w:rPr>
      </w:pPr>
      <w:r>
        <w:rPr>
          <w:rFonts w:hint="eastAsia" w:ascii="宋体" w:hAnsi="宋体"/>
          <w:szCs w:val="21"/>
        </w:rPr>
        <w:t>2.待甲方将教材发放完毕</w:t>
      </w:r>
      <w:r>
        <w:rPr>
          <w:rFonts w:hint="eastAsia" w:ascii="宋体" w:hAnsi="宋体"/>
          <w:color w:val="000000" w:themeColor="text1"/>
          <w:szCs w:val="21"/>
          <w14:textFill>
            <w14:solidFill>
              <w14:schemeClr w14:val="tx1"/>
            </w14:solidFill>
          </w14:textFill>
        </w:rPr>
        <w:t>后的二十五个工</w:t>
      </w:r>
      <w:r>
        <w:rPr>
          <w:rFonts w:hint="eastAsia" w:ascii="宋体" w:hAnsi="宋体"/>
          <w:szCs w:val="21"/>
        </w:rPr>
        <w:t>作日内，由甲方确定教材的质量。</w:t>
      </w:r>
    </w:p>
    <w:p>
      <w:pPr>
        <w:ind w:firstLine="420"/>
        <w:rPr>
          <w:rFonts w:ascii="宋体" w:hAnsi="宋体"/>
          <w:szCs w:val="21"/>
        </w:rPr>
      </w:pPr>
      <w:r>
        <w:rPr>
          <w:rFonts w:hint="eastAsia" w:ascii="宋体" w:hAnsi="宋体"/>
          <w:szCs w:val="21"/>
        </w:rPr>
        <w:t>3.验收标准：符合国家规定的相关质量标准及甲方招标文件中规定的质量及服务要求。</w:t>
      </w:r>
    </w:p>
    <w:p>
      <w:pPr>
        <w:pStyle w:val="13"/>
        <w:tabs>
          <w:tab w:val="left" w:pos="297"/>
        </w:tabs>
        <w:spacing w:line="360" w:lineRule="auto"/>
        <w:ind w:firstLine="406"/>
        <w:rPr>
          <w:rFonts w:hAnsi="宋体"/>
          <w:b/>
          <w:sz w:val="21"/>
          <w:szCs w:val="21"/>
        </w:rPr>
      </w:pPr>
      <w:r>
        <w:rPr>
          <w:rFonts w:hint="eastAsia" w:hAnsi="宋体"/>
          <w:b/>
          <w:sz w:val="21"/>
          <w:szCs w:val="21"/>
        </w:rPr>
        <w:t>六、交付时间及地点</w:t>
      </w:r>
    </w:p>
    <w:p>
      <w:pPr>
        <w:ind w:firstLine="420"/>
        <w:rPr>
          <w:rFonts w:ascii="宋体" w:hAnsi="宋体"/>
          <w:szCs w:val="21"/>
        </w:rPr>
      </w:pPr>
      <w:r>
        <w:rPr>
          <w:rFonts w:hint="eastAsia" w:ascii="宋体" w:hAnsi="宋体"/>
          <w:szCs w:val="21"/>
        </w:rPr>
        <w:t>1. 供货时间：教材采购按甲方要求开始采购。正常采购的教材，应保证在开学前到位，按个人打包，按顺序摆放，并自行做好验收及发放工作。</w:t>
      </w:r>
    </w:p>
    <w:p>
      <w:pPr>
        <w:ind w:firstLine="420"/>
        <w:rPr>
          <w:rFonts w:ascii="宋体" w:hAnsi="宋体"/>
          <w:szCs w:val="21"/>
        </w:rPr>
      </w:pPr>
      <w:r>
        <w:rPr>
          <w:rFonts w:hint="eastAsia" w:ascii="宋体" w:hAnsi="宋体"/>
          <w:szCs w:val="21"/>
        </w:rPr>
        <w:t>2.供货地点：采购人指定地点。</w:t>
      </w:r>
    </w:p>
    <w:p>
      <w:pPr>
        <w:pStyle w:val="13"/>
        <w:tabs>
          <w:tab w:val="left" w:pos="297"/>
        </w:tabs>
        <w:spacing w:line="360" w:lineRule="auto"/>
        <w:ind w:firstLine="406"/>
        <w:rPr>
          <w:rFonts w:hAnsi="宋体"/>
          <w:b/>
          <w:sz w:val="21"/>
          <w:szCs w:val="21"/>
        </w:rPr>
      </w:pPr>
      <w:r>
        <w:rPr>
          <w:rFonts w:hint="eastAsia" w:hAnsi="宋体"/>
          <w:b/>
          <w:sz w:val="21"/>
          <w:szCs w:val="21"/>
        </w:rPr>
        <w:t>七、付款方式</w:t>
      </w:r>
    </w:p>
    <w:p>
      <w:pPr>
        <w:ind w:firstLine="420"/>
        <w:rPr>
          <w:rFonts w:ascii="宋体" w:hAnsi="宋体"/>
          <w:szCs w:val="21"/>
        </w:rPr>
      </w:pPr>
      <w:r>
        <w:rPr>
          <w:rFonts w:hint="eastAsia" w:ascii="宋体" w:hAnsi="宋体"/>
          <w:szCs w:val="21"/>
        </w:rPr>
        <w:t>1.</w:t>
      </w:r>
      <w:r>
        <w:rPr>
          <w:rFonts w:hint="eastAsia" w:ascii="宋体" w:hAnsi="宋体"/>
          <w:szCs w:val="21"/>
          <w:highlight w:val="none"/>
        </w:rPr>
        <w:t>款项计算：按每批书的</w:t>
      </w:r>
      <w:r>
        <w:rPr>
          <w:rFonts w:hint="eastAsia" w:ascii="宋体" w:hAnsi="宋体"/>
          <w:b/>
          <w:bCs/>
          <w:szCs w:val="21"/>
          <w:highlight w:val="none"/>
        </w:rPr>
        <w:t>总码洋×   %</w:t>
      </w:r>
      <w:r>
        <w:rPr>
          <w:rFonts w:hint="eastAsia" w:ascii="宋体" w:hAnsi="宋体"/>
          <w:szCs w:val="21"/>
          <w:highlight w:val="none"/>
        </w:rPr>
        <w:t>计算。</w:t>
      </w:r>
      <w:r>
        <w:rPr>
          <w:rFonts w:hint="eastAsia" w:ascii="宋体" w:hAnsi="宋体"/>
          <w:szCs w:val="21"/>
        </w:rPr>
        <w:t>此价包括采购、包装、运输、税费、服务等一切费用。</w:t>
      </w:r>
    </w:p>
    <w:p>
      <w:pPr>
        <w:pStyle w:val="13"/>
        <w:tabs>
          <w:tab w:val="left" w:pos="297"/>
        </w:tabs>
        <w:spacing w:line="360" w:lineRule="auto"/>
        <w:ind w:firstLine="404"/>
        <w:rPr>
          <w:rFonts w:hAnsi="宋体"/>
          <w:sz w:val="21"/>
          <w:szCs w:val="21"/>
        </w:rPr>
      </w:pPr>
      <w:r>
        <w:rPr>
          <w:rFonts w:hint="eastAsia" w:hAnsi="宋体"/>
          <w:sz w:val="21"/>
          <w:szCs w:val="21"/>
        </w:rPr>
        <w:t>2.同一批教材验收合格（甲方将教材发放完毕后的三十日内无质量问题）后，甲方一次性付清此批教材款项。</w:t>
      </w:r>
    </w:p>
    <w:p>
      <w:pPr>
        <w:pStyle w:val="20"/>
        <w:tabs>
          <w:tab w:val="right" w:pos="8312"/>
        </w:tabs>
        <w:spacing w:before="0" w:beforeAutospacing="0" w:after="0" w:afterAutospacing="0" w:line="360" w:lineRule="auto"/>
        <w:rPr>
          <w:rFonts w:ascii="宋体" w:hAnsi="宋体"/>
          <w:b/>
          <w:kern w:val="2"/>
          <w:sz w:val="21"/>
          <w:szCs w:val="21"/>
        </w:rPr>
      </w:pPr>
      <w:r>
        <w:rPr>
          <w:rFonts w:hint="eastAsia" w:ascii="宋体" w:hAnsi="宋体"/>
          <w:b/>
          <w:kern w:val="2"/>
          <w:sz w:val="21"/>
          <w:szCs w:val="21"/>
        </w:rPr>
        <w:t>八、违约责任</w:t>
      </w:r>
    </w:p>
    <w:p>
      <w:pPr>
        <w:ind w:firstLine="420"/>
        <w:jc w:val="left"/>
        <w:rPr>
          <w:rFonts w:ascii="宋体" w:hAnsi="宋体"/>
          <w:szCs w:val="21"/>
        </w:rPr>
      </w:pPr>
      <w:r>
        <w:rPr>
          <w:rFonts w:hint="eastAsia" w:ascii="宋体" w:hAnsi="宋体"/>
          <w:szCs w:val="21"/>
        </w:rPr>
        <w:t>1.乙方提供 为履约保证金，合同履行结束后无服务及质量问题即退还（不计息）。如果乙方中途违约，保证金不予退还。</w:t>
      </w:r>
    </w:p>
    <w:p>
      <w:pPr>
        <w:ind w:firstLine="420"/>
        <w:rPr>
          <w:rFonts w:ascii="宋体" w:hAnsi="宋体"/>
          <w:szCs w:val="21"/>
        </w:rPr>
      </w:pPr>
      <w:r>
        <w:rPr>
          <w:rFonts w:hint="eastAsia" w:ascii="宋体" w:hAnsi="宋体"/>
          <w:szCs w:val="21"/>
        </w:rPr>
        <w:t>2.若乙方提供的教材有伪劣、盗版情况，甲方除退回问题教材之外，并向乙方处以</w:t>
      </w:r>
      <w:r>
        <w:rPr>
          <w:rStyle w:val="56"/>
          <w:rFonts w:hint="eastAsia" w:ascii="宋体" w:hAnsi="宋体"/>
          <w:szCs w:val="21"/>
        </w:rPr>
        <w:t>该教材总码洋10倍的罚金。</w:t>
      </w:r>
    </w:p>
    <w:p>
      <w:pPr>
        <w:ind w:firstLine="420"/>
        <w:rPr>
          <w:rFonts w:ascii="宋体" w:hAnsi="宋体"/>
          <w:szCs w:val="21"/>
        </w:rPr>
      </w:pPr>
      <w:r>
        <w:rPr>
          <w:rFonts w:hint="eastAsia" w:ascii="宋体" w:hAnsi="宋体"/>
          <w:szCs w:val="21"/>
        </w:rPr>
        <w:t>3.若乙方不能按时按要求交付教材，每延误一天，向甲方支付延误书总码洋2%的违约金。</w:t>
      </w:r>
    </w:p>
    <w:p>
      <w:pPr>
        <w:ind w:firstLine="420"/>
        <w:rPr>
          <w:rFonts w:ascii="宋体" w:hAnsi="宋体"/>
          <w:szCs w:val="21"/>
        </w:rPr>
      </w:pPr>
      <w:r>
        <w:rPr>
          <w:rFonts w:hint="eastAsia" w:ascii="宋体" w:hAnsi="宋体"/>
          <w:szCs w:val="21"/>
        </w:rPr>
        <w:t>4.乙方在履行合同过程中，如不符合甲方招标文件要求，甲方将提出改进意见。若乙方仍不能达到甲方要求，甲方有权终止合同，并不退还履约保证金。</w:t>
      </w:r>
    </w:p>
    <w:p>
      <w:pPr>
        <w:ind w:firstLine="420"/>
        <w:rPr>
          <w:rFonts w:ascii="宋体" w:hAnsi="宋体"/>
          <w:szCs w:val="21"/>
        </w:rPr>
      </w:pPr>
      <w:r>
        <w:rPr>
          <w:rFonts w:hint="eastAsia" w:ascii="宋体" w:hAnsi="宋体"/>
          <w:szCs w:val="21"/>
        </w:rPr>
        <w:t>5.甲方违反合同规定拒绝接货或中途退货（并非质量及服务因素），须承担因此给乙方造成的损失和费用。</w:t>
      </w:r>
    </w:p>
    <w:p>
      <w:pPr>
        <w:pStyle w:val="20"/>
        <w:spacing w:before="0" w:beforeAutospacing="0" w:after="0" w:afterAutospacing="0" w:line="360" w:lineRule="auto"/>
        <w:rPr>
          <w:rFonts w:ascii="宋体" w:hAnsi="宋体"/>
          <w:b/>
          <w:kern w:val="2"/>
          <w:sz w:val="21"/>
          <w:szCs w:val="21"/>
        </w:rPr>
      </w:pPr>
      <w:r>
        <w:rPr>
          <w:rFonts w:hint="eastAsia" w:ascii="宋体" w:hAnsi="宋体"/>
          <w:b/>
          <w:kern w:val="2"/>
          <w:sz w:val="21"/>
          <w:szCs w:val="21"/>
        </w:rPr>
        <w:t>九、不可抗力事件处理</w:t>
      </w:r>
    </w:p>
    <w:p>
      <w:pPr>
        <w:pStyle w:val="20"/>
        <w:spacing w:before="0" w:beforeAutospacing="0" w:after="0" w:afterAutospacing="0" w:line="360" w:lineRule="auto"/>
        <w:ind w:firstLine="411" w:firstLineChars="196"/>
        <w:rPr>
          <w:rFonts w:ascii="宋体" w:hAnsi="宋体"/>
          <w:kern w:val="2"/>
          <w:sz w:val="21"/>
          <w:szCs w:val="21"/>
        </w:rPr>
      </w:pPr>
      <w:r>
        <w:rPr>
          <w:rFonts w:hint="eastAsia" w:ascii="宋体" w:hAnsi="宋体"/>
          <w:kern w:val="2"/>
          <w:sz w:val="21"/>
          <w:szCs w:val="21"/>
        </w:rPr>
        <w:t>1.在执行合同期限内，任何一方因不可抗力事件所至不能履行合同，则合同履行期可延长，延长期与不可抗力影响期相同。</w:t>
      </w:r>
      <w:r>
        <w:rPr>
          <w:rFonts w:hint="eastAsia" w:ascii="宋体" w:hAnsi="宋体"/>
          <w:kern w:val="2"/>
          <w:sz w:val="21"/>
          <w:szCs w:val="21"/>
        </w:rPr>
        <w:br w:type="textWrapping"/>
      </w:r>
      <w:r>
        <w:rPr>
          <w:rFonts w:hint="eastAsia" w:ascii="宋体" w:hAnsi="宋体"/>
          <w:kern w:val="2"/>
          <w:sz w:val="21"/>
          <w:szCs w:val="21"/>
        </w:rPr>
        <w:t xml:space="preserve">　　2.不可抗力事件发生后，应立即通知对方，并寄送有关权威机构出具的证明。 </w:t>
      </w:r>
    </w:p>
    <w:p>
      <w:pPr>
        <w:pStyle w:val="20"/>
        <w:spacing w:before="0" w:beforeAutospacing="0" w:after="0" w:afterAutospacing="0" w:line="360" w:lineRule="auto"/>
        <w:ind w:firstLine="411" w:firstLineChars="196"/>
        <w:rPr>
          <w:rFonts w:ascii="宋体" w:hAnsi="宋体"/>
          <w:b/>
          <w:kern w:val="2"/>
          <w:sz w:val="21"/>
          <w:szCs w:val="21"/>
        </w:rPr>
      </w:pPr>
      <w:r>
        <w:rPr>
          <w:rFonts w:hint="eastAsia" w:ascii="宋体" w:hAnsi="宋体"/>
          <w:kern w:val="2"/>
          <w:sz w:val="21"/>
          <w:szCs w:val="21"/>
        </w:rPr>
        <w:t>3.不可抗力事件延续60天以上，双方应通过友好协商，确定是否继续履行合同。</w:t>
      </w:r>
    </w:p>
    <w:p>
      <w:pPr>
        <w:pStyle w:val="14"/>
        <w:snapToGrid w:val="0"/>
        <w:spacing w:before="120" w:after="120" w:line="360" w:lineRule="auto"/>
        <w:rPr>
          <w:rFonts w:hAnsi="宋体"/>
          <w:b/>
          <w:szCs w:val="21"/>
        </w:rPr>
      </w:pPr>
      <w:r>
        <w:rPr>
          <w:rFonts w:hint="eastAsia" w:hAnsi="宋体"/>
          <w:b/>
          <w:szCs w:val="21"/>
        </w:rPr>
        <w:t>十、争议的解决</w:t>
      </w:r>
    </w:p>
    <w:p>
      <w:pPr>
        <w:pStyle w:val="20"/>
        <w:spacing w:before="0" w:beforeAutospacing="0" w:after="0" w:afterAutospacing="0" w:line="360" w:lineRule="auto"/>
        <w:ind w:firstLine="420" w:firstLineChars="200"/>
        <w:rPr>
          <w:rFonts w:ascii="宋体" w:hAnsi="宋体"/>
          <w:kern w:val="2"/>
          <w:sz w:val="21"/>
          <w:szCs w:val="21"/>
        </w:rPr>
      </w:pPr>
      <w:r>
        <w:rPr>
          <w:rFonts w:hint="eastAsia" w:ascii="宋体" w:hAnsi="宋体"/>
          <w:kern w:val="2"/>
          <w:sz w:val="21"/>
          <w:szCs w:val="21"/>
        </w:rPr>
        <w:t>本合同为采购之合同，本合同中所指甲方与鉴证方享有同等权力，在发生所供货物的质量、售后服务等问题时，甲方有权直接向乙方索赔，签订必要的书面处理协议。如协商不成，任何一方有权在合同签约地选择仲裁或诉讼的途径解决，也可直接向合同签订地的人民法院起诉。</w:t>
      </w:r>
    </w:p>
    <w:p>
      <w:pPr>
        <w:pStyle w:val="14"/>
        <w:snapToGrid w:val="0"/>
        <w:spacing w:before="120" w:after="120" w:line="360" w:lineRule="auto"/>
        <w:rPr>
          <w:rFonts w:hAnsi="宋体"/>
          <w:b/>
          <w:szCs w:val="21"/>
        </w:rPr>
      </w:pPr>
      <w:r>
        <w:rPr>
          <w:rFonts w:hint="eastAsia" w:hAnsi="宋体"/>
          <w:b/>
          <w:szCs w:val="21"/>
        </w:rPr>
        <w:t>十一、合同的生效</w:t>
      </w:r>
    </w:p>
    <w:p>
      <w:pPr>
        <w:pStyle w:val="14"/>
        <w:snapToGrid w:val="0"/>
        <w:spacing w:before="120" w:after="120" w:line="360" w:lineRule="auto"/>
        <w:ind w:firstLine="420" w:firstLineChars="200"/>
        <w:rPr>
          <w:rFonts w:hAnsi="宋体"/>
          <w:szCs w:val="21"/>
        </w:rPr>
      </w:pPr>
      <w:r>
        <w:rPr>
          <w:rFonts w:hint="eastAsia" w:hAnsi="宋体"/>
          <w:szCs w:val="21"/>
        </w:rPr>
        <w:t>1.本合同经甲方、乙方法定代表人或其委托人签字并加盖双方公章后生效。</w:t>
      </w:r>
    </w:p>
    <w:p>
      <w:pPr>
        <w:widowControl/>
        <w:spacing w:line="360" w:lineRule="exact"/>
        <w:ind w:right="-42" w:rightChars="-20" w:firstLine="420"/>
        <w:jc w:val="left"/>
        <w:rPr>
          <w:rFonts w:ascii="宋体" w:hAnsi="宋体"/>
          <w:bCs/>
          <w:kern w:val="0"/>
          <w:szCs w:val="21"/>
        </w:rPr>
      </w:pPr>
      <w:r>
        <w:rPr>
          <w:rFonts w:ascii="宋体" w:hAnsi="宋体" w:cs="Arial"/>
          <w:szCs w:val="21"/>
        </w:rPr>
        <w:t xml:space="preserve"> 2.</w:t>
      </w:r>
      <w:r>
        <w:rPr>
          <w:rFonts w:hint="eastAsia" w:ascii="宋体" w:hAnsi="宋体"/>
          <w:szCs w:val="21"/>
        </w:rPr>
        <w:t>本合同正本一式叁份，具有同等法律效力，甲乙双方、代理机构各执一份。</w:t>
      </w:r>
    </w:p>
    <w:p>
      <w:pPr>
        <w:ind w:firstLine="420"/>
        <w:rPr>
          <w:rFonts w:ascii="宋体" w:hAnsi="宋体"/>
          <w:szCs w:val="21"/>
        </w:rPr>
      </w:pPr>
    </w:p>
    <w:p>
      <w:pPr>
        <w:ind w:firstLine="840" w:firstLineChars="400"/>
        <w:rPr>
          <w:rFonts w:ascii="宋体" w:hAnsi="宋体"/>
          <w:szCs w:val="21"/>
        </w:rPr>
      </w:pPr>
      <w:r>
        <w:rPr>
          <w:rFonts w:hint="eastAsia" w:ascii="宋体" w:hAnsi="宋体"/>
          <w:szCs w:val="21"/>
        </w:rPr>
        <w:t xml:space="preserve">甲方：                     乙方：                       </w:t>
      </w:r>
    </w:p>
    <w:p>
      <w:pPr>
        <w:ind w:firstLine="420"/>
        <w:rPr>
          <w:rFonts w:ascii="宋体" w:hAnsi="宋体"/>
          <w:szCs w:val="21"/>
        </w:rPr>
      </w:pPr>
      <w:r>
        <w:rPr>
          <w:rFonts w:hint="eastAsia" w:ascii="宋体" w:hAnsi="宋体"/>
          <w:szCs w:val="21"/>
        </w:rPr>
        <w:t xml:space="preserve">    地址：                     地址：                      </w:t>
      </w:r>
    </w:p>
    <w:p>
      <w:pPr>
        <w:ind w:firstLine="420"/>
        <w:rPr>
          <w:rFonts w:ascii="宋体" w:hAnsi="宋体"/>
          <w:szCs w:val="21"/>
        </w:rPr>
      </w:pPr>
      <w:r>
        <w:rPr>
          <w:rFonts w:hint="eastAsia" w:ascii="宋体" w:hAnsi="宋体"/>
          <w:szCs w:val="21"/>
        </w:rPr>
        <w:t xml:space="preserve">    法人代表：                 法人代表：                   </w:t>
      </w:r>
    </w:p>
    <w:p>
      <w:pPr>
        <w:ind w:firstLine="420"/>
        <w:rPr>
          <w:rFonts w:ascii="宋体" w:hAnsi="宋体"/>
          <w:szCs w:val="21"/>
        </w:rPr>
      </w:pPr>
      <w:r>
        <w:rPr>
          <w:rFonts w:hint="eastAsia" w:ascii="宋体" w:hAnsi="宋体"/>
          <w:szCs w:val="21"/>
        </w:rPr>
        <w:t xml:space="preserve">    电话：                     电话：                      </w:t>
      </w:r>
    </w:p>
    <w:p>
      <w:pPr>
        <w:ind w:firstLine="420"/>
        <w:rPr>
          <w:rFonts w:ascii="宋体" w:hAnsi="宋体"/>
          <w:szCs w:val="21"/>
        </w:rPr>
      </w:pPr>
      <w:r>
        <w:rPr>
          <w:rFonts w:hint="eastAsia" w:ascii="宋体" w:hAnsi="宋体"/>
          <w:szCs w:val="21"/>
        </w:rPr>
        <w:t xml:space="preserve">    电传：                     电传：                       </w:t>
      </w:r>
    </w:p>
    <w:p>
      <w:pPr>
        <w:ind w:firstLine="420"/>
        <w:rPr>
          <w:rFonts w:ascii="宋体" w:hAnsi="宋体"/>
          <w:szCs w:val="21"/>
        </w:rPr>
      </w:pPr>
      <w:r>
        <w:rPr>
          <w:rFonts w:hint="eastAsia" w:ascii="宋体" w:hAnsi="宋体"/>
          <w:szCs w:val="21"/>
        </w:rPr>
        <w:t xml:space="preserve">    邮政编码：                 邮政编码：                   </w:t>
      </w:r>
    </w:p>
    <w:p>
      <w:pPr>
        <w:ind w:firstLine="420"/>
        <w:rPr>
          <w:rFonts w:ascii="宋体" w:hAnsi="宋体"/>
          <w:szCs w:val="21"/>
        </w:rPr>
      </w:pPr>
      <w:r>
        <w:rPr>
          <w:rFonts w:hint="eastAsia" w:ascii="宋体" w:hAnsi="宋体"/>
          <w:szCs w:val="21"/>
        </w:rPr>
        <w:t xml:space="preserve">    开户银行：                 开户银行：                   </w:t>
      </w:r>
    </w:p>
    <w:p>
      <w:pPr>
        <w:ind w:firstLine="840" w:firstLineChars="400"/>
        <w:rPr>
          <w:rFonts w:ascii="宋体" w:hAnsi="宋体"/>
          <w:szCs w:val="21"/>
        </w:rPr>
      </w:pPr>
      <w:r>
        <w:rPr>
          <w:rFonts w:hint="eastAsia" w:ascii="宋体" w:hAnsi="宋体"/>
          <w:szCs w:val="21"/>
        </w:rPr>
        <w:t>帐号：                     帐号：</w:t>
      </w:r>
    </w:p>
    <w:p>
      <w:pPr>
        <w:spacing w:line="312" w:lineRule="auto"/>
        <w:ind w:firstLine="840" w:firstLineChars="400"/>
        <w:rPr>
          <w:rFonts w:ascii="宋体" w:hAnsi="宋体"/>
        </w:rPr>
      </w:pPr>
      <w:r>
        <w:rPr>
          <w:rFonts w:ascii="宋体" w:hAnsi="宋体"/>
        </w:rPr>
        <w:t>日期：</w:t>
      </w:r>
      <w:r>
        <w:rPr>
          <w:rFonts w:hint="eastAsia" w:ascii="宋体" w:hAnsi="宋体"/>
        </w:rPr>
        <w:t xml:space="preserve">                     日期：</w:t>
      </w:r>
    </w:p>
    <w:p>
      <w:pPr>
        <w:spacing w:line="312" w:lineRule="auto"/>
        <w:ind w:firstLine="525" w:firstLineChars="250"/>
        <w:rPr>
          <w:rFonts w:ascii="宋体" w:hAnsi="宋体"/>
        </w:rPr>
      </w:pPr>
    </w:p>
    <w:p>
      <w:pPr>
        <w:pStyle w:val="21"/>
        <w:ind w:firstLine="4242" w:firstLineChars="2100"/>
        <w:rPr>
          <w:color w:val="000000" w:themeColor="text1"/>
          <w:sz w:val="21"/>
          <w:szCs w:val="21"/>
          <w14:textFill>
            <w14:solidFill>
              <w14:schemeClr w14:val="tx1"/>
            </w14:solidFill>
          </w14:textFill>
        </w:rPr>
      </w:pPr>
    </w:p>
    <w:p>
      <w:pPr>
        <w:ind w:firstLine="420"/>
        <w:jc w:val="center"/>
        <w:rPr>
          <w:color w:val="000000" w:themeColor="text1"/>
          <w14:textFill>
            <w14:solidFill>
              <w14:schemeClr w14:val="tx1"/>
            </w14:solidFill>
          </w14:textFill>
        </w:rPr>
      </w:pPr>
      <w:r>
        <w:rPr>
          <w:color w:val="000000" w:themeColor="text1"/>
          <w14:textFill>
            <w14:solidFill>
              <w14:schemeClr w14:val="tx1"/>
            </w14:solidFill>
          </w14:textFill>
        </w:rPr>
        <w:br w:type="page"/>
      </w:r>
      <w:bookmarkStart w:id="124" w:name="_Toc450840088"/>
      <w:r>
        <w:rPr>
          <w:rFonts w:hint="eastAsia"/>
          <w:b/>
          <w:bCs/>
          <w:color w:val="000000" w:themeColor="text1"/>
          <w:sz w:val="24"/>
          <w14:textFill>
            <w14:solidFill>
              <w14:schemeClr w14:val="tx1"/>
            </w14:solidFill>
          </w14:textFill>
        </w:rPr>
        <w:t>第六章</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投标文件内容及格式</w:t>
      </w:r>
      <w:bookmarkEnd w:id="124"/>
    </w:p>
    <w:p>
      <w:pPr>
        <w:pStyle w:val="4"/>
        <w:rPr>
          <w:rFonts w:ascii="宋体"/>
          <w:color w:val="000000" w:themeColor="text1"/>
          <w14:textFill>
            <w14:solidFill>
              <w14:schemeClr w14:val="tx1"/>
            </w14:solidFill>
          </w14:textFill>
        </w:rPr>
      </w:pPr>
      <w:bookmarkStart w:id="125" w:name="_Toc9113"/>
      <w:bookmarkStart w:id="126" w:name="_Toc2078383"/>
      <w:bookmarkStart w:id="127" w:name="_Toc62048519"/>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投标人提交投标文件须知</w:t>
      </w:r>
      <w:bookmarkEnd w:id="125"/>
      <w:bookmarkEnd w:id="126"/>
      <w:bookmarkEnd w:id="127"/>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1.1 </w:t>
      </w:r>
      <w:r>
        <w:rPr>
          <w:rFonts w:hint="eastAsia" w:hAnsi="宋体"/>
          <w:color w:val="000000" w:themeColor="text1"/>
          <w14:textFill>
            <w14:solidFill>
              <w14:schemeClr w14:val="tx1"/>
            </w14:solidFill>
          </w14:textFill>
        </w:rPr>
        <w:t>投标人应严格按照以下顺序填写和提交下述规定的全部格式文件以及其他有关资料，混乱的编排导致投标文件被误读或评标委员会查找不到有效文件是投标人的风险。</w:t>
      </w:r>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1.2 </w:t>
      </w:r>
      <w:r>
        <w:rPr>
          <w:rFonts w:hint="eastAsia" w:hAnsi="宋体"/>
          <w:color w:val="000000" w:themeColor="text1"/>
          <w14:textFill>
            <w14:solidFill>
              <w14:schemeClr w14:val="tx1"/>
            </w14:solidFill>
          </w14:textFill>
        </w:rPr>
        <w:t>所附表格中要求回答的全部问题和</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或信息都必须正面回答。</w:t>
      </w:r>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1.3 </w:t>
      </w:r>
      <w:r>
        <w:rPr>
          <w:rFonts w:hint="eastAsia" w:hAnsi="宋体"/>
          <w:color w:val="000000" w:themeColor="text1"/>
          <w14:textFill>
            <w14:solidFill>
              <w14:schemeClr w14:val="tx1"/>
            </w14:solidFill>
          </w14:textFill>
        </w:rPr>
        <w:t>本声明书的签字人应保证全部声明和问题的回答是真实的和准确的。</w:t>
      </w:r>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1.4</w:t>
      </w:r>
      <w:r>
        <w:rPr>
          <w:rFonts w:hint="eastAsia" w:hAnsi="宋体"/>
          <w:color w:val="000000" w:themeColor="text1"/>
          <w14:textFill>
            <w14:solidFill>
              <w14:schemeClr w14:val="tx1"/>
            </w14:solidFill>
          </w14:textFill>
        </w:rPr>
        <w:t>评标委员会将应用投标人提交的资料根据自己的判断和考虑决定投标人履行合同的合格性及能力。</w:t>
      </w:r>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1.5 </w:t>
      </w:r>
      <w:r>
        <w:rPr>
          <w:rFonts w:hint="eastAsia" w:hAnsi="宋体"/>
          <w:color w:val="000000" w:themeColor="text1"/>
          <w14:textFill>
            <w14:solidFill>
              <w14:schemeClr w14:val="tx1"/>
            </w14:solidFill>
          </w14:textFill>
        </w:rPr>
        <w:t>投标人提交的材料将在一定期限内被保密保存。</w:t>
      </w:r>
    </w:p>
    <w:p>
      <w:pPr>
        <w:pStyle w:val="14"/>
        <w:spacing w:line="360" w:lineRule="auto"/>
        <w:ind w:firstLine="420" w:firstLineChars="2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1.6 </w:t>
      </w:r>
      <w:r>
        <w:rPr>
          <w:rFonts w:hint="eastAsia" w:hAnsi="宋体"/>
          <w:color w:val="000000" w:themeColor="text1"/>
          <w14:textFill>
            <w14:solidFill>
              <w14:schemeClr w14:val="tx1"/>
            </w14:solidFill>
          </w14:textFill>
        </w:rPr>
        <w:t>全部文件应按投标人须知中规定的语言和份数提交。</w:t>
      </w:r>
    </w:p>
    <w:p>
      <w:pPr>
        <w:pStyle w:val="4"/>
        <w:rPr>
          <w:color w:val="000000" w:themeColor="text1"/>
          <w14:textFill>
            <w14:solidFill>
              <w14:schemeClr w14:val="tx1"/>
            </w14:solidFill>
          </w14:textFill>
        </w:rPr>
      </w:pPr>
      <w:bookmarkStart w:id="128" w:name="_Toc2078384"/>
      <w:bookmarkStart w:id="129" w:name="_Toc21150"/>
      <w:bookmarkStart w:id="130" w:name="_Toc62048520"/>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投标文件组成</w:t>
      </w:r>
      <w:bookmarkEnd w:id="128"/>
      <w:bookmarkEnd w:id="129"/>
      <w:bookmarkEnd w:id="130"/>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投标文件由资格证明文件、报价文件、商务技术文件组成。</w:t>
      </w:r>
    </w:p>
    <w:p>
      <w:pPr>
        <w:pStyle w:val="5"/>
        <w:rPr>
          <w:color w:val="000000" w:themeColor="text1"/>
          <w14:textFill>
            <w14:solidFill>
              <w14:schemeClr w14:val="tx1"/>
            </w14:solidFill>
          </w14:textFill>
        </w:rPr>
      </w:pPr>
      <w:r>
        <w:rPr>
          <w:color w:val="000000" w:themeColor="text1"/>
          <w14:textFill>
            <w14:solidFill>
              <w14:schemeClr w14:val="tx1"/>
            </w14:solidFill>
          </w14:textFill>
        </w:rPr>
        <w:t>2.1</w:t>
      </w:r>
      <w:r>
        <w:rPr>
          <w:rFonts w:hint="eastAsia"/>
          <w:color w:val="000000" w:themeColor="text1"/>
          <w14:textFill>
            <w14:solidFill>
              <w14:schemeClr w14:val="tx1"/>
            </w14:solidFill>
          </w14:textFill>
        </w:rPr>
        <w:t>资格证明文件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提供有效的营业执照/副本复印件并加盖公司公章；事业单位/社会团体的，则提供有效的《事业单位法人证书》/《社会团体法人登记证书》副本复印件并加盖单位公章；自然人的，则提供有效的身份证复印件并签字；</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最近一个年度已出具的经审计的财务报告，包括资产负债表、利润表、现金流量表(执行《小企业会计准则》的提供资产负债表和利润表两张基本报表），未经审计的，提供资产负债表、利润表或损益表。（新成立不足一年的公司须出具情况说明）；</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3）出具具有履行合同所必需的设备和专业技术能力的承诺函（格式自拟）；</w:t>
      </w:r>
    </w:p>
    <w:p>
      <w:pPr>
        <w:ind w:firstLine="420"/>
        <w:rPr>
          <w:rFonts w:cs="宋体" w:asciiTheme="minorEastAsia" w:hAnsiTheme="minorEastAsia" w:eastAsiaTheme="minorEastAsia"/>
          <w:color w:val="000000" w:themeColor="text1"/>
          <w:szCs w:val="21"/>
          <w14:textFill>
            <w14:solidFill>
              <w14:schemeClr w14:val="tx1"/>
            </w14:solidFill>
          </w14:textFill>
        </w:rPr>
      </w:pPr>
      <w:r>
        <w:rPr>
          <w:rFonts w:hint="eastAsia"/>
          <w:color w:val="000000" w:themeColor="text1"/>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提供最近一次有效的依法缴纳税收证明，并加盖单位公章（完税凭证或税务部门出具的证明，单位没有纳税记录的，出具在税务机关纳税平台系统零申报纳税的截图或从该系统生成的零申报纳税申报表）；</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5）提供有效的最近一次有效的依法缴纳社会保障资金证明（缴纳凭证或人社部门出具的证明）；</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6）投标声明函；</w:t>
      </w:r>
    </w:p>
    <w:p>
      <w:pPr>
        <w:pStyle w:val="6"/>
        <w:ind w:firstLine="422"/>
        <w:rPr>
          <w:rFonts w:asciiTheme="minorEastAsia" w:hAnsiTheme="minorEastAsia" w:eastAsiaTheme="minorEastAsia" w:cstheme="minorEastAsia"/>
        </w:rPr>
      </w:pPr>
      <w:r>
        <w:rPr>
          <w:rFonts w:hint="eastAsia"/>
          <w:color w:val="000000" w:themeColor="text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特定资格要求：</w:t>
      </w:r>
      <w:r>
        <w:rPr>
          <w:rFonts w:hint="eastAsia" w:ascii="宋体" w:hAnsi="宋体" w:cs="宋体"/>
          <w:b w:val="0"/>
          <w:bCs w:val="0"/>
          <w:szCs w:val="21"/>
        </w:rPr>
        <w:t>投标人需</w:t>
      </w:r>
      <w:r>
        <w:rPr>
          <w:rFonts w:hint="eastAsia" w:hAnsi="宋体"/>
          <w:b w:val="0"/>
          <w:bCs w:val="0"/>
          <w:szCs w:val="21"/>
        </w:rPr>
        <w:t>具有出版物经营许可证</w:t>
      </w:r>
      <w:r>
        <w:rPr>
          <w:rFonts w:hint="eastAsia" w:ascii="宋体" w:hAnsi="宋体" w:cs="宋体"/>
          <w:szCs w:val="21"/>
        </w:rPr>
        <w:t>。</w:t>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2.2报价文件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投标人的报价文件包括以下内容（均需加盖公章）。</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）投标函</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）开标一览表</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）投标报价明细表</w:t>
      </w:r>
    </w:p>
    <w:p>
      <w:pPr>
        <w:ind w:firstLine="420"/>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color w:val="000000" w:themeColor="text1"/>
          <w14:textFill>
            <w14:solidFill>
              <w14:schemeClr w14:val="tx1"/>
            </w14:solidFill>
          </w14:textFill>
        </w:rPr>
        <w:t>包括但不限于以上文件资料</w:t>
      </w:r>
    </w:p>
    <w:p>
      <w:pPr>
        <w:pStyle w:val="5"/>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3商务技术文件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投标人的商务技术文件包括以下内容（均需加盖公章）。</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）企业法人营业执照（事业单位法人证书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社会团体法人登记证书）复印件；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）诚信承诺书；</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3）投标人基本情况介绍；</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4）投标产品环境标志产品认证证书（如有）；</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5）投标产品节能产品认证证书（如有）；</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6）投标人业绩情况一览表及业绩证明材料（按第七章评分办法要求提供）</w:t>
      </w:r>
    </w:p>
    <w:p>
      <w:pPr>
        <w:snapToGri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 其它要求提供的内容：</w:t>
      </w:r>
    </w:p>
    <w:p>
      <w:pPr>
        <w:snapToGrid w:val="0"/>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 图书质量承诺及到货率；</w:t>
      </w:r>
    </w:p>
    <w:p>
      <w:pPr>
        <w:snapToGrid w:val="0"/>
        <w:ind w:left="420" w:leftChars="200"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对图书订单的处理能力；</w:t>
      </w:r>
    </w:p>
    <w:p>
      <w:pPr>
        <w:snapToGrid w:val="0"/>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 图书包装质量、运送及时性、搬运到位程度；</w:t>
      </w:r>
    </w:p>
    <w:p>
      <w:pPr>
        <w:snapToGrid w:val="0"/>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 特色服务；</w:t>
      </w:r>
    </w:p>
    <w:p>
      <w:pPr>
        <w:ind w:firstLine="840" w:firstLineChars="4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 其他第四章招标内容及需求提及的要求及承诺。</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8）商务条款偏离表（针对招标文件第四章内容逐条填写）；</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9）技术条款偏离表（针对招标文件第三章内容逐条填写）；</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10）针对本项目的详细实施计划，包括产品备供货、运输、验货等内容；</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11）售后服务方案；</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12）备品备件清单（如有）；</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13）培训计划（如有）；</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14）招标文件第七章评分细则中涉及的相关内容描述；</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15）包括但不限于以上技术文件或说明；</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r>
        <w:rPr>
          <w:rFonts w:hint="eastAsia"/>
          <w:color w:val="000000" w:themeColor="text1"/>
          <w14:textFill>
            <w14:solidFill>
              <w14:schemeClr w14:val="tx1"/>
            </w14:solidFill>
          </w14:textFill>
        </w:rPr>
        <w:t>法定代表人证明书，法定代表人授权书（法定代表人参加投标的无须提供）、授权委托人身份证复印件、授权委托人社保证明</w:t>
      </w:r>
      <w:r>
        <w:rPr>
          <w:rFonts w:hint="eastAsia" w:ascii="宋体" w:hAnsi="宋体"/>
          <w:color w:val="000000" w:themeColor="text1"/>
          <w14:textFill>
            <w14:solidFill>
              <w14:schemeClr w14:val="tx1"/>
            </w14:solidFill>
          </w14:textFill>
        </w:rPr>
        <w:t>（被委托人必须为本单位在职员工，并提供至少开标前一个月的社保证明）</w:t>
      </w:r>
      <w:r>
        <w:rPr>
          <w:rFonts w:hint="eastAsia" w:ascii="宋体" w:hAnsi="宋体" w:cs="宋体"/>
          <w:color w:val="000000" w:themeColor="text1"/>
          <w:szCs w:val="2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以上所需的各种证书、证件、证明、证照若系复印件，须在复印件上加盖有效公章。</w:t>
      </w:r>
    </w:p>
    <w:p>
      <w:pPr>
        <w:pStyle w:val="4"/>
        <w:rPr>
          <w:color w:val="000000" w:themeColor="text1"/>
          <w14:textFill>
            <w14:solidFill>
              <w14:schemeClr w14:val="tx1"/>
            </w14:solidFill>
          </w14:textFill>
        </w:rPr>
      </w:pPr>
      <w:bookmarkStart w:id="131" w:name="_Toc62048521"/>
      <w:bookmarkStart w:id="132" w:name="_Toc23154"/>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投标文件编制格式及规范要求</w:t>
      </w:r>
      <w:bookmarkEnd w:id="131"/>
      <w:bookmarkEnd w:id="132"/>
    </w:p>
    <w:p>
      <w:pPr>
        <w:pStyle w:val="38"/>
        <w:spacing w:line="360" w:lineRule="auto"/>
        <w:ind w:firstLine="359" w:firstLineChars="171"/>
        <w:rPr>
          <w:rFonts w:ascii="宋体" w:hAnsi="宋体" w:eastAsia="宋体"/>
          <w:b w:val="0"/>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详见投标人须知前附表。</w:t>
      </w:r>
    </w:p>
    <w:p>
      <w:pPr>
        <w:pStyle w:val="14"/>
        <w:spacing w:line="360" w:lineRule="auto"/>
        <w:ind w:firstLine="420"/>
        <w:rPr>
          <w:rFonts w:hAnsi="宋体"/>
          <w:color w:val="000000" w:themeColor="text1"/>
          <w14:textFill>
            <w14:solidFill>
              <w14:schemeClr w14:val="tx1"/>
            </w14:solidFill>
          </w14:textFill>
        </w:rPr>
      </w:pPr>
      <w:bookmarkStart w:id="142" w:name="_GoBack"/>
      <w:bookmarkEnd w:id="142"/>
    </w:p>
    <w:p>
      <w:pPr>
        <w:pStyle w:val="5"/>
        <w:rPr>
          <w:color w:val="000000" w:themeColor="text1"/>
          <w:szCs w:val="21"/>
          <w14:textFill>
            <w14:solidFill>
              <w14:schemeClr w14:val="tx1"/>
            </w14:solidFill>
          </w14:textFill>
        </w:rPr>
      </w:pPr>
      <w:r>
        <w:rPr>
          <w:color w:val="000000" w:themeColor="text1"/>
          <w:szCs w:val="21"/>
          <w14:textFill>
            <w14:solidFill>
              <w14:schemeClr w14:val="tx1"/>
            </w14:solidFill>
          </w14:textFill>
        </w:rPr>
        <w:br w:type="page"/>
      </w:r>
      <w:r>
        <w:rPr>
          <w:color w:val="000000" w:themeColor="text1"/>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3735705</wp:posOffset>
                </wp:positionH>
                <wp:positionV relativeFrom="paragraph">
                  <wp:posOffset>209550</wp:posOffset>
                </wp:positionV>
                <wp:extent cx="1388745" cy="514350"/>
                <wp:effectExtent l="4445" t="4445" r="16510" b="14605"/>
                <wp:wrapNone/>
                <wp:docPr id="1" name="文本框 2"/>
                <wp:cNvGraphicFramePr/>
                <a:graphic xmlns:a="http://schemas.openxmlformats.org/drawingml/2006/main">
                  <a:graphicData uri="http://schemas.microsoft.com/office/word/2010/wordprocessingShape">
                    <wps:wsp>
                      <wps:cNvSpPr txBox="1"/>
                      <wps:spPr>
                        <a:xfrm>
                          <a:off x="0" y="0"/>
                          <a:ext cx="1388745" cy="514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rPr>
                                <w:sz w:val="32"/>
                                <w:szCs w:val="32"/>
                              </w:rPr>
                            </w:pPr>
                            <w:r>
                              <w:rPr>
                                <w:rFonts w:hint="eastAsia"/>
                                <w:sz w:val="32"/>
                              </w:rPr>
                              <w:t>正本（</w:t>
                            </w:r>
                            <w:r>
                              <w:rPr>
                                <w:rFonts w:hint="eastAsia"/>
                                <w:sz w:val="32"/>
                                <w:szCs w:val="32"/>
                              </w:rPr>
                              <w:t>副本）</w:t>
                            </w:r>
                          </w:p>
                        </w:txbxContent>
                      </wps:txbx>
                      <wps:bodyPr upright="1"/>
                    </wps:wsp>
                  </a:graphicData>
                </a:graphic>
              </wp:anchor>
            </w:drawing>
          </mc:Choice>
          <mc:Fallback>
            <w:pict>
              <v:shape id="文本框 2" o:spid="_x0000_s1026" o:spt="202" type="#_x0000_t202" style="position:absolute;left:0pt;margin-left:294.15pt;margin-top:16.5pt;height:40.5pt;width:109.35pt;z-index:-251657216;mso-width-relative:page;mso-height-relative:page;" fillcolor="#FFFFFF" filled="t" stroked="t" coordsize="21600,21600" o:gfxdata="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czxlb2AAAAAoBAAAPAAAAAAAAAAEAIAAA&#10;ACIAAABkcnMvZG93bnJldi54bWxQSwECFAAUAAAACACHTuJA4ZiFBwwCAAA2BAAADgAAAAAAAAAB&#10;ACAAAAAnAQAAZHJzL2Uyb0RvYy54bWxQSwUGAAAAAAYABgBZAQAApQUAAAAA&#10;">
                <v:fill on="t" focussize="0,0"/>
                <v:stroke color="#000000" joinstyle="miter"/>
                <v:imagedata o:title=""/>
                <o:lock v:ext="edit" aspectratio="f"/>
                <v:textbox>
                  <w:txbxContent>
                    <w:p>
                      <w:pPr>
                        <w:ind w:firstLine="0" w:firstLineChars="0"/>
                        <w:rPr>
                          <w:sz w:val="32"/>
                          <w:szCs w:val="32"/>
                        </w:rPr>
                      </w:pPr>
                      <w:r>
                        <w:rPr>
                          <w:rFonts w:hint="eastAsia"/>
                          <w:sz w:val="32"/>
                        </w:rPr>
                        <w:t>正本（</w:t>
                      </w:r>
                      <w:r>
                        <w:rPr>
                          <w:rFonts w:hint="eastAsia"/>
                          <w:sz w:val="32"/>
                          <w:szCs w:val="32"/>
                        </w:rPr>
                        <w:t>副本）</w:t>
                      </w:r>
                    </w:p>
                  </w:txbxContent>
                </v:textbox>
              </v:shape>
            </w:pict>
          </mc:Fallback>
        </mc:AlternateContent>
      </w:r>
      <w:r>
        <w:rPr>
          <w:rFonts w:hint="eastAsia"/>
          <w:color w:val="000000" w:themeColor="text1"/>
          <w:szCs w:val="21"/>
          <w14:textFill>
            <w14:solidFill>
              <w14:schemeClr w14:val="tx1"/>
            </w14:solidFill>
          </w14:textFill>
        </w:rPr>
        <w:t>附件</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投标文件封面</w:t>
      </w:r>
    </w:p>
    <w:p>
      <w:pPr>
        <w:spacing w:line="600" w:lineRule="auto"/>
        <w:ind w:firstLine="964"/>
        <w:rPr>
          <w:rFonts w:ascii="Arial" w:hAnsi="宋体" w:cs="Arial"/>
          <w:b/>
          <w:bCs/>
          <w:color w:val="000000" w:themeColor="text1"/>
          <w:sz w:val="48"/>
          <w:szCs w:val="48"/>
          <w14:textFill>
            <w14:solidFill>
              <w14:schemeClr w14:val="tx1"/>
            </w14:solidFill>
          </w14:textFill>
        </w:rPr>
      </w:pPr>
      <w:r>
        <w:rPr>
          <w:rFonts w:ascii="Arial" w:hAnsi="宋体" w:cs="Arial"/>
          <w:b/>
          <w:bCs/>
          <w:color w:val="000000" w:themeColor="text1"/>
          <w:sz w:val="48"/>
          <w:szCs w:val="48"/>
          <w14:textFill>
            <w14:solidFill>
              <w14:schemeClr w14:val="tx1"/>
            </w14:solidFill>
          </w14:textFill>
        </w:rPr>
        <w:t xml:space="preserve"> </w:t>
      </w:r>
    </w:p>
    <w:p>
      <w:pPr>
        <w:spacing w:line="240" w:lineRule="auto"/>
        <w:ind w:firstLine="0" w:firstLineChars="0"/>
        <w:jc w:val="center"/>
        <w:rPr>
          <w:rFonts w:ascii="Arial" w:hAnsi="宋体" w:cs="Arial"/>
          <w:b/>
          <w:bCs/>
          <w:color w:val="000000" w:themeColor="text1"/>
          <w:sz w:val="48"/>
          <w:szCs w:val="48"/>
          <w14:textFill>
            <w14:solidFill>
              <w14:schemeClr w14:val="tx1"/>
            </w14:solidFill>
          </w14:textFill>
        </w:rPr>
      </w:pPr>
      <w:r>
        <w:rPr>
          <w:rFonts w:hint="eastAsia" w:ascii="Arial" w:hAnsi="宋体" w:cs="Arial"/>
          <w:b/>
          <w:bCs/>
          <w:color w:val="000000" w:themeColor="text1"/>
          <w:sz w:val="48"/>
          <w:szCs w:val="48"/>
          <w14:textFill>
            <w14:solidFill>
              <w14:schemeClr w14:val="tx1"/>
            </w14:solidFill>
          </w14:textFill>
        </w:rPr>
        <w:t>中国美术学院</w:t>
      </w:r>
    </w:p>
    <w:p>
      <w:pPr>
        <w:spacing w:line="240" w:lineRule="auto"/>
        <w:ind w:firstLine="0" w:firstLineChars="0"/>
        <w:jc w:val="center"/>
        <w:rPr>
          <w:rFonts w:ascii="Arial" w:hAnsi="宋体" w:cs="Arial"/>
          <w:b/>
          <w:bCs/>
          <w:color w:val="000000" w:themeColor="text1"/>
          <w:sz w:val="48"/>
          <w:szCs w:val="48"/>
          <w14:textFill>
            <w14:solidFill>
              <w14:schemeClr w14:val="tx1"/>
            </w14:solidFill>
          </w14:textFill>
        </w:rPr>
      </w:pPr>
      <w:r>
        <w:rPr>
          <w:rFonts w:hint="eastAsia" w:ascii="Arial" w:hAnsi="宋体" w:cs="Arial"/>
          <w:b/>
          <w:bCs/>
          <w:color w:val="000000" w:themeColor="text1"/>
          <w:sz w:val="48"/>
          <w:szCs w:val="48"/>
          <w14:textFill>
            <w14:solidFill>
              <w14:schemeClr w14:val="tx1"/>
            </w14:solidFill>
          </w14:textFill>
        </w:rPr>
        <w:t>2021级本科新生教材采购(非政府）</w:t>
      </w:r>
    </w:p>
    <w:p>
      <w:pPr>
        <w:spacing w:line="600" w:lineRule="auto"/>
        <w:ind w:firstLine="964"/>
        <w:jc w:val="center"/>
        <w:rPr>
          <w:rFonts w:ascii="Arial" w:hAnsi="宋体" w:cs="Arial"/>
          <w:b/>
          <w:bCs/>
          <w:color w:val="000000" w:themeColor="text1"/>
          <w:sz w:val="48"/>
          <w:szCs w:val="48"/>
          <w14:textFill>
            <w14:solidFill>
              <w14:schemeClr w14:val="tx1"/>
            </w14:solidFill>
          </w14:textFill>
        </w:rPr>
      </w:pPr>
    </w:p>
    <w:p>
      <w:pPr>
        <w:spacing w:line="600" w:lineRule="auto"/>
        <w:ind w:firstLine="964"/>
        <w:jc w:val="center"/>
        <w:rPr>
          <w:rFonts w:ascii="Arial" w:hAnsi="宋体" w:cs="Arial"/>
          <w:b/>
          <w:bCs/>
          <w:color w:val="000000" w:themeColor="text1"/>
          <w:sz w:val="48"/>
          <w:szCs w:val="48"/>
          <w14:textFill>
            <w14:solidFill>
              <w14:schemeClr w14:val="tx1"/>
            </w14:solidFill>
          </w14:textFill>
        </w:rPr>
      </w:pPr>
    </w:p>
    <w:p>
      <w:pPr>
        <w:snapToGrid w:val="0"/>
        <w:ind w:firstLine="0" w:firstLineChars="0"/>
        <w:jc w:val="center"/>
        <w:rPr>
          <w:rFonts w:ascii="Arial" w:hAnsi="Arial" w:cs="Arial"/>
          <w:b/>
          <w:color w:val="000000" w:themeColor="text1"/>
          <w:sz w:val="84"/>
          <w:szCs w:val="84"/>
          <w14:textFill>
            <w14:solidFill>
              <w14:schemeClr w14:val="tx1"/>
            </w14:solidFill>
          </w14:textFill>
        </w:rPr>
      </w:pPr>
      <w:r>
        <w:rPr>
          <w:rFonts w:hint="eastAsia" w:ascii="Arial" w:hAnsi="宋体" w:cs="Arial"/>
          <w:b/>
          <w:color w:val="000000" w:themeColor="text1"/>
          <w:sz w:val="84"/>
          <w:szCs w:val="84"/>
          <w14:textFill>
            <w14:solidFill>
              <w14:schemeClr w14:val="tx1"/>
            </w14:solidFill>
          </w14:textFill>
        </w:rPr>
        <w:t>投标文件</w:t>
      </w:r>
    </w:p>
    <w:p>
      <w:pPr>
        <w:snapToGrid w:val="0"/>
        <w:ind w:firstLine="0" w:firstLineChars="0"/>
        <w:rPr>
          <w:rFonts w:ascii="Arial" w:hAnsi="Arial" w:cs="Arial"/>
          <w:b/>
          <w:color w:val="000000" w:themeColor="text1"/>
          <w:sz w:val="36"/>
          <w14:textFill>
            <w14:solidFill>
              <w14:schemeClr w14:val="tx1"/>
            </w14:solidFill>
          </w14:textFill>
        </w:rPr>
      </w:pPr>
      <w:r>
        <w:rPr>
          <w:rFonts w:hint="eastAsia" w:ascii="Arial" w:hAnsi="Arial" w:cs="Arial"/>
          <w:b/>
          <w:color w:val="000000" w:themeColor="text1"/>
          <w:sz w:val="48"/>
          <w:szCs w:val="48"/>
          <w14:textFill>
            <w14:solidFill>
              <w14:schemeClr w14:val="tx1"/>
            </w14:solidFill>
          </w14:textFill>
        </w:rPr>
        <w:t>（资格证明文件/报价文件/商务技术文件）</w:t>
      </w:r>
    </w:p>
    <w:p>
      <w:pPr>
        <w:snapToGrid w:val="0"/>
        <w:ind w:firstLine="0" w:firstLineChars="0"/>
        <w:jc w:val="center"/>
        <w:rPr>
          <w:rFonts w:ascii="Arial" w:hAnsi="Arial" w:cs="Arial"/>
          <w:b/>
          <w:color w:val="000000" w:themeColor="text1"/>
          <w:sz w:val="48"/>
          <w:szCs w:val="48"/>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723"/>
        <w:rPr>
          <w:rFonts w:ascii="Arial" w:hAnsi="Arial" w:cs="Arial"/>
          <w:b/>
          <w:color w:val="000000" w:themeColor="text1"/>
          <w:sz w:val="36"/>
          <w14:textFill>
            <w14:solidFill>
              <w14:schemeClr w14:val="tx1"/>
            </w14:solidFill>
          </w14:textFill>
        </w:rPr>
      </w:pP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招标项目：2021级本科新生教材采购(非政府）</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招标编号：ZJXL-MY-202141</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标</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人：中国美术学院</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标</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人：</w:t>
      </w:r>
      <w:r>
        <w:rPr>
          <w:rFonts w:ascii="宋体" w:hAnsi="宋体" w:cs="宋体"/>
          <w:color w:val="000000" w:themeColor="text1"/>
          <w:sz w:val="28"/>
          <w:szCs w:val="28"/>
          <w14:textFill>
            <w14:solidFill>
              <w14:schemeClr w14:val="tx1"/>
            </w14:solidFill>
          </w14:textFill>
        </w:rPr>
        <w:t xml:space="preserve"> </w:t>
      </w:r>
    </w:p>
    <w:p>
      <w:pPr>
        <w:snapToGrid w:val="0"/>
        <w:ind w:firstLine="560"/>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时</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间：</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年</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ascii="宋体" w:hAnsi="宋体" w:cs="宋体"/>
          <w:color w:val="000000" w:themeColor="text1"/>
          <w:sz w:val="28"/>
          <w:szCs w:val="28"/>
          <w14:textFill>
            <w14:solidFill>
              <w14:schemeClr w14:val="tx1"/>
            </w14:solidFill>
          </w14:textFill>
        </w:rPr>
        <w:t xml:space="preserve"> </w:t>
      </w:r>
      <w:r>
        <w:rPr>
          <w:rFonts w:ascii="宋体" w:cs="宋体"/>
          <w:color w:val="000000" w:themeColor="text1"/>
          <w:sz w:val="28"/>
          <w:szCs w:val="28"/>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附件一</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投标函</w:t>
      </w:r>
    </w:p>
    <w:p>
      <w:pPr>
        <w:ind w:firstLine="0" w:firstLineChars="0"/>
        <w:rPr>
          <w:rFonts w:ascii="宋体"/>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中国美术学院</w:t>
      </w:r>
    </w:p>
    <w:p>
      <w:pPr>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浙江信镧建设工程咨询有限公司：</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（投标人全称）授权</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（授权委托人姓名）</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（职务、职称）为授权委托人，参加贵方组织的</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（项目名称）招标编号：（</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）招标的有关活动，并对此项目进行投标。为此：</w:t>
      </w:r>
    </w:p>
    <w:p>
      <w:pPr>
        <w:ind w:firstLine="420"/>
        <w:rPr>
          <w:rFonts w:ascii="宋体"/>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根据已收到贵方的招标编号为</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ZJXL-MY-202141</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2021级本科新生教材采购(非政府）</w:t>
      </w:r>
      <w:r>
        <w:rPr>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的招标文件，遵照《中华人民共和国政府采购法》等有关规定，我单位经研究上述招标文件的投标人须知、招标项目技术要求、招标项目商务要求、合同条款及其他招标文件的有关文件后，我方愿以开标一览表的投标报价参与本项目的竞标。</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、我方同意在投标人须知前附表规定的开标日期起遵守本投标书中的承诺且在投标有效期满之前均具有约束力。</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、我方承诺已经具备《中华人民共和国政府采购法》中第二十二条相关规定的参加政府采购活动的投标人应当具备的条件：</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、编制和提交招标文件规定的全部投标文件，包括投标文件正本</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份，副本</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份。具体内容为：</w:t>
      </w:r>
    </w:p>
    <w:p>
      <w:pPr>
        <w:ind w:firstLine="420"/>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4.1</w:t>
      </w:r>
      <w:r>
        <w:rPr>
          <w:rFonts w:hint="eastAsia" w:ascii="宋体" w:hAnsi="宋体"/>
          <w:color w:val="000000" w:themeColor="text1"/>
          <w:szCs w:val="21"/>
          <w14:textFill>
            <w14:solidFill>
              <w14:schemeClr w14:val="tx1"/>
            </w14:solidFill>
          </w14:textFill>
        </w:rPr>
        <w:t>资格证明文件</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asci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报价文件</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4.3</w:t>
      </w:r>
      <w:r>
        <w:rPr>
          <w:rFonts w:hint="eastAsia" w:ascii="宋体" w:hAnsi="宋体"/>
          <w:color w:val="000000" w:themeColor="text1"/>
          <w:szCs w:val="21"/>
          <w14:textFill>
            <w14:solidFill>
              <w14:schemeClr w14:val="tx1"/>
            </w14:solidFill>
          </w14:textFill>
        </w:rPr>
        <w:t>商务文件</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w:t>
      </w:r>
      <w:r>
        <w:rPr>
          <w:rFonts w:hint="eastAsia" w:ascii="宋体" w:hAnsi="宋体"/>
          <w:color w:val="000000" w:themeColor="text1"/>
          <w:szCs w:val="21"/>
          <w14:textFill>
            <w14:solidFill>
              <w14:schemeClr w14:val="tx1"/>
            </w14:solidFill>
          </w14:textFill>
        </w:rPr>
        <w:t>资信技术文件</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、如果在开标后规定的投标有效期内撤回投标，我方的投标保证金可被贵方没收。</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、我方完全理解贵方不一定要接受最低价的投标。</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、我方愿意向贵方提供任何与该项投标有关的数据、情况和技术资料。若贵方需要，我方愿意提供我方作出的一切承诺的证明材料。</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、我方已详细审核全部招标文件，包括招标文件的澄清或修改（如有的话）、参考资料及有关附件，确认无异议。</w:t>
      </w:r>
    </w:p>
    <w:p>
      <w:pPr>
        <w:ind w:firstLine="420"/>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9</w:t>
      </w:r>
      <w:r>
        <w:rPr>
          <w:rFonts w:hint="eastAsia" w:ascii="宋体" w:hAnsi="宋体"/>
          <w:color w:val="000000" w:themeColor="text1"/>
          <w:szCs w:val="21"/>
          <w14:textFill>
            <w14:solidFill>
              <w14:schemeClr w14:val="tx1"/>
            </w14:solidFill>
          </w14:textFill>
        </w:rPr>
        <w:t>、我方将严格遵守《中华人民共和国政府采购法》第七十七条规定，投标人有下列情形之一的，处以采购金额</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‰以上</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‰以下的罚款，列入不良行为记录名单，在一至三年内禁止参加采购活动，有违法所得的，并处没收违法所得；情节严重的，由工商行政管理机关吊销营业执照；构成犯罪的，依法追究刑事责任：</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9.1</w:t>
      </w:r>
      <w:r>
        <w:rPr>
          <w:rFonts w:hint="eastAsia"/>
          <w:color w:val="000000" w:themeColor="text1"/>
          <w14:textFill>
            <w14:solidFill>
              <w14:schemeClr w14:val="tx1"/>
            </w14:solidFill>
          </w14:textFill>
        </w:rPr>
        <w:t>提供虚假材料谋取中标、成交的；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9.2</w:t>
      </w:r>
      <w:r>
        <w:rPr>
          <w:rFonts w:hint="eastAsia"/>
          <w:color w:val="000000" w:themeColor="text1"/>
          <w14:textFill>
            <w14:solidFill>
              <w14:schemeClr w14:val="tx1"/>
            </w14:solidFill>
          </w14:textFill>
        </w:rPr>
        <w:t>采取不正当手段诋毁、排挤其他投标人的；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9.3</w:t>
      </w:r>
      <w:r>
        <w:rPr>
          <w:rFonts w:hint="eastAsia"/>
          <w:color w:val="000000" w:themeColor="text1"/>
          <w14:textFill>
            <w14:solidFill>
              <w14:schemeClr w14:val="tx1"/>
            </w14:solidFill>
          </w14:textFill>
        </w:rPr>
        <w:t>与招标人、其它投标人或者招标代理机构恶意串通的；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9.4</w:t>
      </w:r>
      <w:r>
        <w:rPr>
          <w:rFonts w:hint="eastAsia"/>
          <w:color w:val="000000" w:themeColor="text1"/>
          <w14:textFill>
            <w14:solidFill>
              <w14:schemeClr w14:val="tx1"/>
            </w14:solidFill>
          </w14:textFill>
        </w:rPr>
        <w:t>向招标人、招标代理机构行贿或者提供其他不正当利益的；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9.5</w:t>
      </w:r>
      <w:r>
        <w:rPr>
          <w:rFonts w:hint="eastAsia"/>
          <w:color w:val="000000" w:themeColor="text1"/>
          <w14:textFill>
            <w14:solidFill>
              <w14:schemeClr w14:val="tx1"/>
            </w14:solidFill>
          </w14:textFill>
        </w:rPr>
        <w:t>在招标采购过程中与招标人进行协商谈判的；</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9.6</w:t>
      </w:r>
      <w:r>
        <w:rPr>
          <w:rFonts w:hint="eastAsia"/>
          <w:color w:val="000000" w:themeColor="text1"/>
          <w14:textFill>
            <w14:solidFill>
              <w14:schemeClr w14:val="tx1"/>
            </w14:solidFill>
          </w14:textFill>
        </w:rPr>
        <w:t>拒绝有关部门监督检查或提供虚假情况的。</w:t>
      </w:r>
    </w:p>
    <w:p>
      <w:pPr>
        <w:ind w:firstLine="409" w:firstLineChars="1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投标人有前款第</w:t>
      </w:r>
      <w:r>
        <w:rPr>
          <w:rFonts w:ascii="宋体" w:hAnsi="宋体"/>
          <w:color w:val="000000" w:themeColor="text1"/>
          <w:szCs w:val="21"/>
          <w14:textFill>
            <w14:solidFill>
              <w14:schemeClr w14:val="tx1"/>
            </w14:solidFill>
          </w14:textFill>
        </w:rPr>
        <w:t>9.1</w:t>
      </w:r>
      <w:r>
        <w:rPr>
          <w:rFonts w:hint="eastAsia" w:ascii="宋体" w:hAnsi="宋体"/>
          <w:color w:val="000000" w:themeColor="text1"/>
          <w:szCs w:val="21"/>
          <w14:textFill>
            <w14:solidFill>
              <w14:schemeClr w14:val="tx1"/>
            </w14:solidFill>
          </w14:textFill>
        </w:rPr>
        <w:t>至</w:t>
      </w:r>
      <w:r>
        <w:rPr>
          <w:rFonts w:ascii="宋体" w:hAnsi="宋体"/>
          <w:color w:val="000000" w:themeColor="text1"/>
          <w:szCs w:val="21"/>
          <w14:textFill>
            <w14:solidFill>
              <w14:schemeClr w14:val="tx1"/>
            </w14:solidFill>
          </w14:textFill>
        </w:rPr>
        <w:t>9.5</w:t>
      </w:r>
      <w:r>
        <w:rPr>
          <w:rFonts w:hint="eastAsia" w:ascii="宋体" w:hAnsi="宋体"/>
          <w:color w:val="000000" w:themeColor="text1"/>
          <w:szCs w:val="21"/>
          <w14:textFill>
            <w14:solidFill>
              <w14:schemeClr w14:val="tx1"/>
            </w14:solidFill>
          </w14:textFill>
        </w:rPr>
        <w:t>项情形之一的</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中标、成交无效。</w:t>
      </w:r>
    </w:p>
    <w:p>
      <w:pPr>
        <w:ind w:firstLine="409" w:firstLineChars="19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10、我方承诺在发完书结算最终成交金额后5天内支付招标代理服务费；我方承诺在中标后放弃中标的，将赔偿专家评审费、代理机构场地费、资料费、通讯费、人工费等，赔偿金额为成交金额1.5%。</w:t>
      </w:r>
    </w:p>
    <w:p>
      <w:pPr>
        <w:ind w:firstLine="420"/>
        <w:rPr>
          <w:rFonts w:ascii="宋体" w:hAnsi="宋体" w:cs="宋体"/>
          <w:color w:val="000000" w:themeColor="text1"/>
          <w14:textFill>
            <w14:solidFill>
              <w14:schemeClr w14:val="tx1"/>
            </w14:solidFill>
          </w14:textFill>
        </w:rPr>
      </w:pP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法人代表签字或盖章：</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授权委托人签字或盖章：</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公</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司</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盖</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章：</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联系人：</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联</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电</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话：</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联系地址：</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传真号码：</w:t>
      </w:r>
      <w:r>
        <w:rPr>
          <w:color w:val="000000" w:themeColor="text1"/>
          <w14:textFill>
            <w14:solidFill>
              <w14:schemeClr w14:val="tx1"/>
            </w14:solidFill>
          </w14:textFill>
        </w:rPr>
        <w:t xml:space="preserve">          </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月</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日</w:t>
      </w:r>
    </w:p>
    <w:p>
      <w:pPr>
        <w:ind w:firstLine="0" w:firstLineChars="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注：未按照本投标函要求填报的将被视为非实质性响应投标，从而可能导致该投标被拒绝</w:t>
      </w:r>
    </w:p>
    <w:p>
      <w:pPr>
        <w:ind w:firstLine="420"/>
        <w:rPr>
          <w:rFonts w:ascii="宋体"/>
          <w:color w:val="000000" w:themeColor="text1"/>
          <w:sz w:val="24"/>
          <w14:textFill>
            <w14:solidFill>
              <w14:schemeClr w14:val="tx1"/>
            </w14:solidFill>
          </w14:textFill>
        </w:rPr>
        <w:sectPr>
          <w:pgSz w:w="11907" w:h="16840"/>
          <w:pgMar w:top="1247" w:right="1304" w:bottom="1021" w:left="1304" w:header="720" w:footer="720" w:gutter="0"/>
          <w:cols w:space="720" w:num="1"/>
          <w:docGrid w:linePitch="286" w:charSpace="0"/>
        </w:sectPr>
      </w:pPr>
      <w:r>
        <w:rPr>
          <w:color w:val="000000" w:themeColor="text1"/>
          <w14:textFill>
            <w14:solidFill>
              <w14:schemeClr w14:val="tx1"/>
            </w14:solidFill>
          </w14:textFill>
        </w:rPr>
        <w:br w:type="page"/>
      </w: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附件二 开标一览表</w:t>
      </w:r>
    </w:p>
    <w:p>
      <w:pPr>
        <w:pStyle w:val="11"/>
        <w:ind w:firstLine="0" w:firstLineChars="0"/>
        <w:jc w:val="center"/>
        <w:rPr>
          <w:rFonts w:ascii="宋体" w:hAnsi="宋体" w:eastAsia="宋体"/>
          <w:b/>
          <w:color w:val="000000" w:themeColor="text1"/>
          <w:sz w:val="32"/>
          <w:szCs w:val="32"/>
          <w14:textFill>
            <w14:solidFill>
              <w14:schemeClr w14:val="tx1"/>
            </w14:solidFill>
          </w14:textFill>
        </w:rPr>
      </w:pPr>
    </w:p>
    <w:p>
      <w:pPr>
        <w:pStyle w:val="11"/>
        <w:ind w:firstLine="0" w:firstLineChars="0"/>
        <w:jc w:val="center"/>
        <w:rPr>
          <w:rFonts w:ascii="宋体" w:hAnsi="宋体" w:eastAsia="宋体"/>
          <w:b/>
          <w:color w:val="000000" w:themeColor="text1"/>
          <w:sz w:val="32"/>
          <w:szCs w:val="32"/>
          <w14:textFill>
            <w14:solidFill>
              <w14:schemeClr w14:val="tx1"/>
            </w14:solidFill>
          </w14:textFill>
        </w:rPr>
      </w:pPr>
      <w:r>
        <w:rPr>
          <w:rFonts w:hint="eastAsia" w:ascii="宋体" w:hAnsi="宋体" w:eastAsia="宋体"/>
          <w:b/>
          <w:color w:val="000000" w:themeColor="text1"/>
          <w:sz w:val="32"/>
          <w:szCs w:val="32"/>
          <w14:textFill>
            <w14:solidFill>
              <w14:schemeClr w14:val="tx1"/>
            </w14:solidFill>
          </w14:textFill>
        </w:rPr>
        <w:t>开标一览表</w:t>
      </w:r>
    </w:p>
    <w:p>
      <w:pPr>
        <w:pStyle w:val="11"/>
        <w:ind w:firstLine="210"/>
        <w:rPr>
          <w:rFonts w:ascii="宋体" w:hAnsi="宋体" w:eastAsia="宋体" w:cs="宋体"/>
          <w:color w:val="000000" w:themeColor="text1"/>
          <w:szCs w:val="21"/>
          <w14:textFill>
            <w14:solidFill>
              <w14:schemeClr w14:val="tx1"/>
            </w14:solidFill>
          </w14:textFill>
        </w:rPr>
      </w:pPr>
    </w:p>
    <w:p>
      <w:pPr>
        <w:snapToGrid w:val="0"/>
        <w:ind w:firstLine="422"/>
        <w:jc w:val="center"/>
        <w:rPr>
          <w:rFonts w:ascii="宋体" w:hAnsi="宋体" w:cs="宋体"/>
          <w:b/>
          <w:color w:val="000000" w:themeColor="text1"/>
          <w:szCs w:val="21"/>
          <w14:textFill>
            <w14:solidFill>
              <w14:schemeClr w14:val="tx1"/>
            </w14:solidFill>
          </w14:textFill>
        </w:rPr>
      </w:pPr>
    </w:p>
    <w:p>
      <w:pPr>
        <w:snapToGrid w:val="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r>
        <w:rPr>
          <w:rFonts w:hint="eastAsia" w:ascii="宋体" w:hAnsi="宋体" w:cs="宋体"/>
          <w:color w:val="000000" w:themeColor="text1"/>
          <w:szCs w:val="21"/>
          <w:u w:val="single"/>
          <w14:textFill>
            <w14:solidFill>
              <w14:schemeClr w14:val="tx1"/>
            </w14:solidFill>
          </w14:textFill>
        </w:rPr>
        <w:t xml:space="preserve">              </w:t>
      </w:r>
    </w:p>
    <w:p>
      <w:pPr>
        <w:snapToGrid w:val="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w:t>
      </w:r>
      <w:r>
        <w:rPr>
          <w:rFonts w:hint="eastAsia" w:ascii="宋体" w:hAnsi="宋体" w:cs="宋体"/>
          <w:color w:val="000000" w:themeColor="text1"/>
          <w:szCs w:val="21"/>
          <w:u w:val="single"/>
          <w14:textFill>
            <w14:solidFill>
              <w14:schemeClr w14:val="tx1"/>
            </w14:solidFill>
          </w14:textFill>
        </w:rPr>
        <w:t xml:space="preserve">              </w:t>
      </w:r>
    </w:p>
    <w:p>
      <w:pPr>
        <w:snapToGrid w:val="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标项号：</w:t>
      </w:r>
      <w:r>
        <w:rPr>
          <w:rFonts w:hint="eastAsia" w:ascii="宋体" w:hAnsi="宋体" w:cs="宋体"/>
          <w:color w:val="000000" w:themeColor="text1"/>
          <w:szCs w:val="21"/>
          <w:u w:val="single"/>
          <w14:textFill>
            <w14:solidFill>
              <w14:schemeClr w14:val="tx1"/>
            </w14:solidFill>
          </w14:textFill>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79"/>
        <w:gridCol w:w="2732"/>
        <w:gridCol w:w="3872"/>
        <w:gridCol w:w="19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atLeast"/>
          <w:jc w:val="center"/>
        </w:trPr>
        <w:tc>
          <w:tcPr>
            <w:tcW w:w="514" w:type="pct"/>
            <w:vAlign w:val="center"/>
          </w:tcPr>
          <w:p>
            <w:pPr>
              <w:snapToGrid w:val="0"/>
              <w:ind w:right="-21" w:rightChars="-10" w:firstLine="0" w:firstLineChars="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435" w:type="pct"/>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p>
        </w:tc>
        <w:tc>
          <w:tcPr>
            <w:tcW w:w="2034" w:type="pct"/>
            <w:tcBorders>
              <w:right w:val="single" w:color="auto" w:sz="4" w:space="0"/>
            </w:tcBorders>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投标报价【码洋折扣率】</w:t>
            </w:r>
          </w:p>
        </w:tc>
        <w:tc>
          <w:tcPr>
            <w:tcW w:w="1015" w:type="pct"/>
            <w:tcBorders>
              <w:left w:val="single" w:color="auto" w:sz="4" w:space="0"/>
            </w:tcBorders>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23" w:hRule="atLeast"/>
          <w:jc w:val="center"/>
        </w:trPr>
        <w:tc>
          <w:tcPr>
            <w:tcW w:w="514" w:type="pct"/>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435" w:type="pct"/>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p>
        </w:tc>
        <w:tc>
          <w:tcPr>
            <w:tcW w:w="2034" w:type="pct"/>
            <w:tcBorders>
              <w:right w:val="single" w:color="auto" w:sz="4" w:space="0"/>
            </w:tcBorders>
            <w:vAlign w:val="center"/>
          </w:tcPr>
          <w:p>
            <w:pPr>
              <w:snapToGrid w:val="0"/>
              <w:ind w:right="-21" w:rightChars="-10" w:firstLine="1050" w:firstLineChars="500"/>
            </w:pPr>
            <w:r>
              <w:rPr>
                <w:rFonts w:hint="eastAsia"/>
              </w:rPr>
              <w:t xml:space="preserve">小写：     </w:t>
            </w:r>
            <w:r>
              <w:rPr>
                <w:rFonts w:hint="eastAsia"/>
                <w:u w:val="single"/>
              </w:rPr>
              <w:t xml:space="preserve">   </w:t>
            </w:r>
            <w:r>
              <w:rPr>
                <w:rFonts w:hint="eastAsia"/>
              </w:rPr>
              <w:t>%</w:t>
            </w:r>
          </w:p>
          <w:p>
            <w:pPr>
              <w:pStyle w:val="11"/>
              <w:ind w:firstLine="210"/>
            </w:pPr>
          </w:p>
          <w:p>
            <w:pPr>
              <w:pStyle w:val="12"/>
            </w:pPr>
            <w:r>
              <w:rPr>
                <w:rFonts w:hint="eastAsia" w:ascii="宋体" w:hAnsi="宋体" w:cs="宋体"/>
                <w:color w:val="000000" w:themeColor="text1"/>
                <w14:textFill>
                  <w14:solidFill>
                    <w14:schemeClr w14:val="tx1"/>
                  </w14:solidFill>
                </w14:textFill>
              </w:rPr>
              <w:t xml:space="preserve">大写：  </w:t>
            </w:r>
            <w:r>
              <w:rPr>
                <w:rFonts w:hint="eastAsia" w:ascii="宋体" w:hAnsi="宋体" w:cs="宋体"/>
                <w:color w:val="000000" w:themeColor="text1"/>
                <w:u w:val="single"/>
                <w14:textFill>
                  <w14:solidFill>
                    <w14:schemeClr w14:val="tx1"/>
                  </w14:solidFill>
                </w14:textFill>
              </w:rPr>
              <w:t xml:space="preserve">              </w:t>
            </w:r>
          </w:p>
        </w:tc>
        <w:tc>
          <w:tcPr>
            <w:tcW w:w="1015" w:type="pct"/>
            <w:tcBorders>
              <w:left w:val="single" w:color="auto" w:sz="4" w:space="0"/>
            </w:tcBorders>
            <w:vAlign w:val="center"/>
          </w:tcPr>
          <w:p>
            <w:pPr>
              <w:snapToGrid w:val="0"/>
              <w:ind w:right="-21" w:rightChars="-10" w:firstLine="420"/>
              <w:jc w:val="center"/>
              <w:rPr>
                <w:rFonts w:ascii="宋体" w:hAnsi="宋体" w:cs="宋体"/>
                <w:color w:val="000000" w:themeColor="text1"/>
                <w:szCs w:val="21"/>
                <w14:textFill>
                  <w14:solidFill>
                    <w14:schemeClr w14:val="tx1"/>
                  </w14:solidFill>
                </w14:textFill>
              </w:rPr>
            </w:pPr>
          </w:p>
        </w:tc>
      </w:tr>
    </w:tbl>
    <w:p>
      <w:pPr>
        <w:snapToGrid w:val="0"/>
        <w:ind w:firstLine="42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注: 1、投标报价为图书的折扣率，即实际结算价格=图书码洋价格*折扣率，如报价为70%，实际结算价格=图书码洋价格*70%。报价一经涂改，应在涂改处加盖单位公章或者由法定代表人或授权委托人签字或盖章，否则其投标作无效标处理。</w:t>
      </w:r>
    </w:p>
    <w:p>
      <w:pPr>
        <w:pStyle w:val="11"/>
        <w:ind w:firstLine="210"/>
        <w:rPr>
          <w:rFonts w:ascii="宋体" w:hAnsi="宋体" w:eastAsia="宋体" w:cs="宋体"/>
          <w:color w:val="000000" w:themeColor="text1"/>
          <w:szCs w:val="21"/>
          <w14:textFill>
            <w14:solidFill>
              <w14:schemeClr w14:val="tx1"/>
            </w14:solidFill>
          </w14:textFill>
        </w:rPr>
      </w:pPr>
    </w:p>
    <w:p>
      <w:pPr>
        <w:adjustRightInd w:val="0"/>
        <w:snapToGri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投标人全称（公章）：</w:t>
      </w:r>
    </w:p>
    <w:p>
      <w:pPr>
        <w:pStyle w:val="7"/>
        <w:rPr>
          <w:rFonts w:ascii="宋体" w:hAnsi="宋体" w:cs="宋体"/>
          <w:color w:val="000000" w:themeColor="text1"/>
          <w:szCs w:val="21"/>
          <w14:textFill>
            <w14:solidFill>
              <w14:schemeClr w14:val="tx1"/>
            </w14:solidFill>
          </w14:textFill>
        </w:rPr>
      </w:pPr>
    </w:p>
    <w:p>
      <w:pPr>
        <w:pStyle w:val="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法定代表人或授权委托人（签字或盖章）：</w:t>
      </w:r>
    </w:p>
    <w:p>
      <w:pPr>
        <w:adjustRightInd w:val="0"/>
        <w:snapToGrid w:val="0"/>
        <w:ind w:firstLine="420"/>
        <w:rPr>
          <w:rFonts w:ascii="宋体" w:hAnsi="宋体" w:cs="宋体"/>
          <w:color w:val="000000" w:themeColor="text1"/>
          <w:szCs w:val="21"/>
          <w14:textFill>
            <w14:solidFill>
              <w14:schemeClr w14:val="tx1"/>
            </w14:solidFill>
          </w14:textFill>
        </w:rPr>
      </w:pPr>
    </w:p>
    <w:p>
      <w:pPr>
        <w:adjustRightInd w:val="0"/>
        <w:snapToGrid w:val="0"/>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日期：</w:t>
      </w:r>
    </w:p>
    <w:p>
      <w:pPr>
        <w:pStyle w:val="11"/>
        <w:ind w:firstLine="0" w:firstLineChars="0"/>
        <w:jc w:val="center"/>
        <w:rPr>
          <w:rFonts w:asciiTheme="minorEastAsia" w:hAnsiTheme="minorEastAsia" w:eastAsiaTheme="minorEastAsia"/>
          <w:b/>
          <w:color w:val="000000" w:themeColor="text1"/>
          <w:sz w:val="32"/>
          <w:szCs w:val="32"/>
          <w14:textFill>
            <w14:solidFill>
              <w14:schemeClr w14:val="tx1"/>
            </w14:solidFill>
          </w14:textFill>
        </w:rPr>
      </w:pPr>
    </w:p>
    <w:p>
      <w:pPr>
        <w:adjustRightInd w:val="0"/>
        <w:snapToGrid w:val="0"/>
        <w:ind w:firstLine="0" w:firstLineChars="0"/>
        <w:rPr>
          <w:rFonts w:ascii="宋体"/>
          <w:color w:val="000000" w:themeColor="text1"/>
          <w:szCs w:val="20"/>
          <w14:textFill>
            <w14:solidFill>
              <w14:schemeClr w14:val="tx1"/>
            </w14:solidFill>
          </w14:textFill>
        </w:rPr>
      </w:pPr>
    </w:p>
    <w:p>
      <w:pPr>
        <w:adjustRightInd w:val="0"/>
        <w:snapToGrid w:val="0"/>
        <w:ind w:firstLine="0" w:firstLineChars="0"/>
        <w:rPr>
          <w:rFonts w:ascii="宋体"/>
          <w:color w:val="000000" w:themeColor="text1"/>
          <w:szCs w:val="20"/>
          <w14:textFill>
            <w14:solidFill>
              <w14:schemeClr w14:val="tx1"/>
            </w14:solidFill>
          </w14:textFill>
        </w:rPr>
      </w:pPr>
    </w:p>
    <w:p>
      <w:pPr>
        <w:widowControl/>
        <w:spacing w:line="240" w:lineRule="auto"/>
        <w:ind w:firstLine="0" w:firstLineChars="0"/>
        <w:jc w:val="left"/>
        <w:rPr>
          <w:rFonts w:ascii="宋体"/>
          <w:color w:val="000000" w:themeColor="text1"/>
          <w:sz w:val="24"/>
          <w14:textFill>
            <w14:solidFill>
              <w14:schemeClr w14:val="tx1"/>
            </w14:solidFill>
          </w14:textFill>
        </w:rPr>
      </w:pPr>
    </w:p>
    <w:p>
      <w:pPr>
        <w:widowControl/>
        <w:spacing w:line="240" w:lineRule="auto"/>
        <w:ind w:firstLine="0" w:firstLineChars="0"/>
        <w:jc w:val="left"/>
        <w:rPr>
          <w:rFonts w:ascii="宋体"/>
          <w:color w:val="000000" w:themeColor="text1"/>
          <w:sz w:val="24"/>
          <w14:textFill>
            <w14:solidFill>
              <w14:schemeClr w14:val="tx1"/>
            </w14:solidFill>
          </w14:textFill>
        </w:rPr>
      </w:pPr>
    </w:p>
    <w:p>
      <w:pPr>
        <w:pStyle w:val="5"/>
        <w:ind w:firstLine="422"/>
        <w:rPr>
          <w:color w:val="000000" w:themeColor="text1"/>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附件三诚信承诺书</w:t>
      </w:r>
    </w:p>
    <w:p>
      <w:pPr>
        <w:spacing w:line="240" w:lineRule="auto"/>
        <w:ind w:firstLine="0" w:firstLineChars="0"/>
        <w:rPr>
          <w:rFonts w:ascii="宋体"/>
          <w:color w:val="000000" w:themeColor="text1"/>
          <w:sz w:val="24"/>
          <w14:textFill>
            <w14:solidFill>
              <w14:schemeClr w14:val="tx1"/>
            </w14:solidFill>
          </w14:textFill>
        </w:rPr>
      </w:pPr>
    </w:p>
    <w:p>
      <w:pPr>
        <w:ind w:firstLine="0" w:firstLineChars="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采购诚信承诺书</w:t>
      </w:r>
    </w:p>
    <w:p>
      <w:pPr>
        <w:pStyle w:val="11"/>
        <w:ind w:firstLine="210"/>
        <w:rPr>
          <w:color w:val="000000" w:themeColor="text1"/>
          <w14:textFill>
            <w14:solidFill>
              <w14:schemeClr w14:val="tx1"/>
            </w14:solidFill>
          </w14:textFill>
        </w:rPr>
      </w:pPr>
    </w:p>
    <w:p>
      <w:pPr>
        <w:ind w:firstLine="0" w:firstLineChars="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（采购人）</w:t>
      </w:r>
      <w:r>
        <w:rPr>
          <w:rFonts w:hint="eastAsia"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u w:val="single"/>
          <w14:textFill>
            <w14:solidFill>
              <w14:schemeClr w14:val="tx1"/>
            </w14:solidFill>
          </w14:textFill>
        </w:rPr>
        <w:t>（采购代理机构）</w:t>
      </w:r>
      <w:r>
        <w:rPr>
          <w:rFonts w:hint="eastAsia" w:asciiTheme="majorEastAsia" w:hAnsiTheme="majorEastAsia" w:eastAsiaTheme="majorEastAsia" w:cstheme="majorEastAsia"/>
          <w:color w:val="000000" w:themeColor="text1"/>
          <w:szCs w:val="21"/>
          <w14:textFill>
            <w14:solidFill>
              <w14:schemeClr w14:val="tx1"/>
            </w14:solidFill>
          </w14:textFill>
        </w:rPr>
        <w:t>：</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 xml:space="preserve">  我公司</w:t>
      </w:r>
      <w:r>
        <w:rPr>
          <w:rFonts w:hint="eastAsia" w:asciiTheme="majorEastAsia" w:hAnsiTheme="majorEastAsia" w:eastAsiaTheme="majorEastAsia" w:cstheme="majorEastAsia"/>
          <w:color w:val="000000" w:themeColor="text1"/>
          <w:szCs w:val="21"/>
          <w:u w:val="single"/>
          <w14:textFill>
            <w14:solidFill>
              <w14:schemeClr w14:val="tx1"/>
            </w14:solidFill>
          </w14:textFill>
        </w:rPr>
        <w:t xml:space="preserve">            （单位名称）</w:t>
      </w:r>
      <w:r>
        <w:rPr>
          <w:rFonts w:hint="eastAsia" w:asciiTheme="majorEastAsia" w:hAnsiTheme="majorEastAsia" w:eastAsiaTheme="majorEastAsia" w:cstheme="majorEastAsia"/>
          <w:color w:val="000000" w:themeColor="text1"/>
          <w:szCs w:val="21"/>
          <w14:textFill>
            <w14:solidFill>
              <w14:schemeClr w14:val="tx1"/>
            </w14:solidFill>
          </w14:textFill>
        </w:rPr>
        <w:t>已详细阅读了项目（项目编号：）的采购文件，自愿参加该项目的采购活动，现就有关事项做出郑重承诺如下：</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一、诚信竞争，材料真实。我公司保证所提供的全部材料、内容均真实、合法、有效，保证不出借或者借用其他企业资质，不以他人名义参与采购和竞争，不弄虚作假；</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二、遵纪守法，公平竞争。不与其他单位相互串通、哄抬价格，不排挤其他单位，不损害采购人的合法权益；不向评审小组、采购人、采购代理机构提供利益以谋取中标（成交）。</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2.1不向项目有关人员及部门赠送礼金礼物、有价证券、回扣以及中介费、介绍费、咨询费等好处费；</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2.2不为项目有关人员及部门报销应由你方单位或个人支付的费用；</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2.3不向项目有关人员及部门提供有可能影响公正的宴请和健身娱乐等活动；</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2.4不为项目有关人员及部门出国（境）、旅游等提供方便；</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2.5不为项目有关人员个人装修住房、婚丧嫁娶、配偶子女工作安排等提供好处；</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2.6严格遵守政府采购法、招标投标法、民法典等法律，诚实守信，合法经营，坚决抵制各种违法违纪行为。</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三、若中标（成交）后，将按照规定及时与采购人签订采购合同，不与采购人订立有悖于采购结果的合同或协议；严格履行采购合同，不降低合同约定的产品质量和服务，不擅自变更、中止、终止合同，或者拒绝履行合同义务；</w:t>
      </w:r>
    </w:p>
    <w:p>
      <w:pPr>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若有违反以上承诺内容的行为，我公司自愿接受取消竞争资格、记入信用档案、没收参与竞争的保证金、媒体通报、1-3年内禁止参与招标采购活动等处罚；如已中标（成交）的，自动放弃中标（成交）资格，并承担全部法律责任；给采购人造成损失的，依法承担赔偿责任。</w:t>
      </w:r>
    </w:p>
    <w:p>
      <w:pPr>
        <w:spacing w:line="420" w:lineRule="auto"/>
        <w:ind w:firstLine="3595" w:firstLineChars="1712"/>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单  位 ：（盖单位公章）</w:t>
      </w:r>
    </w:p>
    <w:p>
      <w:pPr>
        <w:spacing w:line="420" w:lineRule="auto"/>
        <w:ind w:firstLine="3595" w:firstLineChars="1712"/>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法定代表人：（签字或印章）</w:t>
      </w:r>
    </w:p>
    <w:p>
      <w:pPr>
        <w:spacing w:line="420" w:lineRule="auto"/>
        <w:ind w:firstLine="3595" w:firstLineChars="1712"/>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日      期：年月日</w:t>
      </w:r>
    </w:p>
    <w:p>
      <w:pPr>
        <w:topLinePunct/>
        <w:ind w:firstLine="420"/>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（备注：允许联合体投标的项目，若以联合体形式参与采购活动的，联合体各成员应分别填写。）</w:t>
      </w:r>
    </w:p>
    <w:p>
      <w:pPr>
        <w:spacing w:line="240" w:lineRule="auto"/>
        <w:ind w:firstLine="0" w:firstLineChars="0"/>
        <w:jc w:val="center"/>
        <w:rPr>
          <w:rFonts w:ascii="宋体"/>
          <w:b/>
          <w:color w:val="000000" w:themeColor="text1"/>
          <w:spacing w:val="20"/>
          <w:sz w:val="24"/>
          <w14:textFill>
            <w14:solidFill>
              <w14:schemeClr w14:val="tx1"/>
            </w14:solidFill>
          </w14:textFill>
        </w:rPr>
      </w:pPr>
    </w:p>
    <w:p>
      <w:pPr>
        <w:spacing w:line="240" w:lineRule="auto"/>
        <w:ind w:firstLine="0" w:firstLineChars="0"/>
        <w:jc w:val="center"/>
        <w:rPr>
          <w:rFonts w:ascii="宋体"/>
          <w:b/>
          <w:color w:val="000000" w:themeColor="text1"/>
          <w:spacing w:val="20"/>
          <w:sz w:val="24"/>
          <w14:textFill>
            <w14:solidFill>
              <w14:schemeClr w14:val="tx1"/>
            </w14:solidFill>
          </w14:textFill>
        </w:rPr>
      </w:pPr>
    </w:p>
    <w:p>
      <w:pPr>
        <w:spacing w:line="240" w:lineRule="auto"/>
        <w:ind w:firstLine="0" w:firstLineChars="0"/>
        <w:jc w:val="center"/>
        <w:rPr>
          <w:rFonts w:ascii="宋体"/>
          <w:b/>
          <w:color w:val="000000" w:themeColor="text1"/>
          <w:spacing w:val="20"/>
          <w:sz w:val="24"/>
          <w14:textFill>
            <w14:solidFill>
              <w14:schemeClr w14:val="tx1"/>
            </w14:solidFill>
          </w14:textFill>
        </w:rPr>
      </w:pPr>
    </w:p>
    <w:p>
      <w:pPr>
        <w:spacing w:line="240" w:lineRule="auto"/>
        <w:ind w:firstLine="0" w:firstLineChars="0"/>
        <w:jc w:val="center"/>
        <w:rPr>
          <w:rFonts w:ascii="宋体"/>
          <w:b/>
          <w:color w:val="000000" w:themeColor="text1"/>
          <w:spacing w:val="20"/>
          <w:sz w:val="24"/>
          <w14:textFill>
            <w14:solidFill>
              <w14:schemeClr w14:val="tx1"/>
            </w14:solidFill>
          </w14:textFill>
        </w:rPr>
      </w:pPr>
    </w:p>
    <w:p>
      <w:pPr>
        <w:spacing w:line="240" w:lineRule="auto"/>
        <w:ind w:firstLine="0" w:firstLineChars="0"/>
        <w:jc w:val="center"/>
        <w:rPr>
          <w:rFonts w:ascii="宋体"/>
          <w:b/>
          <w:color w:val="000000" w:themeColor="text1"/>
          <w:spacing w:val="20"/>
          <w:sz w:val="24"/>
          <w14:textFill>
            <w14:solidFill>
              <w14:schemeClr w14:val="tx1"/>
            </w14:solidFill>
          </w14:textFill>
        </w:rPr>
      </w:pPr>
    </w:p>
    <w:p>
      <w:pPr>
        <w:ind w:firstLine="420"/>
        <w:rPr>
          <w:color w:val="000000" w:themeColor="text1"/>
          <w14:textFill>
            <w14:solidFill>
              <w14:schemeClr w14:val="tx1"/>
            </w14:solidFill>
          </w14:textFill>
        </w:rPr>
      </w:pPr>
    </w:p>
    <w:p>
      <w:pPr>
        <w:pStyle w:val="5"/>
        <w:rPr>
          <w:color w:val="000000" w:themeColor="text1"/>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附件四</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法定代表人证明书、法定代表人授权书</w:t>
      </w:r>
    </w:p>
    <w:p>
      <w:pPr>
        <w:ind w:firstLine="0" w:firstLineChars="0"/>
        <w:rPr>
          <w:rFonts w:ascii="宋体"/>
          <w:b/>
          <w:bCs/>
          <w:color w:val="000000" w:themeColor="text1"/>
          <w:szCs w:val="20"/>
          <w14:textFill>
            <w14:solidFill>
              <w14:schemeClr w14:val="tx1"/>
            </w14:solidFill>
          </w14:textFill>
        </w:rPr>
      </w:pPr>
    </w:p>
    <w:p>
      <w:pPr>
        <w:ind w:firstLine="0" w:firstLineChars="0"/>
        <w:jc w:val="center"/>
        <w:rPr>
          <w:rFonts w:ascii="宋体"/>
          <w:b/>
          <w:bCs/>
          <w:color w:val="000000" w:themeColor="text1"/>
          <w:szCs w:val="20"/>
          <w14:textFill>
            <w14:solidFill>
              <w14:schemeClr w14:val="tx1"/>
            </w14:solidFill>
          </w14:textFill>
        </w:rPr>
      </w:pPr>
      <w:r>
        <w:rPr>
          <w:rFonts w:hint="eastAsia" w:ascii="宋体" w:hAnsi="宋体"/>
          <w:b/>
          <w:bCs/>
          <w:color w:val="000000" w:themeColor="text1"/>
          <w:szCs w:val="20"/>
          <w14:textFill>
            <w14:solidFill>
              <w14:schemeClr w14:val="tx1"/>
            </w14:solidFill>
          </w14:textFill>
        </w:rPr>
        <w:t>法定代表人证明书</w:t>
      </w:r>
    </w:p>
    <w:p>
      <w:pPr>
        <w:ind w:firstLine="0" w:firstLineChars="0"/>
        <w:rPr>
          <w:rFonts w:ascii="宋体"/>
          <w:bCs/>
          <w:color w:val="000000" w:themeColor="text1"/>
          <w:szCs w:val="20"/>
          <w14:textFill>
            <w14:solidFill>
              <w14:schemeClr w14:val="tx1"/>
            </w14:solidFill>
          </w14:textFill>
        </w:rPr>
      </w:pPr>
      <w:r>
        <w:rPr>
          <w:rFonts w:hint="eastAsia" w:ascii="宋体" w:hAnsi="宋体"/>
          <w:b/>
          <w:bCs/>
          <w:color w:val="000000" w:themeColor="text1"/>
          <w:szCs w:val="20"/>
          <w14:textFill>
            <w14:solidFill>
              <w14:schemeClr w14:val="tx1"/>
            </w14:solidFill>
          </w14:textFill>
        </w:rPr>
        <w:t>中国美术学院</w:t>
      </w:r>
      <w:r>
        <w:rPr>
          <w:rFonts w:hint="eastAsia" w:ascii="宋体" w:hAnsi="宋体"/>
          <w:bCs/>
          <w:color w:val="000000" w:themeColor="text1"/>
          <w:szCs w:val="20"/>
          <w14:textFill>
            <w14:solidFill>
              <w14:schemeClr w14:val="tx1"/>
            </w14:solidFill>
          </w14:textFill>
        </w:rPr>
        <w:t>：</w:t>
      </w:r>
    </w:p>
    <w:p>
      <w:pPr>
        <w:ind w:firstLine="0" w:firstLineChars="0"/>
        <w:rPr>
          <w:rFonts w:ascii="宋体"/>
          <w:b/>
          <w:bCs/>
          <w:color w:val="000000" w:themeColor="text1"/>
          <w:szCs w:val="20"/>
          <w14:textFill>
            <w14:solidFill>
              <w14:schemeClr w14:val="tx1"/>
            </w14:solidFill>
          </w14:textFill>
        </w:rPr>
      </w:pPr>
      <w:r>
        <w:rPr>
          <w:rFonts w:hint="eastAsia" w:ascii="宋体" w:hAnsi="宋体"/>
          <w:b/>
          <w:bCs/>
          <w:color w:val="000000" w:themeColor="text1"/>
          <w:szCs w:val="20"/>
          <w14:textFill>
            <w14:solidFill>
              <w14:schemeClr w14:val="tx1"/>
            </w14:solidFill>
          </w14:textFill>
        </w:rPr>
        <w:t>浙江信镧建设工程咨询有限公司：</w:t>
      </w: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Cs/>
          <w:color w:val="000000" w:themeColor="text1"/>
          <w:szCs w:val="20"/>
          <w14:textFill>
            <w14:solidFill>
              <w14:schemeClr w14:val="tx1"/>
            </w14:solidFill>
          </w14:textFill>
        </w:rPr>
      </w:pPr>
      <w:r>
        <w:rPr>
          <w:rFonts w:ascii="宋体" w:hAnsi="宋体"/>
          <w:bCs/>
          <w:color w:val="000000" w:themeColor="text1"/>
          <w:szCs w:val="20"/>
          <w14:textFill>
            <w14:solidFill>
              <w14:schemeClr w14:val="tx1"/>
            </w14:solidFill>
          </w14:textFill>
        </w:rPr>
        <w:t xml:space="preserve">    </w:t>
      </w:r>
      <w:r>
        <w:rPr>
          <w:rFonts w:ascii="宋体" w:hAnsi="宋体"/>
          <w:bCs/>
          <w:color w:val="000000" w:themeColor="text1"/>
          <w:szCs w:val="20"/>
          <w:u w:val="single"/>
          <w14:textFill>
            <w14:solidFill>
              <w14:schemeClr w14:val="tx1"/>
            </w14:solidFill>
          </w14:textFill>
        </w:rPr>
        <w:t xml:space="preserve">            </w:t>
      </w:r>
      <w:r>
        <w:rPr>
          <w:rFonts w:hint="eastAsia" w:ascii="宋体" w:hAnsi="宋体"/>
          <w:bCs/>
          <w:color w:val="000000" w:themeColor="text1"/>
          <w:szCs w:val="20"/>
          <w14:textFill>
            <w14:solidFill>
              <w14:schemeClr w14:val="tx1"/>
            </w14:solidFill>
          </w14:textFill>
        </w:rPr>
        <w:t>同志，身份证号码：</w:t>
      </w:r>
      <w:r>
        <w:rPr>
          <w:rFonts w:ascii="宋体" w:hAnsi="宋体"/>
          <w:bCs/>
          <w:color w:val="000000" w:themeColor="text1"/>
          <w:szCs w:val="20"/>
          <w:u w:val="single"/>
          <w14:textFill>
            <w14:solidFill>
              <w14:schemeClr w14:val="tx1"/>
            </w14:solidFill>
          </w14:textFill>
        </w:rPr>
        <w:t xml:space="preserve">                   </w:t>
      </w:r>
      <w:r>
        <w:rPr>
          <w:rFonts w:hint="eastAsia" w:ascii="宋体" w:hAnsi="宋体"/>
          <w:bCs/>
          <w:color w:val="000000" w:themeColor="text1"/>
          <w:szCs w:val="20"/>
          <w14:textFill>
            <w14:solidFill>
              <w14:schemeClr w14:val="tx1"/>
            </w14:solidFill>
          </w14:textFill>
        </w:rPr>
        <w:t>，现任我单位</w:t>
      </w:r>
      <w:r>
        <w:rPr>
          <w:rFonts w:ascii="宋体" w:hAnsi="宋体"/>
          <w:bCs/>
          <w:color w:val="000000" w:themeColor="text1"/>
          <w:szCs w:val="20"/>
          <w:u w:val="single"/>
          <w14:textFill>
            <w14:solidFill>
              <w14:schemeClr w14:val="tx1"/>
            </w14:solidFill>
          </w14:textFill>
        </w:rPr>
        <w:t xml:space="preserve">            </w:t>
      </w:r>
      <w:r>
        <w:rPr>
          <w:rFonts w:hint="eastAsia" w:ascii="宋体" w:hAnsi="宋体"/>
          <w:bCs/>
          <w:color w:val="000000" w:themeColor="text1"/>
          <w:szCs w:val="20"/>
          <w14:textFill>
            <w14:solidFill>
              <w14:schemeClr w14:val="tx1"/>
            </w14:solidFill>
          </w14:textFill>
        </w:rPr>
        <w:t>职务，为我单位法定代表人，特此证明。</w:t>
      </w:r>
    </w:p>
    <w:p>
      <w:pPr>
        <w:ind w:firstLine="420"/>
        <w:rPr>
          <w:rFonts w:ascii="宋体"/>
          <w:color w:val="000000" w:themeColor="text1"/>
          <w:szCs w:val="20"/>
          <w14:textFill>
            <w14:solidFill>
              <w14:schemeClr w14:val="tx1"/>
            </w14:solidFill>
          </w14:textFill>
        </w:rPr>
      </w:pPr>
    </w:p>
    <w:p>
      <w:pPr>
        <w:ind w:firstLine="420"/>
        <w:rPr>
          <w:rFonts w:ascii="宋体"/>
          <w:color w:val="000000" w:themeColor="text1"/>
          <w:szCs w:val="20"/>
          <w14:textFill>
            <w14:solidFill>
              <w14:schemeClr w14:val="tx1"/>
            </w14:solidFill>
          </w14:textFill>
        </w:rPr>
      </w:pP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投标人（公章）：</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法定代表人签字或盖章：</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电话：</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日期：</w:t>
      </w:r>
    </w:p>
    <w:p>
      <w:pPr>
        <w:ind w:firstLine="420"/>
        <w:rPr>
          <w:rFonts w:ascii="宋体"/>
          <w:color w:val="000000" w:themeColor="text1"/>
          <w:szCs w:val="20"/>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219710</wp:posOffset>
                </wp:positionH>
                <wp:positionV relativeFrom="paragraph">
                  <wp:posOffset>129540</wp:posOffset>
                </wp:positionV>
                <wp:extent cx="5638800" cy="3033395"/>
                <wp:effectExtent l="4445" t="4445" r="14605" b="10160"/>
                <wp:wrapNone/>
                <wp:docPr id="2" name="文本框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wps:txbx>
                      <wps:bodyPr upright="1"/>
                    </wps:wsp>
                  </a:graphicData>
                </a:graphic>
              </wp:anchor>
            </w:drawing>
          </mc:Choice>
          <mc:Fallback>
            <w:pict>
              <v:shape id="文本框 3" o:spid="_x0000_s1026" o:spt="202" type="#_x0000_t202" style="position:absolute;left:0pt;margin-left:17.3pt;margin-top:10.2pt;height:238.85pt;width:444pt;z-index:251660288;mso-width-relative:page;mso-height-relative:page;" fillcolor="#FFFFFF" filled="t" stroked="t" coordsize="21600,21600" o:gfxdata="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KGOK2AAAAAkBAAAPAAAAAAAAAAEAIAAA&#10;ACIAAABkcnMvZG93bnJldi54bWxQSwECFAAUAAAACACHTuJAl6bF4AwCAAA3BAAADgAAAAAAAAAB&#10;ACAAAAAnAQAAZHJzL2Uyb0RvYy54bWxQSwUGAAAAAAYABgBZAQAApQU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法定代表人</w:t>
                      </w:r>
                      <w:r>
                        <w:rPr>
                          <w:rFonts w:hint="eastAsia" w:ascii="宋体" w:hAnsi="宋体"/>
                          <w:szCs w:val="21"/>
                        </w:rPr>
                        <w:t>身份证正反面复印件</w:t>
                      </w:r>
                    </w:p>
                    <w:p>
                      <w:pPr>
                        <w:ind w:firstLine="600"/>
                        <w:rPr>
                          <w:rFonts w:ascii="仿宋_GB2312" w:hAnsi="宋体" w:eastAsia="仿宋_GB2312"/>
                          <w:sz w:val="30"/>
                        </w:rPr>
                      </w:pPr>
                    </w:p>
                    <w:p>
                      <w:pPr>
                        <w:ind w:firstLine="600"/>
                        <w:rPr>
                          <w:rFonts w:ascii="仿宋_GB2312" w:hAnsi="宋体" w:eastAsia="仿宋_GB2312"/>
                          <w:sz w:val="30"/>
                        </w:rPr>
                      </w:pPr>
                    </w:p>
                    <w:p>
                      <w:pPr>
                        <w:ind w:firstLine="600"/>
                        <w:rPr>
                          <w:rFonts w:ascii="仿宋_GB2312" w:hAnsi="宋体" w:eastAsia="仿宋_GB2312"/>
                          <w:sz w:val="30"/>
                        </w:rPr>
                      </w:pPr>
                    </w:p>
                  </w:txbxContent>
                </v:textbox>
              </v:shape>
            </w:pict>
          </mc:Fallback>
        </mc:AlternateContent>
      </w:r>
    </w:p>
    <w:p>
      <w:pPr>
        <w:ind w:firstLine="420"/>
        <w:rPr>
          <w:rFonts w:ascii="宋体"/>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rPr>
          <w:rFonts w:ascii="宋体"/>
          <w:b/>
          <w:bCs/>
          <w:color w:val="000000" w:themeColor="text1"/>
          <w:szCs w:val="20"/>
          <w14:textFill>
            <w14:solidFill>
              <w14:schemeClr w14:val="tx1"/>
            </w14:solidFill>
          </w14:textFill>
        </w:rPr>
      </w:pPr>
    </w:p>
    <w:p>
      <w:pPr>
        <w:ind w:firstLine="0" w:firstLineChars="0"/>
        <w:jc w:val="center"/>
        <w:rPr>
          <w:rFonts w:ascii="宋体"/>
          <w:b/>
          <w:bCs/>
          <w:color w:val="000000" w:themeColor="text1"/>
          <w:szCs w:val="20"/>
          <w14:textFill>
            <w14:solidFill>
              <w14:schemeClr w14:val="tx1"/>
            </w14:solidFill>
          </w14:textFill>
        </w:rPr>
      </w:pPr>
      <w:r>
        <w:rPr>
          <w:b/>
          <w:color w:val="000000" w:themeColor="text1"/>
          <w14:textFill>
            <w14:solidFill>
              <w14:schemeClr w14:val="tx1"/>
            </w14:solidFill>
          </w14:textFill>
        </w:rPr>
        <w:br w:type="page"/>
      </w:r>
      <w:r>
        <w:rPr>
          <w:rFonts w:hint="eastAsia"/>
          <w:b/>
          <w:color w:val="000000" w:themeColor="text1"/>
          <w14:textFill>
            <w14:solidFill>
              <w14:schemeClr w14:val="tx1"/>
            </w14:solidFill>
          </w14:textFill>
        </w:rPr>
        <w:t>法定代表人授权书</w:t>
      </w:r>
    </w:p>
    <w:p>
      <w:pPr>
        <w:ind w:firstLine="0" w:firstLineChars="0"/>
        <w:rPr>
          <w:rFonts w:ascii="宋体"/>
          <w:color w:val="000000" w:themeColor="text1"/>
          <w:szCs w:val="20"/>
          <w14:textFill>
            <w14:solidFill>
              <w14:schemeClr w14:val="tx1"/>
            </w14:solidFill>
          </w14:textFill>
        </w:rPr>
      </w:pPr>
      <w:r>
        <w:rPr>
          <w:rFonts w:hint="eastAsia" w:ascii="宋体" w:hAnsi="宋体"/>
          <w:b/>
          <w:bCs/>
          <w:color w:val="000000" w:themeColor="text1"/>
          <w:szCs w:val="20"/>
          <w14:textFill>
            <w14:solidFill>
              <w14:schemeClr w14:val="tx1"/>
            </w14:solidFill>
          </w14:textFill>
        </w:rPr>
        <w:t>中国美术学院</w:t>
      </w:r>
      <w:r>
        <w:rPr>
          <w:rFonts w:hint="eastAsia" w:ascii="宋体" w:hAnsi="宋体"/>
          <w:color w:val="000000" w:themeColor="text1"/>
          <w:szCs w:val="20"/>
          <w14:textFill>
            <w14:solidFill>
              <w14:schemeClr w14:val="tx1"/>
            </w14:solidFill>
          </w14:textFill>
        </w:rPr>
        <w:t>：</w:t>
      </w:r>
    </w:p>
    <w:p>
      <w:pPr>
        <w:ind w:firstLine="0" w:firstLineChars="0"/>
        <w:rPr>
          <w:rFonts w:ascii="宋体"/>
          <w:b/>
          <w:bCs/>
          <w:color w:val="000000" w:themeColor="text1"/>
          <w:szCs w:val="20"/>
          <w14:textFill>
            <w14:solidFill>
              <w14:schemeClr w14:val="tx1"/>
            </w14:solidFill>
          </w14:textFill>
        </w:rPr>
      </w:pPr>
      <w:r>
        <w:rPr>
          <w:rFonts w:hint="eastAsia" w:ascii="宋体" w:hAnsi="宋体"/>
          <w:b/>
          <w:bCs/>
          <w:color w:val="000000" w:themeColor="text1"/>
          <w:szCs w:val="20"/>
          <w14:textFill>
            <w14:solidFill>
              <w14:schemeClr w14:val="tx1"/>
            </w14:solidFill>
          </w14:textFill>
        </w:rPr>
        <w:t>浙江信镧建设工程咨询有限公司：</w:t>
      </w:r>
    </w:p>
    <w:p>
      <w:pPr>
        <w:ind w:firstLine="630" w:firstLineChars="30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我以</w:t>
      </w:r>
      <w:r>
        <w:rPr>
          <w:rFonts w:ascii="宋体" w:hAnsi="宋体"/>
          <w:color w:val="000000" w:themeColor="text1"/>
          <w:szCs w:val="20"/>
          <w:u w:val="single"/>
          <w14:textFill>
            <w14:solidFill>
              <w14:schemeClr w14:val="tx1"/>
            </w14:solidFill>
          </w14:textFill>
        </w:rPr>
        <w:t xml:space="preserve">                        </w:t>
      </w:r>
      <w:r>
        <w:rPr>
          <w:rFonts w:hint="eastAsia" w:ascii="宋体" w:hAnsi="宋体"/>
          <w:color w:val="000000" w:themeColor="text1"/>
          <w:szCs w:val="20"/>
          <w14:textFill>
            <w14:solidFill>
              <w14:schemeClr w14:val="tx1"/>
            </w14:solidFill>
          </w14:textFill>
        </w:rPr>
        <w:t>（投标人全称）法定代表人的身份授权</w:t>
      </w:r>
      <w:r>
        <w:rPr>
          <w:rFonts w:ascii="宋体" w:hAnsi="宋体"/>
          <w:color w:val="000000" w:themeColor="text1"/>
          <w:szCs w:val="20"/>
          <w:u w:val="single"/>
          <w14:textFill>
            <w14:solidFill>
              <w14:schemeClr w14:val="tx1"/>
            </w14:solidFill>
          </w14:textFill>
        </w:rPr>
        <w:t xml:space="preserve">          </w:t>
      </w:r>
      <w:r>
        <w:rPr>
          <w:rFonts w:hint="eastAsia" w:ascii="宋体" w:hAnsi="宋体"/>
          <w:color w:val="000000" w:themeColor="text1"/>
          <w:szCs w:val="20"/>
          <w14:textFill>
            <w14:solidFill>
              <w14:schemeClr w14:val="tx1"/>
            </w14:solidFill>
          </w14:textFill>
        </w:rPr>
        <w:t>（授权委托人姓名）、身份证号</w:t>
      </w:r>
      <w:r>
        <w:rPr>
          <w:rFonts w:ascii="宋体"/>
          <w:color w:val="000000" w:themeColor="text1"/>
          <w:szCs w:val="20"/>
          <w:u w:val="single"/>
          <w14:textFill>
            <w14:solidFill>
              <w14:schemeClr w14:val="tx1"/>
            </w14:solidFill>
          </w14:textFill>
        </w:rPr>
        <w:tab/>
      </w:r>
      <w:r>
        <w:rPr>
          <w:rFonts w:ascii="宋体"/>
          <w:color w:val="000000" w:themeColor="text1"/>
          <w:szCs w:val="20"/>
          <w:u w:val="single"/>
          <w14:textFill>
            <w14:solidFill>
              <w14:schemeClr w14:val="tx1"/>
            </w14:solidFill>
          </w14:textFill>
        </w:rPr>
        <w:tab/>
      </w:r>
      <w:r>
        <w:rPr>
          <w:rFonts w:ascii="宋体" w:hAnsi="宋体"/>
          <w:color w:val="000000" w:themeColor="text1"/>
          <w:szCs w:val="20"/>
          <w:u w:val="single"/>
          <w14:textFill>
            <w14:solidFill>
              <w14:schemeClr w14:val="tx1"/>
            </w14:solidFill>
          </w14:textFill>
        </w:rPr>
        <w:t xml:space="preserve">                 </w:t>
      </w:r>
      <w:r>
        <w:rPr>
          <w:rFonts w:ascii="宋体" w:hAnsi="宋体"/>
          <w:color w:val="000000" w:themeColor="text1"/>
          <w:szCs w:val="20"/>
          <w14:textFill>
            <w14:solidFill>
              <w14:schemeClr w14:val="tx1"/>
            </w14:solidFill>
          </w14:textFill>
        </w:rPr>
        <w:t xml:space="preserve"> </w:t>
      </w:r>
      <w:r>
        <w:rPr>
          <w:rFonts w:hint="eastAsia" w:ascii="宋体" w:hAnsi="宋体"/>
          <w:color w:val="000000" w:themeColor="text1"/>
          <w:szCs w:val="20"/>
          <w14:textFill>
            <w14:solidFill>
              <w14:schemeClr w14:val="tx1"/>
            </w14:solidFill>
          </w14:textFill>
        </w:rPr>
        <w:t>，为我单位的授权委托人，参加贵处组织的</w:t>
      </w:r>
      <w:r>
        <w:rPr>
          <w:rFonts w:hint="eastAsia" w:ascii="宋体" w:hAnsi="宋体"/>
          <w:b/>
          <w:color w:val="000000" w:themeColor="text1"/>
          <w:u w:val="single"/>
          <w14:textFill>
            <w14:solidFill>
              <w14:schemeClr w14:val="tx1"/>
            </w14:solidFill>
          </w14:textFill>
        </w:rPr>
        <w:t>2021级本科新生教材采购(非政府）</w:t>
      </w:r>
      <w:r>
        <w:rPr>
          <w:rFonts w:hint="eastAsia" w:ascii="宋体" w:hAnsi="宋体"/>
          <w:color w:val="000000" w:themeColor="text1"/>
          <w:szCs w:val="20"/>
          <w14:textFill>
            <w14:solidFill>
              <w14:schemeClr w14:val="tx1"/>
            </w14:solidFill>
          </w14:textFill>
        </w:rPr>
        <w:t>（招标编号：</w:t>
      </w:r>
      <w:r>
        <w:rPr>
          <w:rFonts w:ascii="宋体" w:hAnsi="宋体"/>
          <w:color w:val="000000" w:themeColor="text1"/>
          <w:szCs w:val="20"/>
          <w14:textFill>
            <w14:solidFill>
              <w14:schemeClr w14:val="tx1"/>
            </w14:solidFill>
          </w14:textFill>
        </w:rPr>
        <w:t xml:space="preserve">             </w:t>
      </w:r>
      <w:r>
        <w:rPr>
          <w:rFonts w:hint="eastAsia" w:ascii="宋体" w:hAnsi="宋体"/>
          <w:color w:val="000000" w:themeColor="text1"/>
          <w:szCs w:val="20"/>
          <w14:textFill>
            <w14:solidFill>
              <w14:schemeClr w14:val="tx1"/>
            </w14:solidFill>
          </w14:textFill>
        </w:rPr>
        <w:t>）的采购，全权处理采购活动中的一切事宜，我单位均予承认。</w:t>
      </w:r>
    </w:p>
    <w:p>
      <w:pPr>
        <w:ind w:firstLine="420"/>
        <w:rPr>
          <w:rFonts w:ascii="宋体"/>
          <w:color w:val="000000" w:themeColor="text1"/>
          <w:szCs w:val="20"/>
          <w14:textFill>
            <w14:solidFill>
              <w14:schemeClr w14:val="tx1"/>
            </w14:solidFill>
          </w14:textFill>
        </w:rPr>
      </w:pP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投标人（公章）：</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法定代表人签字或盖章：</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电话：</w:t>
      </w:r>
    </w:p>
    <w:p>
      <w:pPr>
        <w:ind w:firstLine="42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日期：</w:t>
      </w:r>
    </w:p>
    <w:p>
      <w:pPr>
        <w:ind w:firstLine="0" w:firstLineChars="0"/>
        <w:rPr>
          <w:rFonts w:ascii="宋体"/>
          <w:b/>
          <w:color w:val="000000" w:themeColor="text1"/>
          <w:szCs w:val="20"/>
          <w14:textFill>
            <w14:solidFill>
              <w14:schemeClr w14:val="tx1"/>
            </w14:solidFill>
          </w14:textFill>
        </w:rPr>
      </w:pPr>
    </w:p>
    <w:p>
      <w:pPr>
        <w:ind w:firstLine="0" w:firstLineChars="0"/>
        <w:rPr>
          <w:rFonts w:ascii="宋体"/>
          <w:b/>
          <w:color w:val="000000" w:themeColor="text1"/>
          <w:szCs w:val="20"/>
          <w14:textFill>
            <w14:solidFill>
              <w14:schemeClr w14:val="tx1"/>
            </w14:solidFill>
          </w14:textFill>
        </w:rPr>
      </w:pPr>
    </w:p>
    <w:p>
      <w:pPr>
        <w:ind w:firstLine="0" w:firstLineChars="0"/>
        <w:rPr>
          <w:rFonts w:ascii="宋体"/>
          <w:b/>
          <w:color w:val="000000" w:themeColor="text1"/>
          <w:szCs w:val="20"/>
          <w14:textFill>
            <w14:solidFill>
              <w14:schemeClr w14:val="tx1"/>
            </w14:solidFill>
          </w14:textFill>
        </w:rPr>
      </w:pPr>
      <w:r>
        <w:rPr>
          <w:rFonts w:hint="eastAsia" w:ascii="宋体" w:hAnsi="宋体"/>
          <w:b/>
          <w:color w:val="000000" w:themeColor="text1"/>
          <w:szCs w:val="20"/>
          <w14:textFill>
            <w14:solidFill>
              <w14:schemeClr w14:val="tx1"/>
            </w14:solidFill>
          </w14:textFill>
        </w:rPr>
        <w:t>授权委托人身份证复印件：</w:t>
      </w:r>
    </w:p>
    <w:p>
      <w:pPr>
        <w:adjustRightInd w:val="0"/>
        <w:snapToGrid w:val="0"/>
        <w:ind w:firstLine="0" w:firstLineChars="0"/>
        <w:rPr>
          <w:rFonts w:ascii="宋体"/>
          <w:color w:val="000000" w:themeColor="text1"/>
          <w:sz w:val="2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201295</wp:posOffset>
                </wp:positionV>
                <wp:extent cx="5638800" cy="3033395"/>
                <wp:effectExtent l="4445" t="4445" r="14605" b="10160"/>
                <wp:wrapNone/>
                <wp:docPr id="3" name="Text Box 3"/>
                <wp:cNvGraphicFramePr/>
                <a:graphic xmlns:a="http://schemas.openxmlformats.org/drawingml/2006/main">
                  <a:graphicData uri="http://schemas.microsoft.com/office/word/2010/wordprocessingShape">
                    <wps:wsp>
                      <wps:cNvSpPr txBox="1"/>
                      <wps:spPr>
                        <a:xfrm>
                          <a:off x="0" y="0"/>
                          <a:ext cx="5638800" cy="303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wps:txbx>
                      <wps:bodyPr upright="1"/>
                    </wps:wsp>
                  </a:graphicData>
                </a:graphic>
              </wp:anchor>
            </w:drawing>
          </mc:Choice>
          <mc:Fallback>
            <w:pict>
              <v:shape id="Text Box 3" o:spid="_x0000_s1026" o:spt="202" type="#_x0000_t202" style="position:absolute;left:0pt;margin-left:16.55pt;margin-top:15.85pt;height:238.85pt;width:444pt;z-index:251660288;mso-width-relative:page;mso-height-relative:page;" fillcolor="#FFFFFF" filled="t" stroked="t" coordsize="21600,21600" o:gfxdata="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TDiPNkAAAAJAQAADwAAAAAAAAABACAAAAAiAAAAZHJzL2Rvd25yZXYu&#10;eG1sUEsBAhQAFAAAAAgAh07iQI+stDX6AQAANgQAAA4AAAAAAAAAAQAgAAAAKAEAAGRycy9lMm9E&#10;b2MueG1sUEsFBgAAAAAGAAYAWQEAAJQFAAAAAA==&#10;">
                <v:fill on="t" focussize="0,0"/>
                <v:stroke color="#000000" joinstyle="miter"/>
                <v:imagedata o:title=""/>
                <o:lock v:ext="edit" aspectratio="f"/>
                <v:textbox>
                  <w:txbxContent>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rPr>
                          <w:rFonts w:ascii="新宋体" w:hAnsi="新宋体" w:eastAsia="新宋体"/>
                          <w:sz w:val="22"/>
                          <w:szCs w:val="22"/>
                        </w:rPr>
                      </w:pPr>
                    </w:p>
                    <w:p>
                      <w:pPr>
                        <w:ind w:firstLine="440"/>
                        <w:jc w:val="center"/>
                        <w:rPr>
                          <w:rFonts w:ascii="仿宋_GB2312" w:hAnsi="宋体" w:eastAsia="仿宋_GB2312"/>
                          <w:sz w:val="30"/>
                        </w:rPr>
                      </w:pPr>
                      <w:r>
                        <w:rPr>
                          <w:rFonts w:hint="eastAsia" w:ascii="新宋体" w:hAnsi="新宋体" w:eastAsia="新宋体"/>
                          <w:sz w:val="22"/>
                          <w:szCs w:val="22"/>
                        </w:rPr>
                        <w:t>授权委托人</w:t>
                      </w:r>
                      <w:r>
                        <w:rPr>
                          <w:rFonts w:hint="eastAsia" w:ascii="宋体" w:hAnsi="宋体"/>
                          <w:szCs w:val="21"/>
                        </w:rPr>
                        <w:t>身份证正反面复印件</w:t>
                      </w:r>
                      <w:r>
                        <w:rPr>
                          <w:rFonts w:hint="eastAsia" w:ascii="仿宋_GB2312" w:hAnsi="宋体" w:eastAsia="仿宋_GB2312"/>
                          <w:sz w:val="30"/>
                        </w:rPr>
                        <w:t>：</w:t>
                      </w:r>
                    </w:p>
                    <w:p>
                      <w:pPr>
                        <w:ind w:firstLine="600"/>
                        <w:rPr>
                          <w:rFonts w:ascii="仿宋_GB2312" w:hAnsi="宋体" w:eastAsia="仿宋_GB2312"/>
                          <w:sz w:val="30"/>
                        </w:rPr>
                      </w:pPr>
                    </w:p>
                    <w:p>
                      <w:pPr>
                        <w:ind w:firstLine="600"/>
                        <w:rPr>
                          <w:rFonts w:ascii="仿宋_GB2312" w:hAnsi="宋体" w:eastAsia="仿宋_GB2312"/>
                          <w:sz w:val="30"/>
                        </w:rPr>
                      </w:pPr>
                    </w:p>
                    <w:p>
                      <w:pPr>
                        <w:ind w:firstLine="420"/>
                      </w:pPr>
                    </w:p>
                  </w:txbxContent>
                </v:textbox>
              </v:shape>
            </w:pict>
          </mc:Fallback>
        </mc:AlternateContent>
      </w: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adjustRightInd w:val="0"/>
        <w:snapToGrid w:val="0"/>
        <w:ind w:firstLine="0" w:firstLineChars="0"/>
        <w:rPr>
          <w:rFonts w:ascii="宋体"/>
          <w:color w:val="000000" w:themeColor="text1"/>
          <w:sz w:val="24"/>
          <w14:textFill>
            <w14:solidFill>
              <w14:schemeClr w14:val="tx1"/>
            </w14:solidFill>
          </w14:textFill>
        </w:rPr>
      </w:pPr>
    </w:p>
    <w:p>
      <w:pPr>
        <w:ind w:firstLine="0" w:firstLineChars="0"/>
        <w:rPr>
          <w:rFonts w:ascii="宋体"/>
          <w:b/>
          <w:color w:val="000000" w:themeColor="text1"/>
          <w:spacing w:val="20"/>
          <w:sz w:val="24"/>
          <w14:textFill>
            <w14:solidFill>
              <w14:schemeClr w14:val="tx1"/>
            </w14:solidFill>
          </w14:textFill>
        </w:rPr>
        <w:sectPr>
          <w:pgSz w:w="11907" w:h="16840"/>
          <w:pgMar w:top="1247" w:right="1304" w:bottom="1021" w:left="1304" w:header="720" w:footer="720" w:gutter="0"/>
          <w:cols w:space="720" w:num="1"/>
          <w:docGrid w:linePitch="286" w:charSpace="0"/>
        </w:sectPr>
      </w:pPr>
    </w:p>
    <w:p>
      <w:pPr>
        <w:pStyle w:val="5"/>
        <w:rPr>
          <w:rFonts w:hAnsi="宋体"/>
          <w:color w:val="000000" w:themeColor="text1"/>
          <w:spacing w:val="20"/>
          <w14:textFill>
            <w14:solidFill>
              <w14:schemeClr w14:val="tx1"/>
            </w14:solidFill>
          </w14:textFill>
        </w:rPr>
      </w:pPr>
      <w:r>
        <w:rPr>
          <w:rFonts w:hint="eastAsia"/>
          <w:color w:val="000000" w:themeColor="text1"/>
          <w14:textFill>
            <w14:solidFill>
              <w14:schemeClr w14:val="tx1"/>
            </w14:solidFill>
          </w14:textFill>
        </w:rPr>
        <w:t>附件五</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商务条款偏离表</w:t>
      </w:r>
    </w:p>
    <w:p>
      <w:pPr>
        <w:ind w:firstLine="0" w:firstLineChars="0"/>
        <w:rPr>
          <w:rFonts w:ascii="宋体"/>
          <w:color w:val="000000" w:themeColor="text1"/>
          <w:spacing w:val="20"/>
          <w14:textFill>
            <w14:solidFill>
              <w14:schemeClr w14:val="tx1"/>
            </w14:solidFill>
          </w14:textFill>
        </w:rPr>
      </w:pPr>
    </w:p>
    <w:p>
      <w:pPr>
        <w:ind w:firstLine="0" w:firstLineChars="0"/>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招标项目名称：</w:t>
      </w:r>
      <w:r>
        <w:rPr>
          <w:rFonts w:ascii="宋体" w:hAnsi="宋体"/>
          <w:color w:val="000000" w:themeColor="text1"/>
          <w:spacing w:val="20"/>
          <w:u w:val="single"/>
          <w14:textFill>
            <w14:solidFill>
              <w14:schemeClr w14:val="tx1"/>
            </w14:solidFill>
          </w14:textFill>
        </w:rPr>
        <w:t xml:space="preserve">                      </w:t>
      </w:r>
      <w:r>
        <w:rPr>
          <w:rFonts w:ascii="宋体" w:hAnsi="宋体"/>
          <w:color w:val="000000" w:themeColor="text1"/>
          <w:spacing w:val="20"/>
          <w14:textFill>
            <w14:solidFill>
              <w14:schemeClr w14:val="tx1"/>
            </w14:solidFill>
          </w14:textFill>
        </w:rPr>
        <w:t xml:space="preserve">    </w:t>
      </w:r>
      <w:r>
        <w:rPr>
          <w:rFonts w:hint="eastAsia" w:ascii="宋体" w:hAnsi="宋体"/>
          <w:color w:val="000000" w:themeColor="text1"/>
          <w:spacing w:val="20"/>
          <w14:textFill>
            <w14:solidFill>
              <w14:schemeClr w14:val="tx1"/>
            </w14:solidFill>
          </w14:textFill>
        </w:rPr>
        <w:t>招标编号：</w:t>
      </w:r>
      <w:r>
        <w:rPr>
          <w:rFonts w:ascii="宋体" w:hAnsi="宋体"/>
          <w:color w:val="000000" w:themeColor="text1"/>
          <w:spacing w:val="20"/>
          <w:u w:val="single"/>
          <w14:textFill>
            <w14:solidFill>
              <w14:schemeClr w14:val="tx1"/>
            </w14:solidFill>
          </w14:textFill>
        </w:rPr>
        <w:t xml:space="preserve">              </w:t>
      </w:r>
      <w:r>
        <w:rPr>
          <w:rFonts w:ascii="宋体" w:hAnsi="宋体"/>
          <w:color w:val="000000" w:themeColor="text1"/>
          <w:spacing w:val="20"/>
          <w14:textFill>
            <w14:solidFill>
              <w14:schemeClr w14:val="tx1"/>
            </w14:solidFill>
          </w14:textFill>
        </w:rPr>
        <w:t xml:space="preserve">    </w:t>
      </w:r>
    </w:p>
    <w:tbl>
      <w:tblPr>
        <w:tblStyle w:val="22"/>
        <w:tblW w:w="13860" w:type="dxa"/>
        <w:tblInd w:w="21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2520"/>
        <w:gridCol w:w="2520"/>
        <w:gridCol w:w="5250"/>
        <w:gridCol w:w="231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序号</w:t>
            </w:r>
          </w:p>
        </w:tc>
        <w:tc>
          <w:tcPr>
            <w:tcW w:w="2520"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内</w:t>
            </w:r>
            <w:r>
              <w:rPr>
                <w:rFonts w:ascii="宋体" w:hAnsi="宋体"/>
                <w:color w:val="000000" w:themeColor="text1"/>
                <w:spacing w:val="20"/>
                <w14:textFill>
                  <w14:solidFill>
                    <w14:schemeClr w14:val="tx1"/>
                  </w14:solidFill>
                </w14:textFill>
              </w:rPr>
              <w:t xml:space="preserve"> </w:t>
            </w:r>
            <w:r>
              <w:rPr>
                <w:rFonts w:hint="eastAsia" w:ascii="宋体" w:hAnsi="宋体"/>
                <w:color w:val="000000" w:themeColor="text1"/>
                <w:spacing w:val="20"/>
                <w14:textFill>
                  <w14:solidFill>
                    <w14:schemeClr w14:val="tx1"/>
                  </w14:solidFill>
                </w14:textFill>
              </w:rPr>
              <w:t>容</w:t>
            </w:r>
          </w:p>
        </w:tc>
        <w:tc>
          <w:tcPr>
            <w:tcW w:w="2520"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招标要求</w:t>
            </w:r>
          </w:p>
        </w:tc>
        <w:tc>
          <w:tcPr>
            <w:tcW w:w="5250"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投标响应</w:t>
            </w:r>
          </w:p>
        </w:tc>
        <w:tc>
          <w:tcPr>
            <w:tcW w:w="2310"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vAlign w:val="center"/>
          </w:tcPr>
          <w:p>
            <w:pPr>
              <w:ind w:firstLine="0" w:firstLineChars="0"/>
              <w:jc w:val="center"/>
              <w:rPr>
                <w:rFonts w:ascii="宋体"/>
                <w:color w:val="000000" w:themeColor="text1"/>
                <w:spacing w:val="20"/>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260" w:type="dxa"/>
            <w:tcBorders>
              <w:bottom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tcBorders>
              <w:bottom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p>
        </w:tc>
        <w:tc>
          <w:tcPr>
            <w:tcW w:w="2520" w:type="dxa"/>
            <w:tcBorders>
              <w:bottom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p>
        </w:tc>
        <w:tc>
          <w:tcPr>
            <w:tcW w:w="5250" w:type="dxa"/>
            <w:tcBorders>
              <w:bottom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p>
        </w:tc>
        <w:tc>
          <w:tcPr>
            <w:tcW w:w="2310" w:type="dxa"/>
            <w:tcBorders>
              <w:bottom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p>
        </w:tc>
      </w:tr>
    </w:tbl>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注：此表不填或填写为无偏离，视为完全响应招标要求。</w:t>
      </w: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r>
        <w:rPr>
          <w:rFonts w:ascii="宋体" w:hAnsi="宋体"/>
          <w:color w:val="000000" w:themeColor="text1"/>
          <w:szCs w:val="21"/>
          <w14:textFill>
            <w14:solidFill>
              <w14:schemeClr w14:val="tx1"/>
            </w14:solidFill>
          </w14:textFill>
        </w:rPr>
        <w:t xml:space="preserve">                               </w:t>
      </w: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授权委托人（签字</w:t>
      </w:r>
      <w:r>
        <w:rPr>
          <w:rFonts w:hint="eastAsia"/>
          <w:color w:val="000000" w:themeColor="text1"/>
          <w14:textFill>
            <w14:solidFill>
              <w14:schemeClr w14:val="tx1"/>
            </w14:solidFill>
          </w14:textFill>
        </w:rPr>
        <w:t>或盖章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spacing w:line="240" w:lineRule="auto"/>
        <w:ind w:firstLine="210" w:firstLineChars="100"/>
        <w:rPr>
          <w:rFonts w:ascii="宋体"/>
          <w:b/>
          <w:color w:val="000000" w:themeColor="text1"/>
          <w:spacing w:val="20"/>
          <w:sz w:val="24"/>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ind w:firstLine="420"/>
        <w:rPr>
          <w:color w:val="000000" w:themeColor="text1"/>
          <w14:textFill>
            <w14:solidFill>
              <w14:schemeClr w14:val="tx1"/>
            </w14:solidFill>
          </w14:textFill>
        </w:rPr>
      </w:pPr>
    </w:p>
    <w:p>
      <w:pPr>
        <w:ind w:firstLine="562"/>
        <w:rPr>
          <w:rFonts w:ascii="宋体"/>
          <w:b/>
          <w:color w:val="000000" w:themeColor="text1"/>
          <w:spacing w:val="20"/>
          <w:sz w:val="24"/>
          <w14:textFill>
            <w14:solidFill>
              <w14:schemeClr w14:val="tx1"/>
            </w14:solidFill>
          </w14:textFill>
        </w:rPr>
        <w:sectPr>
          <w:pgSz w:w="16840" w:h="11907" w:orient="landscape"/>
          <w:pgMar w:top="1304" w:right="1247" w:bottom="1304" w:left="1021" w:header="720" w:footer="720" w:gutter="0"/>
          <w:cols w:space="720" w:num="1"/>
        </w:sectPr>
      </w:pPr>
    </w:p>
    <w:p>
      <w:pPr>
        <w:pStyle w:val="5"/>
        <w:rPr>
          <w:color w:val="000000" w:themeColor="text1"/>
          <w14:textFill>
            <w14:solidFill>
              <w14:schemeClr w14:val="tx1"/>
            </w14:solidFill>
          </w14:textFill>
        </w:rPr>
      </w:pPr>
      <w:r>
        <w:rPr>
          <w:rFonts w:hint="eastAsia"/>
          <w:color w:val="000000" w:themeColor="text1"/>
          <w14:textFill>
            <w14:solidFill>
              <w14:schemeClr w14:val="tx1"/>
            </w14:solidFill>
          </w14:textFill>
        </w:rPr>
        <w:t>附件六</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服务内容及服务标准</w:t>
      </w:r>
    </w:p>
    <w:p>
      <w:pPr>
        <w:ind w:firstLine="420"/>
        <w:rPr>
          <w:color w:val="000000" w:themeColor="text1"/>
          <w14:textFill>
            <w14:solidFill>
              <w14:schemeClr w14:val="tx1"/>
            </w14:solidFill>
          </w14:textFill>
        </w:rPr>
      </w:pP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格式可由投标人自行编制</w:t>
      </w:r>
    </w:p>
    <w:tbl>
      <w:tblPr>
        <w:tblStyle w:val="22"/>
        <w:tblW w:w="900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2160"/>
        <w:gridCol w:w="1980"/>
        <w:gridCol w:w="27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216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序号</w:t>
            </w: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服务项目</w:t>
            </w:r>
          </w:p>
        </w:tc>
        <w:tc>
          <w:tcPr>
            <w:tcW w:w="1980" w:type="dxa"/>
            <w:tcBorders>
              <w:top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服务内容</w:t>
            </w:r>
          </w:p>
        </w:tc>
        <w:tc>
          <w:tcPr>
            <w:tcW w:w="2700" w:type="dxa"/>
            <w:tcBorders>
              <w:top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服务标准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2160" w:type="dxa"/>
            <w:tcBorders>
              <w:top w:val="double" w:color="auto" w:sz="4" w:space="0"/>
            </w:tcBorders>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tcBorders>
              <w:top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000000" w:themeColor="text1"/>
                <w:szCs w:val="21"/>
                <w14:textFill>
                  <w14:solidFill>
                    <w14:schemeClr w14:val="tx1"/>
                  </w14:solidFill>
                </w14:textFill>
              </w:rPr>
            </w:pPr>
          </w:p>
        </w:tc>
        <w:tc>
          <w:tcPr>
            <w:tcW w:w="2700" w:type="dxa"/>
            <w:tcBorders>
              <w:top w:val="double" w:color="auto" w:sz="4" w:space="0"/>
            </w:tcBorders>
            <w:vAlign w:val="center"/>
          </w:tcPr>
          <w:p>
            <w:pPr>
              <w:adjustRightInd w:val="0"/>
              <w:snapToGrid w:val="0"/>
              <w:spacing w:line="400" w:lineRule="atLeast"/>
              <w:ind w:firstLine="0" w:firstLineChars="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613"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2160" w:type="dxa"/>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160" w:type="dxa"/>
            <w:tcBorders>
              <w:bottom w:val="double" w:color="auto" w:sz="4" w:space="0"/>
            </w:tcBorders>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160" w:type="dxa"/>
            <w:tcBorders>
              <w:bottom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1980" w:type="dxa"/>
            <w:tcBorders>
              <w:bottom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c>
          <w:tcPr>
            <w:tcW w:w="2700" w:type="dxa"/>
            <w:tcBorders>
              <w:bottom w:val="double" w:color="auto" w:sz="4" w:space="0"/>
            </w:tcBorders>
            <w:vAlign w:val="center"/>
          </w:tcPr>
          <w:p>
            <w:pPr>
              <w:adjustRightInd w:val="0"/>
              <w:snapToGrid w:val="0"/>
              <w:spacing w:line="400" w:lineRule="atLeast"/>
              <w:ind w:firstLine="420"/>
              <w:jc w:val="center"/>
              <w:rPr>
                <w:rFonts w:ascii="Arial" w:hAnsi="Arial" w:cs="Arial"/>
                <w:color w:val="000000" w:themeColor="text1"/>
                <w:szCs w:val="21"/>
                <w14:textFill>
                  <w14:solidFill>
                    <w14:schemeClr w14:val="tx1"/>
                  </w14:solidFill>
                </w14:textFill>
              </w:rPr>
            </w:pPr>
          </w:p>
        </w:tc>
      </w:tr>
    </w:tbl>
    <w:p>
      <w:pPr>
        <w:ind w:firstLine="210" w:firstLineChars="100"/>
        <w:rPr>
          <w:rFonts w:ascii="宋体"/>
          <w:color w:val="000000" w:themeColor="text1"/>
          <w:szCs w:val="21"/>
          <w14:textFill>
            <w14:solidFill>
              <w14:schemeClr w14:val="tx1"/>
            </w14:solidFill>
          </w14:textFill>
        </w:rPr>
      </w:pPr>
    </w:p>
    <w:p>
      <w:pPr>
        <w:ind w:firstLine="210" w:firstLineChars="100"/>
        <w:rPr>
          <w:rFonts w:ascii="宋体"/>
          <w:color w:val="000000" w:themeColor="text1"/>
          <w:szCs w:val="21"/>
          <w14:textFill>
            <w14:solidFill>
              <w14:schemeClr w14:val="tx1"/>
            </w14:solidFill>
          </w14:textFill>
        </w:rPr>
      </w:pPr>
    </w:p>
    <w:p>
      <w:pPr>
        <w:ind w:firstLine="210" w:firstLineChars="100"/>
        <w:rPr>
          <w:rFonts w:ascii="宋体"/>
          <w:color w:val="000000" w:themeColor="text1"/>
          <w:szCs w:val="21"/>
          <w14:textFill>
            <w14:solidFill>
              <w14:schemeClr w14:val="tx1"/>
            </w14:solidFill>
          </w14:textFill>
        </w:rPr>
      </w:pP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授权委托人（签字</w:t>
      </w:r>
      <w:r>
        <w:rPr>
          <w:rFonts w:hint="eastAsia"/>
          <w:color w:val="000000" w:themeColor="text1"/>
          <w14:textFill>
            <w14:solidFill>
              <w14:schemeClr w14:val="tx1"/>
            </w14:solidFill>
          </w14:textFill>
        </w:rPr>
        <w:t>或盖章</w:t>
      </w:r>
      <w:r>
        <w:rPr>
          <w:rFonts w:hint="eastAsia" w:ascii="宋体" w:hAnsi="宋体"/>
          <w:color w:val="000000" w:themeColor="text1"/>
          <w:szCs w:val="21"/>
          <w14:textFill>
            <w14:solidFill>
              <w14:schemeClr w14:val="tx1"/>
            </w14:solidFill>
          </w14:textFill>
        </w:rPr>
        <w:t>）：</w:t>
      </w:r>
    </w:p>
    <w:p>
      <w:pPr>
        <w:ind w:firstLine="199" w:firstLineChars="9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ind w:firstLine="420"/>
        <w:rPr>
          <w:color w:val="000000" w:themeColor="text1"/>
          <w14:textFill>
            <w14:solidFill>
              <w14:schemeClr w14:val="tx1"/>
            </w14:solidFill>
          </w14:textFill>
        </w:rPr>
      </w:pPr>
    </w:p>
    <w:p>
      <w:pPr>
        <w:keepNext/>
        <w:keepLines/>
        <w:ind w:firstLine="420"/>
        <w:outlineLvl w:val="2"/>
        <w:rPr>
          <w:b/>
          <w:bCs/>
          <w:color w:val="000000" w:themeColor="text1"/>
          <w:szCs w:val="32"/>
          <w14:textFill>
            <w14:solidFill>
              <w14:schemeClr w14:val="tx1"/>
            </w14:solidFill>
          </w14:textFill>
        </w:rPr>
      </w:pPr>
      <w:r>
        <w:rPr>
          <w:color w:val="000000" w:themeColor="text1"/>
          <w14:textFill>
            <w14:solidFill>
              <w14:schemeClr w14:val="tx1"/>
            </w14:solidFill>
          </w14:textFill>
        </w:rPr>
        <w:br w:type="page"/>
      </w:r>
      <w:r>
        <w:rPr>
          <w:rFonts w:hint="eastAsia"/>
          <w:b/>
          <w:bCs/>
          <w:color w:val="000000" w:themeColor="text1"/>
          <w:szCs w:val="32"/>
          <w14:textFill>
            <w14:solidFill>
              <w14:schemeClr w14:val="tx1"/>
            </w14:solidFill>
          </w14:textFill>
        </w:rPr>
        <w:t>附件七</w:t>
      </w:r>
      <w:r>
        <w:rPr>
          <w:b/>
          <w:bCs/>
          <w:color w:val="000000" w:themeColor="text1"/>
          <w:szCs w:val="32"/>
          <w14:textFill>
            <w14:solidFill>
              <w14:schemeClr w14:val="tx1"/>
            </w14:solidFill>
          </w14:textFill>
        </w:rPr>
        <w:t xml:space="preserve"> </w:t>
      </w:r>
      <w:r>
        <w:rPr>
          <w:rFonts w:hint="eastAsia"/>
          <w:b/>
          <w:bCs/>
          <w:color w:val="000000" w:themeColor="text1"/>
          <w:szCs w:val="32"/>
          <w14:textFill>
            <w14:solidFill>
              <w14:schemeClr w14:val="tx1"/>
            </w14:solidFill>
          </w14:textFill>
        </w:rPr>
        <w:t>服务项目负责人情况表</w:t>
      </w:r>
    </w:p>
    <w:p>
      <w:pPr>
        <w:ind w:firstLine="0" w:firstLineChars="0"/>
        <w:rPr>
          <w:color w:val="000000" w:themeColor="text1"/>
          <w14:textFill>
            <w14:solidFill>
              <w14:schemeClr w14:val="tx1"/>
            </w14:solidFill>
          </w14:textFill>
        </w:rPr>
      </w:pPr>
    </w:p>
    <w:tbl>
      <w:tblPr>
        <w:tblStyle w:val="22"/>
        <w:tblW w:w="9287" w:type="dxa"/>
        <w:tblInd w:w="0" w:type="dxa"/>
        <w:tblLayout w:type="fixed"/>
        <w:tblCellMar>
          <w:top w:w="0" w:type="dxa"/>
          <w:left w:w="108" w:type="dxa"/>
          <w:bottom w:w="0" w:type="dxa"/>
          <w:right w:w="108" w:type="dxa"/>
        </w:tblCellMar>
      </w:tblPr>
      <w:tblGrid>
        <w:gridCol w:w="2061"/>
        <w:gridCol w:w="1824"/>
        <w:gridCol w:w="5402"/>
      </w:tblGrid>
      <w:tr>
        <w:tblPrEx>
          <w:tblCellMar>
            <w:top w:w="0" w:type="dxa"/>
            <w:left w:w="108" w:type="dxa"/>
            <w:bottom w:w="0" w:type="dxa"/>
            <w:right w:w="108" w:type="dxa"/>
          </w:tblCellMar>
        </w:tblPrEx>
        <w:trPr>
          <w:trHeight w:val="629"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姓名</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业绩及承担的主要工作情况</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性别</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年龄</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职称</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毕业时间</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所学专业</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学历</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85"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资质证书编号</w:t>
            </w:r>
            <w:r>
              <w:rPr>
                <w:rFonts w:ascii="Arial" w:hAnsi="Arial" w:cs="Arial"/>
                <w:color w:val="000000" w:themeColor="text1"/>
                <w:lang w:val="zh-CN"/>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如有</w:t>
            </w:r>
            <w:r>
              <w:rPr>
                <w:rFonts w:ascii="Arial" w:hAnsi="Arial" w:cs="Arial"/>
                <w:color w:val="000000" w:themeColor="text1"/>
                <w:lang w:val="zh-CN"/>
                <w14:textFill>
                  <w14:solidFill>
                    <w14:schemeClr w14:val="tx1"/>
                  </w14:solidFill>
                </w14:textFill>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572"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其他资质情况</w:t>
            </w:r>
            <w:r>
              <w:rPr>
                <w:rFonts w:ascii="Arial" w:hAnsi="Arial" w:cs="Arial"/>
                <w:color w:val="000000" w:themeColor="text1"/>
                <w:lang w:val="zh-CN"/>
                <w14:textFill>
                  <w14:solidFill>
                    <w14:schemeClr w14:val="tx1"/>
                  </w14:solidFill>
                </w14:textFill>
              </w:rPr>
              <w:t>(</w:t>
            </w:r>
            <w:r>
              <w:rPr>
                <w:rFonts w:hint="eastAsia" w:ascii="Arial" w:hAnsi="Arial" w:cs="Arial"/>
                <w:color w:val="000000" w:themeColor="text1"/>
                <w:lang w:val="zh-CN"/>
                <w14:textFill>
                  <w14:solidFill>
                    <w14:schemeClr w14:val="tx1"/>
                  </w14:solidFill>
                </w14:textFill>
              </w:rPr>
              <w:t>如有</w:t>
            </w:r>
            <w:r>
              <w:rPr>
                <w:rFonts w:ascii="Arial" w:hAnsi="Arial" w:cs="Arial"/>
                <w:color w:val="000000" w:themeColor="text1"/>
                <w:lang w:val="zh-CN"/>
                <w14:textFill>
                  <w14:solidFill>
                    <w14:schemeClr w14:val="tx1"/>
                  </w14:solidFill>
                </w14:textFill>
              </w:rPr>
              <w:t>)</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cantSplit/>
          <w:trHeight w:val="473" w:hRule="atLeast"/>
        </w:trPr>
        <w:tc>
          <w:tcPr>
            <w:tcW w:w="2061"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联系电话</w:t>
            </w:r>
          </w:p>
        </w:tc>
        <w:tc>
          <w:tcPr>
            <w:tcW w:w="182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400" w:lineRule="exact"/>
              <w:ind w:firstLine="0" w:firstLineChars="0"/>
              <w:jc w:val="center"/>
              <w:rPr>
                <w:rFonts w:ascii="Arial" w:hAnsi="Arial" w:cs="Arial"/>
                <w:color w:val="000000" w:themeColor="text1"/>
                <w14:textFill>
                  <w14:solidFill>
                    <w14:schemeClr w14:val="tx1"/>
                  </w14:solidFill>
                </w14:textFill>
              </w:rPr>
            </w:pPr>
          </w:p>
        </w:tc>
        <w:tc>
          <w:tcPr>
            <w:tcW w:w="5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p>
        </w:tc>
      </w:tr>
    </w:tbl>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r>
        <w:rPr>
          <w:rFonts w:ascii="宋体" w:hAnsi="宋体"/>
          <w:color w:val="000000" w:themeColor="text1"/>
          <w:szCs w:val="21"/>
          <w14:textFill>
            <w14:solidFill>
              <w14:schemeClr w14:val="tx1"/>
            </w14:solidFill>
          </w14:textFill>
        </w:rPr>
        <w:t xml:space="preserve">                               </w:t>
      </w: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授权委托人（签字）：</w:t>
      </w:r>
      <w:r>
        <w:rPr>
          <w:rFonts w:ascii="宋体" w:hAnsi="宋体"/>
          <w:color w:val="000000" w:themeColor="text1"/>
          <w:szCs w:val="21"/>
          <w14:textFill>
            <w14:solidFill>
              <w14:schemeClr w14:val="tx1"/>
            </w14:solidFill>
          </w14:textFill>
        </w:rPr>
        <w:t xml:space="preserve">                        </w:t>
      </w:r>
    </w:p>
    <w:p>
      <w:pPr>
        <w:ind w:firstLine="199" w:firstLineChars="9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keepNext/>
        <w:keepLines/>
        <w:ind w:firstLine="422"/>
        <w:outlineLvl w:val="2"/>
        <w:rPr>
          <w:b/>
          <w:bCs/>
          <w:color w:val="000000" w:themeColor="text1"/>
          <w:szCs w:val="32"/>
          <w14:textFill>
            <w14:solidFill>
              <w14:schemeClr w14:val="tx1"/>
            </w14:solidFill>
          </w14:textFill>
        </w:rPr>
      </w:pPr>
      <w:r>
        <w:rPr>
          <w:b/>
          <w:bCs/>
          <w:color w:val="000000" w:themeColor="text1"/>
          <w:szCs w:val="32"/>
          <w14:textFill>
            <w14:solidFill>
              <w14:schemeClr w14:val="tx1"/>
            </w14:solidFill>
          </w14:textFill>
        </w:rPr>
        <w:br w:type="page"/>
      </w:r>
      <w:r>
        <w:rPr>
          <w:rFonts w:hint="eastAsia"/>
          <w:b/>
          <w:bCs/>
          <w:color w:val="000000" w:themeColor="text1"/>
          <w:szCs w:val="32"/>
          <w14:textFill>
            <w14:solidFill>
              <w14:schemeClr w14:val="tx1"/>
            </w14:solidFill>
          </w14:textFill>
        </w:rPr>
        <w:t>附件八</w:t>
      </w:r>
      <w:r>
        <w:rPr>
          <w:b/>
          <w:bCs/>
          <w:color w:val="000000" w:themeColor="text1"/>
          <w:szCs w:val="32"/>
          <w14:textFill>
            <w14:solidFill>
              <w14:schemeClr w14:val="tx1"/>
            </w14:solidFill>
          </w14:textFill>
        </w:rPr>
        <w:t xml:space="preserve"> </w:t>
      </w:r>
      <w:r>
        <w:rPr>
          <w:rFonts w:hint="eastAsia"/>
          <w:b/>
          <w:bCs/>
          <w:color w:val="000000" w:themeColor="text1"/>
          <w:szCs w:val="32"/>
          <w14:textFill>
            <w14:solidFill>
              <w14:schemeClr w14:val="tx1"/>
            </w14:solidFill>
          </w14:textFill>
        </w:rPr>
        <w:t>服务项目班子人员情况表</w:t>
      </w:r>
    </w:p>
    <w:p>
      <w:pPr>
        <w:ind w:firstLine="420"/>
        <w:rPr>
          <w:color w:val="000000" w:themeColor="text1"/>
          <w14:textFill>
            <w14:solidFill>
              <w14:schemeClr w14:val="tx1"/>
            </w14:solidFill>
          </w14:textFill>
        </w:rPr>
      </w:pPr>
    </w:p>
    <w:tbl>
      <w:tblPr>
        <w:tblStyle w:val="22"/>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ascii="Arial" w:hAnsi="Arial" w:cs="Arial"/>
                <w:color w:val="000000" w:themeColor="text1"/>
                <w14:textFill>
                  <w14:solidFill>
                    <w14:schemeClr w14:val="tx1"/>
                  </w14:solidFill>
                </w14:textFill>
              </w:rPr>
            </w:pPr>
            <w:r>
              <w:rPr>
                <w:rFonts w:hint="eastAsia" w:ascii="Arial" w:hAnsi="Arial" w:cs="Arial"/>
                <w:color w:val="000000" w:themeColor="text1"/>
                <w:lang w:val="zh-CN"/>
                <w14:textFill>
                  <w14:solidFill>
                    <w14:schemeClr w14:val="tx1"/>
                  </w14:solidFill>
                </w14:textFill>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420"/>
              <w:jc w:val="center"/>
              <w:rPr>
                <w:rFonts w:ascii="Arial" w:hAnsi="Arial" w:cs="Arial"/>
                <w:color w:val="000000" w:themeColor="text1"/>
                <w14:textFill>
                  <w14:solidFill>
                    <w14:schemeClr w14:val="tx1"/>
                  </w14:solidFill>
                </w14:textFill>
              </w:rPr>
            </w:pPr>
          </w:p>
        </w:tc>
      </w:tr>
    </w:tbl>
    <w:p>
      <w:pPr>
        <w:ind w:firstLine="210" w:firstLineChars="100"/>
        <w:rPr>
          <w:rFonts w:ascii="宋体"/>
          <w:color w:val="000000" w:themeColor="text1"/>
          <w:szCs w:val="21"/>
          <w14:textFill>
            <w14:solidFill>
              <w14:schemeClr w14:val="tx1"/>
            </w14:solidFill>
          </w14:textFill>
        </w:rPr>
      </w:pP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投标人（盖章）：</w:t>
      </w:r>
      <w:r>
        <w:rPr>
          <w:rFonts w:ascii="宋体" w:hAnsi="宋体"/>
          <w:color w:val="000000" w:themeColor="text1"/>
          <w:szCs w:val="21"/>
          <w14:textFill>
            <w14:solidFill>
              <w14:schemeClr w14:val="tx1"/>
            </w14:solidFill>
          </w14:textFill>
        </w:rPr>
        <w:t xml:space="preserve">                               </w:t>
      </w:r>
    </w:p>
    <w:p>
      <w:pPr>
        <w:ind w:firstLine="210" w:firstLineChars="10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授权委托人（签字</w:t>
      </w:r>
      <w:r>
        <w:rPr>
          <w:rFonts w:hint="eastAsia"/>
          <w:color w:val="000000" w:themeColor="text1"/>
          <w14:textFill>
            <w14:solidFill>
              <w14:schemeClr w14:val="tx1"/>
            </w14:solidFill>
          </w14:textFill>
        </w:rPr>
        <w:t>或盖章</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 xml:space="preserve">                        </w:t>
      </w:r>
    </w:p>
    <w:p>
      <w:pPr>
        <w:ind w:firstLine="199" w:firstLineChars="95"/>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日期：</w:t>
      </w:r>
    </w:p>
    <w:p>
      <w:pPr>
        <w:keepNext/>
        <w:keepLines/>
        <w:ind w:firstLine="422"/>
        <w:outlineLvl w:val="2"/>
        <w:rPr>
          <w:b/>
          <w:bCs/>
          <w:color w:val="000000" w:themeColor="text1"/>
          <w:szCs w:val="32"/>
          <w14:textFill>
            <w14:solidFill>
              <w14:schemeClr w14:val="tx1"/>
            </w14:solidFill>
          </w14:textFill>
        </w:rPr>
        <w:sectPr>
          <w:pgSz w:w="11907" w:h="16840"/>
          <w:pgMar w:top="1247" w:right="1304" w:bottom="1021" w:left="1304" w:header="720" w:footer="720" w:gutter="0"/>
          <w:cols w:space="720" w:num="1"/>
        </w:sectPr>
      </w:pPr>
    </w:p>
    <w:p>
      <w:pPr>
        <w:keepNext/>
        <w:keepLines/>
        <w:ind w:firstLine="422"/>
        <w:outlineLvl w:val="2"/>
        <w:rPr>
          <w:b/>
          <w:bCs/>
          <w:color w:val="000000" w:themeColor="text1"/>
          <w:szCs w:val="32"/>
          <w14:textFill>
            <w14:solidFill>
              <w14:schemeClr w14:val="tx1"/>
            </w14:solidFill>
          </w14:textFill>
        </w:rPr>
      </w:pPr>
      <w:r>
        <w:rPr>
          <w:rFonts w:hint="eastAsia"/>
          <w:b/>
          <w:bCs/>
          <w:color w:val="000000" w:themeColor="text1"/>
          <w:szCs w:val="32"/>
          <w14:textFill>
            <w14:solidFill>
              <w14:schemeClr w14:val="tx1"/>
            </w14:solidFill>
          </w14:textFill>
        </w:rPr>
        <w:t>附件九</w:t>
      </w:r>
      <w:r>
        <w:rPr>
          <w:b/>
          <w:bCs/>
          <w:color w:val="000000" w:themeColor="text1"/>
          <w:szCs w:val="32"/>
          <w14:textFill>
            <w14:solidFill>
              <w14:schemeClr w14:val="tx1"/>
            </w14:solidFill>
          </w14:textFill>
        </w:rPr>
        <w:t xml:space="preserve"> </w:t>
      </w:r>
      <w:r>
        <w:rPr>
          <w:rFonts w:hint="eastAsia"/>
          <w:b/>
          <w:bCs/>
          <w:color w:val="000000" w:themeColor="text1"/>
          <w:szCs w:val="32"/>
          <w14:textFill>
            <w14:solidFill>
              <w14:schemeClr w14:val="tx1"/>
            </w14:solidFill>
          </w14:textFill>
        </w:rPr>
        <w:t>技术条款偏离表</w:t>
      </w:r>
    </w:p>
    <w:p>
      <w:pPr>
        <w:ind w:firstLine="750" w:firstLineChars="300"/>
        <w:rPr>
          <w:rFonts w:ascii="宋体"/>
          <w:color w:val="000000" w:themeColor="text1"/>
          <w:spacing w:val="20"/>
          <w14:textFill>
            <w14:solidFill>
              <w14:schemeClr w14:val="tx1"/>
            </w14:solidFill>
          </w14:textFill>
        </w:rPr>
      </w:pPr>
    </w:p>
    <w:p>
      <w:pPr>
        <w:ind w:firstLine="750" w:firstLineChars="300"/>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招标项目名称：</w:t>
      </w:r>
      <w:r>
        <w:rPr>
          <w:rFonts w:ascii="宋体" w:hAnsi="宋体"/>
          <w:color w:val="000000" w:themeColor="text1"/>
          <w:spacing w:val="20"/>
          <w14:textFill>
            <w14:solidFill>
              <w14:schemeClr w14:val="tx1"/>
            </w14:solidFill>
          </w14:textFill>
        </w:rPr>
        <w:t xml:space="preserve">                                    </w:t>
      </w:r>
      <w:r>
        <w:rPr>
          <w:rFonts w:hint="eastAsia" w:ascii="宋体" w:hAnsi="宋体"/>
          <w:color w:val="000000" w:themeColor="text1"/>
          <w:spacing w:val="20"/>
          <w14:textFill>
            <w14:solidFill>
              <w14:schemeClr w14:val="tx1"/>
            </w14:solidFill>
          </w14:textFill>
        </w:rPr>
        <w:t>招标编号：</w:t>
      </w:r>
      <w:r>
        <w:rPr>
          <w:rFonts w:ascii="宋体" w:hAnsi="宋体"/>
          <w:color w:val="000000" w:themeColor="text1"/>
          <w:spacing w:val="20"/>
          <w14:textFill>
            <w14:solidFill>
              <w14:schemeClr w14:val="tx1"/>
            </w14:solidFill>
          </w14:textFill>
        </w:rPr>
        <w:t xml:space="preserve">                </w:t>
      </w:r>
    </w:p>
    <w:tbl>
      <w:tblPr>
        <w:tblStyle w:val="22"/>
        <w:tblW w:w="14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463"/>
        <w:gridCol w:w="3464"/>
        <w:gridCol w:w="283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578" w:type="dxa"/>
            <w:tcBorders>
              <w:top w:val="double" w:color="auto" w:sz="4" w:space="0"/>
              <w:left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序号</w:t>
            </w:r>
          </w:p>
        </w:tc>
        <w:tc>
          <w:tcPr>
            <w:tcW w:w="3463"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采购要求</w:t>
            </w:r>
          </w:p>
        </w:tc>
        <w:tc>
          <w:tcPr>
            <w:tcW w:w="3464"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投标响应</w:t>
            </w:r>
          </w:p>
        </w:tc>
        <w:tc>
          <w:tcPr>
            <w:tcW w:w="2835" w:type="dxa"/>
            <w:tcBorders>
              <w:top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偏离</w:t>
            </w:r>
          </w:p>
        </w:tc>
        <w:tc>
          <w:tcPr>
            <w:tcW w:w="2836" w:type="dxa"/>
            <w:tcBorders>
              <w:top w:val="double" w:color="auto" w:sz="4" w:space="0"/>
              <w:right w:val="double" w:color="auto" w:sz="4" w:space="0"/>
            </w:tcBorders>
            <w:vAlign w:val="center"/>
          </w:tcPr>
          <w:p>
            <w:pPr>
              <w:ind w:firstLine="0" w:firstLineChars="0"/>
              <w:jc w:val="center"/>
              <w:rPr>
                <w:rFonts w:ascii="宋体"/>
                <w:color w:val="000000" w:themeColor="text1"/>
                <w:spacing w:val="20"/>
                <w14:textFill>
                  <w14:solidFill>
                    <w14:schemeClr w14:val="tx1"/>
                  </w14:solidFill>
                </w14:textFill>
              </w:rPr>
            </w:pPr>
            <w:r>
              <w:rPr>
                <w:rFonts w:hint="eastAsia" w:ascii="宋体" w:hAnsi="宋体"/>
                <w:color w:val="000000" w:themeColor="text1"/>
                <w:spacing w:val="20"/>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8" w:type="dxa"/>
            <w:tcBorders>
              <w:left w:val="double" w:color="auto" w:sz="4" w:space="0"/>
              <w:bottom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3" w:type="dxa"/>
            <w:tcBorders>
              <w:bottom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3464" w:type="dxa"/>
            <w:tcBorders>
              <w:bottom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5" w:type="dxa"/>
            <w:tcBorders>
              <w:bottom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c>
          <w:tcPr>
            <w:tcW w:w="2836" w:type="dxa"/>
            <w:tcBorders>
              <w:bottom w:val="double" w:color="auto" w:sz="4" w:space="0"/>
              <w:right w:val="double" w:color="auto" w:sz="4" w:space="0"/>
            </w:tcBorders>
          </w:tcPr>
          <w:p>
            <w:pPr>
              <w:spacing w:line="480" w:lineRule="auto"/>
              <w:ind w:firstLine="0" w:firstLineChars="0"/>
              <w:jc w:val="center"/>
              <w:rPr>
                <w:rFonts w:ascii="宋体"/>
                <w:color w:val="000000" w:themeColor="text1"/>
                <w:spacing w:val="20"/>
                <w14:textFill>
                  <w14:solidFill>
                    <w14:schemeClr w14:val="tx1"/>
                  </w14:solidFill>
                </w14:textFill>
              </w:rPr>
            </w:pPr>
          </w:p>
        </w:tc>
      </w:tr>
    </w:tbl>
    <w:p>
      <w:pPr>
        <w:ind w:firstLine="0" w:firstLineChars="0"/>
        <w:rPr>
          <w:rFonts w:ascii="宋体"/>
          <w:color w:val="000000" w:themeColor="text1"/>
          <w:szCs w:val="21"/>
          <w14:textFill>
            <w14:solidFill>
              <w14:schemeClr w14:val="tx1"/>
            </w14:solidFill>
          </w14:textFill>
        </w:rPr>
      </w:pPr>
    </w:p>
    <w:p>
      <w:pPr>
        <w:ind w:firstLine="210" w:firstLineChars="100"/>
        <w:rPr>
          <w:rFonts w:ascii="宋体"/>
          <w:color w:val="000000" w:themeColor="text1"/>
          <w:szCs w:val="20"/>
          <w14:textFill>
            <w14:solidFill>
              <w14:schemeClr w14:val="tx1"/>
            </w14:solidFill>
          </w14:textFill>
        </w:rPr>
      </w:pPr>
      <w:r>
        <w:rPr>
          <w:rFonts w:hint="eastAsia" w:ascii="宋体" w:hAnsi="宋体"/>
          <w:color w:val="000000" w:themeColor="text1"/>
          <w:szCs w:val="21"/>
          <w14:textFill>
            <w14:solidFill>
              <w14:schemeClr w14:val="tx1"/>
            </w14:solidFill>
          </w14:textFill>
        </w:rPr>
        <w:t>注：此表不填或填写为无偏离，视为完全响应招标要求。</w:t>
      </w:r>
    </w:p>
    <w:p>
      <w:pPr>
        <w:adjustRightInd w:val="0"/>
        <w:snapToGrid w:val="0"/>
        <w:ind w:firstLine="0" w:firstLineChars="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投标人全称（盖章）：</w:t>
      </w:r>
    </w:p>
    <w:p>
      <w:pPr>
        <w:adjustRightInd w:val="0"/>
        <w:snapToGrid w:val="0"/>
        <w:ind w:firstLine="0" w:firstLineChars="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授权委托人（签字</w:t>
      </w:r>
      <w:r>
        <w:rPr>
          <w:rFonts w:hint="eastAsia"/>
          <w:color w:val="000000" w:themeColor="text1"/>
          <w14:textFill>
            <w14:solidFill>
              <w14:schemeClr w14:val="tx1"/>
            </w14:solidFill>
          </w14:textFill>
        </w:rPr>
        <w:t>或盖章</w:t>
      </w:r>
      <w:r>
        <w:rPr>
          <w:rFonts w:hint="eastAsia" w:ascii="宋体" w:hAnsi="宋体"/>
          <w:color w:val="000000" w:themeColor="text1"/>
          <w:szCs w:val="20"/>
          <w14:textFill>
            <w14:solidFill>
              <w14:schemeClr w14:val="tx1"/>
            </w14:solidFill>
          </w14:textFill>
        </w:rPr>
        <w:t>）：</w:t>
      </w:r>
    </w:p>
    <w:p>
      <w:pPr>
        <w:adjustRightInd w:val="0"/>
        <w:snapToGrid w:val="0"/>
        <w:ind w:firstLine="0" w:firstLineChars="0"/>
        <w:rPr>
          <w:rFonts w:ascii="宋体"/>
          <w:color w:val="000000" w:themeColor="text1"/>
          <w:szCs w:val="20"/>
          <w14:textFill>
            <w14:solidFill>
              <w14:schemeClr w14:val="tx1"/>
            </w14:solidFill>
          </w14:textFill>
        </w:rPr>
      </w:pPr>
      <w:r>
        <w:rPr>
          <w:rFonts w:hint="eastAsia" w:ascii="宋体" w:hAnsi="宋体"/>
          <w:color w:val="000000" w:themeColor="text1"/>
          <w:szCs w:val="20"/>
          <w14:textFill>
            <w14:solidFill>
              <w14:schemeClr w14:val="tx1"/>
            </w14:solidFill>
          </w14:textFill>
        </w:rPr>
        <w:t>日期：</w:t>
      </w:r>
    </w:p>
    <w:p>
      <w:pPr>
        <w:ind w:firstLine="0" w:firstLineChars="0"/>
        <w:rPr>
          <w:rFonts w:ascii="宋体"/>
          <w:color w:val="000000" w:themeColor="text1"/>
          <w:spacing w:val="20"/>
          <w:sz w:val="24"/>
          <w14:textFill>
            <w14:solidFill>
              <w14:schemeClr w14:val="tx1"/>
            </w14:solidFill>
          </w14:textFill>
        </w:rPr>
      </w:pPr>
    </w:p>
    <w:p>
      <w:pPr>
        <w:ind w:firstLine="0" w:firstLineChars="0"/>
        <w:rPr>
          <w:rFonts w:ascii="宋体"/>
          <w:color w:val="000000" w:themeColor="text1"/>
          <w:spacing w:val="20"/>
          <w:sz w:val="24"/>
          <w14:textFill>
            <w14:solidFill>
              <w14:schemeClr w14:val="tx1"/>
            </w14:solidFill>
          </w14:textFill>
        </w:rPr>
        <w:sectPr>
          <w:pgSz w:w="16840" w:h="11907" w:orient="landscape"/>
          <w:pgMar w:top="1304" w:right="1247" w:bottom="1304" w:left="1021" w:header="720" w:footer="720" w:gutter="0"/>
          <w:cols w:space="720" w:num="1"/>
          <w:docGrid w:linePitch="286" w:charSpace="0"/>
        </w:sectPr>
      </w:pPr>
    </w:p>
    <w:p>
      <w:pPr>
        <w:pStyle w:val="5"/>
        <w:rPr>
          <w:rFonts w:ascii="宋体" w:hAnsi="宋体"/>
          <w:szCs w:val="21"/>
        </w:rPr>
      </w:pPr>
      <w:bookmarkStart w:id="133" w:name="_Toc450840090"/>
      <w:bookmarkStart w:id="134" w:name="_Toc16513"/>
      <w:r>
        <w:rPr>
          <w:rFonts w:hint="eastAsia"/>
        </w:rPr>
        <w:t>附件十</w:t>
      </w:r>
      <w:r>
        <w:rPr>
          <w:rFonts w:hint="eastAsia" w:ascii="宋体" w:hAnsi="宋体"/>
          <w:szCs w:val="21"/>
        </w:rPr>
        <w:t>投标声明函</w:t>
      </w:r>
    </w:p>
    <w:p>
      <w:pPr>
        <w:ind w:firstLine="199" w:firstLineChars="95"/>
      </w:pPr>
    </w:p>
    <w:p>
      <w:pPr>
        <w:pStyle w:val="11"/>
        <w:ind w:firstLine="210"/>
      </w:pPr>
    </w:p>
    <w:p>
      <w:pPr>
        <w:ind w:firstLine="199" w:firstLineChars="95"/>
      </w:pPr>
      <w:r>
        <w:rPr>
          <w:rFonts w:hint="eastAsia"/>
        </w:rPr>
        <w:t>致：  浙江信镧建设工程咨询有限公司</w:t>
      </w:r>
    </w:p>
    <w:p>
      <w:pPr>
        <w:ind w:firstLine="724" w:firstLineChars="345"/>
      </w:pPr>
      <w:r>
        <w:rPr>
          <w:rFonts w:hint="eastAsia"/>
        </w:rPr>
        <w:t>中国美术学院</w:t>
      </w:r>
    </w:p>
    <w:p>
      <w:pPr>
        <w:ind w:firstLine="724" w:firstLineChars="345"/>
      </w:pPr>
      <w:r>
        <w:rPr>
          <w:rFonts w:hint="eastAsia"/>
        </w:rPr>
        <w:t>            </w:t>
      </w:r>
    </w:p>
    <w:p>
      <w:pPr>
        <w:ind w:firstLine="735" w:firstLineChars="350"/>
      </w:pPr>
      <w:r>
        <w:rPr>
          <w:rFonts w:hint="eastAsia"/>
          <w:u w:val="single"/>
        </w:rPr>
        <w:t>_            （</w:t>
      </w:r>
      <w:r>
        <w:rPr>
          <w:rFonts w:hint="eastAsia"/>
        </w:rPr>
        <w:t>投标人名称）系中华人民共和国合法企业，经营地址 </w:t>
      </w:r>
      <w:r>
        <w:rPr>
          <w:rFonts w:hint="eastAsia"/>
          <w:u w:val="single"/>
        </w:rPr>
        <w:t>                              </w:t>
      </w:r>
      <w:r>
        <w:rPr>
          <w:rFonts w:hint="eastAsia"/>
        </w:rPr>
        <w:t>。</w:t>
      </w:r>
    </w:p>
    <w:p>
      <w:pPr>
        <w:ind w:firstLine="420"/>
      </w:pPr>
      <w:r>
        <w:rPr>
          <w:rFonts w:hint="eastAsia"/>
        </w:rPr>
        <w:t>我方愿意参加贵方组织的____</w:t>
      </w:r>
      <w:r>
        <w:rPr>
          <w:rFonts w:hint="eastAsia"/>
          <w:u w:val="single"/>
        </w:rPr>
        <w:t>_         </w:t>
      </w:r>
      <w:r>
        <w:rPr>
          <w:rFonts w:hint="eastAsia"/>
        </w:rPr>
        <w:t> 项目的投标，为便于贵方公正、择优地确定中标人及其投标产品和服务，我方就参加本次投标有关事项郑重声明如下：</w:t>
      </w:r>
    </w:p>
    <w:p>
      <w:pPr>
        <w:ind w:firstLine="420"/>
      </w:pPr>
      <w:r>
        <w:rPr>
          <w:rFonts w:hint="eastAsia"/>
        </w:rPr>
        <w:t>1.我方向贵方提交的所有投标文件、资料都是准确的和真实的；</w:t>
      </w:r>
    </w:p>
    <w:p>
      <w:pPr>
        <w:ind w:firstLine="420"/>
      </w:pPr>
      <w:r>
        <w:rPr>
          <w:rFonts w:hint="eastAsia"/>
        </w:rPr>
        <w:t>2.我方不是采购人的附属机构；</w:t>
      </w:r>
    </w:p>
    <w:p>
      <w:pPr>
        <w:ind w:firstLine="420"/>
        <w:rPr>
          <w:b/>
        </w:rPr>
      </w:pPr>
      <w:r>
        <w:rPr>
          <w:rFonts w:hint="eastAsia"/>
        </w:rPr>
        <w:t>3. 我方参加本采购项目的整体设计、规范编制或者项目管理、监理、检测等服务情况：</w:t>
      </w:r>
      <w:r>
        <w:rPr>
          <w:rFonts w:hint="eastAsia"/>
          <w:b/>
          <w:u w:val="single"/>
        </w:rPr>
        <w:t>（填有或无）　</w:t>
      </w:r>
      <w:r>
        <w:rPr>
          <w:rFonts w:hint="eastAsia"/>
          <w:b/>
        </w:rPr>
        <w:t>　；　　　　　　　　　　　　　　　　　　　　　　　</w:t>
      </w:r>
    </w:p>
    <w:p>
      <w:pPr>
        <w:ind w:firstLine="420"/>
      </w:pPr>
      <w:r>
        <w:rPr>
          <w:rFonts w:hint="eastAsia"/>
        </w:rPr>
        <w:t>4.我方直接控股的单位、由我方管理的单位，没有同时参加本合同项下的投标；</w:t>
      </w:r>
    </w:p>
    <w:p>
      <w:pPr>
        <w:ind w:firstLine="420"/>
      </w:pPr>
      <w:r>
        <w:rPr>
          <w:rFonts w:hint="eastAsia"/>
        </w:rPr>
        <w:t>5.我方参加本次采购活动前三年内，在经营活动中的重大违法记录：</w:t>
      </w:r>
      <w:r>
        <w:rPr>
          <w:rFonts w:hint="eastAsia"/>
          <w:u w:val="single"/>
        </w:rPr>
        <w:t>　</w:t>
      </w:r>
      <w:r>
        <w:rPr>
          <w:rFonts w:hint="eastAsia"/>
          <w:b/>
          <w:u w:val="single"/>
        </w:rPr>
        <w:t>（填有或无）　</w:t>
      </w:r>
      <w:r>
        <w:rPr>
          <w:rFonts w:hint="eastAsia"/>
          <w:u w:val="single"/>
        </w:rPr>
        <w:t>　</w:t>
      </w:r>
    </w:p>
    <w:p>
      <w:pPr>
        <w:ind w:firstLine="420"/>
        <w:rPr>
          <w:b/>
          <w:u w:val="single"/>
        </w:rPr>
      </w:pPr>
      <w:r>
        <w:rPr>
          <w:rFonts w:hint="eastAsia"/>
        </w:rPr>
        <w:t>6、我方被“信用中国”（www.creditchina.gov.cn）、中国政府采购网（www.ccgp.gov.cn）列入失信被执行人、重大税收违法案件当事人名单、政府采购严重违法失信行为记录名单。</w:t>
      </w:r>
      <w:r>
        <w:rPr>
          <w:rFonts w:hint="eastAsia"/>
          <w:b/>
          <w:u w:val="single"/>
        </w:rPr>
        <w:t xml:space="preserve">  （填有或无）</w:t>
      </w:r>
    </w:p>
    <w:p>
      <w:pPr>
        <w:ind w:firstLine="420"/>
      </w:pPr>
      <w:r>
        <w:rPr>
          <w:rFonts w:hint="eastAsia"/>
        </w:rPr>
        <w:t>7.以上事项如有虚假或隐瞒，我方愿意承担一切后果，并不再寻求任何旨在减轻或免除法律责任的辩解。</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法定代表人或授权委托人：     （签字或盖章）</w:t>
      </w:r>
    </w:p>
    <w:p>
      <w:pPr>
        <w:ind w:firstLine="420"/>
      </w:pPr>
      <w:r>
        <w:rPr>
          <w:rFonts w:hint="eastAsia"/>
        </w:rPr>
        <w:t> </w:t>
      </w:r>
    </w:p>
    <w:p>
      <w:pPr>
        <w:ind w:firstLine="420"/>
      </w:pPr>
      <w:r>
        <w:rPr>
          <w:rFonts w:hint="eastAsia"/>
        </w:rPr>
        <w:t> </w:t>
      </w:r>
    </w:p>
    <w:p>
      <w:pPr>
        <w:ind w:firstLine="420"/>
      </w:pPr>
      <w:r>
        <w:rPr>
          <w:rFonts w:hint="eastAsia"/>
        </w:rPr>
        <w:t>投标人：       （盖章）                              年    月    日</w:t>
      </w:r>
    </w:p>
    <w:p>
      <w:pPr>
        <w:ind w:firstLine="420"/>
      </w:pPr>
      <w:r>
        <w:rPr>
          <w:rFonts w:hint="eastAsia"/>
        </w:rPr>
        <w:t> </w:t>
      </w:r>
    </w:p>
    <w:p>
      <w:pPr>
        <w:ind w:firstLine="420"/>
      </w:pPr>
      <w:r>
        <w:rPr>
          <w:rFonts w:hint="eastAsia"/>
        </w:rPr>
        <w:t> </w:t>
      </w:r>
    </w:p>
    <w:p>
      <w:pPr>
        <w:ind w:firstLine="420"/>
      </w:pPr>
      <w:r>
        <w:rPr>
          <w:rFonts w:hint="eastAsia"/>
        </w:rPr>
        <w:t> </w:t>
      </w:r>
    </w:p>
    <w:p>
      <w:pPr>
        <w:ind w:firstLine="420"/>
      </w:pPr>
      <w:r>
        <w:rPr>
          <w:rFonts w:hint="eastAsia"/>
        </w:rPr>
        <w:t> </w:t>
      </w:r>
    </w:p>
    <w:p>
      <w:pPr>
        <w:ind w:firstLine="422"/>
        <w:rPr>
          <w:b/>
        </w:rPr>
        <w:sectPr>
          <w:pgSz w:w="11907" w:h="16840"/>
          <w:pgMar w:top="1247" w:right="1304" w:bottom="1020" w:left="1304" w:header="720" w:footer="720" w:gutter="0"/>
          <w:cols w:space="720" w:num="1"/>
          <w:docGrid w:linePitch="286" w:charSpace="0"/>
        </w:sectPr>
      </w:pPr>
      <w:r>
        <w:rPr>
          <w:rFonts w:hint="eastAsia"/>
          <w:b/>
        </w:rPr>
        <w:t>备注：第3条，第5条、第6条如填写“有”，资格审查不合格</w:t>
      </w:r>
    </w:p>
    <w:p>
      <w:pPr>
        <w:pStyle w:val="3"/>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第七章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评标办法</w:t>
      </w:r>
      <w:bookmarkEnd w:id="133"/>
      <w:bookmarkEnd w:id="134"/>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本评标办法参照《中华人民共和国政府采购法实施条例》的有关规定，并结合本项目的具体情况制定。</w:t>
      </w:r>
    </w:p>
    <w:p>
      <w:pPr>
        <w:pStyle w:val="4"/>
        <w:rPr>
          <w:color w:val="000000" w:themeColor="text1"/>
          <w14:textFill>
            <w14:solidFill>
              <w14:schemeClr w14:val="tx1"/>
            </w14:solidFill>
          </w14:textFill>
        </w:rPr>
      </w:pPr>
      <w:bookmarkStart w:id="135" w:name="_Toc8480"/>
      <w:r>
        <w:rPr>
          <w:color w:val="000000" w:themeColor="text1"/>
          <w14:textFill>
            <w14:solidFill>
              <w14:schemeClr w14:val="tx1"/>
            </w14:solidFill>
          </w14:textFill>
        </w:rPr>
        <w:t>1</w:t>
      </w:r>
      <w:r>
        <w:rPr>
          <w:rFonts w:hint="eastAsia"/>
          <w:color w:val="000000" w:themeColor="text1"/>
          <w14:textFill>
            <w14:solidFill>
              <w14:schemeClr w14:val="tx1"/>
            </w14:solidFill>
          </w14:textFill>
        </w:rPr>
        <w:t>总则</w:t>
      </w:r>
      <w:bookmarkEnd w:id="135"/>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工作遵循公开、公正、公平、择优和诚实信用的原则，评标人员将本着认真、公正、诚实、廉洁的精神，进行评标工作，择优推荐中标候选人。在评标期间，评标委员及相关工作人员必须严格遵守保密规定，不得泄露评标的有关情况。</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对落标人，评标委员会不作任何落标解释。</w:t>
      </w:r>
    </w:p>
    <w:p>
      <w:pPr>
        <w:pStyle w:val="4"/>
        <w:rPr>
          <w:color w:val="000000" w:themeColor="text1"/>
          <w14:textFill>
            <w14:solidFill>
              <w14:schemeClr w14:val="tx1"/>
            </w14:solidFill>
          </w14:textFill>
        </w:rPr>
      </w:pPr>
      <w:bookmarkStart w:id="136" w:name="_Toc25745"/>
      <w:r>
        <w:rPr>
          <w:color w:val="000000" w:themeColor="text1"/>
          <w14:textFill>
            <w14:solidFill>
              <w14:schemeClr w14:val="tx1"/>
            </w14:solidFill>
          </w14:textFill>
        </w:rPr>
        <w:t>2</w:t>
      </w:r>
      <w:r>
        <w:rPr>
          <w:rFonts w:hint="eastAsia"/>
          <w:color w:val="000000" w:themeColor="text1"/>
          <w14:textFill>
            <w14:solidFill>
              <w14:schemeClr w14:val="tx1"/>
            </w14:solidFill>
          </w14:textFill>
        </w:rPr>
        <w:t>评标组织</w:t>
      </w:r>
      <w:bookmarkEnd w:id="136"/>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评标工作由采购单位依法组建的评标委员会负责。评标委员会负责审标、询标、评审等工作，并向招标人提出评审意见和评标报告。</w:t>
      </w:r>
    </w:p>
    <w:p>
      <w:pPr>
        <w:pStyle w:val="4"/>
        <w:rPr>
          <w:color w:val="000000" w:themeColor="text1"/>
          <w14:textFill>
            <w14:solidFill>
              <w14:schemeClr w14:val="tx1"/>
            </w14:solidFill>
          </w14:textFill>
        </w:rPr>
      </w:pPr>
      <w:bookmarkStart w:id="137" w:name="_Toc20806"/>
      <w:r>
        <w:rPr>
          <w:color w:val="000000" w:themeColor="text1"/>
          <w14:textFill>
            <w14:solidFill>
              <w14:schemeClr w14:val="tx1"/>
            </w14:solidFill>
          </w14:textFill>
        </w:rPr>
        <w:t>3</w:t>
      </w:r>
      <w:r>
        <w:rPr>
          <w:rFonts w:hint="eastAsia"/>
          <w:color w:val="000000" w:themeColor="text1"/>
          <w14:textFill>
            <w14:solidFill>
              <w14:schemeClr w14:val="tx1"/>
            </w14:solidFill>
          </w14:textFill>
        </w:rPr>
        <w:t>评标程序和内容</w:t>
      </w:r>
      <w:bookmarkEnd w:id="137"/>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评标的一般程序为：</w:t>
      </w:r>
    </w:p>
    <w:p>
      <w:pPr>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投标文件的资格审查（先进行资格审查，通过之后进入符合性审查及后续程序）；</w:t>
      </w:r>
    </w:p>
    <w:p>
      <w:pPr>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熟悉招标文件和评标办法；</w:t>
      </w:r>
    </w:p>
    <w:p>
      <w:pPr>
        <w:numPr>
          <w:ilvl w:val="0"/>
          <w:numId w:val="3"/>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投标文件的符合性审查；</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）询标澄清投标文件的疑问；</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）投标文件的资信技术文件评审；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）根据评标办法对资信技术文件进行评分；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）报价文件评审及评分；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）完成评标报告，推荐中标候选人。</w:t>
      </w:r>
    </w:p>
    <w:p>
      <w:pPr>
        <w:pStyle w:val="4"/>
        <w:rPr>
          <w:color w:val="000000" w:themeColor="text1"/>
          <w14:textFill>
            <w14:solidFill>
              <w14:schemeClr w14:val="tx1"/>
            </w14:solidFill>
          </w14:textFill>
        </w:rPr>
      </w:pPr>
      <w:bookmarkStart w:id="138" w:name="_Toc28987"/>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投标文件的审查</w:t>
      </w:r>
      <w:bookmarkEnd w:id="138"/>
    </w:p>
    <w:p>
      <w:pPr>
        <w:ind w:firstLine="420"/>
        <w:rPr>
          <w:color w:val="000000" w:themeColor="text1"/>
          <w14:textFill>
            <w14:solidFill>
              <w14:schemeClr w14:val="tx1"/>
            </w14:solidFill>
          </w14:textFill>
        </w:rPr>
      </w:pPr>
      <w:r>
        <w:rPr>
          <w:color w:val="000000" w:themeColor="text1"/>
          <w14:textFill>
            <w14:solidFill>
              <w14:schemeClr w14:val="tx1"/>
            </w14:solidFill>
          </w14:textFill>
        </w:rPr>
        <w:t>4.1</w:t>
      </w:r>
      <w:r>
        <w:rPr>
          <w:rFonts w:hint="eastAsia"/>
          <w:color w:val="000000" w:themeColor="text1"/>
          <w14:textFill>
            <w14:solidFill>
              <w14:schemeClr w14:val="tx1"/>
            </w14:solidFill>
          </w14:textFill>
        </w:rPr>
        <w:t>采购人或者采购代理机构应当依法对投标人的资格进行审查，以确定投标人是否具备投标资格。招标人对投标文件的判定，只依据投标内容本身，不依靠开标后的任何外来证明。如投标人提交的资质证明或其他内容不齐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由此造成的后果由投标人自己负责。</w:t>
      </w:r>
      <w:r>
        <w:rPr>
          <w:color w:val="000000" w:themeColor="text1"/>
          <w14:textFill>
            <w14:solidFill>
              <w14:schemeClr w14:val="tx1"/>
            </w14:solidFill>
          </w14:textFill>
        </w:rPr>
        <w:t xml:space="preserve">  </w:t>
      </w:r>
    </w:p>
    <w:p>
      <w:pPr>
        <w:ind w:firstLine="420"/>
        <w:rPr>
          <w:color w:val="000000" w:themeColor="text1"/>
          <w:szCs w:val="20"/>
          <w14:textFill>
            <w14:solidFill>
              <w14:schemeClr w14:val="tx1"/>
            </w14:solidFill>
          </w14:textFill>
        </w:rPr>
      </w:pPr>
      <w:r>
        <w:rPr>
          <w:color w:val="000000" w:themeColor="text1"/>
          <w14:textFill>
            <w14:solidFill>
              <w14:schemeClr w14:val="tx1"/>
            </w14:solidFill>
          </w14:textFill>
        </w:rPr>
        <w:t>4.2</w:t>
      </w:r>
      <w:r>
        <w:rPr>
          <w:rFonts w:hint="eastAsia"/>
          <w:color w:val="000000" w:themeColor="text1"/>
          <w14:textFill>
            <w14:solidFill>
              <w14:schemeClr w14:val="tx1"/>
            </w14:solidFill>
          </w14:textFill>
        </w:rPr>
        <w:t>评标委员会应当对符合资格的投标人的投标文件进行符合性审查，以确定其是否满足招标文件的实质性要求。</w:t>
      </w:r>
      <w:r>
        <w:rPr>
          <w:rFonts w:hint="eastAsia"/>
          <w:color w:val="000000" w:themeColor="text1"/>
          <w:szCs w:val="20"/>
          <w14:textFill>
            <w14:solidFill>
              <w14:schemeClr w14:val="tx1"/>
            </w14:solidFill>
          </w14:textFill>
        </w:rPr>
        <w:t>如果投标文件实质上不响应招标文件的要求，</w:t>
      </w:r>
      <w:r>
        <w:rPr>
          <w:rFonts w:hint="eastAsia"/>
          <w:color w:val="000000" w:themeColor="text1"/>
          <w14:textFill>
            <w14:solidFill>
              <w14:schemeClr w14:val="tx1"/>
            </w14:solidFill>
          </w14:textFill>
        </w:rPr>
        <w:t>评标委员会</w:t>
      </w:r>
      <w:r>
        <w:rPr>
          <w:rFonts w:hint="eastAsia"/>
          <w:color w:val="000000" w:themeColor="text1"/>
          <w:szCs w:val="20"/>
          <w14:textFill>
            <w14:solidFill>
              <w14:schemeClr w14:val="tx1"/>
            </w14:solidFill>
          </w14:textFill>
        </w:rPr>
        <w:t>将予以拒绝，并且不允许通过修正或撤消不符合要求的差异或保留，使之成为具有响应性的投标。</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4.3</w:t>
      </w:r>
      <w:r>
        <w:rPr>
          <w:rFonts w:hint="eastAsia"/>
          <w:color w:val="000000" w:themeColor="text1"/>
          <w14:textFill>
            <w14:solidFill>
              <w14:schemeClr w14:val="tx1"/>
            </w14:solidFill>
          </w14:textFill>
        </w:rPr>
        <w:t>当评标委员会有充分理由确认所有投标人的报价没有达到预期的竞争效果，经评标委员会半数以上成员确认，可以否决本次采购，按废标处理。</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4.4</w:t>
      </w:r>
      <w:r>
        <w:rPr>
          <w:rFonts w:hint="eastAsia"/>
          <w:b/>
          <w:color w:val="000000" w:themeColor="text1"/>
          <w14:textFill>
            <w14:solidFill>
              <w14:schemeClr w14:val="tx1"/>
            </w14:solidFill>
          </w14:textFill>
        </w:rPr>
        <w:t>无效投标</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4.4.1</w:t>
      </w:r>
      <w:r>
        <w:rPr>
          <w:rFonts w:hint="eastAsia"/>
          <w:b/>
          <w:color w:val="000000" w:themeColor="text1"/>
          <w14:textFill>
            <w14:solidFill>
              <w14:schemeClr w14:val="tx1"/>
            </w14:solidFill>
          </w14:textFill>
        </w:rPr>
        <w:t>投标文件属下列情况之一的，应当在资格性检查时按照无效投标处理：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）资格证明文件不全的，或者不符合招标文件标明的资格要求的；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）应交未交投标保证金或投标人不以自己的名义或提供的投标保证金有缺陷而不能接受的；</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4.4.2</w:t>
      </w:r>
      <w:r>
        <w:rPr>
          <w:rFonts w:hint="eastAsia"/>
          <w:b/>
          <w:color w:val="000000" w:themeColor="text1"/>
          <w14:textFill>
            <w14:solidFill>
              <w14:schemeClr w14:val="tx1"/>
            </w14:solidFill>
          </w14:textFill>
        </w:rPr>
        <w:t>投标文件属下列情况之一的，应当在符合性检查时按照无效投标处理：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）未按照招标文件规定要求装订、密封、签署、盖章的；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）活页装订（是指用卡条、抽杆夹、订书机等形式装订，使标书可以拆卸或者在翻动过程中易脱落的一种装订方式）的投标文件按无效标处理；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）不响应招标文件实质性要求（招标文件中带“</w:t>
      </w:r>
      <w:r>
        <w:rPr>
          <w:rFonts w:hint="eastAsia" w:ascii="宋体" w:hAnsi="宋体"/>
          <w:b/>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”条款要求）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）投标有效期短于投标人须知前附表规定期限的投标文件；</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）投标人存在串通行为或虚假投标的；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）投标文件含有采购人不能接受的附加条件的；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7</w:t>
      </w:r>
      <w:r>
        <w:rPr>
          <w:rFonts w:hint="eastAsia"/>
          <w:color w:val="000000" w:themeColor="text1"/>
          <w14:textFill>
            <w14:solidFill>
              <w14:schemeClr w14:val="tx1"/>
            </w14:solidFill>
          </w14:textFill>
        </w:rPr>
        <w:t>）法律、法规和招标文件规定的其他无效情形的。</w:t>
      </w:r>
    </w:p>
    <w:p>
      <w:pPr>
        <w:ind w:firstLine="422"/>
        <w:rPr>
          <w:b/>
          <w:color w:val="000000" w:themeColor="text1"/>
          <w14:textFill>
            <w14:solidFill>
              <w14:schemeClr w14:val="tx1"/>
            </w14:solidFill>
          </w14:textFill>
        </w:rPr>
      </w:pPr>
      <w:r>
        <w:rPr>
          <w:b/>
          <w:color w:val="000000" w:themeColor="text1"/>
          <w14:textFill>
            <w14:solidFill>
              <w14:schemeClr w14:val="tx1"/>
            </w14:solidFill>
          </w14:textFill>
        </w:rPr>
        <w:t>4.4.3</w:t>
      </w:r>
      <w:r>
        <w:rPr>
          <w:rFonts w:hint="eastAsia"/>
          <w:b/>
          <w:color w:val="000000" w:themeColor="text1"/>
          <w14:textFill>
            <w14:solidFill>
              <w14:schemeClr w14:val="tx1"/>
            </w14:solidFill>
          </w14:textFill>
        </w:rPr>
        <w:t>在报价评审时，如发现下列情形之一的，报价文件将被视为无效，不再进入价格评审环节：</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）报价超出最高限价，或者超出采购预算金额，采购人不能支付的；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）投标报价具有选择性，或者开标价格与投标文件承诺的优惠（折扣）价格不一致的；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）不符合招标文件规定要求进行报价的；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投标人不能证明其报价合理性的，评标委员会应当将其作为无效投标处理。</w:t>
      </w:r>
    </w:p>
    <w:p>
      <w:pPr>
        <w:ind w:firstLine="420"/>
        <w:rPr>
          <w:color w:val="000000" w:themeColor="text1"/>
          <w14:textFill>
            <w14:solidFill>
              <w14:schemeClr w14:val="tx1"/>
            </w14:solidFill>
          </w14:textFill>
        </w:rPr>
      </w:pPr>
      <w:r>
        <w:rPr>
          <w:color w:val="000000" w:themeColor="text1"/>
          <w14:textFill>
            <w14:solidFill>
              <w14:schemeClr w14:val="tx1"/>
            </w14:solidFill>
          </w14:textFill>
        </w:rPr>
        <w:t>4.5</w:t>
      </w:r>
      <w:r>
        <w:rPr>
          <w:rFonts w:hint="eastAsia"/>
          <w:color w:val="000000" w:themeColor="text1"/>
          <w14:textFill>
            <w14:solidFill>
              <w14:schemeClr w14:val="tx1"/>
            </w14:solidFill>
          </w14:textFill>
        </w:rPr>
        <w:t>废标</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根据《中华人民共和国政府采购法》第三十六条之规定，在采购中，出现下列情况之一的，应予以废标：</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）符合专业条件的供应商或者对招标文件作实质响应的供应商不足</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家的；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）出现影响采购公正的违法、违规行为的；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）投标人的报价均超过了采购预算，采购单位不能支付的；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）因重大变故，采购任务取消的。</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废标后，采购代理机构应当将废标理由通知所有投标人。</w:t>
      </w:r>
    </w:p>
    <w:p>
      <w:pPr>
        <w:pStyle w:val="4"/>
        <w:rPr>
          <w:color w:val="000000" w:themeColor="text1"/>
          <w14:textFill>
            <w14:solidFill>
              <w14:schemeClr w14:val="tx1"/>
            </w14:solidFill>
          </w14:textFill>
        </w:rPr>
      </w:pPr>
      <w:bookmarkStart w:id="139" w:name="_Toc32142"/>
      <w:r>
        <w:rPr>
          <w:color w:val="000000" w:themeColor="text1"/>
          <w14:textFill>
            <w14:solidFill>
              <w14:schemeClr w14:val="tx1"/>
            </w14:solidFill>
          </w14:textFill>
        </w:rPr>
        <w:t>5</w:t>
      </w:r>
      <w:r>
        <w:rPr>
          <w:rFonts w:hint="eastAsia"/>
          <w:color w:val="000000" w:themeColor="text1"/>
          <w14:textFill>
            <w14:solidFill>
              <w14:schemeClr w14:val="tx1"/>
            </w14:solidFill>
          </w14:textFill>
        </w:rPr>
        <w:t>评标细则</w:t>
      </w:r>
      <w:bookmarkEnd w:id="139"/>
    </w:p>
    <w:p>
      <w:pPr>
        <w:ind w:firstLine="420"/>
        <w:rPr>
          <w:color w:val="000000" w:themeColor="text1"/>
          <w14:textFill>
            <w14:solidFill>
              <w14:schemeClr w14:val="tx1"/>
            </w14:solidFill>
          </w14:textFill>
        </w:rPr>
      </w:pPr>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个标项，同一投标人可以同时投</w:t>
      </w:r>
      <w:r>
        <w:rPr>
          <w:rFonts w:hint="eastAsia"/>
          <w:color w:val="000000" w:themeColor="text1"/>
          <w14:textFill>
            <w14:solidFill>
              <w14:schemeClr w14:val="tx1"/>
            </w14:solidFill>
          </w14:textFill>
        </w:rPr>
        <w:t>六</w:t>
      </w:r>
      <w:r>
        <w:rPr>
          <w:color w:val="000000" w:themeColor="text1"/>
          <w14:textFill>
            <w14:solidFill>
              <w14:schemeClr w14:val="tx1"/>
            </w14:solidFill>
          </w14:textFill>
        </w:rPr>
        <w:t>个标项，也可以投任意一个标项，但一个投标人最多只能中一个标项，预中标一个标项后，该预中标单位不再参与其余标项的评审，按标项顺序进行评审。</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次评标采用综合评分法，评标委员会根据评审情况，对投标人的报价，投标人综合实力、技术、信誉、业绩和售后服务等方面进行审核。评标委员会根据评审情况，对各投标人的报价进行统一打分，对各投标人的资信及技术由评标委员会成员在分值范围内进行独立打分。所有分值均在小数点后保留</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位小数。若评标委员会的评分表中计分不在分值范围内的，则该评分表无效。</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每个投标人最终得分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商务报价分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资信分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技术分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标委员会推荐得分最高的投标人为第一中标候选人、得分次高的投标人为第二中标候选人，并编写评标报告。如果得分相同，则按投标人报价从低到高顺序推荐为中标候选人，如果投标报价也相同，则按投标人技术得分从高到低顺序推荐中标候选人，如果报价和技术得分都相同，则抽签决定。</w:t>
      </w:r>
    </w:p>
    <w:p>
      <w:pPr>
        <w:keepNext/>
        <w:keepLines/>
        <w:ind w:firstLine="420"/>
        <w:outlineLvl w:val="2"/>
        <w:rPr>
          <w:rFonts w:ascii="宋体" w:hAnsi="宋体" w:cs="宋体"/>
          <w:b/>
          <w:bCs/>
          <w:color w:val="000000" w:themeColor="text1"/>
          <w:kern w:val="0"/>
          <w:szCs w:val="32"/>
          <w14:textFill>
            <w14:solidFill>
              <w14:schemeClr w14:val="tx1"/>
            </w14:solidFill>
          </w14:textFill>
        </w:rPr>
      </w:pPr>
      <w:r>
        <w:rPr>
          <w:color w:val="000000" w:themeColor="text1"/>
          <w14:textFill>
            <w14:solidFill>
              <w14:schemeClr w14:val="tx1"/>
            </w14:solidFill>
          </w14:textFill>
        </w:rPr>
        <w:t xml:space="preserve">5.1 </w:t>
      </w:r>
      <w:r>
        <w:rPr>
          <w:rFonts w:hint="eastAsia" w:ascii="宋体" w:hAnsi="宋体" w:cs="宋体"/>
          <w:b/>
          <w:bCs/>
          <w:color w:val="000000" w:themeColor="text1"/>
          <w:kern w:val="0"/>
          <w:szCs w:val="32"/>
          <w14:textFill>
            <w14:solidFill>
              <w14:schemeClr w14:val="tx1"/>
            </w14:solidFill>
          </w14:textFill>
        </w:rPr>
        <w:t>商务报价分30分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商务报价评分将在有效投标人范围内进行，最高得30分，小数点后保留</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位小数。满足招标文件要求且投标价格最低的投标报价为评标基准价，其商务报价分为满分。其他投标人的价格分按照下列公式计算：</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商务报价分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评标基准价／投标报价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×30。</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此项由评标委员会集体核实后统一打分。</w:t>
      </w:r>
    </w:p>
    <w:p>
      <w:pPr>
        <w:keepNext/>
        <w:keepLines/>
        <w:ind w:firstLine="422"/>
        <w:outlineLvl w:val="2"/>
        <w:rPr>
          <w:rFonts w:ascii="宋体" w:hAnsi="宋体" w:cs="宋体"/>
          <w:b/>
          <w:bCs/>
          <w:color w:val="000000" w:themeColor="text1"/>
          <w:kern w:val="0"/>
          <w:szCs w:val="32"/>
          <w14:textFill>
            <w14:solidFill>
              <w14:schemeClr w14:val="tx1"/>
            </w14:solidFill>
          </w14:textFill>
        </w:rPr>
      </w:pPr>
      <w:r>
        <w:rPr>
          <w:rFonts w:hint="eastAsia" w:ascii="宋体" w:hAnsi="宋体" w:cs="宋体"/>
          <w:b/>
          <w:bCs/>
          <w:color w:val="000000" w:themeColor="text1"/>
          <w:kern w:val="0"/>
          <w:szCs w:val="32"/>
          <w14:textFill>
            <w14:solidFill>
              <w14:schemeClr w14:val="tx1"/>
            </w14:solidFill>
          </w14:textFill>
        </w:rPr>
        <w:t>5.2 资信评分5分</w:t>
      </w:r>
    </w:p>
    <w:p>
      <w:pPr>
        <w:ind w:firstLine="420"/>
        <w:rPr>
          <w:rFonts w:ascii="宋体" w:hAnsi="宋体"/>
        </w:rPr>
      </w:pPr>
      <w:r>
        <w:rPr>
          <w:rFonts w:hint="eastAsia" w:ascii="宋体" w:hAnsi="宋体"/>
        </w:rPr>
        <w:t>投标人自</w:t>
      </w:r>
      <w:r>
        <w:rPr>
          <w:rFonts w:hAnsi="宋体"/>
        </w:rPr>
        <w:t>201</w:t>
      </w:r>
      <w:r>
        <w:rPr>
          <w:rFonts w:hint="eastAsia" w:hAnsi="宋体"/>
        </w:rPr>
        <w:t>8</w:t>
      </w:r>
      <w:r>
        <w:rPr>
          <w:rFonts w:hint="eastAsia" w:ascii="宋体" w:hAnsi="宋体"/>
        </w:rPr>
        <w:t>年</w:t>
      </w:r>
      <w:r>
        <w:rPr>
          <w:rFonts w:hint="eastAsia"/>
        </w:rPr>
        <w:t>08</w:t>
      </w:r>
      <w:r>
        <w:rPr>
          <w:rFonts w:hint="eastAsia" w:ascii="宋体" w:hAnsi="宋体"/>
        </w:rPr>
        <w:t>月份以来同类项目业绩，提供中标项目合同复印件，每一个得</w:t>
      </w:r>
      <w:r>
        <w:rPr>
          <w:rFonts w:hAnsi="宋体"/>
        </w:rPr>
        <w:t>1</w:t>
      </w:r>
      <w:r>
        <w:rPr>
          <w:rFonts w:hint="eastAsia" w:ascii="宋体" w:hAnsi="宋体"/>
        </w:rPr>
        <w:t>分，最高得</w:t>
      </w:r>
      <w:r>
        <w:rPr>
          <w:rFonts w:hint="eastAsia" w:hAnsi="宋体"/>
        </w:rPr>
        <w:t>5</w:t>
      </w:r>
      <w:r>
        <w:rPr>
          <w:rFonts w:hint="eastAsia" w:ascii="宋体" w:hAnsi="宋体"/>
        </w:rPr>
        <w:t>分；（业绩证明材料时间以合同签订时间为准。）（</w:t>
      </w:r>
      <w:r>
        <w:rPr>
          <w:rFonts w:hAnsi="宋体"/>
        </w:rPr>
        <w:t>0-</w:t>
      </w:r>
      <w:r>
        <w:rPr>
          <w:rFonts w:hint="eastAsia" w:hAnsi="宋体"/>
        </w:rPr>
        <w:t>5</w:t>
      </w:r>
      <w:r>
        <w:rPr>
          <w:rFonts w:hint="eastAsia" w:ascii="宋体" w:hAnsi="宋体"/>
        </w:rPr>
        <w:t>分）</w:t>
      </w:r>
    </w:p>
    <w:p>
      <w:pPr>
        <w:ind w:firstLine="420"/>
      </w:pPr>
      <w:r>
        <w:rPr>
          <w:rFonts w:hint="eastAsia"/>
        </w:rPr>
        <w:t>此项由评标委员会集体核实后统一打分。</w:t>
      </w:r>
    </w:p>
    <w:p>
      <w:pPr>
        <w:keepNext/>
        <w:keepLines/>
        <w:ind w:firstLine="422"/>
        <w:outlineLvl w:val="2"/>
        <w:rPr>
          <w:rFonts w:ascii="宋体" w:hAnsi="宋体" w:cs="宋体"/>
          <w:b/>
          <w:bCs/>
          <w:color w:val="000000" w:themeColor="text1"/>
          <w:kern w:val="0"/>
          <w:szCs w:val="32"/>
          <w14:textFill>
            <w14:solidFill>
              <w14:schemeClr w14:val="tx1"/>
            </w14:solidFill>
          </w14:textFill>
        </w:rPr>
      </w:pPr>
      <w:r>
        <w:rPr>
          <w:rFonts w:hint="eastAsia" w:ascii="宋体" w:hAnsi="宋体" w:cs="宋体"/>
          <w:b/>
          <w:bCs/>
          <w:color w:val="000000" w:themeColor="text1"/>
          <w:kern w:val="0"/>
          <w:szCs w:val="32"/>
          <w14:textFill>
            <w14:solidFill>
              <w14:schemeClr w14:val="tx1"/>
            </w14:solidFill>
          </w14:textFill>
        </w:rPr>
        <w:t>5.3 技术评分65分</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该评分分值由评标委员会根据评审情况在分值范围内独立打分（具体分值设定详见表格），小数点后保留</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位小数。每个投标人的最终技术得分为评标委员会打分的算术平均值。</w:t>
      </w:r>
    </w:p>
    <w:tbl>
      <w:tblPr>
        <w:tblStyle w:val="22"/>
        <w:tblW w:w="5000" w:type="pct"/>
        <w:tblInd w:w="98" w:type="dxa"/>
        <w:tblLayout w:type="autofit"/>
        <w:tblCellMar>
          <w:top w:w="0" w:type="dxa"/>
          <w:left w:w="0" w:type="dxa"/>
          <w:bottom w:w="0" w:type="dxa"/>
          <w:right w:w="0" w:type="dxa"/>
        </w:tblCellMar>
      </w:tblPr>
      <w:tblGrid>
        <w:gridCol w:w="872"/>
        <w:gridCol w:w="1104"/>
        <w:gridCol w:w="4094"/>
        <w:gridCol w:w="872"/>
        <w:gridCol w:w="1394"/>
      </w:tblGrid>
      <w:tr>
        <w:tblPrEx>
          <w:tblCellMar>
            <w:top w:w="0" w:type="dxa"/>
            <w:left w:w="0" w:type="dxa"/>
            <w:bottom w:w="0" w:type="dxa"/>
            <w:right w:w="0" w:type="dxa"/>
          </w:tblCellMar>
        </w:tblPrEx>
        <w:trPr>
          <w:trHeight w:val="300" w:hRule="atLeast"/>
        </w:trPr>
        <w:tc>
          <w:tcPr>
            <w:tcW w:w="523" w:type="pct"/>
            <w:tcBorders>
              <w:top w:val="single" w:color="000000" w:sz="8" w:space="0"/>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ind w:firstLine="0" w:firstLineChars="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序号</w:t>
            </w:r>
          </w:p>
        </w:tc>
        <w:tc>
          <w:tcPr>
            <w:tcW w:w="662"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ind w:firstLine="0" w:firstLineChars="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内容</w:t>
            </w:r>
          </w:p>
        </w:tc>
        <w:tc>
          <w:tcPr>
            <w:tcW w:w="2455" w:type="pct"/>
            <w:tcBorders>
              <w:top w:val="single" w:color="000000" w:sz="8" w:space="0"/>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评分标准</w:t>
            </w:r>
          </w:p>
        </w:tc>
        <w:tc>
          <w:tcPr>
            <w:tcW w:w="523" w:type="pct"/>
            <w:tcBorders>
              <w:top w:val="single" w:color="000000" w:sz="8" w:space="0"/>
              <w:left w:val="nil"/>
              <w:bottom w:val="single" w:color="000000" w:sz="8" w:space="0"/>
              <w:right w:val="single" w:color="000000" w:sz="8" w:space="0"/>
            </w:tcBorders>
            <w:tcMar>
              <w:top w:w="15" w:type="dxa"/>
              <w:left w:w="15" w:type="dxa"/>
              <w:bottom w:w="0" w:type="dxa"/>
              <w:right w:w="15" w:type="dxa"/>
            </w:tcMar>
          </w:tcPr>
          <w:p>
            <w:pPr>
              <w:widowControl/>
              <w:ind w:firstLine="0" w:firstLineChars="0"/>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分值</w:t>
            </w:r>
          </w:p>
        </w:tc>
        <w:tc>
          <w:tcPr>
            <w:tcW w:w="836" w:type="pct"/>
            <w:tcBorders>
              <w:top w:val="single" w:color="000000" w:sz="8" w:space="0"/>
              <w:left w:val="nil"/>
              <w:bottom w:val="single" w:color="000000" w:sz="8" w:space="0"/>
              <w:right w:val="single" w:color="000000" w:sz="8" w:space="0"/>
            </w:tcBorders>
            <w:tcMar>
              <w:top w:w="15" w:type="dxa"/>
              <w:left w:w="15" w:type="dxa"/>
              <w:bottom w:w="0" w:type="dxa"/>
              <w:right w:w="15" w:type="dxa"/>
            </w:tcMar>
          </w:tcPr>
          <w:p>
            <w:pPr>
              <w:widowControl/>
              <w:ind w:firstLine="0" w:firstLineChars="0"/>
              <w:jc w:val="center"/>
              <w:textAlignment w:val="top"/>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评分类型</w:t>
            </w:r>
          </w:p>
        </w:tc>
      </w:tr>
      <w:tr>
        <w:tblPrEx>
          <w:tblCellMar>
            <w:top w:w="0" w:type="dxa"/>
            <w:left w:w="0" w:type="dxa"/>
            <w:bottom w:w="0" w:type="dxa"/>
            <w:right w:w="0" w:type="dxa"/>
          </w:tblCellMar>
        </w:tblPrEx>
        <w:trPr>
          <w:trHeight w:val="300" w:hRule="atLeast"/>
        </w:trPr>
        <w:tc>
          <w:tcPr>
            <w:tcW w:w="523"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662"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0" w:firstLineChars="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进书渠道</w:t>
            </w:r>
          </w:p>
        </w:tc>
        <w:tc>
          <w:tcPr>
            <w:tcW w:w="2455" w:type="pct"/>
            <w:tcBorders>
              <w:top w:val="nil"/>
              <w:left w:val="nil"/>
              <w:bottom w:val="nil"/>
              <w:right w:val="single" w:color="000000" w:sz="8" w:space="0"/>
            </w:tcBorders>
            <w:tcMar>
              <w:top w:w="15" w:type="dxa"/>
              <w:left w:w="15" w:type="dxa"/>
              <w:bottom w:w="0" w:type="dxa"/>
              <w:right w:w="15" w:type="dxa"/>
            </w:tcMar>
          </w:tcPr>
          <w:p>
            <w:pPr>
              <w:ind w:firstLine="420"/>
              <w:rPr>
                <w:rFonts w:ascii="宋体" w:hAnsi="宋体" w:cs="宋体"/>
                <w:szCs w:val="21"/>
              </w:rPr>
            </w:pPr>
            <w:r>
              <w:rPr>
                <w:rFonts w:hint="eastAsia" w:ascii="宋体" w:hAnsi="宋体" w:cs="宋体"/>
                <w:szCs w:val="21"/>
              </w:rPr>
              <w:t>供书保障</w:t>
            </w:r>
          </w:p>
          <w:p>
            <w:pPr>
              <w:pStyle w:val="12"/>
              <w:spacing w:line="360" w:lineRule="auto"/>
              <w:ind w:left="0" w:firstLine="420" w:firstLineChars="200"/>
              <w:rPr>
                <w:rFonts w:ascii="宋体" w:hAnsi="宋体" w:cs="宋体"/>
                <w:color w:val="000000" w:themeColor="text1"/>
                <w14:textFill>
                  <w14:solidFill>
                    <w14:schemeClr w14:val="tx1"/>
                  </w14:solidFill>
                </w14:textFill>
              </w:rPr>
            </w:pPr>
            <w:r>
              <w:rPr>
                <w:rFonts w:hint="eastAsia" w:ascii="宋体" w:hAnsi="宋体" w:cs="宋体"/>
              </w:rPr>
              <w:t>有供书保障的各类国家级出版社，地方出版社数量，超过50家得9分，,40－50家（含）得7分，30－40家（含）得5分，20－30家（含）得3分，10家以下不得分。（附供货商全国出版社合同或授权书）。</w:t>
            </w:r>
          </w:p>
        </w:tc>
        <w:tc>
          <w:tcPr>
            <w:tcW w:w="523"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0-9分</w:t>
            </w:r>
          </w:p>
        </w:tc>
        <w:tc>
          <w:tcPr>
            <w:tcW w:w="836"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tblPrEx>
          <w:tblCellMar>
            <w:top w:w="0" w:type="dxa"/>
            <w:left w:w="0" w:type="dxa"/>
            <w:bottom w:w="0" w:type="dxa"/>
            <w:right w:w="0" w:type="dxa"/>
          </w:tblCellMar>
        </w:tblPrEx>
        <w:trPr>
          <w:trHeight w:val="525" w:hRule="atLeast"/>
        </w:trPr>
        <w:tc>
          <w:tcPr>
            <w:tcW w:w="523"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662" w:type="pct"/>
            <w:tcBorders>
              <w:top w:val="nil"/>
              <w:left w:val="nil"/>
              <w:bottom w:val="single" w:color="auto" w:sz="4" w:space="0"/>
              <w:right w:val="single" w:color="000000" w:sz="8" w:space="0"/>
            </w:tcBorders>
            <w:tcMar>
              <w:top w:w="15" w:type="dxa"/>
              <w:left w:w="15" w:type="dxa"/>
              <w:bottom w:w="0" w:type="dxa"/>
              <w:right w:w="15" w:type="dxa"/>
            </w:tcMar>
            <w:vAlign w:val="center"/>
          </w:tcPr>
          <w:p>
            <w:pPr>
              <w:ind w:firstLine="0" w:firstLineChars="0"/>
              <w:rPr>
                <w:rFonts w:ascii="宋体" w:hAnsi="宋体" w:cs="宋体"/>
                <w:szCs w:val="21"/>
              </w:rPr>
            </w:pPr>
            <w:r>
              <w:rPr>
                <w:rFonts w:hint="eastAsia" w:ascii="宋体" w:hAnsi="宋体" w:cs="宋体"/>
                <w:szCs w:val="21"/>
              </w:rPr>
              <w:t>网站建设及仓储实力</w:t>
            </w:r>
          </w:p>
          <w:p>
            <w:pPr>
              <w:ind w:firstLine="420"/>
              <w:jc w:val="center"/>
              <w:rPr>
                <w:rFonts w:ascii="宋体" w:hAnsi="宋体" w:cs="宋体"/>
                <w:color w:val="000000" w:themeColor="text1"/>
                <w:szCs w:val="21"/>
                <w14:textFill>
                  <w14:solidFill>
                    <w14:schemeClr w14:val="tx1"/>
                  </w14:solidFill>
                </w14:textFill>
              </w:rPr>
            </w:pPr>
          </w:p>
        </w:tc>
        <w:tc>
          <w:tcPr>
            <w:tcW w:w="2455" w:type="pct"/>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ind w:firstLine="420"/>
              <w:rPr>
                <w:rFonts w:ascii="宋体" w:hAnsi="宋体" w:cs="宋体"/>
                <w:szCs w:val="21"/>
              </w:rPr>
            </w:pPr>
            <w:r>
              <w:rPr>
                <w:rFonts w:hint="eastAsia" w:ascii="宋体" w:hAnsi="宋体" w:cs="宋体"/>
                <w:szCs w:val="21"/>
              </w:rPr>
              <w:t>网站建设0-3分</w:t>
            </w:r>
          </w:p>
          <w:p>
            <w:pPr>
              <w:ind w:firstLine="420"/>
              <w:rPr>
                <w:rFonts w:ascii="宋体" w:hAnsi="宋体" w:cs="宋体"/>
                <w:szCs w:val="21"/>
              </w:rPr>
            </w:pPr>
            <w:r>
              <w:rPr>
                <w:rFonts w:hint="eastAsia" w:ascii="宋体" w:hAnsi="宋体" w:cs="宋体"/>
                <w:szCs w:val="21"/>
              </w:rPr>
              <w:t>有电子商务网站且有查书、订书等完善的功能；</w:t>
            </w:r>
          </w:p>
          <w:p>
            <w:pPr>
              <w:ind w:firstLine="420"/>
              <w:rPr>
                <w:rFonts w:ascii="宋体" w:hAnsi="宋体" w:cs="宋体"/>
                <w:szCs w:val="21"/>
              </w:rPr>
            </w:pPr>
            <w:r>
              <w:rPr>
                <w:rFonts w:hint="eastAsia" w:ascii="宋体" w:hAnsi="宋体" w:cs="宋体"/>
                <w:szCs w:val="21"/>
              </w:rPr>
              <w:t>仓储能力0-3分</w:t>
            </w:r>
          </w:p>
          <w:p>
            <w:pPr>
              <w:ind w:firstLine="420"/>
              <w:rPr>
                <w:rFonts w:ascii="宋体" w:hAnsi="宋体" w:cs="宋体"/>
                <w:color w:val="000000" w:themeColor="text1"/>
                <w:szCs w:val="21"/>
                <w14:textFill>
                  <w14:solidFill>
                    <w14:schemeClr w14:val="tx1"/>
                  </w14:solidFill>
                </w14:textFill>
              </w:rPr>
            </w:pPr>
            <w:r>
              <w:rPr>
                <w:rFonts w:hint="eastAsia" w:ascii="宋体" w:hAnsi="宋体" w:cs="宋体"/>
                <w:szCs w:val="21"/>
              </w:rPr>
              <w:t>企业有自有仓储场地1000平方</w:t>
            </w:r>
            <w:r>
              <w:rPr>
                <w:rFonts w:hint="eastAsia" w:ascii="宋体" w:hAnsi="宋体" w:cs="宋体"/>
              </w:rPr>
              <w:t>（含）</w:t>
            </w:r>
            <w:r>
              <w:rPr>
                <w:rFonts w:hint="eastAsia" w:ascii="宋体" w:hAnsi="宋体" w:cs="宋体"/>
                <w:szCs w:val="21"/>
              </w:rPr>
              <w:t>以上的得3分，500</w:t>
            </w:r>
            <w:r>
              <w:rPr>
                <w:rFonts w:hint="eastAsia" w:ascii="宋体" w:hAnsi="宋体" w:cs="宋体"/>
              </w:rPr>
              <w:t>（含）</w:t>
            </w:r>
            <w:r>
              <w:rPr>
                <w:rFonts w:hint="eastAsia" w:ascii="宋体" w:hAnsi="宋体" w:cs="宋体"/>
                <w:szCs w:val="21"/>
              </w:rPr>
              <w:t>－1000平方的得1分，500平方以下不得分 。</w:t>
            </w:r>
          </w:p>
        </w:tc>
        <w:tc>
          <w:tcPr>
            <w:tcW w:w="523"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0-6分</w:t>
            </w:r>
          </w:p>
        </w:tc>
        <w:tc>
          <w:tcPr>
            <w:tcW w:w="836"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p>
            <w:pPr>
              <w:pStyle w:val="2"/>
              <w:spacing w:line="360" w:lineRule="auto"/>
              <w:rPr>
                <w:rFonts w:ascii="宋体" w:hAnsi="宋体" w:cs="宋体"/>
                <w:color w:val="000000" w:themeColor="text1"/>
                <w:sz w:val="21"/>
                <w:szCs w:val="21"/>
                <w14:textFill>
                  <w14:solidFill>
                    <w14:schemeClr w14:val="tx1"/>
                  </w14:solidFill>
                </w14:textFill>
              </w:rPr>
            </w:pPr>
          </w:p>
          <w:p>
            <w:pPr>
              <w:ind w:firstLine="420"/>
              <w:rPr>
                <w:rFonts w:ascii="宋体" w:hAnsi="宋体" w:cs="宋体"/>
                <w:szCs w:val="21"/>
              </w:rPr>
            </w:pPr>
          </w:p>
          <w:p>
            <w:pPr>
              <w:widowControl/>
              <w:ind w:firstLine="42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客观分</w:t>
            </w:r>
          </w:p>
        </w:tc>
      </w:tr>
      <w:tr>
        <w:tblPrEx>
          <w:tblCellMar>
            <w:top w:w="0" w:type="dxa"/>
            <w:left w:w="0" w:type="dxa"/>
            <w:bottom w:w="0" w:type="dxa"/>
            <w:right w:w="0" w:type="dxa"/>
          </w:tblCellMar>
        </w:tblPrEx>
        <w:trPr>
          <w:trHeight w:val="525" w:hRule="atLeast"/>
        </w:trPr>
        <w:tc>
          <w:tcPr>
            <w:tcW w:w="523" w:type="pc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662"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0" w:firstLineChars="0"/>
              <w:textAlignment w:val="center"/>
              <w:rPr>
                <w:rFonts w:ascii="宋体" w:hAnsi="宋体" w:cs="宋体"/>
                <w:color w:val="000000" w:themeColor="text1"/>
                <w:szCs w:val="21"/>
                <w14:textFill>
                  <w14:solidFill>
                    <w14:schemeClr w14:val="tx1"/>
                  </w14:solidFill>
                </w14:textFill>
              </w:rPr>
            </w:pPr>
            <w:r>
              <w:rPr>
                <w:rFonts w:hint="eastAsia" w:ascii="宋体" w:hAnsi="宋体" w:cs="宋体"/>
                <w:szCs w:val="21"/>
              </w:rPr>
              <w:t>从事美术类院校教材配书年限</w:t>
            </w:r>
          </w:p>
        </w:tc>
        <w:tc>
          <w:tcPr>
            <w:tcW w:w="2455" w:type="pct"/>
            <w:tcBorders>
              <w:top w:val="nil"/>
              <w:left w:val="nil"/>
              <w:bottom w:val="single" w:color="auto" w:sz="4" w:space="0"/>
              <w:right w:val="single" w:color="000000" w:sz="8" w:space="0"/>
            </w:tcBorders>
            <w:tcMar>
              <w:top w:w="15" w:type="dxa"/>
              <w:left w:w="15" w:type="dxa"/>
              <w:bottom w:w="0" w:type="dxa"/>
              <w:right w:w="15" w:type="dxa"/>
            </w:tcMar>
            <w:vAlign w:val="center"/>
          </w:tcPr>
          <w:p>
            <w:pPr>
              <w:widowControl/>
              <w:ind w:firstLine="42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每年得1分，最多得5分。（提供相关证明材料）</w:t>
            </w:r>
          </w:p>
        </w:tc>
        <w:tc>
          <w:tcPr>
            <w:tcW w:w="523"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0-5分</w:t>
            </w:r>
          </w:p>
        </w:tc>
        <w:tc>
          <w:tcPr>
            <w:tcW w:w="836" w:type="pc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tblPrEx>
          <w:tblCellMar>
            <w:top w:w="0" w:type="dxa"/>
            <w:left w:w="0" w:type="dxa"/>
            <w:bottom w:w="0" w:type="dxa"/>
            <w:right w:w="0" w:type="dxa"/>
          </w:tblCellMar>
        </w:tblPrEx>
        <w:trPr>
          <w:trHeight w:val="525" w:hRule="atLeast"/>
        </w:trPr>
        <w:tc>
          <w:tcPr>
            <w:tcW w:w="523" w:type="pct"/>
            <w:vMerge w:val="restart"/>
            <w:tcBorders>
              <w:top w:val="nil"/>
              <w:left w:val="single" w:color="000000" w:sz="8" w:space="0"/>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662" w:type="pct"/>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0" w:firstLineChars="0"/>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教材质量保证措施</w:t>
            </w:r>
          </w:p>
        </w:tc>
        <w:tc>
          <w:tcPr>
            <w:tcW w:w="2455" w:type="pct"/>
            <w:tcBorders>
              <w:top w:val="single" w:color="auto" w:sz="4" w:space="0"/>
              <w:left w:val="nil"/>
              <w:bottom w:val="nil"/>
              <w:right w:val="single" w:color="000000" w:sz="8" w:space="0"/>
            </w:tcBorders>
            <w:tcMar>
              <w:top w:w="15" w:type="dxa"/>
              <w:left w:w="15" w:type="dxa"/>
              <w:bottom w:w="0" w:type="dxa"/>
              <w:right w:w="15" w:type="dxa"/>
            </w:tcMar>
          </w:tcPr>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全新正版出版物；无破损；附件齐全。根据响应程度比较评分，0-4分；</w:t>
            </w:r>
          </w:p>
        </w:tc>
        <w:tc>
          <w:tcPr>
            <w:tcW w:w="523" w:type="pct"/>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0-8分</w:t>
            </w:r>
          </w:p>
        </w:tc>
        <w:tc>
          <w:tcPr>
            <w:tcW w:w="836" w:type="pct"/>
            <w:vMerge w:val="restart"/>
            <w:tcBorders>
              <w:top w:val="nil"/>
              <w:left w:val="nil"/>
              <w:bottom w:val="single" w:color="000000" w:sz="8" w:space="0"/>
              <w:right w:val="single" w:color="000000" w:sz="8"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tblPrEx>
          <w:tblCellMar>
            <w:top w:w="0" w:type="dxa"/>
            <w:left w:w="0" w:type="dxa"/>
            <w:bottom w:w="0" w:type="dxa"/>
            <w:right w:w="0" w:type="dxa"/>
          </w:tblCellMar>
        </w:tblPrEx>
        <w:trPr>
          <w:trHeight w:val="540" w:hRule="atLeast"/>
        </w:trPr>
        <w:tc>
          <w:tcPr>
            <w:tcW w:w="523" w:type="pct"/>
            <w:vMerge w:val="continue"/>
            <w:tcBorders>
              <w:top w:val="nil"/>
              <w:left w:val="single" w:color="000000" w:sz="8" w:space="0"/>
              <w:bottom w:val="single" w:color="000000" w:sz="8"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p>
        </w:tc>
        <w:tc>
          <w:tcPr>
            <w:tcW w:w="662" w:type="pct"/>
            <w:vMerge w:val="continue"/>
            <w:tcBorders>
              <w:top w:val="nil"/>
              <w:left w:val="nil"/>
              <w:bottom w:val="single" w:color="000000" w:sz="8"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p>
        </w:tc>
        <w:tc>
          <w:tcPr>
            <w:tcW w:w="2455" w:type="pct"/>
            <w:tcBorders>
              <w:top w:val="nil"/>
              <w:left w:val="nil"/>
              <w:bottom w:val="single" w:color="000000" w:sz="8" w:space="0"/>
              <w:right w:val="single" w:color="000000" w:sz="8" w:space="0"/>
            </w:tcBorders>
            <w:tcMar>
              <w:top w:w="15" w:type="dxa"/>
              <w:left w:w="15" w:type="dxa"/>
              <w:bottom w:w="0" w:type="dxa"/>
              <w:right w:w="15" w:type="dxa"/>
            </w:tcMar>
          </w:tcPr>
          <w:p>
            <w:pPr>
              <w:ind w:firstLine="42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教材正版产品的保障措施0-4分。</w:t>
            </w:r>
          </w:p>
        </w:tc>
        <w:tc>
          <w:tcPr>
            <w:tcW w:w="0" w:type="auto"/>
            <w:vMerge w:val="continue"/>
            <w:tcBorders>
              <w:top w:val="nil"/>
              <w:left w:val="nil"/>
              <w:bottom w:val="single" w:color="000000" w:sz="8"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p>
        </w:tc>
        <w:tc>
          <w:tcPr>
            <w:tcW w:w="836" w:type="pct"/>
            <w:vMerge w:val="continue"/>
            <w:tcBorders>
              <w:top w:val="nil"/>
              <w:left w:val="nil"/>
              <w:bottom w:val="single" w:color="000000" w:sz="8"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525" w:hRule="atLeast"/>
        </w:trPr>
        <w:tc>
          <w:tcPr>
            <w:tcW w:w="523" w:type="pct"/>
            <w:tcBorders>
              <w:top w:val="single" w:color="auto" w:sz="4" w:space="0"/>
              <w:left w:val="single" w:color="000000" w:sz="8" w:space="0"/>
              <w:bottom w:val="single" w:color="auto" w:sz="4" w:space="0"/>
              <w:right w:val="single" w:color="000000" w:sz="8" w:space="0"/>
            </w:tcBorders>
            <w:vAlign w:val="center"/>
          </w:tcPr>
          <w:p>
            <w:pPr>
              <w:widowControl/>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662" w:type="pct"/>
            <w:tcBorders>
              <w:top w:val="single" w:color="auto" w:sz="4" w:space="0"/>
              <w:left w:val="nil"/>
              <w:bottom w:val="single" w:color="auto" w:sz="4"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p>
        </w:tc>
        <w:tc>
          <w:tcPr>
            <w:tcW w:w="2455" w:type="pct"/>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pStyle w:val="11"/>
              <w:spacing w:line="360" w:lineRule="auto"/>
              <w:ind w:firstLineChars="200"/>
              <w:rPr>
                <w:rFonts w:ascii="宋体" w:hAnsi="宋体" w:eastAsia="宋体" w:cs="宋体"/>
                <w:szCs w:val="21"/>
              </w:rPr>
            </w:pPr>
            <w:r>
              <w:rPr>
                <w:rFonts w:hint="eastAsia" w:ascii="宋体" w:hAnsi="宋体" w:eastAsia="宋体" w:cs="宋体"/>
                <w:szCs w:val="21"/>
              </w:rPr>
              <w:t>订单处理速度0-5分；</w:t>
            </w:r>
          </w:p>
          <w:p>
            <w:pPr>
              <w:pStyle w:val="12"/>
              <w:spacing w:line="360" w:lineRule="auto"/>
              <w:ind w:left="0" w:firstLine="420" w:firstLineChars="200"/>
              <w:rPr>
                <w:rFonts w:ascii="宋体" w:hAnsi="宋体" w:cs="宋体"/>
              </w:rPr>
            </w:pPr>
            <w:r>
              <w:rPr>
                <w:rFonts w:hint="eastAsia" w:ascii="宋体" w:hAnsi="宋体" w:cs="宋体"/>
              </w:rPr>
              <w:t>到书时间承诺0-5分；</w:t>
            </w:r>
          </w:p>
          <w:p>
            <w:pPr>
              <w:ind w:firstLine="420"/>
              <w:rPr>
                <w:rFonts w:ascii="宋体" w:hAnsi="宋体" w:cs="宋体"/>
                <w:szCs w:val="21"/>
              </w:rPr>
            </w:pPr>
            <w:r>
              <w:rPr>
                <w:rFonts w:hint="eastAsia" w:ascii="宋体" w:hAnsi="宋体" w:cs="宋体"/>
                <w:szCs w:val="21"/>
              </w:rPr>
              <w:t>到书率承诺0-5分；</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改版、退书处理速度承诺0-5分；</w:t>
            </w:r>
          </w:p>
          <w:p>
            <w:pPr>
              <w:ind w:firstLine="420"/>
              <w:rPr>
                <w:rFonts w:ascii="宋体" w:hAnsi="宋体" w:cs="宋体"/>
                <w:szCs w:val="21"/>
              </w:rPr>
            </w:pPr>
            <w:r>
              <w:rPr>
                <w:rFonts w:hint="eastAsia" w:ascii="宋体" w:hAnsi="宋体" w:cs="宋体"/>
                <w:szCs w:val="21"/>
              </w:rPr>
              <w:t>打包及清单提供承诺0-5分。</w:t>
            </w:r>
          </w:p>
        </w:tc>
        <w:tc>
          <w:tcPr>
            <w:tcW w:w="0" w:type="auto"/>
            <w:tcBorders>
              <w:top w:val="single" w:color="auto" w:sz="4" w:space="0"/>
              <w:left w:val="nil"/>
              <w:bottom w:val="single" w:color="auto" w:sz="4" w:space="0"/>
              <w:right w:val="single" w:color="000000" w:sz="8" w:space="0"/>
            </w:tcBorders>
            <w:vAlign w:val="center"/>
          </w:tcPr>
          <w:p>
            <w:pPr>
              <w:widowControl/>
              <w:ind w:left="210" w:leftChars="100" w:firstLine="210" w:firstLineChars="1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0-25分</w:t>
            </w:r>
          </w:p>
        </w:tc>
        <w:tc>
          <w:tcPr>
            <w:tcW w:w="8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r>
        <w:tblPrEx>
          <w:tblCellMar>
            <w:top w:w="0" w:type="dxa"/>
            <w:left w:w="0" w:type="dxa"/>
            <w:bottom w:w="0" w:type="dxa"/>
            <w:right w:w="0" w:type="dxa"/>
          </w:tblCellMar>
        </w:tblPrEx>
        <w:trPr>
          <w:trHeight w:val="525" w:hRule="atLeast"/>
        </w:trPr>
        <w:tc>
          <w:tcPr>
            <w:tcW w:w="523" w:type="pct"/>
            <w:tcBorders>
              <w:top w:val="single" w:color="auto" w:sz="4" w:space="0"/>
              <w:left w:val="single" w:color="000000" w:sz="8" w:space="0"/>
              <w:bottom w:val="single" w:color="auto" w:sz="4" w:space="0"/>
              <w:right w:val="single" w:color="000000" w:sz="8" w:space="0"/>
            </w:tcBorders>
            <w:vAlign w:val="center"/>
          </w:tcPr>
          <w:p>
            <w:pPr>
              <w:widowControl/>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662" w:type="pct"/>
            <w:tcBorders>
              <w:top w:val="single" w:color="auto" w:sz="4" w:space="0"/>
              <w:left w:val="nil"/>
              <w:bottom w:val="single" w:color="auto" w:sz="4"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从业人员情况</w:t>
            </w:r>
          </w:p>
        </w:tc>
        <w:tc>
          <w:tcPr>
            <w:tcW w:w="2455" w:type="pct"/>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pStyle w:val="11"/>
              <w:spacing w:line="360" w:lineRule="auto"/>
              <w:ind w:firstLineChars="200"/>
              <w:rPr>
                <w:rFonts w:ascii="宋体" w:hAnsi="宋体" w:eastAsia="宋体" w:cs="宋体"/>
                <w:szCs w:val="21"/>
              </w:rPr>
            </w:pPr>
            <w:r>
              <w:rPr>
                <w:rFonts w:hint="eastAsia" w:ascii="宋体" w:hAnsi="宋体" w:eastAsia="宋体" w:cs="宋体"/>
                <w:szCs w:val="21"/>
              </w:rPr>
              <w:t>主要负责人的综合能力、同类项目经验0-5分；</w:t>
            </w:r>
          </w:p>
          <w:p>
            <w:pPr>
              <w:pStyle w:val="12"/>
              <w:spacing w:line="360" w:lineRule="auto"/>
              <w:ind w:left="0" w:firstLine="420" w:firstLineChars="200"/>
              <w:rPr>
                <w:rFonts w:ascii="宋体" w:hAnsi="宋体" w:cs="宋体"/>
              </w:rPr>
            </w:pPr>
            <w:r>
              <w:rPr>
                <w:rFonts w:hint="eastAsia" w:ascii="宋体" w:hAnsi="宋体" w:cs="宋体"/>
              </w:rPr>
              <w:t>主要负责人具有发行资格证书得2分0-2分。</w:t>
            </w:r>
          </w:p>
        </w:tc>
        <w:tc>
          <w:tcPr>
            <w:tcW w:w="0" w:type="auto"/>
            <w:tcBorders>
              <w:top w:val="single" w:color="auto" w:sz="4" w:space="0"/>
              <w:left w:val="nil"/>
              <w:bottom w:val="single" w:color="auto" w:sz="4" w:space="0"/>
              <w:right w:val="single" w:color="000000" w:sz="8" w:space="0"/>
            </w:tcBorders>
            <w:vAlign w:val="center"/>
          </w:tcPr>
          <w:p>
            <w:pPr>
              <w:widowControl/>
              <w:ind w:left="210" w:leftChars="100"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0-7分</w:t>
            </w:r>
          </w:p>
        </w:tc>
        <w:tc>
          <w:tcPr>
            <w:tcW w:w="8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jc w:val="center"/>
              <w:textAlignment w:val="center"/>
              <w:rPr>
                <w:rFonts w:ascii="宋体" w:hAnsi="宋体" w:cs="宋体"/>
                <w:szCs w:val="21"/>
              </w:rPr>
            </w:pPr>
            <w:r>
              <w:rPr>
                <w:rFonts w:hint="eastAsia" w:ascii="宋体" w:hAnsi="宋体" w:cs="宋体"/>
                <w:szCs w:val="21"/>
              </w:rPr>
              <w:t>主观分</w:t>
            </w:r>
          </w:p>
          <w:p>
            <w:pPr>
              <w:pStyle w:val="2"/>
              <w:spacing w:line="360" w:lineRule="auto"/>
              <w:rPr>
                <w:rFonts w:ascii="宋体" w:hAnsi="宋体" w:cs="宋体"/>
                <w:sz w:val="21"/>
                <w:szCs w:val="21"/>
              </w:rPr>
            </w:pPr>
          </w:p>
          <w:p>
            <w:pPr>
              <w:ind w:firstLine="420"/>
              <w:rPr>
                <w:rFonts w:ascii="宋体" w:hAnsi="宋体" w:cs="宋体"/>
                <w:szCs w:val="21"/>
              </w:rPr>
            </w:pPr>
            <w:r>
              <w:rPr>
                <w:rFonts w:hint="eastAsia" w:ascii="宋体" w:hAnsi="宋体" w:cs="宋体"/>
                <w:color w:val="000000" w:themeColor="text1"/>
                <w:kern w:val="0"/>
                <w:szCs w:val="21"/>
                <w14:textFill>
                  <w14:solidFill>
                    <w14:schemeClr w14:val="tx1"/>
                  </w14:solidFill>
                </w14:textFill>
              </w:rPr>
              <w:t>客观分</w:t>
            </w:r>
          </w:p>
        </w:tc>
      </w:tr>
      <w:tr>
        <w:tblPrEx>
          <w:tblCellMar>
            <w:top w:w="0" w:type="dxa"/>
            <w:left w:w="0" w:type="dxa"/>
            <w:bottom w:w="0" w:type="dxa"/>
            <w:right w:w="0" w:type="dxa"/>
          </w:tblCellMar>
        </w:tblPrEx>
        <w:trPr>
          <w:trHeight w:val="525" w:hRule="atLeast"/>
        </w:trPr>
        <w:tc>
          <w:tcPr>
            <w:tcW w:w="523" w:type="pct"/>
            <w:tcBorders>
              <w:top w:val="single" w:color="auto" w:sz="4" w:space="0"/>
              <w:left w:val="single" w:color="000000" w:sz="8" w:space="0"/>
              <w:bottom w:val="single" w:color="auto" w:sz="4" w:space="0"/>
              <w:right w:val="single" w:color="000000" w:sz="8" w:space="0"/>
            </w:tcBorders>
            <w:vAlign w:val="center"/>
          </w:tcPr>
          <w:p>
            <w:pPr>
              <w:widowControl/>
              <w:ind w:firstLine="630" w:firstLineChars="3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662" w:type="pct"/>
            <w:tcBorders>
              <w:top w:val="single" w:color="auto" w:sz="4" w:space="0"/>
              <w:left w:val="nil"/>
              <w:bottom w:val="single" w:color="auto" w:sz="4" w:space="0"/>
              <w:right w:val="single" w:color="000000" w:sz="8" w:space="0"/>
            </w:tcBorders>
            <w:vAlign w:val="center"/>
          </w:tcPr>
          <w:p>
            <w:pPr>
              <w:widowControl/>
              <w:ind w:firstLine="0" w:firstLineChars="0"/>
              <w:jc w:val="left"/>
              <w:rPr>
                <w:rFonts w:ascii="宋体" w:hAnsi="宋体" w:cs="宋体"/>
                <w:color w:val="000000" w:themeColor="text1"/>
                <w:szCs w:val="21"/>
                <w14:textFill>
                  <w14:solidFill>
                    <w14:schemeClr w14:val="tx1"/>
                  </w14:solidFill>
                </w14:textFill>
              </w:rPr>
            </w:pPr>
            <w:r>
              <w:rPr>
                <w:rFonts w:hint="eastAsia" w:ascii="宋体" w:hAnsi="宋体" w:cs="宋体"/>
                <w:szCs w:val="21"/>
              </w:rPr>
              <w:t>特色服务</w:t>
            </w:r>
          </w:p>
        </w:tc>
        <w:tc>
          <w:tcPr>
            <w:tcW w:w="2455" w:type="pct"/>
            <w:tcBorders>
              <w:top w:val="single" w:color="auto" w:sz="4" w:space="0"/>
              <w:left w:val="nil"/>
              <w:bottom w:val="single" w:color="auto" w:sz="4" w:space="0"/>
              <w:right w:val="single" w:color="000000" w:sz="8" w:space="0"/>
            </w:tcBorders>
            <w:tcMar>
              <w:top w:w="15" w:type="dxa"/>
              <w:left w:w="15" w:type="dxa"/>
              <w:bottom w:w="0" w:type="dxa"/>
              <w:right w:w="15" w:type="dxa"/>
            </w:tcMar>
            <w:vAlign w:val="center"/>
          </w:tcPr>
          <w:p>
            <w:pPr>
              <w:pStyle w:val="11"/>
              <w:spacing w:line="360" w:lineRule="auto"/>
              <w:ind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针对本项目的其他特色服务。</w:t>
            </w:r>
          </w:p>
        </w:tc>
        <w:tc>
          <w:tcPr>
            <w:tcW w:w="0" w:type="auto"/>
            <w:tcBorders>
              <w:top w:val="single" w:color="auto" w:sz="4" w:space="0"/>
              <w:left w:val="nil"/>
              <w:bottom w:val="single" w:color="auto" w:sz="4" w:space="0"/>
              <w:right w:val="single" w:color="000000" w:sz="8" w:space="0"/>
            </w:tcBorders>
            <w:vAlign w:val="center"/>
          </w:tcPr>
          <w:p>
            <w:pPr>
              <w:widowControl/>
              <w:ind w:left="210" w:leftChars="100"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0-5分</w:t>
            </w:r>
          </w:p>
        </w:tc>
        <w:tc>
          <w:tcPr>
            <w:tcW w:w="836"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20"/>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主观分</w:t>
            </w:r>
          </w:p>
        </w:tc>
      </w:tr>
    </w:tbl>
    <w:p>
      <w:pPr>
        <w:pStyle w:val="4"/>
        <w:rPr>
          <w:color w:val="000000" w:themeColor="text1"/>
          <w14:textFill>
            <w14:solidFill>
              <w14:schemeClr w14:val="tx1"/>
            </w14:solidFill>
          </w14:textFill>
        </w:rPr>
      </w:pPr>
      <w:bookmarkStart w:id="140" w:name="_Toc28055"/>
      <w:r>
        <w:rPr>
          <w:color w:val="000000" w:themeColor="text1"/>
          <w14:textFill>
            <w14:solidFill>
              <w14:schemeClr w14:val="tx1"/>
            </w14:solidFill>
          </w14:textFill>
        </w:rPr>
        <w:t>6</w:t>
      </w:r>
      <w:r>
        <w:rPr>
          <w:rFonts w:hint="eastAsia"/>
          <w:color w:val="000000" w:themeColor="text1"/>
          <w14:textFill>
            <w14:solidFill>
              <w14:schemeClr w14:val="tx1"/>
            </w14:solidFill>
          </w14:textFill>
        </w:rPr>
        <w:t>评审报告</w:t>
      </w:r>
      <w:bookmarkEnd w:id="140"/>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评审报告应当由评标委员会全体人员签字认可。评标委员会成员对评审报告有异议的，评标委员会按照少数服从多数的原则推荐成交候选人，采购程序继续进行。对评审报告有异议的评标委员会成员，应当在报告上签署不同意见并说明理由，由评标委员会书面记录相关情况。评标委员会成员拒绝在报告上签字又不书面说明其不同意见和理由的，视为同意评审报告。评审报告由评标委员会起草，按少数服从多数的原则通过，全体成员在评审报告上签字认可。</w:t>
      </w:r>
    </w:p>
    <w:p>
      <w:pPr>
        <w:pStyle w:val="4"/>
        <w:rPr>
          <w:color w:val="000000" w:themeColor="text1"/>
          <w14:textFill>
            <w14:solidFill>
              <w14:schemeClr w14:val="tx1"/>
            </w14:solidFill>
          </w14:textFill>
        </w:rPr>
      </w:pPr>
      <w:bookmarkStart w:id="141" w:name="_Toc4334"/>
      <w:r>
        <w:rPr>
          <w:color w:val="000000" w:themeColor="text1"/>
          <w14:textFill>
            <w14:solidFill>
              <w14:schemeClr w14:val="tx1"/>
            </w14:solidFill>
          </w14:textFill>
        </w:rPr>
        <w:t>7</w:t>
      </w:r>
      <w:r>
        <w:rPr>
          <w:rFonts w:hint="eastAsia"/>
          <w:color w:val="000000" w:themeColor="text1"/>
          <w14:textFill>
            <w14:solidFill>
              <w14:schemeClr w14:val="tx1"/>
            </w14:solidFill>
          </w14:textFill>
        </w:rPr>
        <w:t>定标办法</w:t>
      </w:r>
      <w:bookmarkEnd w:id="141"/>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按有关规定确定中标人。</w:t>
      </w:r>
      <w:bookmarkEnd w:id="64"/>
      <w:bookmarkEnd w:id="65"/>
      <w:bookmarkEnd w:id="66"/>
      <w:bookmarkEnd w:id="67"/>
      <w:bookmarkEnd w:id="68"/>
      <w:bookmarkEnd w:id="69"/>
      <w:bookmarkEnd w:id="70"/>
      <w:bookmarkEnd w:id="71"/>
    </w:p>
    <w:p>
      <w:pPr>
        <w:ind w:firstLine="420"/>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Courier New"/>
    <w:panose1 w:val="00000000000000000000"/>
    <w:charset w:val="00"/>
    <w:family w:val="roman"/>
    <w:pitch w:val="default"/>
    <w:sig w:usb0="00000000" w:usb1="00000000" w:usb2="00000000" w:usb3="00000000" w:csb0="00000001" w:csb1="00000000"/>
  </w:font>
  <w:font w:name="PMingLiU_x0004_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tab/>
    </w:r>
    <w:r>
      <w:rPr>
        <w:rFonts w:hint="eastAsia"/>
      </w:rPr>
      <w:t>浙江信镧建设工程咨询有限公司</w:t>
    </w:r>
    <w:r>
      <w:tab/>
    </w:r>
    <w:r>
      <w:fldChar w:fldCharType="begin"/>
    </w:r>
    <w:r>
      <w:instrText xml:space="preserve"> PAGE   \* MERGEFORMAT </w:instrText>
    </w:r>
    <w:r>
      <w:fldChar w:fldCharType="separate"/>
    </w:r>
    <w:r>
      <w:rPr>
        <w:lang w:val="zh-CN"/>
      </w:rPr>
      <w:t>I</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fldChar w:fldCharType="begin"/>
    </w:r>
    <w:r>
      <w:instrText xml:space="preserve"> PAGE   \* MERGEFORMAT </w:instrText>
    </w:r>
    <w:r>
      <w:fldChar w:fldCharType="separate"/>
    </w:r>
    <w:r>
      <w:rPr>
        <w:lang w:val="zh-CN"/>
      </w:rPr>
      <w:t>2</w:t>
    </w:r>
    <w:r>
      <w:rPr>
        <w:lang w:val="zh-CN"/>
      </w:rPr>
      <w:fldChar w:fldCharType="end"/>
    </w:r>
    <w:r>
      <w:tab/>
    </w:r>
    <w:r>
      <w:rPr>
        <w:rFonts w:hint="eastAsia"/>
      </w:rPr>
      <w:t>浙江信镧建设工程咨询有限公司</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5"/>
      </w:rPr>
    </w:pPr>
    <w:r>
      <w:fldChar w:fldCharType="begin"/>
    </w:r>
    <w:r>
      <w:rPr>
        <w:rStyle w:val="25"/>
      </w:rPr>
      <w:instrText xml:space="preserve">PAGE  </w:instrText>
    </w:r>
    <w:r>
      <w:fldChar w:fldCharType="separate"/>
    </w:r>
    <w:r>
      <w:rPr>
        <w:rStyle w:val="25"/>
      </w:rPr>
      <w:t>21</w:t>
    </w:r>
    <w:r>
      <w:fldChar w:fldCharType="end"/>
    </w:r>
  </w:p>
  <w:p>
    <w:pPr>
      <w:pStyle w:val="16"/>
      <w:framePr w:wrap="around" w:vAnchor="text" w:hAnchor="page" w:x="10579" w:y="-127"/>
      <w:ind w:firstLine="301"/>
      <w:rPr>
        <w:rStyle w:val="25"/>
        <w:b/>
        <w:sz w:val="15"/>
      </w:rPr>
    </w:pPr>
  </w:p>
  <w:p>
    <w:pPr>
      <w:pStyle w:val="16"/>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中国美术学院</w:t>
    </w:r>
    <w:r>
      <w:tab/>
    </w:r>
    <w:r>
      <w:rPr>
        <w:rFonts w:hint="eastAsia"/>
      </w:rPr>
      <w:t>2021级本科新生教材采购(非政府）</w:t>
    </w:r>
    <w: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中国美术学院</w:t>
    </w:r>
    <w:r>
      <w:tab/>
    </w:r>
    <w:r>
      <w:rPr>
        <w:rFonts w:hint="eastAsia"/>
      </w:rPr>
      <w:t>2021级本科新生教材采购(非政府）</w:t>
    </w:r>
    <w:r>
      <w:tab/>
    </w:r>
    <w:r>
      <w:rPr>
        <w:rFonts w:hint="eastAsia"/>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jc w:val="both"/>
    </w:pPr>
    <w:r>
      <w:rPr>
        <w:rFonts w:hint="eastAsia"/>
      </w:rPr>
      <w:t>中国美术学院</w:t>
    </w:r>
    <w:r>
      <w:tab/>
    </w:r>
    <w:r>
      <w:rPr>
        <w:rFonts w:hint="eastAsia"/>
      </w:rPr>
      <w:t>2021级本科新生教材采购(非政府）</w:t>
    </w:r>
    <w:r>
      <w:tab/>
    </w:r>
    <w:r>
      <w:rPr>
        <w:rFonts w:hint="eastAsia"/>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420"/>
      <w:rPr>
        <w:rFonts w:ascii="宋体" w:cs="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0EF1F"/>
    <w:multiLevelType w:val="singleLevel"/>
    <w:tmpl w:val="F810EF1F"/>
    <w:lvl w:ilvl="0" w:tentative="0">
      <w:start w:val="1"/>
      <w:numFmt w:val="chineseCounting"/>
      <w:suff w:val="nothing"/>
      <w:lvlText w:val="%1、"/>
      <w:lvlJc w:val="left"/>
      <w:rPr>
        <w:rFonts w:hint="eastAsia"/>
      </w:rPr>
    </w:lvl>
  </w:abstractNum>
  <w:abstractNum w:abstractNumId="1">
    <w:nsid w:val="2B1A34EB"/>
    <w:multiLevelType w:val="multilevel"/>
    <w:tmpl w:val="2B1A34E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6B44F1C"/>
    <w:multiLevelType w:val="multilevel"/>
    <w:tmpl w:val="36B44F1C"/>
    <w:lvl w:ilvl="0" w:tentative="0">
      <w:start w:val="1"/>
      <w:numFmt w:val="decimal"/>
      <w:lvlText w:val="（%1）"/>
      <w:lvlJc w:val="left"/>
      <w:pPr>
        <w:ind w:left="1140" w:hanging="72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dit="trackedChanges" w:formatting="1"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C49D6"/>
    <w:rsid w:val="00006078"/>
    <w:rsid w:val="000D66CE"/>
    <w:rsid w:val="000F5AED"/>
    <w:rsid w:val="001C6AEC"/>
    <w:rsid w:val="001D25F0"/>
    <w:rsid w:val="002360BD"/>
    <w:rsid w:val="00250981"/>
    <w:rsid w:val="00271941"/>
    <w:rsid w:val="00285866"/>
    <w:rsid w:val="002C4AC1"/>
    <w:rsid w:val="002D42FB"/>
    <w:rsid w:val="00327E91"/>
    <w:rsid w:val="0036358E"/>
    <w:rsid w:val="0037424D"/>
    <w:rsid w:val="00395A90"/>
    <w:rsid w:val="003C0B95"/>
    <w:rsid w:val="00433A75"/>
    <w:rsid w:val="004C6FC3"/>
    <w:rsid w:val="00504948"/>
    <w:rsid w:val="00597336"/>
    <w:rsid w:val="005D229A"/>
    <w:rsid w:val="00620D8D"/>
    <w:rsid w:val="006407DD"/>
    <w:rsid w:val="00670171"/>
    <w:rsid w:val="0067390C"/>
    <w:rsid w:val="006907CF"/>
    <w:rsid w:val="006A2F48"/>
    <w:rsid w:val="006F480D"/>
    <w:rsid w:val="0076432A"/>
    <w:rsid w:val="00774CCD"/>
    <w:rsid w:val="007C1246"/>
    <w:rsid w:val="00846E4A"/>
    <w:rsid w:val="00853ECD"/>
    <w:rsid w:val="00854E2D"/>
    <w:rsid w:val="00866752"/>
    <w:rsid w:val="0087321C"/>
    <w:rsid w:val="008C1F1A"/>
    <w:rsid w:val="00944F79"/>
    <w:rsid w:val="009C1FE9"/>
    <w:rsid w:val="009F0D94"/>
    <w:rsid w:val="00A570A3"/>
    <w:rsid w:val="00A84421"/>
    <w:rsid w:val="00AC242E"/>
    <w:rsid w:val="00AE3875"/>
    <w:rsid w:val="00B24C08"/>
    <w:rsid w:val="00B279A7"/>
    <w:rsid w:val="00BA002D"/>
    <w:rsid w:val="00BF3B96"/>
    <w:rsid w:val="00C10C0E"/>
    <w:rsid w:val="00C27CD4"/>
    <w:rsid w:val="00C56AD1"/>
    <w:rsid w:val="00C60363"/>
    <w:rsid w:val="00CB1E16"/>
    <w:rsid w:val="00D02095"/>
    <w:rsid w:val="00D51A62"/>
    <w:rsid w:val="00D87CB1"/>
    <w:rsid w:val="00DE1BF5"/>
    <w:rsid w:val="00E81597"/>
    <w:rsid w:val="00EC1F13"/>
    <w:rsid w:val="00F42310"/>
    <w:rsid w:val="00FC6E18"/>
    <w:rsid w:val="00FF4388"/>
    <w:rsid w:val="010F5607"/>
    <w:rsid w:val="0123320D"/>
    <w:rsid w:val="01242A66"/>
    <w:rsid w:val="0131690B"/>
    <w:rsid w:val="014F7680"/>
    <w:rsid w:val="01545A49"/>
    <w:rsid w:val="01665C10"/>
    <w:rsid w:val="016B3BD4"/>
    <w:rsid w:val="01BB080C"/>
    <w:rsid w:val="01C72115"/>
    <w:rsid w:val="01DF49D1"/>
    <w:rsid w:val="02377C3A"/>
    <w:rsid w:val="02671BA8"/>
    <w:rsid w:val="026A5E75"/>
    <w:rsid w:val="0282263A"/>
    <w:rsid w:val="029200C1"/>
    <w:rsid w:val="029461F7"/>
    <w:rsid w:val="02965B01"/>
    <w:rsid w:val="029C475D"/>
    <w:rsid w:val="02A92339"/>
    <w:rsid w:val="02CB7DC0"/>
    <w:rsid w:val="031426D8"/>
    <w:rsid w:val="03277634"/>
    <w:rsid w:val="033974B7"/>
    <w:rsid w:val="038A444D"/>
    <w:rsid w:val="03AA2D75"/>
    <w:rsid w:val="03C65BAF"/>
    <w:rsid w:val="03D97E92"/>
    <w:rsid w:val="03F10731"/>
    <w:rsid w:val="0408704F"/>
    <w:rsid w:val="04376C21"/>
    <w:rsid w:val="044F33C2"/>
    <w:rsid w:val="04885E83"/>
    <w:rsid w:val="048D47DF"/>
    <w:rsid w:val="04A20272"/>
    <w:rsid w:val="04B42098"/>
    <w:rsid w:val="04B63A57"/>
    <w:rsid w:val="04BA2173"/>
    <w:rsid w:val="04C87F16"/>
    <w:rsid w:val="04FE6D0D"/>
    <w:rsid w:val="0509583C"/>
    <w:rsid w:val="050E6538"/>
    <w:rsid w:val="054966C0"/>
    <w:rsid w:val="05643325"/>
    <w:rsid w:val="05753C67"/>
    <w:rsid w:val="05B54D51"/>
    <w:rsid w:val="05CC6F6E"/>
    <w:rsid w:val="05FE533B"/>
    <w:rsid w:val="062928C6"/>
    <w:rsid w:val="0639671A"/>
    <w:rsid w:val="0661605C"/>
    <w:rsid w:val="06776C13"/>
    <w:rsid w:val="06B107C2"/>
    <w:rsid w:val="06C56969"/>
    <w:rsid w:val="06D62FBA"/>
    <w:rsid w:val="06DB1423"/>
    <w:rsid w:val="06ED00C9"/>
    <w:rsid w:val="06F862D7"/>
    <w:rsid w:val="07160CE9"/>
    <w:rsid w:val="071925EA"/>
    <w:rsid w:val="07D16309"/>
    <w:rsid w:val="07F7202D"/>
    <w:rsid w:val="085C0278"/>
    <w:rsid w:val="085E4686"/>
    <w:rsid w:val="08A452E7"/>
    <w:rsid w:val="08B005F7"/>
    <w:rsid w:val="08B85C98"/>
    <w:rsid w:val="08C62BB7"/>
    <w:rsid w:val="08D247B4"/>
    <w:rsid w:val="08D73C00"/>
    <w:rsid w:val="09025D8B"/>
    <w:rsid w:val="092F3252"/>
    <w:rsid w:val="094F3E52"/>
    <w:rsid w:val="09570758"/>
    <w:rsid w:val="0960372D"/>
    <w:rsid w:val="09BA1EFE"/>
    <w:rsid w:val="0A031A2F"/>
    <w:rsid w:val="0A2973B8"/>
    <w:rsid w:val="0A4C500A"/>
    <w:rsid w:val="0AAB3471"/>
    <w:rsid w:val="0AC30915"/>
    <w:rsid w:val="0AF20B59"/>
    <w:rsid w:val="0AFA72E3"/>
    <w:rsid w:val="0B0F1DBE"/>
    <w:rsid w:val="0B544093"/>
    <w:rsid w:val="0B9D1DCB"/>
    <w:rsid w:val="0BB21404"/>
    <w:rsid w:val="0BC543C4"/>
    <w:rsid w:val="0BE701BB"/>
    <w:rsid w:val="0C1907CF"/>
    <w:rsid w:val="0C96429F"/>
    <w:rsid w:val="0CB046BE"/>
    <w:rsid w:val="0CCB4986"/>
    <w:rsid w:val="0D106FB5"/>
    <w:rsid w:val="0D3A7CFE"/>
    <w:rsid w:val="0D961B27"/>
    <w:rsid w:val="0DCA774E"/>
    <w:rsid w:val="0DEB4E38"/>
    <w:rsid w:val="0DFA6729"/>
    <w:rsid w:val="0E1027C4"/>
    <w:rsid w:val="0E1E2E2B"/>
    <w:rsid w:val="0E403068"/>
    <w:rsid w:val="0E467349"/>
    <w:rsid w:val="0E4D68EE"/>
    <w:rsid w:val="0E680AE3"/>
    <w:rsid w:val="0EB04145"/>
    <w:rsid w:val="0EBB7112"/>
    <w:rsid w:val="0EC4530F"/>
    <w:rsid w:val="0F016801"/>
    <w:rsid w:val="0F3E4312"/>
    <w:rsid w:val="0F5D09A9"/>
    <w:rsid w:val="0F685890"/>
    <w:rsid w:val="0F8232B6"/>
    <w:rsid w:val="0FA11365"/>
    <w:rsid w:val="0FE34951"/>
    <w:rsid w:val="101A3914"/>
    <w:rsid w:val="10574D52"/>
    <w:rsid w:val="10F9454C"/>
    <w:rsid w:val="113E0B53"/>
    <w:rsid w:val="114F0A7A"/>
    <w:rsid w:val="11AC7E19"/>
    <w:rsid w:val="11C46D93"/>
    <w:rsid w:val="11CE45D5"/>
    <w:rsid w:val="12416021"/>
    <w:rsid w:val="12441FB0"/>
    <w:rsid w:val="124A5432"/>
    <w:rsid w:val="125909B5"/>
    <w:rsid w:val="125C0D6B"/>
    <w:rsid w:val="12A26C37"/>
    <w:rsid w:val="12E87BE4"/>
    <w:rsid w:val="1318794E"/>
    <w:rsid w:val="13353073"/>
    <w:rsid w:val="134030F9"/>
    <w:rsid w:val="13C512BB"/>
    <w:rsid w:val="13D61AD4"/>
    <w:rsid w:val="1445340E"/>
    <w:rsid w:val="14A84A1E"/>
    <w:rsid w:val="14CA288F"/>
    <w:rsid w:val="14DF2EF9"/>
    <w:rsid w:val="151034CB"/>
    <w:rsid w:val="153F3DBD"/>
    <w:rsid w:val="155A511A"/>
    <w:rsid w:val="1567082B"/>
    <w:rsid w:val="15775CA6"/>
    <w:rsid w:val="15D86B62"/>
    <w:rsid w:val="15F868E1"/>
    <w:rsid w:val="16A31CE0"/>
    <w:rsid w:val="16A770F0"/>
    <w:rsid w:val="16CD479A"/>
    <w:rsid w:val="16D34794"/>
    <w:rsid w:val="16E50615"/>
    <w:rsid w:val="16EF68EF"/>
    <w:rsid w:val="16FA74FE"/>
    <w:rsid w:val="16FC0195"/>
    <w:rsid w:val="171A50CE"/>
    <w:rsid w:val="17620F3B"/>
    <w:rsid w:val="1789596D"/>
    <w:rsid w:val="178D0929"/>
    <w:rsid w:val="178D0EC7"/>
    <w:rsid w:val="179A150A"/>
    <w:rsid w:val="17B415C2"/>
    <w:rsid w:val="17BC5307"/>
    <w:rsid w:val="17D53BB1"/>
    <w:rsid w:val="17D74B0B"/>
    <w:rsid w:val="180B3542"/>
    <w:rsid w:val="181A46CB"/>
    <w:rsid w:val="1841220F"/>
    <w:rsid w:val="18630CBB"/>
    <w:rsid w:val="18696C97"/>
    <w:rsid w:val="188426C3"/>
    <w:rsid w:val="18AC466C"/>
    <w:rsid w:val="18BB22EF"/>
    <w:rsid w:val="18DA352A"/>
    <w:rsid w:val="190D7698"/>
    <w:rsid w:val="19103593"/>
    <w:rsid w:val="19157C3E"/>
    <w:rsid w:val="19193617"/>
    <w:rsid w:val="19775096"/>
    <w:rsid w:val="19793475"/>
    <w:rsid w:val="19C02D14"/>
    <w:rsid w:val="1A090EB9"/>
    <w:rsid w:val="1A095987"/>
    <w:rsid w:val="1A1030DA"/>
    <w:rsid w:val="1A2B2D20"/>
    <w:rsid w:val="1A363743"/>
    <w:rsid w:val="1A6431DD"/>
    <w:rsid w:val="1A8F5444"/>
    <w:rsid w:val="1A994E24"/>
    <w:rsid w:val="1AB307FE"/>
    <w:rsid w:val="1ACB6B43"/>
    <w:rsid w:val="1AD56CD4"/>
    <w:rsid w:val="1AEC173B"/>
    <w:rsid w:val="1B234741"/>
    <w:rsid w:val="1B2B0C73"/>
    <w:rsid w:val="1B380B5E"/>
    <w:rsid w:val="1B6001CD"/>
    <w:rsid w:val="1B7A22EA"/>
    <w:rsid w:val="1BAB1F1D"/>
    <w:rsid w:val="1BC2772A"/>
    <w:rsid w:val="1BD20301"/>
    <w:rsid w:val="1BF30358"/>
    <w:rsid w:val="1C362119"/>
    <w:rsid w:val="1C38254C"/>
    <w:rsid w:val="1C3D1F9A"/>
    <w:rsid w:val="1C51087E"/>
    <w:rsid w:val="1C6E67E1"/>
    <w:rsid w:val="1C73109C"/>
    <w:rsid w:val="1C8C3558"/>
    <w:rsid w:val="1C927F0C"/>
    <w:rsid w:val="1CB25048"/>
    <w:rsid w:val="1CCA50B0"/>
    <w:rsid w:val="1CCE1CA3"/>
    <w:rsid w:val="1CCE2713"/>
    <w:rsid w:val="1CEA0BDD"/>
    <w:rsid w:val="1D1D3CD1"/>
    <w:rsid w:val="1D4D4326"/>
    <w:rsid w:val="1D875CBB"/>
    <w:rsid w:val="1DC558C5"/>
    <w:rsid w:val="1DDE021E"/>
    <w:rsid w:val="1E417363"/>
    <w:rsid w:val="1E4E4016"/>
    <w:rsid w:val="1E883EE5"/>
    <w:rsid w:val="1E936C9B"/>
    <w:rsid w:val="1EA56BEA"/>
    <w:rsid w:val="1EB513E3"/>
    <w:rsid w:val="1EC56E99"/>
    <w:rsid w:val="1ED25BE9"/>
    <w:rsid w:val="1F395FF0"/>
    <w:rsid w:val="1F4D172F"/>
    <w:rsid w:val="1FE102A9"/>
    <w:rsid w:val="1FFF7EF5"/>
    <w:rsid w:val="2008406E"/>
    <w:rsid w:val="201C0E01"/>
    <w:rsid w:val="20461928"/>
    <w:rsid w:val="2060740D"/>
    <w:rsid w:val="206B11F5"/>
    <w:rsid w:val="20A6199C"/>
    <w:rsid w:val="20CC402D"/>
    <w:rsid w:val="211D15DD"/>
    <w:rsid w:val="21291039"/>
    <w:rsid w:val="213320F6"/>
    <w:rsid w:val="213E2B8B"/>
    <w:rsid w:val="21551FF4"/>
    <w:rsid w:val="2166735E"/>
    <w:rsid w:val="21A72C1C"/>
    <w:rsid w:val="21ED02D7"/>
    <w:rsid w:val="22175B74"/>
    <w:rsid w:val="222722CC"/>
    <w:rsid w:val="22CA355B"/>
    <w:rsid w:val="22FB18E4"/>
    <w:rsid w:val="23072BBF"/>
    <w:rsid w:val="23902A7A"/>
    <w:rsid w:val="23E7008A"/>
    <w:rsid w:val="24042BB5"/>
    <w:rsid w:val="24521C4F"/>
    <w:rsid w:val="24641C22"/>
    <w:rsid w:val="246B3F3D"/>
    <w:rsid w:val="24A73DB9"/>
    <w:rsid w:val="24B46C63"/>
    <w:rsid w:val="24CA6749"/>
    <w:rsid w:val="24CE6213"/>
    <w:rsid w:val="25053A1F"/>
    <w:rsid w:val="255C3C0E"/>
    <w:rsid w:val="257B65CA"/>
    <w:rsid w:val="258336EE"/>
    <w:rsid w:val="25913543"/>
    <w:rsid w:val="25A33066"/>
    <w:rsid w:val="25A37621"/>
    <w:rsid w:val="25A9271F"/>
    <w:rsid w:val="25B015DB"/>
    <w:rsid w:val="265A4DB1"/>
    <w:rsid w:val="267F0514"/>
    <w:rsid w:val="26B219F2"/>
    <w:rsid w:val="26CF64A4"/>
    <w:rsid w:val="26E25271"/>
    <w:rsid w:val="27074E75"/>
    <w:rsid w:val="27215A35"/>
    <w:rsid w:val="27385E95"/>
    <w:rsid w:val="27451C74"/>
    <w:rsid w:val="275930B0"/>
    <w:rsid w:val="276A39F6"/>
    <w:rsid w:val="27794C0F"/>
    <w:rsid w:val="27846701"/>
    <w:rsid w:val="279121DC"/>
    <w:rsid w:val="27943310"/>
    <w:rsid w:val="27986E62"/>
    <w:rsid w:val="27A77BB6"/>
    <w:rsid w:val="27BB375C"/>
    <w:rsid w:val="27F60715"/>
    <w:rsid w:val="27FC3DE1"/>
    <w:rsid w:val="281F32BE"/>
    <w:rsid w:val="28557BDC"/>
    <w:rsid w:val="28FB5CD9"/>
    <w:rsid w:val="290B2A89"/>
    <w:rsid w:val="290E22BC"/>
    <w:rsid w:val="291F4C57"/>
    <w:rsid w:val="29583011"/>
    <w:rsid w:val="29622558"/>
    <w:rsid w:val="29E57069"/>
    <w:rsid w:val="29E604B3"/>
    <w:rsid w:val="29FE3027"/>
    <w:rsid w:val="2A0208C0"/>
    <w:rsid w:val="2A2509D0"/>
    <w:rsid w:val="2A303F13"/>
    <w:rsid w:val="2A975AC9"/>
    <w:rsid w:val="2AA22D97"/>
    <w:rsid w:val="2AB13698"/>
    <w:rsid w:val="2ABF0099"/>
    <w:rsid w:val="2ABF3056"/>
    <w:rsid w:val="2AC47469"/>
    <w:rsid w:val="2AF63957"/>
    <w:rsid w:val="2B26405E"/>
    <w:rsid w:val="2B636BA0"/>
    <w:rsid w:val="2B8062F7"/>
    <w:rsid w:val="2B9B1193"/>
    <w:rsid w:val="2BCA53BA"/>
    <w:rsid w:val="2BD06297"/>
    <w:rsid w:val="2BFF6ADC"/>
    <w:rsid w:val="2C041C59"/>
    <w:rsid w:val="2C2543FB"/>
    <w:rsid w:val="2C2825E5"/>
    <w:rsid w:val="2C613B7A"/>
    <w:rsid w:val="2C647F29"/>
    <w:rsid w:val="2C65145E"/>
    <w:rsid w:val="2C7646C0"/>
    <w:rsid w:val="2CA46E06"/>
    <w:rsid w:val="2CAC7451"/>
    <w:rsid w:val="2CD35126"/>
    <w:rsid w:val="2CF577C9"/>
    <w:rsid w:val="2D015668"/>
    <w:rsid w:val="2D1C3695"/>
    <w:rsid w:val="2D4D7B1C"/>
    <w:rsid w:val="2D655DE3"/>
    <w:rsid w:val="2D8D4530"/>
    <w:rsid w:val="2DB6752D"/>
    <w:rsid w:val="2E187BA7"/>
    <w:rsid w:val="2E1B1485"/>
    <w:rsid w:val="2E1B2F4E"/>
    <w:rsid w:val="2E2C5360"/>
    <w:rsid w:val="2E581E1B"/>
    <w:rsid w:val="2E676817"/>
    <w:rsid w:val="2E856D52"/>
    <w:rsid w:val="2EA15724"/>
    <w:rsid w:val="2EC346A8"/>
    <w:rsid w:val="2ECB665C"/>
    <w:rsid w:val="2ECE637C"/>
    <w:rsid w:val="2EE14B59"/>
    <w:rsid w:val="2F011256"/>
    <w:rsid w:val="2F034AE1"/>
    <w:rsid w:val="2F0464F9"/>
    <w:rsid w:val="2F1E4463"/>
    <w:rsid w:val="2F2C0D71"/>
    <w:rsid w:val="2F6A6254"/>
    <w:rsid w:val="2F927D17"/>
    <w:rsid w:val="2FB21522"/>
    <w:rsid w:val="2FB634A0"/>
    <w:rsid w:val="2FE85F07"/>
    <w:rsid w:val="30003171"/>
    <w:rsid w:val="300A3233"/>
    <w:rsid w:val="3015627D"/>
    <w:rsid w:val="30314583"/>
    <w:rsid w:val="30344281"/>
    <w:rsid w:val="303876B5"/>
    <w:rsid w:val="303A0C2D"/>
    <w:rsid w:val="303E02BA"/>
    <w:rsid w:val="30626AD1"/>
    <w:rsid w:val="30792EDA"/>
    <w:rsid w:val="30885593"/>
    <w:rsid w:val="30953A1F"/>
    <w:rsid w:val="30967DBC"/>
    <w:rsid w:val="30A62CB3"/>
    <w:rsid w:val="30D51F32"/>
    <w:rsid w:val="30FF168E"/>
    <w:rsid w:val="314D6CDA"/>
    <w:rsid w:val="315E6B91"/>
    <w:rsid w:val="31716F89"/>
    <w:rsid w:val="31E275CD"/>
    <w:rsid w:val="320C446E"/>
    <w:rsid w:val="32207E06"/>
    <w:rsid w:val="32442AC4"/>
    <w:rsid w:val="324B2882"/>
    <w:rsid w:val="32594EF1"/>
    <w:rsid w:val="3260288C"/>
    <w:rsid w:val="32650125"/>
    <w:rsid w:val="327274BB"/>
    <w:rsid w:val="327A78E6"/>
    <w:rsid w:val="32977A8D"/>
    <w:rsid w:val="333665F3"/>
    <w:rsid w:val="334D173D"/>
    <w:rsid w:val="33501584"/>
    <w:rsid w:val="335E7C8A"/>
    <w:rsid w:val="33BC5038"/>
    <w:rsid w:val="33C64A5F"/>
    <w:rsid w:val="33D657A1"/>
    <w:rsid w:val="33D90837"/>
    <w:rsid w:val="33E024CE"/>
    <w:rsid w:val="33EA5551"/>
    <w:rsid w:val="340404C2"/>
    <w:rsid w:val="34466909"/>
    <w:rsid w:val="346B6EEF"/>
    <w:rsid w:val="34860E65"/>
    <w:rsid w:val="34A371A5"/>
    <w:rsid w:val="34C712EC"/>
    <w:rsid w:val="34DB7C4E"/>
    <w:rsid w:val="351A0BA4"/>
    <w:rsid w:val="352C3E17"/>
    <w:rsid w:val="353E6DC8"/>
    <w:rsid w:val="355B61B1"/>
    <w:rsid w:val="3574003F"/>
    <w:rsid w:val="35925566"/>
    <w:rsid w:val="35A66831"/>
    <w:rsid w:val="35DF1AEE"/>
    <w:rsid w:val="35DF6E26"/>
    <w:rsid w:val="35F1024E"/>
    <w:rsid w:val="35F44F58"/>
    <w:rsid w:val="360C57FF"/>
    <w:rsid w:val="36316B7E"/>
    <w:rsid w:val="3653211D"/>
    <w:rsid w:val="36A368FD"/>
    <w:rsid w:val="36B23C1F"/>
    <w:rsid w:val="36F4350F"/>
    <w:rsid w:val="36F80454"/>
    <w:rsid w:val="377A58FF"/>
    <w:rsid w:val="37874F0C"/>
    <w:rsid w:val="37896854"/>
    <w:rsid w:val="37D91095"/>
    <w:rsid w:val="37F04614"/>
    <w:rsid w:val="38071AB5"/>
    <w:rsid w:val="385C5507"/>
    <w:rsid w:val="38736094"/>
    <w:rsid w:val="3877450D"/>
    <w:rsid w:val="38AF4175"/>
    <w:rsid w:val="38B17C73"/>
    <w:rsid w:val="38B90E71"/>
    <w:rsid w:val="390574A3"/>
    <w:rsid w:val="39147D4B"/>
    <w:rsid w:val="39564C31"/>
    <w:rsid w:val="395E4A81"/>
    <w:rsid w:val="39A16AD3"/>
    <w:rsid w:val="39C05107"/>
    <w:rsid w:val="39E02F50"/>
    <w:rsid w:val="3A053F2B"/>
    <w:rsid w:val="3A0769F4"/>
    <w:rsid w:val="3A4B758B"/>
    <w:rsid w:val="3A8C4583"/>
    <w:rsid w:val="3AB432A4"/>
    <w:rsid w:val="3ABF7703"/>
    <w:rsid w:val="3ACA535E"/>
    <w:rsid w:val="3B287C10"/>
    <w:rsid w:val="3B463B37"/>
    <w:rsid w:val="3B6323BE"/>
    <w:rsid w:val="3B6438DF"/>
    <w:rsid w:val="3B86657B"/>
    <w:rsid w:val="3B870013"/>
    <w:rsid w:val="3BB73206"/>
    <w:rsid w:val="3BEC6365"/>
    <w:rsid w:val="3BFE07E8"/>
    <w:rsid w:val="3BFE3B00"/>
    <w:rsid w:val="3C003555"/>
    <w:rsid w:val="3C1B1E0D"/>
    <w:rsid w:val="3C342C10"/>
    <w:rsid w:val="3C6E58CE"/>
    <w:rsid w:val="3C99468D"/>
    <w:rsid w:val="3CA51EE2"/>
    <w:rsid w:val="3CA82079"/>
    <w:rsid w:val="3CE11BFE"/>
    <w:rsid w:val="3E024241"/>
    <w:rsid w:val="3E103433"/>
    <w:rsid w:val="3E4E314A"/>
    <w:rsid w:val="3EA178AE"/>
    <w:rsid w:val="3EA25533"/>
    <w:rsid w:val="3ED06F80"/>
    <w:rsid w:val="3F054389"/>
    <w:rsid w:val="3F156E1B"/>
    <w:rsid w:val="3F25771F"/>
    <w:rsid w:val="3F336C4D"/>
    <w:rsid w:val="3F3F4D54"/>
    <w:rsid w:val="3F780A6C"/>
    <w:rsid w:val="3F8D7B91"/>
    <w:rsid w:val="3FB02C02"/>
    <w:rsid w:val="3FDF578A"/>
    <w:rsid w:val="40056FA7"/>
    <w:rsid w:val="40160A79"/>
    <w:rsid w:val="40463876"/>
    <w:rsid w:val="409A483D"/>
    <w:rsid w:val="40BD5A81"/>
    <w:rsid w:val="40D22FEF"/>
    <w:rsid w:val="40DD3AB4"/>
    <w:rsid w:val="40F8294C"/>
    <w:rsid w:val="41063494"/>
    <w:rsid w:val="410937D1"/>
    <w:rsid w:val="411A1F8C"/>
    <w:rsid w:val="41244C5D"/>
    <w:rsid w:val="413134D3"/>
    <w:rsid w:val="413205B4"/>
    <w:rsid w:val="415B7990"/>
    <w:rsid w:val="41942371"/>
    <w:rsid w:val="41A74017"/>
    <w:rsid w:val="41C715DD"/>
    <w:rsid w:val="42C40B29"/>
    <w:rsid w:val="42E315B3"/>
    <w:rsid w:val="42EF0FD7"/>
    <w:rsid w:val="42FE644D"/>
    <w:rsid w:val="4310093F"/>
    <w:rsid w:val="431C6203"/>
    <w:rsid w:val="43312915"/>
    <w:rsid w:val="43A1727A"/>
    <w:rsid w:val="44016F90"/>
    <w:rsid w:val="441D00BD"/>
    <w:rsid w:val="441D4EE6"/>
    <w:rsid w:val="449505BC"/>
    <w:rsid w:val="44A16353"/>
    <w:rsid w:val="44A2009A"/>
    <w:rsid w:val="44A61434"/>
    <w:rsid w:val="44DA0B0A"/>
    <w:rsid w:val="44FE009E"/>
    <w:rsid w:val="457D69F5"/>
    <w:rsid w:val="458960C7"/>
    <w:rsid w:val="459471EB"/>
    <w:rsid w:val="45BE57CB"/>
    <w:rsid w:val="4649733B"/>
    <w:rsid w:val="46571E7A"/>
    <w:rsid w:val="466D7B89"/>
    <w:rsid w:val="46953DA7"/>
    <w:rsid w:val="46AB3494"/>
    <w:rsid w:val="46B866BF"/>
    <w:rsid w:val="46BE204D"/>
    <w:rsid w:val="46CC6CB5"/>
    <w:rsid w:val="46F86A77"/>
    <w:rsid w:val="471063C7"/>
    <w:rsid w:val="471141AE"/>
    <w:rsid w:val="471A5425"/>
    <w:rsid w:val="473A51B1"/>
    <w:rsid w:val="47637F94"/>
    <w:rsid w:val="47BE139D"/>
    <w:rsid w:val="47DE54AD"/>
    <w:rsid w:val="47FF1BE8"/>
    <w:rsid w:val="481C3751"/>
    <w:rsid w:val="48242923"/>
    <w:rsid w:val="486C2CA8"/>
    <w:rsid w:val="48AB34FC"/>
    <w:rsid w:val="48B633C7"/>
    <w:rsid w:val="48D61271"/>
    <w:rsid w:val="48FF376D"/>
    <w:rsid w:val="49014613"/>
    <w:rsid w:val="4925125B"/>
    <w:rsid w:val="496A7C2E"/>
    <w:rsid w:val="497215C5"/>
    <w:rsid w:val="499347BD"/>
    <w:rsid w:val="49BD1BBD"/>
    <w:rsid w:val="49D15564"/>
    <w:rsid w:val="49DC0E4C"/>
    <w:rsid w:val="4A5C7545"/>
    <w:rsid w:val="4A7B5E36"/>
    <w:rsid w:val="4A905FEC"/>
    <w:rsid w:val="4ABD48DC"/>
    <w:rsid w:val="4AE07264"/>
    <w:rsid w:val="4B512187"/>
    <w:rsid w:val="4BAD697B"/>
    <w:rsid w:val="4BBE71CF"/>
    <w:rsid w:val="4BE6470E"/>
    <w:rsid w:val="4C550337"/>
    <w:rsid w:val="4C5F307E"/>
    <w:rsid w:val="4CCD47F5"/>
    <w:rsid w:val="4CD14AAC"/>
    <w:rsid w:val="4D1110F9"/>
    <w:rsid w:val="4D3631B8"/>
    <w:rsid w:val="4D381A38"/>
    <w:rsid w:val="4D3825F1"/>
    <w:rsid w:val="4D5B1EA6"/>
    <w:rsid w:val="4D7B0745"/>
    <w:rsid w:val="4D894AB1"/>
    <w:rsid w:val="4D9C42DE"/>
    <w:rsid w:val="4DAA2741"/>
    <w:rsid w:val="4DAA3FE7"/>
    <w:rsid w:val="4DEE0CEC"/>
    <w:rsid w:val="4DF95864"/>
    <w:rsid w:val="4E3C5DA2"/>
    <w:rsid w:val="4E516FF1"/>
    <w:rsid w:val="4E7E2AE5"/>
    <w:rsid w:val="4E8238FA"/>
    <w:rsid w:val="4E8D7D74"/>
    <w:rsid w:val="4EA21330"/>
    <w:rsid w:val="4ED1225B"/>
    <w:rsid w:val="4EEA07A2"/>
    <w:rsid w:val="4F223C4B"/>
    <w:rsid w:val="4F2C0F03"/>
    <w:rsid w:val="4F4816B7"/>
    <w:rsid w:val="4F4E05B0"/>
    <w:rsid w:val="4F635A78"/>
    <w:rsid w:val="4FAB6DF8"/>
    <w:rsid w:val="4FD908D0"/>
    <w:rsid w:val="4FFD3C97"/>
    <w:rsid w:val="50161CB8"/>
    <w:rsid w:val="50207DFE"/>
    <w:rsid w:val="50394FC6"/>
    <w:rsid w:val="50662272"/>
    <w:rsid w:val="50725FD5"/>
    <w:rsid w:val="507303C7"/>
    <w:rsid w:val="50C11A16"/>
    <w:rsid w:val="50E6582D"/>
    <w:rsid w:val="50EC6DA6"/>
    <w:rsid w:val="50F77771"/>
    <w:rsid w:val="513A6714"/>
    <w:rsid w:val="513E331C"/>
    <w:rsid w:val="514D57D4"/>
    <w:rsid w:val="51A76BC1"/>
    <w:rsid w:val="51BA7134"/>
    <w:rsid w:val="51C94EA9"/>
    <w:rsid w:val="51CA0E1B"/>
    <w:rsid w:val="5224729A"/>
    <w:rsid w:val="52422C45"/>
    <w:rsid w:val="525B505F"/>
    <w:rsid w:val="528C17EF"/>
    <w:rsid w:val="528D1AAE"/>
    <w:rsid w:val="52B206CC"/>
    <w:rsid w:val="52CA72A0"/>
    <w:rsid w:val="532021B7"/>
    <w:rsid w:val="535161BF"/>
    <w:rsid w:val="537A2E17"/>
    <w:rsid w:val="54485B35"/>
    <w:rsid w:val="544A68C3"/>
    <w:rsid w:val="5484596D"/>
    <w:rsid w:val="54C44D7D"/>
    <w:rsid w:val="54DA4317"/>
    <w:rsid w:val="54E13D95"/>
    <w:rsid w:val="54FE2E74"/>
    <w:rsid w:val="55061274"/>
    <w:rsid w:val="55871C20"/>
    <w:rsid w:val="55A25544"/>
    <w:rsid w:val="55C34C8E"/>
    <w:rsid w:val="55FD42D6"/>
    <w:rsid w:val="564323A1"/>
    <w:rsid w:val="5656597B"/>
    <w:rsid w:val="568C54CD"/>
    <w:rsid w:val="568F1C36"/>
    <w:rsid w:val="56A74B9A"/>
    <w:rsid w:val="56DE4DE8"/>
    <w:rsid w:val="56F3494B"/>
    <w:rsid w:val="57054C16"/>
    <w:rsid w:val="570654D3"/>
    <w:rsid w:val="570B3C21"/>
    <w:rsid w:val="57386B6F"/>
    <w:rsid w:val="57524FCD"/>
    <w:rsid w:val="575607F4"/>
    <w:rsid w:val="576A7647"/>
    <w:rsid w:val="57E81A2B"/>
    <w:rsid w:val="58035906"/>
    <w:rsid w:val="580B7CC1"/>
    <w:rsid w:val="584950D3"/>
    <w:rsid w:val="58706532"/>
    <w:rsid w:val="58CC5C9E"/>
    <w:rsid w:val="58D7050C"/>
    <w:rsid w:val="59343D61"/>
    <w:rsid w:val="59395F35"/>
    <w:rsid w:val="593D08F8"/>
    <w:rsid w:val="594B125E"/>
    <w:rsid w:val="595C07FD"/>
    <w:rsid w:val="59760125"/>
    <w:rsid w:val="597D7328"/>
    <w:rsid w:val="59861677"/>
    <w:rsid w:val="59BC379F"/>
    <w:rsid w:val="5A1B18F9"/>
    <w:rsid w:val="5A426D37"/>
    <w:rsid w:val="5AC50093"/>
    <w:rsid w:val="5AF53F31"/>
    <w:rsid w:val="5B0D4400"/>
    <w:rsid w:val="5B1D5F37"/>
    <w:rsid w:val="5B4E0839"/>
    <w:rsid w:val="5B51169F"/>
    <w:rsid w:val="5B582502"/>
    <w:rsid w:val="5B963766"/>
    <w:rsid w:val="5BD862E3"/>
    <w:rsid w:val="5BE62CE8"/>
    <w:rsid w:val="5C201FB6"/>
    <w:rsid w:val="5C44260A"/>
    <w:rsid w:val="5C5E70D7"/>
    <w:rsid w:val="5C813F66"/>
    <w:rsid w:val="5C8D2DDA"/>
    <w:rsid w:val="5D3D6C6B"/>
    <w:rsid w:val="5DBF297C"/>
    <w:rsid w:val="5DC849B3"/>
    <w:rsid w:val="5DEE45B5"/>
    <w:rsid w:val="5DEF7DEA"/>
    <w:rsid w:val="5E0F0C3D"/>
    <w:rsid w:val="5E120230"/>
    <w:rsid w:val="5E460EDA"/>
    <w:rsid w:val="5E5B6A53"/>
    <w:rsid w:val="5E6D347A"/>
    <w:rsid w:val="5EE86F80"/>
    <w:rsid w:val="5EEA1307"/>
    <w:rsid w:val="5EEC6EDA"/>
    <w:rsid w:val="5F0926AF"/>
    <w:rsid w:val="5F381A7B"/>
    <w:rsid w:val="5FB05CAE"/>
    <w:rsid w:val="5FC83EC9"/>
    <w:rsid w:val="5FD811EB"/>
    <w:rsid w:val="5FFB7FCC"/>
    <w:rsid w:val="60222951"/>
    <w:rsid w:val="603963BE"/>
    <w:rsid w:val="607A1279"/>
    <w:rsid w:val="609D2717"/>
    <w:rsid w:val="60D10A3A"/>
    <w:rsid w:val="610E66F3"/>
    <w:rsid w:val="61374C03"/>
    <w:rsid w:val="613D7CF4"/>
    <w:rsid w:val="618F74A2"/>
    <w:rsid w:val="61AF06D9"/>
    <w:rsid w:val="61B31AB3"/>
    <w:rsid w:val="61D22E11"/>
    <w:rsid w:val="62192056"/>
    <w:rsid w:val="62334C6D"/>
    <w:rsid w:val="62841212"/>
    <w:rsid w:val="62C84238"/>
    <w:rsid w:val="63305DDC"/>
    <w:rsid w:val="6338643A"/>
    <w:rsid w:val="6339426D"/>
    <w:rsid w:val="634A6366"/>
    <w:rsid w:val="636B028E"/>
    <w:rsid w:val="63762A33"/>
    <w:rsid w:val="63D05C86"/>
    <w:rsid w:val="63D92E72"/>
    <w:rsid w:val="64204EBD"/>
    <w:rsid w:val="64D25372"/>
    <w:rsid w:val="654236A5"/>
    <w:rsid w:val="657A0E8B"/>
    <w:rsid w:val="65B51B53"/>
    <w:rsid w:val="661F69F2"/>
    <w:rsid w:val="66284E03"/>
    <w:rsid w:val="668E5B1C"/>
    <w:rsid w:val="66994753"/>
    <w:rsid w:val="66AC2A48"/>
    <w:rsid w:val="66B90477"/>
    <w:rsid w:val="67050903"/>
    <w:rsid w:val="6707697C"/>
    <w:rsid w:val="67213183"/>
    <w:rsid w:val="67336041"/>
    <w:rsid w:val="675147E6"/>
    <w:rsid w:val="67AA3BDB"/>
    <w:rsid w:val="67C25F22"/>
    <w:rsid w:val="67C76049"/>
    <w:rsid w:val="67CD11F6"/>
    <w:rsid w:val="68092230"/>
    <w:rsid w:val="684B759D"/>
    <w:rsid w:val="68796CFB"/>
    <w:rsid w:val="68903CF7"/>
    <w:rsid w:val="68922CA5"/>
    <w:rsid w:val="68DA2356"/>
    <w:rsid w:val="68DF7AD7"/>
    <w:rsid w:val="68E653EF"/>
    <w:rsid w:val="69010B66"/>
    <w:rsid w:val="69021269"/>
    <w:rsid w:val="692D1A6E"/>
    <w:rsid w:val="692F54DD"/>
    <w:rsid w:val="694A151D"/>
    <w:rsid w:val="695D5073"/>
    <w:rsid w:val="696412C4"/>
    <w:rsid w:val="6975747B"/>
    <w:rsid w:val="6983226F"/>
    <w:rsid w:val="699B30C6"/>
    <w:rsid w:val="69CA6C26"/>
    <w:rsid w:val="6A1A622D"/>
    <w:rsid w:val="6AEE4EB0"/>
    <w:rsid w:val="6B881D79"/>
    <w:rsid w:val="6B956DB9"/>
    <w:rsid w:val="6BAE55E1"/>
    <w:rsid w:val="6C702B0F"/>
    <w:rsid w:val="6C9D5164"/>
    <w:rsid w:val="6CC54CBE"/>
    <w:rsid w:val="6CCD39CD"/>
    <w:rsid w:val="6CF80562"/>
    <w:rsid w:val="6D464029"/>
    <w:rsid w:val="6D5722AA"/>
    <w:rsid w:val="6DDA5866"/>
    <w:rsid w:val="6DE41F8D"/>
    <w:rsid w:val="6DEE51E5"/>
    <w:rsid w:val="6DFD1219"/>
    <w:rsid w:val="6E043E4D"/>
    <w:rsid w:val="6E2736E6"/>
    <w:rsid w:val="6E58572D"/>
    <w:rsid w:val="6E590A35"/>
    <w:rsid w:val="6E5E7712"/>
    <w:rsid w:val="6E720135"/>
    <w:rsid w:val="6E7E78EA"/>
    <w:rsid w:val="6E83405A"/>
    <w:rsid w:val="6EA41807"/>
    <w:rsid w:val="6EE8633A"/>
    <w:rsid w:val="6F162082"/>
    <w:rsid w:val="6F1B08A1"/>
    <w:rsid w:val="6F307579"/>
    <w:rsid w:val="6F811A72"/>
    <w:rsid w:val="6FB32F9C"/>
    <w:rsid w:val="6FDA4CFA"/>
    <w:rsid w:val="6FF549EB"/>
    <w:rsid w:val="6FF84847"/>
    <w:rsid w:val="703C22DE"/>
    <w:rsid w:val="70526D33"/>
    <w:rsid w:val="705E10ED"/>
    <w:rsid w:val="70645FE4"/>
    <w:rsid w:val="70D030AB"/>
    <w:rsid w:val="70D332B8"/>
    <w:rsid w:val="71037EAB"/>
    <w:rsid w:val="714C64D4"/>
    <w:rsid w:val="71A062FD"/>
    <w:rsid w:val="71B21D4D"/>
    <w:rsid w:val="71C51F33"/>
    <w:rsid w:val="71CF7D2D"/>
    <w:rsid w:val="723934B5"/>
    <w:rsid w:val="72653465"/>
    <w:rsid w:val="72747A08"/>
    <w:rsid w:val="72891144"/>
    <w:rsid w:val="72B558BE"/>
    <w:rsid w:val="72C61CD3"/>
    <w:rsid w:val="72C66920"/>
    <w:rsid w:val="72E353E9"/>
    <w:rsid w:val="7357444F"/>
    <w:rsid w:val="73601B7D"/>
    <w:rsid w:val="7380318A"/>
    <w:rsid w:val="73911430"/>
    <w:rsid w:val="73A13F8B"/>
    <w:rsid w:val="73BE24F8"/>
    <w:rsid w:val="740C59FB"/>
    <w:rsid w:val="74625DF4"/>
    <w:rsid w:val="747F5020"/>
    <w:rsid w:val="74B327E2"/>
    <w:rsid w:val="74B6398F"/>
    <w:rsid w:val="74B97257"/>
    <w:rsid w:val="74C94328"/>
    <w:rsid w:val="74D85B58"/>
    <w:rsid w:val="74EA50AA"/>
    <w:rsid w:val="75A8160A"/>
    <w:rsid w:val="75B63D02"/>
    <w:rsid w:val="761D2357"/>
    <w:rsid w:val="764A19D4"/>
    <w:rsid w:val="765924A2"/>
    <w:rsid w:val="76751F92"/>
    <w:rsid w:val="767A140C"/>
    <w:rsid w:val="768440A3"/>
    <w:rsid w:val="76F96202"/>
    <w:rsid w:val="77524813"/>
    <w:rsid w:val="776D0778"/>
    <w:rsid w:val="77721A18"/>
    <w:rsid w:val="77783805"/>
    <w:rsid w:val="779F3F99"/>
    <w:rsid w:val="77A77B9A"/>
    <w:rsid w:val="77D31B33"/>
    <w:rsid w:val="77D53C83"/>
    <w:rsid w:val="77EC0914"/>
    <w:rsid w:val="781F20D3"/>
    <w:rsid w:val="785C785B"/>
    <w:rsid w:val="786B6154"/>
    <w:rsid w:val="78701F30"/>
    <w:rsid w:val="78763A28"/>
    <w:rsid w:val="78824FEE"/>
    <w:rsid w:val="78994F8D"/>
    <w:rsid w:val="78A36324"/>
    <w:rsid w:val="78A7565C"/>
    <w:rsid w:val="78C70E39"/>
    <w:rsid w:val="78DB55C6"/>
    <w:rsid w:val="79145044"/>
    <w:rsid w:val="79170412"/>
    <w:rsid w:val="795B5140"/>
    <w:rsid w:val="79BE6BFC"/>
    <w:rsid w:val="79F65F96"/>
    <w:rsid w:val="7A04614D"/>
    <w:rsid w:val="7A23746A"/>
    <w:rsid w:val="7AB83A17"/>
    <w:rsid w:val="7AF31052"/>
    <w:rsid w:val="7B10698A"/>
    <w:rsid w:val="7B290702"/>
    <w:rsid w:val="7B2E0C01"/>
    <w:rsid w:val="7B3251B7"/>
    <w:rsid w:val="7B8D266D"/>
    <w:rsid w:val="7BB8792B"/>
    <w:rsid w:val="7BC85716"/>
    <w:rsid w:val="7C3B2868"/>
    <w:rsid w:val="7C925691"/>
    <w:rsid w:val="7C9259CD"/>
    <w:rsid w:val="7C9D09FC"/>
    <w:rsid w:val="7CAD040D"/>
    <w:rsid w:val="7CAE6AA1"/>
    <w:rsid w:val="7CE762CC"/>
    <w:rsid w:val="7CF8396E"/>
    <w:rsid w:val="7D0C0A52"/>
    <w:rsid w:val="7D26581C"/>
    <w:rsid w:val="7D6C671B"/>
    <w:rsid w:val="7D753CE6"/>
    <w:rsid w:val="7D773084"/>
    <w:rsid w:val="7D860481"/>
    <w:rsid w:val="7DC84416"/>
    <w:rsid w:val="7E051E7D"/>
    <w:rsid w:val="7E0C6E18"/>
    <w:rsid w:val="7E126F07"/>
    <w:rsid w:val="7E373E96"/>
    <w:rsid w:val="7E421211"/>
    <w:rsid w:val="7E562CF1"/>
    <w:rsid w:val="7E563001"/>
    <w:rsid w:val="7E5F1273"/>
    <w:rsid w:val="7E8F6110"/>
    <w:rsid w:val="7E9D2A2B"/>
    <w:rsid w:val="7EA13B46"/>
    <w:rsid w:val="7EA24AE7"/>
    <w:rsid w:val="7EC21B9B"/>
    <w:rsid w:val="7EE231B2"/>
    <w:rsid w:val="7F0F0E64"/>
    <w:rsid w:val="7F124B4D"/>
    <w:rsid w:val="7F1B5500"/>
    <w:rsid w:val="7F2C2503"/>
    <w:rsid w:val="7F4A5873"/>
    <w:rsid w:val="7FE137FC"/>
    <w:rsid w:val="7FE36FE9"/>
    <w:rsid w:val="7FEC49D6"/>
    <w:rsid w:val="7FF311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iPriority="39" w:name="toc 3" w:locked="1"/>
    <w:lsdException w:uiPriority="39" w:name="toc 4" w:locked="1"/>
    <w:lsdException w:uiPriority="39" w:name="toc 5" w:locked="1"/>
    <w:lsdException w:qFormat="1" w:unhideWhenUsed="0" w:uiPriority="0" w:semiHidden="0"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iPriority="0"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9"/>
    <w:pPr>
      <w:keepNext/>
      <w:keepLines/>
      <w:jc w:val="center"/>
      <w:outlineLvl w:val="0"/>
    </w:pPr>
    <w:rPr>
      <w:rFonts w:ascii="Calibri" w:hAnsi="Calibri"/>
      <w:b/>
      <w:bCs/>
      <w:kern w:val="44"/>
      <w:sz w:val="24"/>
      <w:szCs w:val="44"/>
    </w:rPr>
  </w:style>
  <w:style w:type="paragraph" w:styleId="4">
    <w:name w:val="heading 2"/>
    <w:basedOn w:val="1"/>
    <w:next w:val="1"/>
    <w:link w:val="29"/>
    <w:qFormat/>
    <w:uiPriority w:val="99"/>
    <w:pPr>
      <w:keepNext/>
      <w:keepLines/>
      <w:ind w:firstLine="0" w:firstLineChars="0"/>
      <w:outlineLvl w:val="1"/>
    </w:pPr>
    <w:rPr>
      <w:rFonts w:ascii="Cambria" w:hAnsi="Cambria"/>
      <w:b/>
      <w:bCs/>
      <w:szCs w:val="32"/>
    </w:rPr>
  </w:style>
  <w:style w:type="paragraph" w:styleId="5">
    <w:name w:val="heading 3"/>
    <w:basedOn w:val="1"/>
    <w:next w:val="1"/>
    <w:link w:val="30"/>
    <w:qFormat/>
    <w:uiPriority w:val="99"/>
    <w:pPr>
      <w:keepNext/>
      <w:keepLines/>
      <w:ind w:firstLine="0" w:firstLineChars="0"/>
      <w:outlineLvl w:val="2"/>
    </w:pPr>
    <w:rPr>
      <w:rFonts w:ascii="Calibri" w:hAnsi="Calibri"/>
      <w:b/>
      <w:bCs/>
      <w:kern w:val="0"/>
      <w:sz w:val="20"/>
      <w:szCs w:val="32"/>
    </w:rPr>
  </w:style>
  <w:style w:type="paragraph" w:styleId="6">
    <w:name w:val="heading 4"/>
    <w:basedOn w:val="1"/>
    <w:next w:val="1"/>
    <w:link w:val="31"/>
    <w:qFormat/>
    <w:uiPriority w:val="99"/>
    <w:pPr>
      <w:keepNext/>
      <w:keepLines/>
      <w:outlineLvl w:val="3"/>
    </w:pPr>
    <w:rPr>
      <w:rFonts w:ascii="Cambria" w:hAnsi="Cambria"/>
      <w:b/>
      <w:bCs/>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7">
    <w:name w:val="Normal Indent"/>
    <w:basedOn w:val="1"/>
    <w:qFormat/>
    <w:locked/>
    <w:uiPriority w:val="0"/>
    <w:pPr>
      <w:spacing w:line="240" w:lineRule="auto"/>
      <w:ind w:firstLine="420" w:firstLineChars="0"/>
    </w:pPr>
  </w:style>
  <w:style w:type="paragraph" w:styleId="8">
    <w:name w:val="Document Map"/>
    <w:basedOn w:val="1"/>
    <w:link w:val="40"/>
    <w:semiHidden/>
    <w:qFormat/>
    <w:uiPriority w:val="99"/>
    <w:pPr>
      <w:shd w:val="clear" w:color="auto" w:fill="000080"/>
    </w:pPr>
  </w:style>
  <w:style w:type="paragraph" w:styleId="9">
    <w:name w:val="annotation text"/>
    <w:basedOn w:val="1"/>
    <w:link w:val="32"/>
    <w:qFormat/>
    <w:uiPriority w:val="99"/>
    <w:pPr>
      <w:spacing w:line="240" w:lineRule="auto"/>
      <w:ind w:firstLine="0" w:firstLineChars="0"/>
      <w:jc w:val="left"/>
    </w:pPr>
  </w:style>
  <w:style w:type="paragraph" w:styleId="10">
    <w:name w:val="Body Text"/>
    <w:basedOn w:val="1"/>
    <w:next w:val="11"/>
    <w:unhideWhenUsed/>
    <w:qFormat/>
    <w:locked/>
    <w:uiPriority w:val="0"/>
    <w:pPr>
      <w:adjustRightInd w:val="0"/>
      <w:spacing w:line="315" w:lineRule="atLeast"/>
      <w:ind w:firstLine="0" w:firstLineChars="0"/>
      <w:jc w:val="left"/>
    </w:pPr>
    <w:rPr>
      <w:rFonts w:ascii="仿宋_GB2312" w:eastAsia="仿宋_GB2312"/>
      <w:kern w:val="0"/>
      <w:sz w:val="28"/>
      <w:szCs w:val="20"/>
    </w:rPr>
  </w:style>
  <w:style w:type="paragraph" w:styleId="11">
    <w:name w:val="Body Text First Indent"/>
    <w:basedOn w:val="10"/>
    <w:next w:val="12"/>
    <w:unhideWhenUsed/>
    <w:qFormat/>
    <w:locked/>
    <w:uiPriority w:val="0"/>
    <w:pPr>
      <w:adjustRightInd/>
      <w:spacing w:after="120" w:line="240" w:lineRule="auto"/>
      <w:ind w:firstLine="420" w:firstLineChars="100"/>
      <w:jc w:val="both"/>
    </w:pPr>
    <w:rPr>
      <w:rFonts w:ascii="Times New Roman"/>
      <w:kern w:val="2"/>
      <w:sz w:val="21"/>
      <w:szCs w:val="24"/>
    </w:rPr>
  </w:style>
  <w:style w:type="paragraph" w:styleId="12">
    <w:name w:val="toc 6"/>
    <w:basedOn w:val="1"/>
    <w:next w:val="1"/>
    <w:qFormat/>
    <w:locked/>
    <w:uiPriority w:val="0"/>
    <w:pPr>
      <w:spacing w:line="240" w:lineRule="auto"/>
      <w:ind w:left="1050" w:firstLine="0" w:firstLineChars="0"/>
      <w:jc w:val="left"/>
    </w:pPr>
    <w:rPr>
      <w:szCs w:val="21"/>
    </w:rPr>
  </w:style>
  <w:style w:type="paragraph" w:styleId="13">
    <w:name w:val="Body Text Indent"/>
    <w:basedOn w:val="1"/>
    <w:qFormat/>
    <w:locked/>
    <w:uiPriority w:val="0"/>
    <w:pPr>
      <w:spacing w:line="200" w:lineRule="exact"/>
      <w:ind w:firstLine="301"/>
    </w:pPr>
    <w:rPr>
      <w:rFonts w:ascii="宋体" w:hAnsi="Courier New"/>
      <w:spacing w:val="-4"/>
      <w:sz w:val="18"/>
      <w:szCs w:val="20"/>
    </w:rPr>
  </w:style>
  <w:style w:type="paragraph" w:styleId="14">
    <w:name w:val="Plain Text"/>
    <w:basedOn w:val="1"/>
    <w:link w:val="33"/>
    <w:qFormat/>
    <w:uiPriority w:val="99"/>
    <w:pPr>
      <w:spacing w:line="240" w:lineRule="auto"/>
      <w:ind w:firstLine="0" w:firstLineChars="0"/>
    </w:pPr>
    <w:rPr>
      <w:rFonts w:ascii="宋体" w:hAnsi="Courier New"/>
      <w:szCs w:val="20"/>
    </w:rPr>
  </w:style>
  <w:style w:type="paragraph" w:styleId="15">
    <w:name w:val="Balloon Text"/>
    <w:basedOn w:val="1"/>
    <w:link w:val="39"/>
    <w:semiHidden/>
    <w:qFormat/>
    <w:uiPriority w:val="99"/>
    <w:rPr>
      <w:sz w:val="18"/>
      <w:szCs w:val="18"/>
    </w:rPr>
  </w:style>
  <w:style w:type="paragraph" w:styleId="16">
    <w:name w:val="footer"/>
    <w:basedOn w:val="1"/>
    <w:link w:val="34"/>
    <w:qFormat/>
    <w:uiPriority w:val="99"/>
    <w:pPr>
      <w:tabs>
        <w:tab w:val="center" w:pos="4153"/>
        <w:tab w:val="right" w:pos="8306"/>
      </w:tabs>
      <w:snapToGrid w:val="0"/>
      <w:jc w:val="left"/>
    </w:pPr>
    <w:rPr>
      <w:rFonts w:ascii="Calibri" w:hAnsi="Calibri"/>
      <w:kern w:val="0"/>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99"/>
    <w:pPr>
      <w:tabs>
        <w:tab w:val="right" w:leader="dot" w:pos="8296"/>
      </w:tabs>
      <w:ind w:firstLine="0" w:firstLineChars="0"/>
    </w:pPr>
  </w:style>
  <w:style w:type="paragraph" w:styleId="19">
    <w:name w:val="toc 2"/>
    <w:basedOn w:val="1"/>
    <w:next w:val="1"/>
    <w:qFormat/>
    <w:uiPriority w:val="99"/>
    <w:pPr>
      <w:tabs>
        <w:tab w:val="right" w:leader="dot" w:pos="8296"/>
      </w:tabs>
      <w:ind w:left="420" w:leftChars="200" w:firstLine="0" w:firstLineChars="0"/>
    </w:pPr>
  </w:style>
  <w:style w:type="paragraph" w:styleId="20">
    <w:name w:val="Normal (Web)"/>
    <w:basedOn w:val="1"/>
    <w:qFormat/>
    <w:locked/>
    <w:uiPriority w:val="0"/>
    <w:pPr>
      <w:widowControl/>
      <w:spacing w:before="100" w:beforeAutospacing="1" w:after="100" w:afterAutospacing="1" w:line="240" w:lineRule="auto"/>
      <w:ind w:firstLine="0" w:firstLineChars="0"/>
      <w:jc w:val="left"/>
    </w:pPr>
    <w:rPr>
      <w:rFonts w:ascii="??" w:hAnsi="??" w:eastAsia="??" w:cs="宋体"/>
      <w:kern w:val="0"/>
      <w:sz w:val="24"/>
    </w:rPr>
  </w:style>
  <w:style w:type="paragraph" w:styleId="21">
    <w:name w:val="Body Text First Indent 2"/>
    <w:basedOn w:val="13"/>
    <w:qFormat/>
    <w:locked/>
    <w:uiPriority w:val="0"/>
    <w:pPr>
      <w:spacing w:line="240" w:lineRule="auto"/>
      <w:ind w:firstLine="420"/>
    </w:pPr>
  </w:style>
  <w:style w:type="character" w:styleId="24">
    <w:name w:val="Strong"/>
    <w:basedOn w:val="23"/>
    <w:qFormat/>
    <w:uiPriority w:val="99"/>
    <w:rPr>
      <w:rFonts w:cs="Times New Roman"/>
      <w:b/>
    </w:rPr>
  </w:style>
  <w:style w:type="character" w:styleId="25">
    <w:name w:val="page number"/>
    <w:basedOn w:val="23"/>
    <w:qFormat/>
    <w:locked/>
    <w:uiPriority w:val="0"/>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rPr>
  </w:style>
  <w:style w:type="character" w:customStyle="1" w:styleId="28">
    <w:name w:val="标题 1 字符"/>
    <w:basedOn w:val="23"/>
    <w:link w:val="3"/>
    <w:qFormat/>
    <w:locked/>
    <w:uiPriority w:val="99"/>
    <w:rPr>
      <w:rFonts w:cs="Times New Roman"/>
      <w:b/>
      <w:kern w:val="44"/>
      <w:sz w:val="44"/>
    </w:rPr>
  </w:style>
  <w:style w:type="character" w:customStyle="1" w:styleId="29">
    <w:name w:val="标题 2 字符"/>
    <w:basedOn w:val="23"/>
    <w:link w:val="4"/>
    <w:semiHidden/>
    <w:qFormat/>
    <w:locked/>
    <w:uiPriority w:val="99"/>
    <w:rPr>
      <w:rFonts w:ascii="Cambria" w:hAnsi="Cambria" w:eastAsia="宋体" w:cs="Times New Roman"/>
      <w:b/>
      <w:bCs/>
      <w:sz w:val="32"/>
      <w:szCs w:val="32"/>
    </w:rPr>
  </w:style>
  <w:style w:type="character" w:customStyle="1" w:styleId="30">
    <w:name w:val="标题 3 字符"/>
    <w:basedOn w:val="23"/>
    <w:link w:val="5"/>
    <w:qFormat/>
    <w:locked/>
    <w:uiPriority w:val="99"/>
    <w:rPr>
      <w:rFonts w:cs="Times New Roman"/>
      <w:b/>
      <w:sz w:val="32"/>
    </w:rPr>
  </w:style>
  <w:style w:type="character" w:customStyle="1" w:styleId="31">
    <w:name w:val="标题 4 字符"/>
    <w:basedOn w:val="23"/>
    <w:link w:val="6"/>
    <w:semiHidden/>
    <w:qFormat/>
    <w:locked/>
    <w:uiPriority w:val="99"/>
    <w:rPr>
      <w:rFonts w:ascii="Cambria" w:hAnsi="Cambria" w:eastAsia="宋体" w:cs="Times New Roman"/>
      <w:b/>
      <w:bCs/>
      <w:sz w:val="28"/>
      <w:szCs w:val="28"/>
    </w:rPr>
  </w:style>
  <w:style w:type="character" w:customStyle="1" w:styleId="32">
    <w:name w:val="批注文字 字符"/>
    <w:basedOn w:val="23"/>
    <w:link w:val="9"/>
    <w:semiHidden/>
    <w:qFormat/>
    <w:locked/>
    <w:uiPriority w:val="99"/>
    <w:rPr>
      <w:rFonts w:ascii="Times New Roman" w:hAnsi="Times New Roman" w:cs="Times New Roman"/>
      <w:sz w:val="24"/>
      <w:szCs w:val="24"/>
    </w:rPr>
  </w:style>
  <w:style w:type="character" w:customStyle="1" w:styleId="33">
    <w:name w:val="纯文本 字符"/>
    <w:basedOn w:val="23"/>
    <w:link w:val="14"/>
    <w:semiHidden/>
    <w:qFormat/>
    <w:locked/>
    <w:uiPriority w:val="99"/>
    <w:rPr>
      <w:rFonts w:ascii="宋体" w:hAnsi="Courier New" w:cs="Courier New"/>
      <w:sz w:val="21"/>
      <w:szCs w:val="21"/>
    </w:rPr>
  </w:style>
  <w:style w:type="character" w:customStyle="1" w:styleId="34">
    <w:name w:val="页脚 字符"/>
    <w:basedOn w:val="23"/>
    <w:link w:val="16"/>
    <w:semiHidden/>
    <w:qFormat/>
    <w:locked/>
    <w:uiPriority w:val="99"/>
    <w:rPr>
      <w:rFonts w:ascii="Times New Roman" w:hAnsi="Times New Roman" w:cs="Times New Roman"/>
      <w:sz w:val="18"/>
      <w:szCs w:val="18"/>
    </w:rPr>
  </w:style>
  <w:style w:type="character" w:customStyle="1" w:styleId="35">
    <w:name w:val="页眉 字符"/>
    <w:basedOn w:val="23"/>
    <w:link w:val="17"/>
    <w:semiHidden/>
    <w:qFormat/>
    <w:locked/>
    <w:uiPriority w:val="99"/>
    <w:rPr>
      <w:rFonts w:ascii="Times New Roman" w:hAnsi="Times New Roman" w:cs="Times New Roman"/>
      <w:sz w:val="18"/>
      <w:szCs w:val="18"/>
    </w:rPr>
  </w:style>
  <w:style w:type="paragraph" w:customStyle="1" w:styleId="36">
    <w:name w:val="TOC 标题1"/>
    <w:basedOn w:val="4"/>
    <w:next w:val="1"/>
    <w:qFormat/>
    <w:uiPriority w:val="99"/>
    <w:pPr>
      <w:widowControl/>
      <w:spacing w:line="240" w:lineRule="auto"/>
      <w:jc w:val="left"/>
      <w:outlineLvl w:val="9"/>
    </w:pPr>
    <w:rPr>
      <w:kern w:val="0"/>
      <w:szCs w:val="28"/>
    </w:rPr>
  </w:style>
  <w:style w:type="paragraph" w:styleId="37">
    <w:name w:val="No Spacing"/>
    <w:qFormat/>
    <w:uiPriority w:val="99"/>
    <w:pPr>
      <w:widowControl w:val="0"/>
      <w:jc w:val="both"/>
    </w:pPr>
    <w:rPr>
      <w:rFonts w:ascii="Calibri" w:hAnsi="Calibri" w:eastAsia="宋体" w:cs="Calibri"/>
      <w:kern w:val="2"/>
      <w:sz w:val="21"/>
      <w:szCs w:val="22"/>
      <w:lang w:val="en-US" w:eastAsia="zh-CN" w:bidi="ar-SA"/>
    </w:rPr>
  </w:style>
  <w:style w:type="paragraph" w:customStyle="1" w:styleId="38">
    <w:name w:val="Char"/>
    <w:basedOn w:val="1"/>
    <w:qFormat/>
    <w:uiPriority w:val="99"/>
    <w:pPr>
      <w:spacing w:line="240" w:lineRule="auto"/>
      <w:ind w:firstLine="0" w:firstLineChars="0"/>
    </w:pPr>
    <w:rPr>
      <w:rFonts w:ascii="仿宋_GB2312" w:eastAsia="仿宋_GB2312"/>
      <w:b/>
      <w:sz w:val="32"/>
      <w:szCs w:val="32"/>
    </w:rPr>
  </w:style>
  <w:style w:type="character" w:customStyle="1" w:styleId="39">
    <w:name w:val="批注框文本 字符"/>
    <w:basedOn w:val="23"/>
    <w:link w:val="15"/>
    <w:semiHidden/>
    <w:qFormat/>
    <w:locked/>
    <w:uiPriority w:val="99"/>
    <w:rPr>
      <w:rFonts w:ascii="Times New Roman" w:hAnsi="Times New Roman" w:cs="Times New Roman"/>
      <w:sz w:val="2"/>
    </w:rPr>
  </w:style>
  <w:style w:type="character" w:customStyle="1" w:styleId="40">
    <w:name w:val="文档结构图 字符"/>
    <w:basedOn w:val="23"/>
    <w:link w:val="8"/>
    <w:semiHidden/>
    <w:qFormat/>
    <w:locked/>
    <w:uiPriority w:val="99"/>
    <w:rPr>
      <w:rFonts w:ascii="Times New Roman" w:hAnsi="Times New Roman" w:cs="Times New Roman"/>
      <w:sz w:val="2"/>
    </w:rPr>
  </w:style>
  <w:style w:type="paragraph" w:customStyle="1" w:styleId="41">
    <w:name w:val="无间隔1"/>
    <w:qFormat/>
    <w:uiPriority w:val="1"/>
    <w:pPr>
      <w:widowControl w:val="0"/>
      <w:jc w:val="both"/>
    </w:pPr>
    <w:rPr>
      <w:rFonts w:ascii="Calibri" w:hAnsi="Calibri" w:eastAsia="宋体" w:cs="Calibri"/>
      <w:kern w:val="2"/>
      <w:sz w:val="21"/>
      <w:szCs w:val="22"/>
      <w:lang w:val="en-US" w:eastAsia="zh-CN" w:bidi="ar-SA"/>
    </w:rPr>
  </w:style>
  <w:style w:type="character" w:customStyle="1" w:styleId="42">
    <w:name w:val="NormalCharacter"/>
    <w:qFormat/>
    <w:uiPriority w:val="0"/>
    <w:rPr>
      <w:rFonts w:ascii="Times New Roman" w:hAnsi="Times New Roman" w:eastAsia="宋体" w:cs="Times New Roman"/>
      <w:kern w:val="2"/>
      <w:sz w:val="21"/>
      <w:szCs w:val="24"/>
      <w:lang w:val="en-US" w:eastAsia="zh-CN" w:bidi="ar-SA"/>
    </w:rPr>
  </w:style>
  <w:style w:type="paragraph" w:customStyle="1" w:styleId="43">
    <w:name w:val="列表段落1"/>
    <w:basedOn w:val="1"/>
    <w:qFormat/>
    <w:uiPriority w:val="34"/>
    <w:pPr>
      <w:spacing w:line="240" w:lineRule="auto"/>
      <w:ind w:firstLine="420"/>
    </w:pPr>
    <w:rPr>
      <w:rFonts w:ascii="Calibri" w:hAnsi="Calibri"/>
      <w:szCs w:val="20"/>
    </w:rPr>
  </w:style>
  <w:style w:type="paragraph" w:customStyle="1" w:styleId="44">
    <w:name w:val="04-正文"/>
    <w:basedOn w:val="1"/>
    <w:qFormat/>
    <w:uiPriority w:val="0"/>
    <w:pPr>
      <w:spacing w:line="360" w:lineRule="exact"/>
    </w:pPr>
    <w:rPr>
      <w:kern w:val="0"/>
      <w:sz w:val="20"/>
    </w:rPr>
  </w:style>
  <w:style w:type="paragraph" w:customStyle="1" w:styleId="45">
    <w:name w:val="Body text|21"/>
    <w:basedOn w:val="1"/>
    <w:qFormat/>
    <w:uiPriority w:val="0"/>
    <w:pPr>
      <w:shd w:val="clear" w:color="auto" w:fill="FFFFFF"/>
      <w:spacing w:after="240" w:line="200" w:lineRule="exact"/>
      <w:jc w:val="distribute"/>
    </w:pPr>
    <w:rPr>
      <w:rFonts w:ascii="PMingLiU_x0004_falt" w:hAnsi="PMingLiU_x0004_falt" w:eastAsia="PMingLiU_x0004_falt"/>
      <w:b/>
      <w:kern w:val="0"/>
      <w:sz w:val="20"/>
      <w:szCs w:val="20"/>
    </w:rPr>
  </w:style>
  <w:style w:type="character" w:customStyle="1" w:styleId="46">
    <w:name w:val="Body text|2"/>
    <w:qFormat/>
    <w:uiPriority w:val="0"/>
    <w:rPr>
      <w:rFonts w:ascii="PMingLiU_x0004_falt" w:hAnsi="PMingLiU_x0004_falt" w:eastAsia="PMingLiU_x0004_falt" w:cs="宋体"/>
      <w:color w:val="000000"/>
      <w:spacing w:val="0"/>
      <w:w w:val="100"/>
      <w:kern w:val="0"/>
      <w:position w:val="0"/>
      <w:sz w:val="20"/>
      <w:szCs w:val="20"/>
      <w:lang w:val="zh-CN" w:eastAsia="zh-CN"/>
    </w:rPr>
  </w:style>
  <w:style w:type="paragraph" w:customStyle="1" w:styleId="47">
    <w:name w:val="[Normal]"/>
    <w:qFormat/>
    <w:uiPriority w:val="0"/>
    <w:rPr>
      <w:rFonts w:ascii="宋体" w:hAnsi="宋体" w:eastAsia="宋体" w:cs="Times New Roman"/>
      <w:sz w:val="24"/>
      <w:szCs w:val="22"/>
      <w:lang w:val="zh-CN" w:eastAsia="zh-CN" w:bidi="ar-SA"/>
    </w:rPr>
  </w:style>
  <w:style w:type="paragraph" w:customStyle="1" w:styleId="48">
    <w:name w:val="正文1"/>
    <w:basedOn w:val="1"/>
    <w:next w:val="1"/>
    <w:qFormat/>
    <w:uiPriority w:val="0"/>
    <w:pPr>
      <w:spacing w:before="156"/>
      <w:ind w:left="426"/>
    </w:pPr>
    <w:rPr>
      <w:sz w:val="24"/>
      <w:szCs w:val="20"/>
    </w:rPr>
  </w:style>
  <w:style w:type="paragraph" w:customStyle="1" w:styleId="49">
    <w:name w:val="样式1"/>
    <w:basedOn w:val="1"/>
    <w:qFormat/>
    <w:uiPriority w:val="0"/>
    <w:pPr>
      <w:spacing w:line="360" w:lineRule="exact"/>
    </w:pPr>
    <w:rPr>
      <w:rFonts w:ascii="Arial" w:hAnsi="Arial" w:cs="Arial"/>
    </w:rPr>
  </w:style>
  <w:style w:type="paragraph" w:customStyle="1" w:styleId="50">
    <w:name w:val="纯文本1"/>
    <w:basedOn w:val="51"/>
    <w:qFormat/>
    <w:uiPriority w:val="0"/>
    <w:pPr>
      <w:widowControl/>
      <w:jc w:val="left"/>
    </w:pPr>
    <w:rPr>
      <w:rFonts w:ascii="宋体" w:hAnsi="Courier New"/>
    </w:rPr>
  </w:style>
  <w:style w:type="paragraph" w:customStyle="1" w:styleId="51">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52">
    <w:name w:val="font31"/>
    <w:basedOn w:val="23"/>
    <w:qFormat/>
    <w:uiPriority w:val="0"/>
    <w:rPr>
      <w:rFonts w:hint="default" w:ascii="Times New Roman" w:hAnsi="Times New Roman" w:cs="Times New Roman"/>
      <w:color w:val="000000"/>
      <w:sz w:val="28"/>
      <w:szCs w:val="28"/>
      <w:u w:val="none"/>
    </w:rPr>
  </w:style>
  <w:style w:type="character" w:customStyle="1" w:styleId="53">
    <w:name w:val="font41"/>
    <w:basedOn w:val="23"/>
    <w:qFormat/>
    <w:uiPriority w:val="0"/>
    <w:rPr>
      <w:rFonts w:hint="eastAsia" w:ascii="宋体" w:hAnsi="宋体" w:eastAsia="宋体" w:cs="宋体"/>
      <w:color w:val="000000"/>
      <w:sz w:val="28"/>
      <w:szCs w:val="28"/>
      <w:u w:val="none"/>
    </w:rPr>
  </w:style>
  <w:style w:type="character" w:customStyle="1" w:styleId="54">
    <w:name w:val="font21"/>
    <w:basedOn w:val="23"/>
    <w:qFormat/>
    <w:uiPriority w:val="0"/>
    <w:rPr>
      <w:rFonts w:hint="eastAsia" w:ascii="宋体" w:hAnsi="宋体" w:eastAsia="宋体" w:cs="宋体"/>
      <w:color w:val="000000"/>
      <w:sz w:val="28"/>
      <w:szCs w:val="28"/>
      <w:u w:val="none"/>
    </w:rPr>
  </w:style>
  <w:style w:type="character" w:customStyle="1" w:styleId="55">
    <w:name w:val="font11"/>
    <w:basedOn w:val="23"/>
    <w:qFormat/>
    <w:uiPriority w:val="0"/>
    <w:rPr>
      <w:rFonts w:hint="default" w:ascii="Times New Roman" w:hAnsi="Times New Roman" w:cs="Times New Roman"/>
      <w:color w:val="000000"/>
      <w:sz w:val="28"/>
      <w:szCs w:val="28"/>
      <w:u w:val="none"/>
    </w:rPr>
  </w:style>
  <w:style w:type="character" w:customStyle="1" w:styleId="56">
    <w:name w:val="style21"/>
    <w:qFormat/>
    <w:uiPriority w:val="0"/>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54</Pages>
  <Words>5081</Words>
  <Characters>28964</Characters>
  <Lines>241</Lines>
  <Paragraphs>67</Paragraphs>
  <TotalTime>23</TotalTime>
  <ScaleCrop>false</ScaleCrop>
  <LinksUpToDate>false</LinksUpToDate>
  <CharactersWithSpaces>33978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2021-07-28T06:51:00Z</dcterms:created>
  <dc:creator>Administrator</dc:creator>
  <cp:lastModifiedBy>Administrator</cp:lastModifiedBy>
  <dcterms:modified xsi:type="dcterms:W3CDTF">2021-08-16T07:52:46Z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481745A552E449BCAAF6CE3FD822F940</vt:lpwstr>
  </property>
</Properties>
</file>