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浙江省教育发展中心公款竞争性存放项目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更正公告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  <w:t>项目编号：FZZXZCB-2019-0005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highlight w:val="yellow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  <w:t>更正理由：</w:t>
      </w:r>
      <w:r>
        <w:rPr>
          <w:rFonts w:hint="eastAsia" w:ascii="仿宋" w:hAnsi="仿宋" w:eastAsia="仿宋" w:cs="宋体"/>
          <w:bCs/>
          <w:color w:val="auto"/>
          <w:sz w:val="36"/>
          <w:szCs w:val="36"/>
          <w:highlight w:val="yellow"/>
          <w:lang w:val="en-US" w:eastAsia="zh-CN"/>
        </w:rPr>
        <w:t>根据省财政厅提供数据口径相应调整评分标准表相关内容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  <w:t>更正事项：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</w:p>
    <w:tbl>
      <w:tblPr>
        <w:tblStyle w:val="4"/>
        <w:tblW w:w="10065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955"/>
        <w:gridCol w:w="283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更正后内容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  <w:t>2018年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浙江省政府金融机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构支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地方经济社会发展评价结果评分，一等奖得最高分5分，二等奖得3分，三等奖得1分，未得奖的不得分。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2017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浙江省政府金融机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构支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地方经济社会发展评价结果评分，一等奖得最高分5分，二等奖得3分，三等奖得1分，未得奖的不得分。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第四篇 评标方法、评标标准和废标条款</w:t>
            </w: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  <w:lang w:val="en-US" w:eastAsia="zh-CN"/>
              </w:rPr>
              <w:t>---二、评分标准表---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根据投标银行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yellow"/>
              </w:rPr>
              <w:t>截至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  <w:t>2018年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yellow"/>
              </w:rPr>
              <w:t>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浙江省政府债券承销余额（含承办柜台发行量）排名进行评分，排名最好的得5分，其余投标银行按排名顺序次依次递减0.25分，减完为止，未承销的单位不得分。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根据投标银行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近一年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浙江省政府债券承销余额（含承办柜台发行量）排名进行评分，排名最好的得5分，其余投标银行按排名顺序次依次递减0.25分，减完为止，未承销的单位不得分。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第四篇 评标方法、评标标准和废标条款</w:t>
            </w: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  <w:lang w:val="en-US" w:eastAsia="zh-CN"/>
              </w:rPr>
              <w:t>---二、评分标准表---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贡献度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  <w:t>其他事项：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  <w:t>其余条款不变，原开标时间地点不变。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jc w:val="righ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  <w:t>浙江省教育发展中心</w:t>
      </w:r>
    </w:p>
    <w:p>
      <w:pPr>
        <w:widowControl/>
        <w:numPr>
          <w:ilvl w:val="0"/>
          <w:numId w:val="0"/>
        </w:numPr>
        <w:jc w:val="right"/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6"/>
          <w:szCs w:val="36"/>
          <w:lang w:val="en-US" w:eastAsia="zh-CN"/>
        </w:rPr>
        <w:t>2019年6月6日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D25D"/>
    <w:multiLevelType w:val="singleLevel"/>
    <w:tmpl w:val="5CF8D25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3220B"/>
    <w:rsid w:val="4A23220B"/>
    <w:rsid w:val="6111742F"/>
    <w:rsid w:val="6A93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2019-06-06T08:19:00Z</dcterms:created>
  <dc:creator>lenovo</dc:creator>
  <cp:lastModifiedBy>fzzxcwb</cp:lastModifiedBy>
  <dcterms:modified xsi:type="dcterms:W3CDTF">2019-06-06T08:46:40Z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