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rPr>
          <w:rFonts w:hint="eastAsia" w:cs="Calibri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 w:cs="Calibri"/>
          <w:sz w:val="24"/>
          <w:szCs w:val="24"/>
          <w:lang w:val="en-US" w:eastAsia="zh-CN"/>
        </w:rPr>
        <w:t>附件：</w:t>
      </w:r>
      <w:r>
        <w:rPr>
          <w:rFonts w:hint="default" w:ascii="Calibri" w:hAnsi="Calibri" w:eastAsia="宋体" w:cs="Calibri"/>
          <w:b/>
          <w:bCs/>
          <w:sz w:val="24"/>
          <w:szCs w:val="24"/>
        </w:rPr>
        <w:t>采购需求概况</w:t>
      </w:r>
      <w:r>
        <w:rPr>
          <w:rFonts w:hint="eastAsia" w:cs="Calibri"/>
          <w:b/>
          <w:bCs/>
          <w:sz w:val="24"/>
          <w:szCs w:val="24"/>
          <w:lang w:eastAsia="zh-CN"/>
        </w:rPr>
        <w:t>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cs="Calibri"/>
          <w:sz w:val="24"/>
          <w:szCs w:val="24"/>
          <w:lang w:val="en-US" w:eastAsia="zh-CN"/>
        </w:rPr>
      </w:pPr>
      <w:r>
        <w:rPr>
          <w:rFonts w:hint="default" w:ascii="Calibri" w:hAnsi="Calibri" w:cs="Calibri"/>
        </w:rPr>
        <w:t>12位固相萃取真空装置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</w:rPr>
        <w:t>2</w:t>
      </w:r>
      <w:r>
        <w:rPr>
          <w:rFonts w:hint="default" w:ascii="Calibri" w:hAnsi="Calibri" w:cs="Calibri"/>
          <w:lang w:val="en-US" w:eastAsia="zh-CN"/>
        </w:rPr>
        <w:t>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96孔菌液点样器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A2生物安全柜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X射线多功能检测仪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</w:t>
      </w:r>
      <w:r>
        <w:rPr>
          <w:rFonts w:hint="default" w:ascii="Calibri" w:hAnsi="Calibri" w:cs="Calibri"/>
        </w:rPr>
        <w:t>便携式彩色超声诊断系统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1套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便携式分光光度计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便携式粉尘直读</w:t>
      </w:r>
      <w:r>
        <w:rPr>
          <w:rFonts w:hint="default" w:ascii="Calibri" w:hAnsi="Calibri" w:cs="Calibri"/>
          <w:lang w:val="en-US" w:eastAsia="zh-CN"/>
        </w:rPr>
        <w:t>仪（1台）、</w:t>
      </w:r>
      <w:r>
        <w:rPr>
          <w:rFonts w:hint="default" w:ascii="Calibri" w:hAnsi="Calibri" w:cs="Calibri"/>
        </w:rPr>
        <w:t>标签打印机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3台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冰柜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玻片打号机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超纯水仪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超低温冰箱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13台</w:t>
      </w:r>
      <w:r>
        <w:rPr>
          <w:rFonts w:hint="default" w:ascii="Calibri" w:hAnsi="Calibri" w:cs="Calibri"/>
          <w:lang w:eastAsia="zh-CN"/>
        </w:rPr>
        <w:t>）</w:t>
      </w:r>
      <w:r>
        <w:rPr>
          <w:rFonts w:hint="default" w:ascii="Calibri" w:hAnsi="Calibri" w:cs="Calibri"/>
        </w:rPr>
        <w:t>超高液相色谱轨道离子阱高分辨质谱联用仪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超声骨强度仪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尘埃粒子计数器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吹扫捕集+全二维气相色谱质谱联用仪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纯水仪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大容量高速冷冻离心机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大容量高速制备型离心机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大容量冷冻离心机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大体积超声波清洗仪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带成像系统的倒置显微镜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3台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带成像系统的荧光显微镜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单通道移液器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蛋白免疫印迹检测仪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蛋白研究系统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低温组织研磨仪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电动加样枪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电感耦合等离子体串联质谱仪（ICP-MS/MS）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电子多通道移液器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顶空气相色谱仪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多标记微孔板检测仪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多点矩阵风速仪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多点涡旋振荡器（12位）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多功能辐照器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多功能酶标仪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惰性超高效液相-串联四级杆质谱仪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二代测序仪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二维液相色谱（配阵列二极管和荧光检测器）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二维液相色谱-串联三重四级杆质谱联用仪</w:t>
      </w:r>
      <w:r>
        <w:rPr>
          <w:rFonts w:hint="default" w:ascii="Calibri" w:hAnsi="Calibri" w:cs="Calibri"/>
          <w:lang w:val="en-US" w:eastAsia="zh-CN"/>
        </w:rPr>
        <w:t>（1台）、</w:t>
      </w:r>
      <w:r>
        <w:rPr>
          <w:rFonts w:hint="default" w:ascii="Calibri" w:hAnsi="Calibri" w:cs="Calibri"/>
        </w:rPr>
        <w:t>二氧化碳培养箱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7台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防爆个体大气采样器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10台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防爆个体声暴露计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10台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防腐型水浴氮吹仪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分光光度计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分析天平（万分之一分析天平）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5台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辐射热计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干烤箱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高灵敏化学发光成像系统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高内涵细胞筛选仪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高速离心机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高速研磨仪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高通量净化分离仪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高效液相色谱仪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高压灭菌器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7台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过氧化氢发生器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核酸蛋白定量仪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恒温震荡金属浴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烘箱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积分声级计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基因测序仪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加热制冷两用浴槽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加热制冷两用浴槽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加样枪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教学环境检测组合设备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结核病一体化检测系统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金属浴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菌数比浊仪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</w:t>
      </w:r>
      <w:r>
        <w:rPr>
          <w:rFonts w:hint="default" w:ascii="Calibri" w:hAnsi="Calibri" w:cs="Calibri"/>
        </w:rPr>
        <w:t>空气浮游菌采样器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控温电热板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控温振荡器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控制型试管研磨机（批次式处理研磨机）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快速生化检测仪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冷冻标签打印机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3台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冷柜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立式冰柜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立式高压灭菌锅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流式细胞仪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马弗炉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脉冲场电泳系统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脉动真空灭菌器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慢病大数据分析系统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酶标仪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迷你垂直电泳槽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迷你离心机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免疫组化染色机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普通PCR仪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5台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气相色谱-串联质谱（高性能离子源）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气相色谱-四极杆飞行时间串联质谱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全功能酶标仪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</w:t>
      </w:r>
      <w:r>
        <w:rPr>
          <w:rFonts w:hint="default" w:ascii="Calibri" w:hAnsi="Calibri" w:cs="Calibri"/>
        </w:rPr>
        <w:t>全自动玻片扫描分析系统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全自动电磁感应封口机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全自动电子血压计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全自动固相萃取仪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全自动核酸蛋白分析仪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全自动核酸提取仪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eastAsia" w:cs="Calibri"/>
          <w:lang w:val="en-US" w:eastAsia="zh-CN"/>
        </w:rPr>
        <w:t>5</w:t>
      </w:r>
      <w:r>
        <w:rPr>
          <w:rFonts w:hint="default" w:ascii="Calibri" w:hAnsi="Calibri" w:cs="Calibri"/>
          <w:lang w:val="en-US" w:eastAsia="zh-CN"/>
        </w:rPr>
        <w:t>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全自动建库仪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全自动酶标仪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全自动酶免工作站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全自动热释光测量仪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全自动实时活细胞成像检测系统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全自动微生物快速鉴定系统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全自动微生物生化鉴定仪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全自动油包水微滴制备仪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热球式风速仪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热脱附仪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热指数监测仪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人体成分分析仪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7台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三维景深视频显微镜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生化培养箱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生物安全型高压灭菌锅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生物安全智能转运系统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3台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生物测量仪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十万分之一天平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试剂保存柜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视网膜蓝光危害测量仪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手持式双目视力筛查仪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数字瓶口滴定器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水平冷冻离心机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台式高速离心机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9台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台式离心机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套冒式风量罩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梯度PCR仪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体视显微镜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6台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天平（千分之一和万分之一）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通用电泳仪电源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通用水平电泳槽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微滴式数字PCR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微孔板离心机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微生物采样器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微型离心机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5台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涡旋振荡器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3台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涡旋振荡器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卧式冷冻冰柜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细胞反应器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小动物专用全自动干式生化仪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小型台式离心机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4台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旋转蒸发仪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压力蒸汽灭菌锅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压缩气体采样器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摇床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药品稳定性试验箱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液氮罐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医用冷冻冷藏箱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2台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医用显示器双屏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移液器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10台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移液枪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3台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荧光PCR仪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荧光定量PCR仪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5台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核酸浓度测定仪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在线固相萃取系统串联三重四级杆质谱联用仪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噪声测定仪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掌式瞬时离心机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4台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照度计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制冰机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3台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紫外辐射计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）、</w:t>
      </w:r>
      <w:r>
        <w:rPr>
          <w:rFonts w:hint="default" w:ascii="Calibri" w:hAnsi="Calibri" w:cs="Calibri"/>
        </w:rPr>
        <w:t>自动化高通量液体处理工作站</w:t>
      </w:r>
      <w:r>
        <w:rPr>
          <w:rFonts w:hint="default" w:ascii="Calibri" w:hAnsi="Calibri" w:cs="Calibri"/>
          <w:lang w:eastAsia="zh-CN"/>
        </w:rPr>
        <w:t>（</w:t>
      </w:r>
      <w:r>
        <w:rPr>
          <w:rFonts w:hint="default" w:ascii="Calibri" w:hAnsi="Calibri" w:cs="Calibri"/>
          <w:lang w:val="en-US" w:eastAsia="zh-CN"/>
        </w:rPr>
        <w:t>1台</w:t>
      </w:r>
      <w:r>
        <w:rPr>
          <w:rFonts w:hint="default" w:ascii="Calibri" w:hAnsi="Calibri" w:cs="Calibri"/>
          <w:lang w:eastAsia="zh-CN"/>
        </w:rPr>
        <w:t>）</w:t>
      </w:r>
    </w:p>
    <w:p/>
    <w:sectPr>
      <w:pgSz w:w="11906" w:h="16838"/>
      <w:pgMar w:top="1247" w:right="1247" w:bottom="124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E5D01"/>
    <w:rsid w:val="007C1D44"/>
    <w:rsid w:val="0154194E"/>
    <w:rsid w:val="01AF6454"/>
    <w:rsid w:val="02431D4D"/>
    <w:rsid w:val="027E2511"/>
    <w:rsid w:val="040940C8"/>
    <w:rsid w:val="04F850E7"/>
    <w:rsid w:val="07D911EA"/>
    <w:rsid w:val="08484E9F"/>
    <w:rsid w:val="088B7543"/>
    <w:rsid w:val="08E75BCF"/>
    <w:rsid w:val="098C7867"/>
    <w:rsid w:val="0B1C5E13"/>
    <w:rsid w:val="0C3145E2"/>
    <w:rsid w:val="0DFB6E0F"/>
    <w:rsid w:val="0EBC041B"/>
    <w:rsid w:val="0F4B7EBF"/>
    <w:rsid w:val="0FEB2851"/>
    <w:rsid w:val="0FF9391C"/>
    <w:rsid w:val="168A59B9"/>
    <w:rsid w:val="16A7308D"/>
    <w:rsid w:val="17AD3C72"/>
    <w:rsid w:val="17CE4063"/>
    <w:rsid w:val="18DB370D"/>
    <w:rsid w:val="19D95782"/>
    <w:rsid w:val="19DA1757"/>
    <w:rsid w:val="1B4174FD"/>
    <w:rsid w:val="1D041456"/>
    <w:rsid w:val="1D0B1344"/>
    <w:rsid w:val="1ED331A5"/>
    <w:rsid w:val="1EE85988"/>
    <w:rsid w:val="209F27EA"/>
    <w:rsid w:val="23BE2780"/>
    <w:rsid w:val="26231ED5"/>
    <w:rsid w:val="267B720C"/>
    <w:rsid w:val="26F25E88"/>
    <w:rsid w:val="27025000"/>
    <w:rsid w:val="27D66CEC"/>
    <w:rsid w:val="27DB1E69"/>
    <w:rsid w:val="28206768"/>
    <w:rsid w:val="2C7B0E34"/>
    <w:rsid w:val="2D6B2FB6"/>
    <w:rsid w:val="2DD15793"/>
    <w:rsid w:val="2E967185"/>
    <w:rsid w:val="2EA74230"/>
    <w:rsid w:val="2EAB0678"/>
    <w:rsid w:val="2F7F0F4A"/>
    <w:rsid w:val="32AD78B2"/>
    <w:rsid w:val="34FF1CE7"/>
    <w:rsid w:val="3C454839"/>
    <w:rsid w:val="3D474636"/>
    <w:rsid w:val="3D8838EB"/>
    <w:rsid w:val="3DF14B84"/>
    <w:rsid w:val="3FB96FED"/>
    <w:rsid w:val="415A7759"/>
    <w:rsid w:val="42810B15"/>
    <w:rsid w:val="42BF7BAE"/>
    <w:rsid w:val="46674DDF"/>
    <w:rsid w:val="46ED4282"/>
    <w:rsid w:val="48F81FBD"/>
    <w:rsid w:val="490B1D41"/>
    <w:rsid w:val="4ACA1A10"/>
    <w:rsid w:val="4CC00A28"/>
    <w:rsid w:val="4D83740C"/>
    <w:rsid w:val="4DA221CF"/>
    <w:rsid w:val="4DA40B77"/>
    <w:rsid w:val="4DBF6842"/>
    <w:rsid w:val="4DE475D0"/>
    <w:rsid w:val="4E535F35"/>
    <w:rsid w:val="4F005D2A"/>
    <w:rsid w:val="4F603E36"/>
    <w:rsid w:val="51E43C6A"/>
    <w:rsid w:val="54B979BB"/>
    <w:rsid w:val="54EE769E"/>
    <w:rsid w:val="56D314FA"/>
    <w:rsid w:val="56E8216E"/>
    <w:rsid w:val="57310BE7"/>
    <w:rsid w:val="57903A8E"/>
    <w:rsid w:val="57C36845"/>
    <w:rsid w:val="584A59C0"/>
    <w:rsid w:val="593F195A"/>
    <w:rsid w:val="59561E60"/>
    <w:rsid w:val="59835D56"/>
    <w:rsid w:val="5AE61585"/>
    <w:rsid w:val="5B54205D"/>
    <w:rsid w:val="5B7A7450"/>
    <w:rsid w:val="5C5E1F7C"/>
    <w:rsid w:val="5E154367"/>
    <w:rsid w:val="5E981C09"/>
    <w:rsid w:val="5EBE5D01"/>
    <w:rsid w:val="602626A4"/>
    <w:rsid w:val="609D6B61"/>
    <w:rsid w:val="63C21330"/>
    <w:rsid w:val="645459DF"/>
    <w:rsid w:val="64A87D72"/>
    <w:rsid w:val="65AD086E"/>
    <w:rsid w:val="668B5C5C"/>
    <w:rsid w:val="68EE67EE"/>
    <w:rsid w:val="6A686ADE"/>
    <w:rsid w:val="6B717870"/>
    <w:rsid w:val="6CAD23C0"/>
    <w:rsid w:val="6D3950CD"/>
    <w:rsid w:val="6D7E019D"/>
    <w:rsid w:val="6DD72E08"/>
    <w:rsid w:val="6E535E75"/>
    <w:rsid w:val="6ED071DF"/>
    <w:rsid w:val="6FA25B3A"/>
    <w:rsid w:val="704C5E89"/>
    <w:rsid w:val="72021332"/>
    <w:rsid w:val="762015EA"/>
    <w:rsid w:val="7623356D"/>
    <w:rsid w:val="774D63E5"/>
    <w:rsid w:val="787E17DC"/>
    <w:rsid w:val="78E43884"/>
    <w:rsid w:val="796F57F8"/>
    <w:rsid w:val="7A0710C5"/>
    <w:rsid w:val="7D3B1C7B"/>
    <w:rsid w:val="7E233055"/>
    <w:rsid w:val="7E4B6C3B"/>
    <w:rsid w:val="7EC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adjustRightInd w:val="0"/>
      <w:snapToGrid w:val="0"/>
      <w:spacing w:line="300" w:lineRule="auto"/>
      <w:jc w:val="center"/>
      <w:outlineLvl w:val="0"/>
    </w:pPr>
    <w:rPr>
      <w:rFonts w:ascii="Calibri" w:hAnsi="Calibri" w:eastAsia="华文新魏"/>
      <w:b/>
      <w:bCs/>
      <w:color w:val="000000" w:themeColor="text1"/>
      <w:kern w:val="44"/>
      <w:sz w:val="32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 w:eastAsia="宋体" w:cs="Times New Roman"/>
      <w:b/>
      <w:bCs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widowControl/>
      <w:autoSpaceDE w:val="0"/>
      <w:autoSpaceDN w:val="0"/>
      <w:snapToGrid w:val="0"/>
      <w:spacing w:line="300" w:lineRule="auto"/>
      <w:ind w:firstLine="0" w:firstLineChars="0"/>
      <w:outlineLvl w:val="2"/>
    </w:pPr>
    <w:rPr>
      <w:rFonts w:ascii="Calibri" w:hAnsi="Calibri" w:eastAsia="宋体" w:cs="Times New Roman"/>
      <w:b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napToGrid w:val="0"/>
      <w:spacing w:line="360" w:lineRule="auto"/>
      <w:ind w:left="200" w:leftChars="200"/>
    </w:pPr>
    <w:rPr>
      <w:rFonts w:ascii="Calibri" w:hAnsi="Calibri"/>
    </w:rPr>
  </w:style>
  <w:style w:type="character" w:customStyle="1" w:styleId="8">
    <w:name w:val="标题 2 字符"/>
    <w:link w:val="3"/>
    <w:qFormat/>
    <w:locked/>
    <w:uiPriority w:val="99"/>
    <w:rPr>
      <w:rFonts w:ascii="Arial" w:hAnsi="Arial" w:eastAsia="宋体" w:cs="Times New Roman"/>
      <w:b/>
      <w:bCs/>
      <w:kern w:val="2"/>
      <w:sz w:val="21"/>
      <w:szCs w:val="32"/>
    </w:rPr>
  </w:style>
  <w:style w:type="character" w:customStyle="1" w:styleId="9">
    <w:name w:val="标题 3 Char"/>
    <w:link w:val="4"/>
    <w:qFormat/>
    <w:locked/>
    <w:uiPriority w:val="99"/>
    <w:rPr>
      <w:rFonts w:ascii="Calibri" w:hAnsi="Calibri" w:eastAsia="宋体" w:cs="Times New Roman"/>
      <w:b/>
      <w:kern w:val="2"/>
      <w:sz w:val="21"/>
    </w:rPr>
  </w:style>
  <w:style w:type="character" w:customStyle="1" w:styleId="10">
    <w:name w:val="标题 1 Char"/>
    <w:link w:val="2"/>
    <w:qFormat/>
    <w:uiPriority w:val="0"/>
    <w:rPr>
      <w:rFonts w:ascii="Calibri" w:hAnsi="Calibri" w:eastAsia="华文新魏"/>
      <w:b/>
      <w:bCs/>
      <w:color w:val="000000" w:themeColor="text1"/>
      <w:kern w:val="44"/>
      <w:sz w:val="32"/>
      <w:szCs w:val="44"/>
      <w14:textFill>
        <w14:solidFill>
          <w14:schemeClr w14:val="tx1"/>
        </w14:solidFill>
      </w14:textFill>
    </w:rPr>
  </w:style>
  <w:style w:type="character" w:customStyle="1" w:styleId="11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2022-02-14T02:15:00Z</dcterms:created>
  <dc:creator>水墨山水</dc:creator>
  <cp:lastModifiedBy>水墨山水</cp:lastModifiedBy>
  <dcterms:modified xsi:type="dcterms:W3CDTF">2022-02-14T02:16:19Z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2123D1AD95BD4C52ADC0B7CFFD05377E</vt:lpwstr>
  </property>
</Properties>
</file>