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99596B">
      <w:pPr>
        <w:pStyle w:val="17"/>
        <w:ind w:firstLine="0"/>
        <w:rPr>
          <w:rFonts w:eastAsia="宋体" w:cs="宋体"/>
          <w:color w:val="000000" w:themeColor="text1"/>
          <w:highlight w:val="none"/>
          <w14:textFill>
            <w14:solidFill>
              <w14:schemeClr w14:val="tx1"/>
            </w14:solidFill>
          </w14:textFill>
        </w:rPr>
      </w:pPr>
    </w:p>
    <w:p w14:paraId="7444593D">
      <w:pPr>
        <w:rPr>
          <w:rFonts w:ascii="宋体" w:hAnsi="宋体" w:cs="宋体"/>
          <w:color w:val="000000" w:themeColor="text1"/>
          <w:highlight w:val="none"/>
          <w14:textFill>
            <w14:solidFill>
              <w14:schemeClr w14:val="tx1"/>
            </w14:solidFill>
          </w14:textFill>
        </w:rPr>
      </w:pPr>
    </w:p>
    <w:p w14:paraId="7FF3B01D">
      <w:pPr>
        <w:pStyle w:val="2"/>
        <w:rPr>
          <w:rFonts w:ascii="宋体" w:hAnsi="宋体" w:eastAsia="宋体" w:cs="宋体"/>
          <w:color w:val="000000" w:themeColor="text1"/>
          <w:highlight w:val="none"/>
          <w14:textFill>
            <w14:solidFill>
              <w14:schemeClr w14:val="tx1"/>
            </w14:solidFill>
          </w14:textFill>
        </w:rPr>
      </w:pPr>
    </w:p>
    <w:p w14:paraId="009616DF">
      <w:pPr>
        <w:rPr>
          <w:rFonts w:ascii="宋体" w:hAnsi="宋体" w:cs="宋体"/>
          <w:color w:val="000000" w:themeColor="text1"/>
          <w:highlight w:val="none"/>
          <w14:textFill>
            <w14:solidFill>
              <w14:schemeClr w14:val="tx1"/>
            </w14:solidFill>
          </w14:textFill>
        </w:rPr>
      </w:pPr>
    </w:p>
    <w:p w14:paraId="08D24683">
      <w:pPr>
        <w:autoSpaceDE w:val="0"/>
        <w:autoSpaceDN w:val="0"/>
        <w:spacing w:line="360" w:lineRule="auto"/>
        <w:jc w:val="center"/>
        <w:textAlignment w:val="bottom"/>
        <w:rPr>
          <w:rFonts w:ascii="宋体" w:hAnsi="宋体" w:cs="宋体"/>
          <w:color w:val="000000" w:themeColor="text1"/>
          <w:sz w:val="72"/>
          <w:highlight w:val="none"/>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ascii="宋体" w:hAnsi="宋体" w:cs="宋体"/>
          <w:b/>
          <w:color w:val="000000" w:themeColor="text1"/>
          <w:sz w:val="84"/>
          <w:highlight w:val="none"/>
          <w14:shadow w14:blurRad="50800" w14:dist="38100" w14:dir="2700000" w14:sx="100000" w14:sy="100000" w14:kx="0" w14:ky="0" w14:algn="tl">
            <w14:srgbClr w14:val="000000">
              <w14:alpha w14:val="60000"/>
            </w14:srgbClr>
          </w14:shadow>
          <w14:textFill>
            <w14:solidFill>
              <w14:schemeClr w14:val="tx1"/>
            </w14:solidFill>
          </w14:textFill>
        </w:rPr>
        <w:t>招  标  文  件</w:t>
      </w:r>
    </w:p>
    <w:p w14:paraId="13E9C615">
      <w:pPr>
        <w:pStyle w:val="17"/>
        <w:ind w:firstLine="0"/>
        <w:rPr>
          <w:rFonts w:eastAsia="宋体" w:cs="宋体"/>
          <w:color w:val="000000" w:themeColor="text1"/>
          <w:highlight w:val="none"/>
          <w14:textFill>
            <w14:solidFill>
              <w14:schemeClr w14:val="tx1"/>
            </w14:solidFill>
          </w14:textFill>
        </w:rPr>
      </w:pPr>
    </w:p>
    <w:p w14:paraId="748A9745">
      <w:pPr>
        <w:pStyle w:val="17"/>
        <w:rPr>
          <w:rFonts w:eastAsia="宋体" w:cs="宋体"/>
          <w:color w:val="000000" w:themeColor="text1"/>
          <w:highlight w:val="none"/>
          <w14:textFill>
            <w14:solidFill>
              <w14:schemeClr w14:val="tx1"/>
            </w14:solidFill>
          </w14:textFill>
        </w:rPr>
      </w:pPr>
    </w:p>
    <w:p w14:paraId="08D062D0">
      <w:pPr>
        <w:spacing w:line="360" w:lineRule="auto"/>
        <w:rPr>
          <w:rFonts w:ascii="宋体" w:hAnsi="宋体" w:cs="宋体"/>
          <w:b/>
          <w:color w:val="000000" w:themeColor="text1"/>
          <w:sz w:val="30"/>
          <w:szCs w:val="30"/>
          <w:highlight w:val="none"/>
          <w14:textFill>
            <w14:solidFill>
              <w14:schemeClr w14:val="tx1"/>
            </w14:solidFill>
          </w14:textFill>
        </w:rPr>
      </w:pPr>
    </w:p>
    <w:p w14:paraId="385855DA">
      <w:pPr>
        <w:spacing w:line="360" w:lineRule="auto"/>
        <w:ind w:firstLine="723" w:firstLineChars="200"/>
        <w:rPr>
          <w:rFonts w:hint="default" w:ascii="宋体" w:hAnsi="宋体" w:eastAsia="宋体" w:cs="宋体"/>
          <w:b/>
          <w:color w:val="000000" w:themeColor="text1"/>
          <w:sz w:val="36"/>
          <w:szCs w:val="36"/>
          <w:highlight w:val="none"/>
          <w:lang w:val="en-US" w:eastAsia="zh-CN"/>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采购编号: JY分散公开202</w:t>
      </w:r>
      <w:r>
        <w:rPr>
          <w:rFonts w:hint="eastAsia" w:ascii="宋体" w:hAnsi="宋体" w:cs="宋体"/>
          <w:b/>
          <w:color w:val="000000" w:themeColor="text1"/>
          <w:sz w:val="36"/>
          <w:szCs w:val="36"/>
          <w:highlight w:val="none"/>
          <w:lang w:val="en-US" w:eastAsia="zh-CN"/>
          <w14:textFill>
            <w14:solidFill>
              <w14:schemeClr w14:val="tx1"/>
            </w14:solidFill>
          </w14:textFill>
        </w:rPr>
        <w:t>5</w:t>
      </w:r>
      <w:r>
        <w:rPr>
          <w:rFonts w:hint="eastAsia" w:ascii="宋体" w:hAnsi="宋体" w:cs="宋体"/>
          <w:b/>
          <w:color w:val="000000" w:themeColor="text1"/>
          <w:sz w:val="36"/>
          <w:szCs w:val="36"/>
          <w:highlight w:val="none"/>
          <w14:textFill>
            <w14:solidFill>
              <w14:schemeClr w14:val="tx1"/>
            </w14:solidFill>
          </w14:textFill>
        </w:rPr>
        <w:t>-</w:t>
      </w:r>
      <w:r>
        <w:rPr>
          <w:rFonts w:hint="eastAsia" w:ascii="宋体" w:hAnsi="宋体" w:cs="宋体"/>
          <w:b/>
          <w:color w:val="000000" w:themeColor="text1"/>
          <w:sz w:val="36"/>
          <w:szCs w:val="36"/>
          <w:highlight w:val="none"/>
          <w:lang w:val="en-US" w:eastAsia="zh-CN"/>
          <w14:textFill>
            <w14:solidFill>
              <w14:schemeClr w14:val="tx1"/>
            </w14:solidFill>
          </w14:textFill>
        </w:rPr>
        <w:t xml:space="preserve">18 </w:t>
      </w:r>
    </w:p>
    <w:p w14:paraId="7B6DF993">
      <w:pPr>
        <w:spacing w:line="360" w:lineRule="auto"/>
        <w:jc w:val="center"/>
        <w:rPr>
          <w:rFonts w:ascii="宋体" w:hAnsi="宋体" w:cs="宋体"/>
          <w:b/>
          <w:color w:val="000000" w:themeColor="text1"/>
          <w:sz w:val="36"/>
          <w:szCs w:val="36"/>
          <w:highlight w:val="none"/>
          <w14:textFill>
            <w14:solidFill>
              <w14:schemeClr w14:val="tx1"/>
            </w14:solidFill>
          </w14:textFill>
        </w:rPr>
      </w:pPr>
    </w:p>
    <w:p w14:paraId="653D4340">
      <w:pPr>
        <w:spacing w:line="360" w:lineRule="auto"/>
        <w:ind w:left="2525" w:leftChars="342" w:hanging="1807" w:hangingChars="500"/>
        <w:rPr>
          <w:rFonts w:hint="eastAsia" w:ascii="宋体" w:hAnsi="宋体" w:eastAsia="宋体" w:cs="宋体"/>
          <w:b/>
          <w:color w:val="000000" w:themeColor="text1"/>
          <w:sz w:val="32"/>
          <w:szCs w:val="32"/>
          <w:highlight w:val="none"/>
          <w:lang w:eastAsia="zh-CN"/>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项目名称</w:t>
      </w:r>
      <w:r>
        <w:rPr>
          <w:rFonts w:hint="eastAsia" w:ascii="宋体" w:hAnsi="宋体" w:cs="宋体"/>
          <w:b/>
          <w:color w:val="000000" w:themeColor="text1"/>
          <w:sz w:val="32"/>
          <w:szCs w:val="32"/>
          <w:highlight w:val="none"/>
          <w14:textFill>
            <w14:solidFill>
              <w14:schemeClr w14:val="tx1"/>
            </w14:solidFill>
          </w14:textFill>
        </w:rPr>
        <w:t>:</w:t>
      </w:r>
      <w:r>
        <w:rPr>
          <w:rFonts w:hint="eastAsia" w:ascii="宋体" w:hAnsi="宋体" w:cs="宋体"/>
          <w:b/>
          <w:color w:val="000000" w:themeColor="text1"/>
          <w:sz w:val="36"/>
          <w:szCs w:val="36"/>
          <w:highlight w:val="none"/>
          <w:lang w:eastAsia="zh-CN"/>
          <w14:textFill>
            <w14:solidFill>
              <w14:schemeClr w14:val="tx1"/>
            </w14:solidFill>
          </w14:textFill>
        </w:rPr>
        <w:t>缙云县教育局（缙云县五云学校）专用教室和功能室采购项目  </w:t>
      </w:r>
    </w:p>
    <w:p w14:paraId="263FAB7E">
      <w:pPr>
        <w:spacing w:line="360" w:lineRule="auto"/>
        <w:ind w:firstLine="723" w:firstLineChars="200"/>
        <w:rPr>
          <w:rFonts w:ascii="宋体" w:hAnsi="宋体" w:cs="宋体"/>
          <w:b/>
          <w:color w:val="000000" w:themeColor="text1"/>
          <w:sz w:val="36"/>
          <w:szCs w:val="36"/>
          <w:highlight w:val="none"/>
          <w14:textFill>
            <w14:solidFill>
              <w14:schemeClr w14:val="tx1"/>
            </w14:solidFill>
          </w14:textFill>
        </w:rPr>
      </w:pPr>
    </w:p>
    <w:p w14:paraId="2231D16A">
      <w:pPr>
        <w:spacing w:line="360" w:lineRule="auto"/>
        <w:ind w:firstLine="723" w:firstLineChars="200"/>
        <w:rPr>
          <w:rFonts w:hint="eastAsia" w:ascii="宋体" w:hAnsi="宋体" w:eastAsia="宋体" w:cs="宋体"/>
          <w:b/>
          <w:color w:val="000000" w:themeColor="text1"/>
          <w:spacing w:val="-20"/>
          <w:sz w:val="36"/>
          <w:szCs w:val="36"/>
          <w:highlight w:val="none"/>
          <w:lang w:eastAsia="zh-CN"/>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 xml:space="preserve">采 购 人: </w:t>
      </w:r>
      <w:r>
        <w:rPr>
          <w:rFonts w:hint="eastAsia" w:ascii="宋体" w:hAnsi="宋体" w:cs="宋体"/>
          <w:b/>
          <w:color w:val="000000" w:themeColor="text1"/>
          <w:spacing w:val="-20"/>
          <w:sz w:val="36"/>
          <w:szCs w:val="36"/>
          <w:highlight w:val="none"/>
          <w:lang w:eastAsia="zh-CN"/>
          <w14:textFill>
            <w14:solidFill>
              <w14:schemeClr w14:val="tx1"/>
            </w14:solidFill>
          </w14:textFill>
        </w:rPr>
        <w:t>缙云县教育局</w:t>
      </w:r>
    </w:p>
    <w:p w14:paraId="6E4B4CDA">
      <w:pPr>
        <w:spacing w:line="360" w:lineRule="auto"/>
        <w:jc w:val="center"/>
        <w:rPr>
          <w:rFonts w:ascii="宋体" w:hAnsi="宋体" w:cs="宋体"/>
          <w:b/>
          <w:color w:val="000000" w:themeColor="text1"/>
          <w:sz w:val="36"/>
          <w:szCs w:val="36"/>
          <w:highlight w:val="none"/>
          <w14:textFill>
            <w14:solidFill>
              <w14:schemeClr w14:val="tx1"/>
            </w14:solidFill>
          </w14:textFill>
        </w:rPr>
      </w:pPr>
    </w:p>
    <w:p w14:paraId="770B9080">
      <w:pPr>
        <w:spacing w:line="360" w:lineRule="auto"/>
        <w:ind w:firstLine="723" w:firstLineChars="200"/>
        <w:rPr>
          <w:rFonts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采购代理机构:浙江大兴建设项目管理咨询有限公司</w:t>
      </w:r>
    </w:p>
    <w:p w14:paraId="42FE8925">
      <w:pPr>
        <w:spacing w:line="360" w:lineRule="auto"/>
        <w:jc w:val="center"/>
        <w:rPr>
          <w:rFonts w:ascii="宋体" w:hAnsi="宋体" w:cs="宋体"/>
          <w:b/>
          <w:color w:val="000000" w:themeColor="text1"/>
          <w:sz w:val="36"/>
          <w:szCs w:val="36"/>
          <w:highlight w:val="none"/>
          <w14:textFill>
            <w14:solidFill>
              <w14:schemeClr w14:val="tx1"/>
            </w14:solidFill>
          </w14:textFill>
        </w:rPr>
      </w:pPr>
    </w:p>
    <w:p w14:paraId="60F91FC0">
      <w:pPr>
        <w:spacing w:line="360" w:lineRule="auto"/>
        <w:jc w:val="center"/>
        <w:rPr>
          <w:rFonts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202</w:t>
      </w:r>
      <w:r>
        <w:rPr>
          <w:rFonts w:hint="eastAsia" w:ascii="宋体" w:hAnsi="宋体" w:cs="宋体"/>
          <w:b/>
          <w:color w:val="000000" w:themeColor="text1"/>
          <w:sz w:val="36"/>
          <w:szCs w:val="36"/>
          <w:highlight w:val="none"/>
          <w:lang w:val="en-US" w:eastAsia="zh-CN"/>
          <w14:textFill>
            <w14:solidFill>
              <w14:schemeClr w14:val="tx1"/>
            </w14:solidFill>
          </w14:textFill>
        </w:rPr>
        <w:t>5</w:t>
      </w:r>
      <w:r>
        <w:rPr>
          <w:rFonts w:hint="eastAsia" w:ascii="宋体" w:hAnsi="宋体" w:cs="宋体"/>
          <w:b/>
          <w:color w:val="000000" w:themeColor="text1"/>
          <w:sz w:val="36"/>
          <w:szCs w:val="36"/>
          <w:highlight w:val="none"/>
          <w14:textFill>
            <w14:solidFill>
              <w14:schemeClr w14:val="tx1"/>
            </w14:solidFill>
          </w14:textFill>
        </w:rPr>
        <w:t>年</w:t>
      </w:r>
      <w:r>
        <w:rPr>
          <w:rFonts w:hint="eastAsia" w:ascii="宋体" w:hAnsi="宋体" w:cs="宋体"/>
          <w:b/>
          <w:color w:val="000000" w:themeColor="text1"/>
          <w:sz w:val="36"/>
          <w:szCs w:val="36"/>
          <w:highlight w:val="none"/>
          <w:lang w:val="en-US" w:eastAsia="zh-CN"/>
          <w14:textFill>
            <w14:solidFill>
              <w14:schemeClr w14:val="tx1"/>
            </w14:solidFill>
          </w14:textFill>
        </w:rPr>
        <w:t>6</w:t>
      </w:r>
      <w:r>
        <w:rPr>
          <w:rFonts w:hint="eastAsia" w:ascii="宋体" w:hAnsi="宋体" w:cs="宋体"/>
          <w:b/>
          <w:color w:val="000000" w:themeColor="text1"/>
          <w:sz w:val="36"/>
          <w:szCs w:val="36"/>
          <w:highlight w:val="none"/>
          <w14:textFill>
            <w14:solidFill>
              <w14:schemeClr w14:val="tx1"/>
            </w14:solidFill>
          </w14:textFill>
        </w:rPr>
        <w:t>月</w:t>
      </w:r>
    </w:p>
    <w:p w14:paraId="33EFD261">
      <w:pPr>
        <w:pStyle w:val="17"/>
        <w:rPr>
          <w:rFonts w:eastAsia="宋体" w:cs="宋体"/>
          <w:color w:val="000000" w:themeColor="text1"/>
          <w:highlight w:val="none"/>
          <w14:textFill>
            <w14:solidFill>
              <w14:schemeClr w14:val="tx1"/>
            </w14:solidFill>
          </w14:textFill>
        </w:rPr>
        <w:sectPr>
          <w:headerReference r:id="rId5" w:type="default"/>
          <w:footerReference r:id="rId6" w:type="default"/>
          <w:pgSz w:w="11906" w:h="16838"/>
          <w:pgMar w:top="1440" w:right="1080" w:bottom="1440" w:left="1080" w:header="851" w:footer="631" w:gutter="0"/>
          <w:cols w:space="720" w:num="1"/>
          <w:docGrid w:linePitch="312" w:charSpace="0"/>
        </w:sectPr>
      </w:pPr>
    </w:p>
    <w:p w14:paraId="421F56DE">
      <w:pPr>
        <w:rPr>
          <w:rFonts w:ascii="宋体" w:hAnsi="宋体" w:cs="宋体"/>
          <w:color w:val="000000" w:themeColor="text1"/>
          <w:highlight w:val="none"/>
          <w14:textFill>
            <w14:solidFill>
              <w14:schemeClr w14:val="tx1"/>
            </w14:solidFill>
          </w14:textFill>
        </w:rPr>
      </w:pPr>
    </w:p>
    <w:sdt>
      <w:sdtPr>
        <w:rPr>
          <w:rFonts w:hint="eastAsia" w:ascii="宋体" w:hAnsi="宋体" w:cs="宋体"/>
          <w:color w:val="000000" w:themeColor="text1"/>
          <w:highlight w:val="none"/>
          <w14:textFill>
            <w14:solidFill>
              <w14:schemeClr w14:val="tx1"/>
            </w14:solidFill>
          </w14:textFill>
        </w:rPr>
        <w:id w:val="147464508"/>
        <w15:color w:val="DBDBDB"/>
        <w:docPartObj>
          <w:docPartGallery w:val="Table of Contents"/>
          <w:docPartUnique/>
        </w:docPartObj>
      </w:sdtPr>
      <w:sdtEndPr>
        <w:rPr>
          <w:rFonts w:hint="eastAsia" w:ascii="宋体" w:hAnsi="宋体" w:cs="宋体"/>
          <w:color w:val="0000FF"/>
          <w:sz w:val="22"/>
          <w:szCs w:val="28"/>
          <w:highlight w:val="none"/>
        </w:rPr>
      </w:sdtEndPr>
      <w:sdtContent>
        <w:p w14:paraId="18F90BEC">
          <w:pPr>
            <w:jc w:val="center"/>
            <w:rPr>
              <w:rFonts w:ascii="宋体" w:hAnsi="宋体" w:cs="宋体"/>
              <w:color w:val="000000" w:themeColor="text1"/>
              <w:sz w:val="40"/>
              <w:szCs w:val="48"/>
              <w:highlight w:val="none"/>
              <w14:textFill>
                <w14:solidFill>
                  <w14:schemeClr w14:val="tx1"/>
                </w14:solidFill>
              </w14:textFill>
            </w:rPr>
          </w:pPr>
          <w:bookmarkStart w:id="0" w:name="_Toc3568_WPSOffice_Level1"/>
          <w:r>
            <w:rPr>
              <w:rFonts w:hint="eastAsia" w:ascii="宋体" w:hAnsi="宋体" w:cs="宋体"/>
              <w:color w:val="000000" w:themeColor="text1"/>
              <w:sz w:val="40"/>
              <w:szCs w:val="48"/>
              <w:highlight w:val="none"/>
              <w14:textFill>
                <w14:solidFill>
                  <w14:schemeClr w14:val="tx1"/>
                </w14:solidFill>
              </w14:textFill>
            </w:rPr>
            <w:t>目 录</w:t>
          </w:r>
        </w:p>
        <w:p w14:paraId="5DDAF324">
          <w:pPr>
            <w:pStyle w:val="17"/>
            <w:tabs>
              <w:tab w:val="right" w:leader="dot" w:pos="9026"/>
              <w:tab w:val="clear" w:pos="1470"/>
              <w:tab w:val="clear" w:pos="9016"/>
            </w:tabs>
            <w:spacing w:line="480" w:lineRule="auto"/>
            <w:rPr>
              <w:rFonts w:eastAsia="宋体" w:cs="宋体"/>
              <w:b w:val="0"/>
              <w:bCs/>
              <w:color w:val="000000" w:themeColor="text1"/>
              <w:sz w:val="22"/>
              <w:szCs w:val="22"/>
              <w:highlight w:val="none"/>
              <w14:textFill>
                <w14:solidFill>
                  <w14:schemeClr w14:val="tx1"/>
                </w14:solidFill>
              </w14:textFill>
            </w:rPr>
          </w:pPr>
        </w:p>
        <w:p w14:paraId="290C5CD7">
          <w:pPr>
            <w:pStyle w:val="17"/>
            <w:tabs>
              <w:tab w:val="right" w:leader="dot" w:pos="9026"/>
              <w:tab w:val="clear" w:pos="1470"/>
              <w:tab w:val="clear" w:pos="9016"/>
            </w:tabs>
            <w:spacing w:line="480" w:lineRule="auto"/>
            <w:rPr>
              <w:rFonts w:eastAsia="宋体" w:cs="宋体"/>
              <w:b w:val="0"/>
              <w:bCs/>
              <w:color w:val="000000" w:themeColor="text1"/>
              <w:sz w:val="22"/>
              <w:szCs w:val="22"/>
              <w:highlight w:val="none"/>
              <w14:textFill>
                <w14:solidFill>
                  <w14:schemeClr w14:val="tx1"/>
                </w14:solidFill>
              </w14:textFill>
            </w:rPr>
          </w:pPr>
        </w:p>
        <w:p w14:paraId="3F1C6935">
          <w:pPr>
            <w:pStyle w:val="17"/>
            <w:tabs>
              <w:tab w:val="right" w:leader="dot" w:pos="9026"/>
              <w:tab w:val="clear" w:pos="1470"/>
              <w:tab w:val="clear" w:pos="9016"/>
            </w:tabs>
            <w:spacing w:line="480" w:lineRule="auto"/>
            <w:rPr>
              <w:rFonts w:eastAsia="宋体" w:cs="宋体"/>
              <w:b w:val="0"/>
              <w:bCs/>
              <w:color w:val="000000" w:themeColor="text1"/>
              <w:sz w:val="24"/>
              <w:szCs w:val="24"/>
              <w:highlight w:val="none"/>
              <w14:textFill>
                <w14:solidFill>
                  <w14:schemeClr w14:val="tx1"/>
                </w14:solidFill>
              </w14:textFill>
            </w:rPr>
          </w:pPr>
          <w:r>
            <w:rPr>
              <w:rFonts w:hint="eastAsia" w:eastAsia="宋体" w:cs="宋体"/>
              <w:b w:val="0"/>
              <w:bCs/>
              <w:color w:val="000000" w:themeColor="text1"/>
              <w:sz w:val="22"/>
              <w:szCs w:val="22"/>
              <w:highlight w:val="none"/>
              <w14:textFill>
                <w14:solidFill>
                  <w14:schemeClr w14:val="tx1"/>
                </w14:solidFill>
              </w14:textFill>
            </w:rPr>
            <w:fldChar w:fldCharType="begin"/>
          </w:r>
          <w:r>
            <w:rPr>
              <w:rFonts w:hint="eastAsia" w:eastAsia="宋体" w:cs="宋体"/>
              <w:b w:val="0"/>
              <w:bCs/>
              <w:color w:val="000000" w:themeColor="text1"/>
              <w:sz w:val="22"/>
              <w:szCs w:val="22"/>
              <w:highlight w:val="none"/>
              <w14:textFill>
                <w14:solidFill>
                  <w14:schemeClr w14:val="tx1"/>
                </w14:solidFill>
              </w14:textFill>
            </w:rPr>
            <w:instrText xml:space="preserve">TOC \o "1-1" \h \u </w:instrText>
          </w:r>
          <w:r>
            <w:rPr>
              <w:rFonts w:hint="eastAsia" w:eastAsia="宋体" w:cs="宋体"/>
              <w:b w:val="0"/>
              <w:bCs/>
              <w:color w:val="000000" w:themeColor="text1"/>
              <w:sz w:val="22"/>
              <w:szCs w:val="22"/>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"_Toc30115"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第一章  公开招标公告</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14:textFill>
                <w14:solidFill>
                  <w14:schemeClr w14:val="tx1"/>
                </w14:solidFill>
              </w14:textFill>
            </w:rPr>
            <w:t>2</w:t>
          </w:r>
          <w:r>
            <w:rPr>
              <w:rFonts w:hint="eastAsia" w:eastAsia="宋体" w:cs="宋体"/>
              <w:b w:val="0"/>
              <w:bCs/>
              <w:color w:val="000000" w:themeColor="text1"/>
              <w:sz w:val="24"/>
              <w:szCs w:val="24"/>
              <w:highlight w:val="none"/>
              <w14:textFill>
                <w14:solidFill>
                  <w14:schemeClr w14:val="tx1"/>
                </w14:solidFill>
              </w14:textFill>
            </w:rPr>
            <w:fldChar w:fldCharType="end"/>
          </w:r>
        </w:p>
        <w:p w14:paraId="5A753AAE">
          <w:pPr>
            <w:pStyle w:val="17"/>
            <w:tabs>
              <w:tab w:val="right" w:leader="dot" w:pos="9026"/>
              <w:tab w:val="clear" w:pos="1470"/>
              <w:tab w:val="clear" w:pos="9016"/>
            </w:tabs>
            <w:spacing w:line="480" w:lineRule="auto"/>
            <w:rPr>
              <w:rFonts w:eastAsia="宋体" w:cs="宋体"/>
              <w:b w:val="0"/>
              <w:bCs/>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"_Toc32158"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第二章  投标人须知</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lang w:val="en-US" w:eastAsia="zh-CN"/>
              <w14:textFill>
                <w14:solidFill>
                  <w14:schemeClr w14:val="tx1"/>
                </w14:solidFill>
              </w14:textFill>
            </w:rPr>
            <w:t>6</w:t>
          </w:r>
          <w:r>
            <w:rPr>
              <w:rFonts w:hint="eastAsia" w:eastAsia="宋体" w:cs="宋体"/>
              <w:b w:val="0"/>
              <w:bCs/>
              <w:color w:val="000000" w:themeColor="text1"/>
              <w:sz w:val="24"/>
              <w:szCs w:val="24"/>
              <w:highlight w:val="none"/>
              <w14:textFill>
                <w14:solidFill>
                  <w14:schemeClr w14:val="tx1"/>
                </w14:solidFill>
              </w14:textFill>
            </w:rPr>
            <w:fldChar w:fldCharType="end"/>
          </w:r>
        </w:p>
        <w:p w14:paraId="7C3AC4FC">
          <w:pPr>
            <w:pStyle w:val="17"/>
            <w:tabs>
              <w:tab w:val="right" w:leader="dot" w:pos="9026"/>
              <w:tab w:val="clear" w:pos="1470"/>
              <w:tab w:val="clear" w:pos="9016"/>
            </w:tabs>
            <w:spacing w:line="480" w:lineRule="auto"/>
            <w:rPr>
              <w:rFonts w:hint="eastAsia" w:eastAsia="宋体" w:cs="宋体"/>
              <w:b w:val="0"/>
              <w:bCs/>
              <w:color w:val="000000" w:themeColor="text1"/>
              <w:sz w:val="24"/>
              <w:szCs w:val="24"/>
              <w:highlight w:val="none"/>
              <w:lang w:val="en-US" w:eastAsia="zh-CN"/>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"_Toc3459"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第三章  采购需求</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14:textFill>
                <w14:solidFill>
                  <w14:schemeClr w14:val="tx1"/>
                </w14:solidFill>
              </w14:textFill>
            </w:rPr>
            <w:fldChar w:fldCharType="end"/>
          </w:r>
          <w:r>
            <w:rPr>
              <w:rFonts w:hint="eastAsia" w:eastAsia="宋体" w:cs="宋体"/>
              <w:b w:val="0"/>
              <w:bCs/>
              <w:color w:val="000000" w:themeColor="text1"/>
              <w:sz w:val="24"/>
              <w:szCs w:val="24"/>
              <w:highlight w:val="none"/>
              <w:lang w:val="en-US" w:eastAsia="zh-CN"/>
              <w14:textFill>
                <w14:solidFill>
                  <w14:schemeClr w14:val="tx1"/>
                </w14:solidFill>
              </w14:textFill>
            </w:rPr>
            <w:t>23</w:t>
          </w:r>
        </w:p>
        <w:p w14:paraId="11FE4A53">
          <w:pPr>
            <w:pStyle w:val="17"/>
            <w:tabs>
              <w:tab w:val="right" w:leader="dot" w:pos="9026"/>
              <w:tab w:val="clear" w:pos="1470"/>
              <w:tab w:val="clear" w:pos="9016"/>
            </w:tabs>
            <w:spacing w:line="480" w:lineRule="auto"/>
            <w:rPr>
              <w:rFonts w:hint="eastAsia" w:eastAsia="宋体" w:cs="宋体"/>
              <w:b w:val="0"/>
              <w:bCs/>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"_Toc1223"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第四章　采购合同</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lang w:val="en-US" w:eastAsia="zh-CN"/>
              <w14:textFill>
                <w14:solidFill>
                  <w14:schemeClr w14:val="tx1"/>
                </w14:solidFill>
              </w14:textFill>
            </w:rPr>
            <w:t>3</w:t>
          </w:r>
          <w:r>
            <w:rPr>
              <w:rFonts w:hint="eastAsia" w:eastAsia="宋体" w:cs="宋体"/>
              <w:b w:val="0"/>
              <w:bCs/>
              <w:color w:val="000000" w:themeColor="text1"/>
              <w:sz w:val="24"/>
              <w:szCs w:val="24"/>
              <w:highlight w:val="none"/>
              <w14:textFill>
                <w14:solidFill>
                  <w14:schemeClr w14:val="tx1"/>
                </w14:solidFill>
              </w14:textFill>
            </w:rPr>
            <w:fldChar w:fldCharType="end"/>
          </w:r>
          <w:r>
            <w:rPr>
              <w:rFonts w:hint="eastAsia" w:eastAsia="宋体" w:cs="宋体"/>
              <w:b w:val="0"/>
              <w:bCs/>
              <w:color w:val="000000" w:themeColor="text1"/>
              <w:sz w:val="24"/>
              <w:szCs w:val="24"/>
              <w:highlight w:val="none"/>
              <w:lang w:val="en-US" w:eastAsia="zh-CN"/>
              <w14:textFill>
                <w14:solidFill>
                  <w14:schemeClr w14:val="tx1"/>
                </w14:solidFill>
              </w14:textFill>
            </w:rPr>
            <w:t>2</w:t>
          </w:r>
        </w:p>
        <w:p w14:paraId="7DAD38C1">
          <w:pPr>
            <w:pStyle w:val="17"/>
            <w:tabs>
              <w:tab w:val="right" w:leader="dot" w:pos="9026"/>
              <w:tab w:val="clear" w:pos="1470"/>
              <w:tab w:val="clear" w:pos="9016"/>
            </w:tabs>
            <w:spacing w:line="480" w:lineRule="auto"/>
            <w:rPr>
              <w:rFonts w:hint="eastAsia" w:eastAsia="宋体" w:cs="宋体"/>
              <w:b w:val="0"/>
              <w:bCs/>
              <w:color w:val="000000" w:themeColor="text1"/>
              <w:sz w:val="22"/>
              <w:szCs w:val="22"/>
              <w:highlight w:val="none"/>
              <w:lang w:eastAsia="zh-CN"/>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"_Toc3798"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第五章　投标相关文件格式</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lang w:val="en-US" w:eastAsia="zh-CN"/>
              <w14:textFill>
                <w14:solidFill>
                  <w14:schemeClr w14:val="tx1"/>
                </w14:solidFill>
              </w14:textFill>
            </w:rPr>
            <w:t>3</w:t>
          </w:r>
          <w:r>
            <w:rPr>
              <w:rFonts w:hint="eastAsia" w:eastAsia="宋体" w:cs="宋体"/>
              <w:b w:val="0"/>
              <w:bCs/>
              <w:color w:val="000000" w:themeColor="text1"/>
              <w:sz w:val="24"/>
              <w:szCs w:val="24"/>
              <w:highlight w:val="none"/>
              <w14:textFill>
                <w14:solidFill>
                  <w14:schemeClr w14:val="tx1"/>
                </w14:solidFill>
              </w14:textFill>
            </w:rPr>
            <w:fldChar w:fldCharType="end"/>
          </w:r>
          <w:r>
            <w:rPr>
              <w:rFonts w:hint="eastAsia" w:eastAsia="宋体" w:cs="宋体"/>
              <w:b w:val="0"/>
              <w:bCs/>
              <w:color w:val="000000" w:themeColor="text1"/>
              <w:sz w:val="24"/>
              <w:szCs w:val="24"/>
              <w:highlight w:val="none"/>
              <w:lang w:val="en-US" w:eastAsia="zh-CN"/>
              <w14:textFill>
                <w14:solidFill>
                  <w14:schemeClr w14:val="tx1"/>
                </w14:solidFill>
              </w14:textFill>
            </w:rPr>
            <w:t>8</w:t>
          </w:r>
        </w:p>
        <w:p w14:paraId="1E7FB124">
          <w:pPr>
            <w:pStyle w:val="17"/>
            <w:tabs>
              <w:tab w:val="right" w:leader="dot" w:pos="9026"/>
              <w:tab w:val="clear" w:pos="1470"/>
              <w:tab w:val="clear" w:pos="9016"/>
            </w:tabs>
            <w:spacing w:line="480" w:lineRule="auto"/>
            <w:rPr>
              <w:rFonts w:hint="eastAsia" w:eastAsia="宋体" w:cs="宋体"/>
              <w:b w:val="0"/>
              <w:bCs/>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"_Toc13063" </w:instrText>
          </w:r>
          <w:r>
            <w:rPr>
              <w:color w:val="000000" w:themeColor="text1"/>
              <w:highlight w:val="none"/>
              <w14:textFill>
                <w14:solidFill>
                  <w14:schemeClr w14:val="tx1"/>
                </w14:solidFill>
              </w14:textFill>
            </w:rPr>
            <w:fldChar w:fldCharType="separate"/>
          </w:r>
          <w:r>
            <w:rPr>
              <w:rFonts w:hint="eastAsia" w:eastAsia="宋体" w:cs="宋体"/>
              <w:b w:val="0"/>
              <w:bCs/>
              <w:color w:val="000000" w:themeColor="text1"/>
              <w:sz w:val="24"/>
              <w:szCs w:val="24"/>
              <w:highlight w:val="none"/>
              <w14:textFill>
                <w14:solidFill>
                  <w14:schemeClr w14:val="tx1"/>
                </w14:solidFill>
              </w14:textFill>
            </w:rPr>
            <w:t>第六章  评标办法和细则</w:t>
          </w:r>
          <w:r>
            <w:rPr>
              <w:rFonts w:hint="eastAsia" w:eastAsia="宋体" w:cs="宋体"/>
              <w:b w:val="0"/>
              <w:bCs/>
              <w:color w:val="000000" w:themeColor="text1"/>
              <w:sz w:val="24"/>
              <w:szCs w:val="24"/>
              <w:highlight w:val="none"/>
              <w14:textFill>
                <w14:solidFill>
                  <w14:schemeClr w14:val="tx1"/>
                </w14:solidFill>
              </w14:textFill>
            </w:rPr>
            <w:tab/>
          </w:r>
          <w:r>
            <w:rPr>
              <w:rFonts w:hint="eastAsia" w:eastAsia="宋体" w:cs="宋体"/>
              <w:b w:val="0"/>
              <w:bCs/>
              <w:color w:val="000000" w:themeColor="text1"/>
              <w:sz w:val="24"/>
              <w:szCs w:val="24"/>
              <w:highlight w:val="none"/>
              <w:lang w:val="en-US" w:eastAsia="zh-CN"/>
              <w14:textFill>
                <w14:solidFill>
                  <w14:schemeClr w14:val="tx1"/>
                </w14:solidFill>
              </w14:textFill>
            </w:rPr>
            <w:t>6</w:t>
          </w:r>
          <w:r>
            <w:rPr>
              <w:rFonts w:hint="eastAsia" w:eastAsia="宋体" w:cs="宋体"/>
              <w:b w:val="0"/>
              <w:bCs/>
              <w:color w:val="000000" w:themeColor="text1"/>
              <w:sz w:val="24"/>
              <w:szCs w:val="24"/>
              <w:highlight w:val="none"/>
              <w14:textFill>
                <w14:solidFill>
                  <w14:schemeClr w14:val="tx1"/>
                </w14:solidFill>
              </w14:textFill>
            </w:rPr>
            <w:fldChar w:fldCharType="end"/>
          </w:r>
          <w:r>
            <w:rPr>
              <w:rFonts w:hint="eastAsia" w:eastAsia="宋体" w:cs="宋体"/>
              <w:b w:val="0"/>
              <w:bCs/>
              <w:color w:val="000000" w:themeColor="text1"/>
              <w:sz w:val="24"/>
              <w:szCs w:val="24"/>
              <w:highlight w:val="none"/>
              <w:lang w:val="en-US" w:eastAsia="zh-CN"/>
              <w14:textFill>
                <w14:solidFill>
                  <w14:schemeClr w14:val="tx1"/>
                </w14:solidFill>
              </w14:textFill>
            </w:rPr>
            <w:t>1</w:t>
          </w:r>
        </w:p>
        <w:p w14:paraId="277DDC66">
          <w:pPr>
            <w:spacing w:line="480" w:lineRule="auto"/>
            <w:rPr>
              <w:rFonts w:ascii="宋体" w:hAnsi="宋体" w:cs="宋体"/>
              <w:color w:val="0000FF"/>
              <w:sz w:val="22"/>
              <w:szCs w:val="28"/>
              <w:highlight w:val="none"/>
            </w:rPr>
          </w:pPr>
          <w:r>
            <w:rPr>
              <w:rFonts w:hint="eastAsia" w:ascii="宋体" w:hAnsi="宋体" w:cs="宋体"/>
              <w:bCs/>
              <w:color w:val="000000" w:themeColor="text1"/>
              <w:sz w:val="22"/>
              <w:szCs w:val="22"/>
              <w:highlight w:val="none"/>
              <w14:textFill>
                <w14:solidFill>
                  <w14:schemeClr w14:val="tx1"/>
                </w14:solidFill>
              </w14:textFill>
            </w:rPr>
            <w:fldChar w:fldCharType="end"/>
          </w:r>
        </w:p>
      </w:sdtContent>
    </w:sdt>
    <w:p w14:paraId="20728209">
      <w:pPr>
        <w:spacing w:line="360" w:lineRule="auto"/>
        <w:jc w:val="center"/>
        <w:outlineLvl w:val="0"/>
        <w:rPr>
          <w:rFonts w:ascii="宋体" w:hAnsi="宋体" w:cs="宋体"/>
          <w:b/>
          <w:color w:val="0000FF"/>
          <w:sz w:val="36"/>
          <w:szCs w:val="36"/>
          <w:highlight w:val="none"/>
        </w:rPr>
        <w:sectPr>
          <w:footerReference r:id="rId7" w:type="default"/>
          <w:pgSz w:w="11906" w:h="16838"/>
          <w:pgMar w:top="1276" w:right="1418" w:bottom="1247" w:left="1418" w:header="851" w:footer="992" w:gutter="0"/>
          <w:pgNumType w:fmt="decimal" w:start="1"/>
          <w:cols w:space="720" w:num="1"/>
          <w:docGrid w:linePitch="312" w:charSpace="0"/>
        </w:sectPr>
      </w:pPr>
      <w:bookmarkStart w:id="1" w:name="_Toc30115"/>
    </w:p>
    <w:p w14:paraId="17ABB039">
      <w:pPr>
        <w:spacing w:line="360" w:lineRule="auto"/>
        <w:jc w:val="center"/>
        <w:outlineLvl w:val="0"/>
        <w:rPr>
          <w:rFonts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第一章  公开招标公告</w:t>
      </w:r>
      <w:bookmarkEnd w:id="0"/>
      <w:bookmarkEnd w:id="1"/>
    </w:p>
    <w:p w14:paraId="0E089203">
      <w:pPr>
        <w:pBdr>
          <w:top w:val="single" w:color="auto" w:sz="4" w:space="1"/>
          <w:left w:val="single" w:color="auto" w:sz="4" w:space="4"/>
          <w:bottom w:val="single" w:color="auto" w:sz="4" w:space="1"/>
          <w:right w:val="single" w:color="auto" w:sz="4" w:space="2"/>
        </w:pBdr>
        <w:spacing w:line="360" w:lineRule="auto"/>
        <w:rPr>
          <w:rFonts w:ascii="宋体" w:hAnsi="宋体" w:cs="宋体"/>
          <w:color w:val="000000" w:themeColor="text1"/>
          <w:sz w:val="24"/>
          <w:szCs w:val="24"/>
          <w:highlight w:val="none"/>
          <w14:textFill>
            <w14:solidFill>
              <w14:schemeClr w14:val="tx1"/>
            </w14:solidFill>
          </w14:textFill>
        </w:rPr>
      </w:pPr>
      <w:bookmarkStart w:id="2" w:name="_Toc28359002"/>
      <w:bookmarkStart w:id="3" w:name="_Toc35393790"/>
      <w:bookmarkStart w:id="4" w:name="_Toc28359079"/>
      <w:bookmarkStart w:id="5" w:name="_Toc35393621"/>
      <w:bookmarkStart w:id="6" w:name="_Hlk24379207"/>
      <w:bookmarkStart w:id="7" w:name="EBf1e27c6183244f4a8f3fc355defd653e"/>
      <w:bookmarkStart w:id="8" w:name="OLE_LINK4"/>
      <w:r>
        <w:rPr>
          <w:rFonts w:hint="eastAsia" w:ascii="宋体" w:hAnsi="宋体" w:cs="宋体"/>
          <w:color w:val="000000" w:themeColor="text1"/>
          <w:sz w:val="24"/>
          <w:szCs w:val="24"/>
          <w:highlight w:val="none"/>
          <w14:textFill>
            <w14:solidFill>
              <w14:schemeClr w14:val="tx1"/>
            </w14:solidFill>
          </w14:textFill>
        </w:rPr>
        <w:t>项目概况：</w:t>
      </w:r>
    </w:p>
    <w:p w14:paraId="5276F195">
      <w:pPr>
        <w:keepNext w:val="0"/>
        <w:keepLines w:val="0"/>
        <w:pageBreakBefore w:val="0"/>
        <w:widowControl w:val="0"/>
        <w:pBdr>
          <w:top w:val="single" w:color="auto" w:sz="4" w:space="1"/>
          <w:left w:val="single" w:color="auto" w:sz="4" w:space="4"/>
          <w:bottom w:val="single" w:color="auto" w:sz="4" w:space="1"/>
          <w:right w:val="single" w:color="auto" w:sz="4" w:space="2"/>
        </w:pBdr>
        <w:kinsoku/>
        <w:wordWrap w:val="0"/>
        <w:overflowPunct/>
        <w:topLinePunct w:val="0"/>
        <w:autoSpaceDE/>
        <w:autoSpaceDN/>
        <w:bidi w:val="0"/>
        <w:adjustRightInd/>
        <w:snapToGrid/>
        <w:spacing w:line="360" w:lineRule="auto"/>
        <w:ind w:firstLine="480" w:firstLineChars="200"/>
        <w:textAlignment w:val="auto"/>
        <w:rPr>
          <w:rFonts w:ascii="宋体" w:hAnsi="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eastAsia="zh-CN"/>
          <w14:textFill>
            <w14:solidFill>
              <w14:schemeClr w14:val="tx1"/>
            </w14:solidFill>
          </w14:textFill>
        </w:rPr>
        <w:t>缙云县教育局（缙云县五云学校）专用教室和功能室采购项目</w:t>
      </w:r>
      <w:r>
        <w:rPr>
          <w:rFonts w:hint="eastAsia" w:ascii="宋体" w:hAnsi="宋体" w:cs="宋体"/>
          <w:color w:val="000000" w:themeColor="text1"/>
          <w:sz w:val="24"/>
          <w:szCs w:val="24"/>
          <w:highlight w:val="none"/>
          <w14:textFill>
            <w14:solidFill>
              <w14:schemeClr w14:val="tx1"/>
            </w14:solidFill>
          </w14:textFill>
        </w:rPr>
        <w:t>的潜在投标人应在政采云平台</w:t>
      </w:r>
      <w:r>
        <w:rPr>
          <w:rFonts w:hint="eastAsia" w:ascii="宋体" w:hAnsi="宋体" w:cs="宋体"/>
          <w:color w:val="000000" w:themeColor="text1"/>
          <w:sz w:val="24"/>
          <w:szCs w:val="24"/>
          <w:highlight w:val="none"/>
          <w:lang w:eastAsia="zh-CN"/>
          <w14:textFill>
            <w14:solidFill>
              <w14:schemeClr w14:val="tx1"/>
            </w14:solidFill>
          </w14:textFill>
        </w:rPr>
        <w:t>（</w:t>
      </w:r>
      <w:r>
        <w:rPr>
          <w:rFonts w:hint="eastAsia" w:ascii="宋体" w:hAnsi="宋体" w:cs="宋体"/>
          <w:color w:val="000000" w:themeColor="text1"/>
          <w:sz w:val="24"/>
          <w:szCs w:val="24"/>
          <w:highlight w:val="none"/>
          <w14:textFill>
            <w14:solidFill>
              <w14:schemeClr w14:val="tx1"/>
            </w14:solidFill>
          </w14:textFill>
        </w:rPr>
        <w:t>http://zfcg.czt.zj.gov.cn</w:t>
      </w:r>
      <w:r>
        <w:rPr>
          <w:rFonts w:hint="eastAsia" w:ascii="宋体" w:hAnsi="宋体" w:cs="宋体"/>
          <w:color w:val="000000" w:themeColor="text1"/>
          <w:sz w:val="24"/>
          <w:szCs w:val="24"/>
          <w:highlight w:val="none"/>
          <w:lang w:eastAsia="zh-CN"/>
          <w14:textFill>
            <w14:solidFill>
              <w14:schemeClr w14:val="tx1"/>
            </w14:solidFill>
          </w14:textFill>
        </w:rPr>
        <w:t>）</w:t>
      </w:r>
      <w:r>
        <w:rPr>
          <w:rFonts w:hint="eastAsia" w:ascii="宋体" w:hAnsi="宋体" w:cs="宋体"/>
          <w:color w:val="000000" w:themeColor="text1"/>
          <w:sz w:val="24"/>
          <w:szCs w:val="24"/>
          <w:highlight w:val="none"/>
          <w14:textFill>
            <w14:solidFill>
              <w14:schemeClr w14:val="tx1"/>
            </w14:solidFill>
          </w14:textFill>
        </w:rPr>
        <w:t>、丽水市公共资源交易网（http://lssggzy.lishui.gov.cn/）获取（下载）招标文件，并于</w:t>
      </w:r>
      <w:r>
        <w:rPr>
          <w:rFonts w:hint="eastAsia" w:ascii="宋体" w:hAnsi="宋体" w:cs="宋体"/>
          <w:color w:val="000000" w:themeColor="text1"/>
          <w:sz w:val="24"/>
          <w:szCs w:val="24"/>
          <w:highlight w:val="none"/>
          <w:lang w:eastAsia="zh-CN"/>
          <w14:textFill>
            <w14:solidFill>
              <w14:schemeClr w14:val="tx1"/>
            </w14:solidFill>
          </w14:textFill>
        </w:rPr>
        <w:t>2025</w:t>
      </w:r>
      <w:r>
        <w:rPr>
          <w:rFonts w:hint="eastAsia" w:ascii="宋体" w:hAnsi="宋体" w:cs="宋体"/>
          <w:color w:val="000000" w:themeColor="text1"/>
          <w:sz w:val="24"/>
          <w:szCs w:val="24"/>
          <w:highlight w:val="none"/>
          <w14:textFill>
            <w14:solidFill>
              <w14:schemeClr w14:val="tx1"/>
            </w14:solidFill>
          </w14:textFill>
        </w:rPr>
        <w:t>年</w:t>
      </w:r>
      <w:r>
        <w:rPr>
          <w:rFonts w:hint="eastAsia" w:ascii="宋体" w:hAnsi="宋体" w:cs="宋体"/>
          <w:color w:val="000000" w:themeColor="text1"/>
          <w:sz w:val="24"/>
          <w:szCs w:val="24"/>
          <w:highlight w:val="none"/>
          <w:lang w:val="en-US" w:eastAsia="zh-CN"/>
          <w14:textFill>
            <w14:solidFill>
              <w14:schemeClr w14:val="tx1"/>
            </w14:solidFill>
          </w14:textFill>
        </w:rPr>
        <w:t>7</w:t>
      </w:r>
      <w:r>
        <w:rPr>
          <w:rFonts w:hint="eastAsia" w:ascii="宋体" w:hAnsi="宋体" w:cs="宋体"/>
          <w:color w:val="000000" w:themeColor="text1"/>
          <w:sz w:val="24"/>
          <w:szCs w:val="24"/>
          <w:highlight w:val="none"/>
          <w14:textFill>
            <w14:solidFill>
              <w14:schemeClr w14:val="tx1"/>
            </w14:solidFill>
          </w14:textFill>
        </w:rPr>
        <w:t>月</w:t>
      </w:r>
      <w:r>
        <w:rPr>
          <w:rFonts w:hint="eastAsia" w:ascii="宋体" w:hAnsi="宋体" w:cs="宋体"/>
          <w:color w:val="000000" w:themeColor="text1"/>
          <w:sz w:val="24"/>
          <w:szCs w:val="24"/>
          <w:highlight w:val="none"/>
          <w:lang w:val="en-US" w:eastAsia="zh-CN"/>
          <w14:textFill>
            <w14:solidFill>
              <w14:schemeClr w14:val="tx1"/>
            </w14:solidFill>
          </w14:textFill>
        </w:rPr>
        <w:t>11</w:t>
      </w:r>
      <w:r>
        <w:rPr>
          <w:rFonts w:hint="eastAsia" w:ascii="宋体" w:hAnsi="宋体" w:cs="宋体"/>
          <w:color w:val="000000" w:themeColor="text1"/>
          <w:sz w:val="24"/>
          <w:szCs w:val="24"/>
          <w:highlight w:val="none"/>
          <w14:textFill>
            <w14:solidFill>
              <w14:schemeClr w14:val="tx1"/>
            </w14:solidFill>
          </w14:textFill>
        </w:rPr>
        <w:t>日</w:t>
      </w:r>
      <w:r>
        <w:rPr>
          <w:rFonts w:hint="eastAsia" w:ascii="宋体" w:hAnsi="宋体" w:cs="宋体"/>
          <w:color w:val="000000" w:themeColor="text1"/>
          <w:sz w:val="24"/>
          <w:szCs w:val="24"/>
          <w:highlight w:val="none"/>
          <w:lang w:val="en-US" w:eastAsia="zh-CN"/>
          <w14:textFill>
            <w14:solidFill>
              <w14:schemeClr w14:val="tx1"/>
            </w14:solidFill>
          </w14:textFill>
        </w:rPr>
        <w:t>14</w:t>
      </w:r>
      <w:r>
        <w:rPr>
          <w:rFonts w:hint="eastAsia" w:ascii="宋体" w:hAnsi="宋体" w:cs="宋体"/>
          <w:color w:val="000000" w:themeColor="text1"/>
          <w:sz w:val="24"/>
          <w:szCs w:val="24"/>
          <w:highlight w:val="none"/>
          <w14:textFill>
            <w14:solidFill>
              <w14:schemeClr w14:val="tx1"/>
            </w14:solidFill>
          </w14:textFill>
        </w:rPr>
        <w:t>:</w:t>
      </w:r>
      <w:r>
        <w:rPr>
          <w:rFonts w:hint="eastAsia" w:ascii="宋体" w:hAnsi="宋体" w:cs="宋体"/>
          <w:color w:val="000000" w:themeColor="text1"/>
          <w:sz w:val="24"/>
          <w:szCs w:val="24"/>
          <w:highlight w:val="none"/>
          <w:lang w:val="en-US" w:eastAsia="zh-CN"/>
          <w14:textFill>
            <w14:solidFill>
              <w14:schemeClr w14:val="tx1"/>
            </w14:solidFill>
          </w14:textFill>
        </w:rPr>
        <w:t>0</w:t>
      </w:r>
      <w:r>
        <w:rPr>
          <w:rFonts w:hint="eastAsia" w:ascii="宋体" w:hAnsi="宋体" w:cs="宋体"/>
          <w:color w:val="000000" w:themeColor="text1"/>
          <w:sz w:val="24"/>
          <w:szCs w:val="24"/>
          <w:highlight w:val="none"/>
          <w14:textFill>
            <w14:solidFill>
              <w14:schemeClr w14:val="tx1"/>
            </w14:solidFill>
          </w14:textFill>
        </w:rPr>
        <w:t>0（北京时间）前递交（上传）投标文件。</w:t>
      </w:r>
    </w:p>
    <w:p w14:paraId="1A5AE1DA">
      <w:pPr>
        <w:spacing w:line="360" w:lineRule="auto"/>
        <w:jc w:val="left"/>
        <w:rPr>
          <w:rFonts w:hint="eastAsia" w:ascii="宋体" w:hAnsi="宋体" w:eastAsia="宋体" w:cs="宋体"/>
          <w:b/>
          <w:color w:val="000000" w:themeColor="text1"/>
          <w:sz w:val="24"/>
          <w:szCs w:val="24"/>
          <w:highlight w:val="none"/>
          <w14:textFill>
            <w14:solidFill>
              <w14:schemeClr w14:val="tx1"/>
            </w14:solidFill>
          </w14:textFill>
        </w:rPr>
      </w:pPr>
      <w:r>
        <w:rPr>
          <w:rFonts w:hint="eastAsia" w:ascii="宋体" w:hAnsi="宋体" w:eastAsia="宋体" w:cs="宋体"/>
          <w:b/>
          <w:color w:val="000000" w:themeColor="text1"/>
          <w:sz w:val="24"/>
          <w:szCs w:val="24"/>
          <w:highlight w:val="none"/>
          <w14:textFill>
            <w14:solidFill>
              <w14:schemeClr w14:val="tx1"/>
            </w14:solidFill>
          </w14:textFill>
        </w:rPr>
        <w:t>一、项目基本情况</w:t>
      </w:r>
      <w:bookmarkEnd w:id="2"/>
      <w:bookmarkEnd w:id="3"/>
      <w:bookmarkEnd w:id="4"/>
      <w:bookmarkEnd w:id="5"/>
    </w:p>
    <w:bookmarkEnd w:id="6"/>
    <w:p w14:paraId="1EE04A31">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项目编号：JY分散公开202</w:t>
      </w:r>
      <w:r>
        <w:rPr>
          <w:rFonts w:hint="eastAsia" w:ascii="宋体" w:hAnsi="宋体" w:eastAsia="宋体" w:cs="宋体"/>
          <w:color w:val="000000" w:themeColor="text1"/>
          <w:sz w:val="24"/>
          <w:szCs w:val="24"/>
          <w:highlight w:val="none"/>
          <w:lang w:val="en-US" w:eastAsia="zh-CN"/>
          <w14:textFill>
            <w14:solidFill>
              <w14:schemeClr w14:val="tx1"/>
            </w14:solidFill>
          </w14:textFill>
        </w:rPr>
        <w:t>5-</w:t>
      </w:r>
      <w:r>
        <w:rPr>
          <w:rFonts w:hint="eastAsia" w:ascii="宋体" w:hAnsi="宋体" w:cs="宋体"/>
          <w:color w:val="000000" w:themeColor="text1"/>
          <w:sz w:val="24"/>
          <w:szCs w:val="24"/>
          <w:highlight w:val="none"/>
          <w:lang w:val="en-US" w:eastAsia="zh-CN"/>
          <w14:textFill>
            <w14:solidFill>
              <w14:schemeClr w14:val="tx1"/>
            </w14:solidFill>
          </w14:textFill>
        </w:rPr>
        <w:t>18</w:t>
      </w: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4"/>
          <w:szCs w:val="24"/>
          <w:highlight w:val="none"/>
          <w14:textFill>
            <w14:solidFill>
              <w14:schemeClr w14:val="tx1"/>
            </w14:solidFill>
          </w14:textFill>
        </w:rPr>
        <w:t xml:space="preserve">  </w:t>
      </w:r>
    </w:p>
    <w:p w14:paraId="3CF9017A">
      <w:pPr>
        <w:wordWrap w:val="0"/>
        <w:spacing w:line="360" w:lineRule="auto"/>
        <w:ind w:firstLine="480" w:firstLineChars="200"/>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项目名称：</w:t>
      </w:r>
      <w:r>
        <w:rPr>
          <w:rFonts w:hint="eastAsia" w:ascii="宋体" w:hAnsi="宋体" w:eastAsia="宋体" w:cs="宋体"/>
          <w:color w:val="000000" w:themeColor="text1"/>
          <w:sz w:val="24"/>
          <w:szCs w:val="24"/>
          <w:highlight w:val="none"/>
          <w:lang w:eastAsia="zh-CN"/>
          <w14:textFill>
            <w14:solidFill>
              <w14:schemeClr w14:val="tx1"/>
            </w14:solidFill>
          </w14:textFill>
        </w:rPr>
        <w:t>缙云县教育局（缙云县五云学校）专用教室和功能室采购项目  </w:t>
      </w:r>
    </w:p>
    <w:p w14:paraId="374F47A6">
      <w:pPr>
        <w:wordWrap w:val="0"/>
        <w:spacing w:line="360" w:lineRule="auto"/>
        <w:ind w:firstLine="480" w:firstLineChars="200"/>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kern w:val="0"/>
          <w:sz w:val="24"/>
          <w:szCs w:val="24"/>
          <w:highlight w:val="none"/>
          <w14:textFill>
            <w14:solidFill>
              <w14:schemeClr w14:val="tx1"/>
            </w14:solidFill>
          </w14:textFill>
        </w:rPr>
        <w:t>预算金额（元）：</w:t>
      </w:r>
      <w:r>
        <w:rPr>
          <w:rFonts w:hint="eastAsia" w:ascii="宋体" w:hAnsi="宋体" w:cs="宋体"/>
          <w:color w:val="000000" w:themeColor="text1"/>
          <w:kern w:val="0"/>
          <w:sz w:val="24"/>
          <w:szCs w:val="24"/>
          <w:highlight w:val="none"/>
          <w:lang w:val="en-US" w:eastAsia="zh-CN"/>
          <w14:textFill>
            <w14:solidFill>
              <w14:schemeClr w14:val="tx1"/>
            </w14:solidFill>
          </w14:textFill>
        </w:rPr>
        <w:t>2000000元</w:t>
      </w:r>
    </w:p>
    <w:p w14:paraId="761B0F6D">
      <w:pPr>
        <w:spacing w:line="360" w:lineRule="auto"/>
        <w:ind w:firstLine="480" w:firstLineChars="200"/>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kern w:val="0"/>
          <w:sz w:val="24"/>
          <w:szCs w:val="24"/>
          <w:highlight w:val="none"/>
          <w14:textFill>
            <w14:solidFill>
              <w14:schemeClr w14:val="tx1"/>
            </w14:solidFill>
          </w14:textFill>
        </w:rPr>
        <w:t>最高限价（元）：</w:t>
      </w:r>
      <w:r>
        <w:rPr>
          <w:rFonts w:hint="eastAsia" w:ascii="宋体" w:hAnsi="宋体" w:cs="宋体"/>
          <w:color w:val="000000" w:themeColor="text1"/>
          <w:kern w:val="0"/>
          <w:sz w:val="24"/>
          <w:szCs w:val="24"/>
          <w:highlight w:val="none"/>
          <w:lang w:val="en-US" w:eastAsia="zh-CN"/>
          <w14:textFill>
            <w14:solidFill>
              <w14:schemeClr w14:val="tx1"/>
            </w14:solidFill>
          </w14:textFill>
        </w:rPr>
        <w:t>1871000元</w:t>
      </w:r>
    </w:p>
    <w:p w14:paraId="7D8AEF4E">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采购需求：详见招标文件第三章采购需求。</w:t>
      </w:r>
    </w:p>
    <w:p w14:paraId="236E25B1">
      <w:pPr>
        <w:pStyle w:val="3"/>
        <w:spacing w:line="360" w:lineRule="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标项一：初中部专用教室</w:t>
      </w:r>
    </w:p>
    <w:p w14:paraId="7033161D">
      <w:pPr>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bookmarkStart w:id="9" w:name="_Toc28359003"/>
      <w:bookmarkStart w:id="10" w:name="_Toc28359080"/>
      <w:bookmarkStart w:id="11" w:name="_Toc35393622"/>
      <w:bookmarkStart w:id="12" w:name="_Toc35393791"/>
      <w:r>
        <w:rPr>
          <w:rFonts w:hint="eastAsia" w:ascii="宋体" w:hAnsi="宋体" w:eastAsia="宋体" w:cs="宋体"/>
          <w:color w:val="000000" w:themeColor="text1"/>
          <w:sz w:val="24"/>
          <w:szCs w:val="24"/>
          <w:highlight w:val="none"/>
          <w14:textFill>
            <w14:solidFill>
              <w14:schemeClr w14:val="tx1"/>
            </w14:solidFill>
          </w14:textFill>
        </w:rPr>
        <w:t>数量：1</w:t>
      </w:r>
    </w:p>
    <w:p w14:paraId="416C67D2">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单位：批</w:t>
      </w:r>
    </w:p>
    <w:p w14:paraId="6D805C19">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预算金额：</w:t>
      </w:r>
      <w:r>
        <w:rPr>
          <w:rFonts w:hint="eastAsia" w:ascii="宋体" w:hAnsi="宋体" w:cs="宋体"/>
          <w:color w:val="000000" w:themeColor="text1"/>
          <w:sz w:val="24"/>
          <w:szCs w:val="24"/>
          <w:highlight w:val="none"/>
          <w:lang w:val="en-US" w:eastAsia="zh-CN"/>
          <w14:textFill>
            <w14:solidFill>
              <w14:schemeClr w14:val="tx1"/>
            </w14:solidFill>
          </w14:textFill>
        </w:rPr>
        <w:t>1300000</w:t>
      </w:r>
      <w:r>
        <w:rPr>
          <w:rFonts w:hint="eastAsia" w:ascii="宋体" w:hAnsi="宋体" w:eastAsia="宋体" w:cs="宋体"/>
          <w:color w:val="000000" w:themeColor="text1"/>
          <w:sz w:val="24"/>
          <w:szCs w:val="24"/>
          <w:highlight w:val="none"/>
          <w14:textFill>
            <w14:solidFill>
              <w14:schemeClr w14:val="tx1"/>
            </w14:solidFill>
          </w14:textFill>
        </w:rPr>
        <w:t>元</w:t>
      </w:r>
    </w:p>
    <w:p w14:paraId="6282B04A">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最高限价：</w:t>
      </w:r>
      <w:r>
        <w:rPr>
          <w:rFonts w:hint="eastAsia" w:ascii="宋体" w:hAnsi="宋体" w:cs="宋体"/>
          <w:color w:val="000000" w:themeColor="text1"/>
          <w:sz w:val="24"/>
          <w:szCs w:val="24"/>
          <w:highlight w:val="none"/>
          <w:lang w:val="en-US" w:eastAsia="zh-CN"/>
          <w14:textFill>
            <w14:solidFill>
              <w14:schemeClr w14:val="tx1"/>
            </w14:solidFill>
          </w14:textFill>
        </w:rPr>
        <w:t>1255000</w:t>
      </w:r>
      <w:r>
        <w:rPr>
          <w:rFonts w:hint="eastAsia" w:ascii="宋体" w:hAnsi="宋体" w:eastAsia="宋体" w:cs="宋体"/>
          <w:color w:val="000000" w:themeColor="text1"/>
          <w:sz w:val="24"/>
          <w:szCs w:val="24"/>
          <w:highlight w:val="none"/>
          <w14:textFill>
            <w14:solidFill>
              <w14:schemeClr w14:val="tx1"/>
            </w14:solidFill>
          </w14:textFill>
        </w:rPr>
        <w:t>元</w:t>
      </w:r>
    </w:p>
    <w:p w14:paraId="5E265533">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简要规格描述：详见招标文件第三章采购需求</w:t>
      </w:r>
    </w:p>
    <w:p w14:paraId="201325CE">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备注：无</w:t>
      </w:r>
    </w:p>
    <w:p w14:paraId="7A6C72C0">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合同履行期限：详见招标文件第三章采购需求</w:t>
      </w:r>
    </w:p>
    <w:p w14:paraId="30401BE5">
      <w:pPr>
        <w:spacing w:line="360" w:lineRule="auto"/>
        <w:ind w:firstLine="482" w:firstLineChars="200"/>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14:textFill>
            <w14:solidFill>
              <w14:schemeClr w14:val="tx1"/>
            </w14:solidFill>
          </w14:textFill>
        </w:rPr>
        <w:t>标项</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二</w:t>
      </w:r>
      <w:r>
        <w:rPr>
          <w:rFonts w:hint="eastAsia" w:ascii="宋体" w:hAnsi="宋体" w:eastAsia="宋体" w:cs="宋体"/>
          <w:b/>
          <w:bCs/>
          <w:color w:val="000000" w:themeColor="text1"/>
          <w:sz w:val="24"/>
          <w:szCs w:val="24"/>
          <w:highlight w:val="none"/>
          <w14:textFill>
            <w14:solidFill>
              <w14:schemeClr w14:val="tx1"/>
            </w14:solidFill>
          </w14:textFill>
        </w:rPr>
        <w:t>：</w:t>
      </w:r>
      <w:r>
        <w:rPr>
          <w:rFonts w:hint="eastAsia" w:ascii="宋体" w:hAnsi="宋体" w:eastAsia="宋体" w:cs="宋体"/>
          <w:b/>
          <w:bCs/>
          <w:color w:val="000000" w:themeColor="text1"/>
          <w:sz w:val="24"/>
          <w:szCs w:val="24"/>
          <w:highlight w:val="none"/>
          <w:lang w:eastAsia="zh-CN"/>
          <w14:textFill>
            <w14:solidFill>
              <w14:schemeClr w14:val="tx1"/>
            </w14:solidFill>
          </w14:textFill>
        </w:rPr>
        <w:t>小学</w:t>
      </w:r>
      <w:r>
        <w:rPr>
          <w:rFonts w:hint="eastAsia" w:ascii="宋体" w:hAnsi="宋体" w:eastAsia="宋体" w:cs="宋体"/>
          <w:b/>
          <w:bCs/>
          <w:color w:val="000000" w:themeColor="text1"/>
          <w:sz w:val="24"/>
          <w:szCs w:val="24"/>
          <w:highlight w:val="none"/>
          <w14:textFill>
            <w14:solidFill>
              <w14:schemeClr w14:val="tx1"/>
            </w14:solidFill>
          </w14:textFill>
        </w:rPr>
        <w:t>部专用教室</w:t>
      </w:r>
    </w:p>
    <w:p w14:paraId="532DC5C4">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数量：1</w:t>
      </w:r>
    </w:p>
    <w:p w14:paraId="5D3A1385">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单位：批</w:t>
      </w:r>
    </w:p>
    <w:p w14:paraId="5D2DE5B6">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预算金额：</w:t>
      </w:r>
      <w:r>
        <w:rPr>
          <w:rFonts w:hint="eastAsia" w:ascii="宋体" w:hAnsi="宋体" w:cs="宋体"/>
          <w:color w:val="000000" w:themeColor="text1"/>
          <w:sz w:val="24"/>
          <w:szCs w:val="24"/>
          <w:highlight w:val="none"/>
          <w:lang w:val="en-US" w:eastAsia="zh-CN"/>
          <w14:textFill>
            <w14:solidFill>
              <w14:schemeClr w14:val="tx1"/>
            </w14:solidFill>
          </w14:textFill>
        </w:rPr>
        <w:t>700000</w:t>
      </w:r>
      <w:r>
        <w:rPr>
          <w:rFonts w:hint="eastAsia" w:ascii="宋体" w:hAnsi="宋体" w:eastAsia="宋体" w:cs="宋体"/>
          <w:color w:val="000000" w:themeColor="text1"/>
          <w:sz w:val="24"/>
          <w:szCs w:val="24"/>
          <w:highlight w:val="none"/>
          <w14:textFill>
            <w14:solidFill>
              <w14:schemeClr w14:val="tx1"/>
            </w14:solidFill>
          </w14:textFill>
        </w:rPr>
        <w:t>元</w:t>
      </w:r>
    </w:p>
    <w:p w14:paraId="0FE4014D">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最高限价：</w:t>
      </w:r>
      <w:r>
        <w:rPr>
          <w:rFonts w:hint="eastAsia" w:ascii="宋体" w:hAnsi="宋体" w:cs="宋体"/>
          <w:color w:val="000000" w:themeColor="text1"/>
          <w:sz w:val="24"/>
          <w:szCs w:val="24"/>
          <w:highlight w:val="none"/>
          <w:lang w:val="en-US" w:eastAsia="zh-CN"/>
          <w14:textFill>
            <w14:solidFill>
              <w14:schemeClr w14:val="tx1"/>
            </w14:solidFill>
          </w14:textFill>
        </w:rPr>
        <w:t>616000</w:t>
      </w:r>
      <w:r>
        <w:rPr>
          <w:rFonts w:hint="eastAsia" w:ascii="宋体" w:hAnsi="宋体" w:eastAsia="宋体" w:cs="宋体"/>
          <w:color w:val="000000" w:themeColor="text1"/>
          <w:sz w:val="24"/>
          <w:szCs w:val="24"/>
          <w:highlight w:val="none"/>
          <w14:textFill>
            <w14:solidFill>
              <w14:schemeClr w14:val="tx1"/>
            </w14:solidFill>
          </w14:textFill>
        </w:rPr>
        <w:t xml:space="preserve">元  </w:t>
      </w:r>
    </w:p>
    <w:p w14:paraId="33BC8DA8">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简要规格描述：详见招标文件第三章采购需求</w:t>
      </w:r>
    </w:p>
    <w:p w14:paraId="46E153DE">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备注：无</w:t>
      </w:r>
    </w:p>
    <w:p w14:paraId="4AF04146">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合同履行期限：详见招标文件第三章采购需求</w:t>
      </w:r>
    </w:p>
    <w:p w14:paraId="60F1E4B9">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二、申请人的资格要求</w:t>
      </w:r>
      <w:bookmarkEnd w:id="9"/>
      <w:bookmarkEnd w:id="10"/>
      <w:bookmarkEnd w:id="11"/>
      <w:bookmarkEnd w:id="12"/>
    </w:p>
    <w:p w14:paraId="48D9C69E">
      <w:pPr>
        <w:wordWrap w:val="0"/>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bookmarkStart w:id="13" w:name="_Toc35393792"/>
      <w:bookmarkStart w:id="14" w:name="_Toc28359004"/>
      <w:bookmarkStart w:id="15" w:name="_Toc28359081"/>
      <w:bookmarkStart w:id="16" w:name="_Toc35393623"/>
      <w:r>
        <w:rPr>
          <w:rFonts w:hint="eastAsia" w:ascii="宋体" w:hAnsi="宋体" w:cs="宋体"/>
          <w:color w:val="000000" w:themeColor="text1"/>
          <w:kern w:val="0"/>
          <w:sz w:val="24"/>
          <w:highlight w:val="none"/>
          <w14:textFill>
            <w14:solidFill>
              <w14:schemeClr w14:val="tx1"/>
            </w14:solidFill>
          </w14:textFill>
        </w:rPr>
        <w:t>1.满足《中华人民共和国政府采购法》第二十二条规定；具有独立企业法人资格的生产制造商或经销商或代理商；未被“信用中国”（www.creditchina.gov.cn)、中国政府采购网（www.ccgp.gov.cn）列入失信被执行人、重大税收违法案件当事人名单、政府采购严重违法失信行为记录名单。</w:t>
      </w:r>
    </w:p>
    <w:p w14:paraId="363A2BD1">
      <w:pPr>
        <w:wordWrap w:val="0"/>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000000" w:themeColor="text1"/>
          <w:kern w:val="0"/>
          <w:sz w:val="24"/>
          <w:highlight w:val="none"/>
          <w14:textFill>
            <w14:solidFill>
              <w14:schemeClr w14:val="tx1"/>
            </w14:solidFill>
          </w14:textFill>
        </w:rPr>
        <w:t>2.落实政府采购政策需满足的资格要求：</w:t>
      </w:r>
      <w:r>
        <w:rPr>
          <w:rFonts w:hint="eastAsia" w:ascii="宋体" w:hAnsi="宋体" w:cs="宋体"/>
          <w:color w:val="auto"/>
          <w:kern w:val="0"/>
          <w:sz w:val="24"/>
          <w:highlight w:val="none"/>
          <w:lang w:eastAsia="zh-CN"/>
        </w:rPr>
        <w:t>本项目是专门面向</w:t>
      </w:r>
      <w:r>
        <w:rPr>
          <w:rFonts w:hint="eastAsia" w:ascii="宋体" w:hAnsi="宋体" w:cs="宋体"/>
          <w:color w:val="auto"/>
          <w:kern w:val="0"/>
          <w:sz w:val="24"/>
          <w:highlight w:val="none"/>
        </w:rPr>
        <w:t>中小微企业</w:t>
      </w:r>
      <w:r>
        <w:rPr>
          <w:rFonts w:hint="eastAsia" w:ascii="宋体" w:hAnsi="宋体" w:cs="宋体"/>
          <w:color w:val="auto"/>
          <w:kern w:val="0"/>
          <w:sz w:val="24"/>
          <w:highlight w:val="none"/>
          <w:lang w:eastAsia="zh-CN"/>
        </w:rPr>
        <w:t>采购</w:t>
      </w:r>
      <w:r>
        <w:rPr>
          <w:rFonts w:hint="eastAsia" w:ascii="宋体" w:hAnsi="宋体" w:cs="宋体"/>
          <w:color w:val="auto"/>
          <w:kern w:val="0"/>
          <w:sz w:val="24"/>
          <w:highlight w:val="none"/>
        </w:rPr>
        <w:t>。</w:t>
      </w:r>
    </w:p>
    <w:p w14:paraId="1EBE0625">
      <w:pPr>
        <w:wordWrap w:val="0"/>
        <w:spacing w:line="360" w:lineRule="auto"/>
        <w:ind w:firstLine="480" w:firstLineChars="200"/>
        <w:rPr>
          <w:rFonts w:hint="eastAsia" w:ascii="宋体" w:hAnsi="宋体" w:cs="宋体"/>
          <w:color w:val="auto"/>
          <w:kern w:val="0"/>
          <w:sz w:val="24"/>
          <w:highlight w:val="none"/>
          <w:lang w:eastAsia="zh-CN"/>
        </w:rPr>
      </w:pPr>
      <w:r>
        <w:rPr>
          <w:rFonts w:hint="eastAsia" w:ascii="宋体" w:hAnsi="宋体" w:cs="宋体"/>
          <w:color w:val="auto"/>
          <w:kern w:val="0"/>
          <w:sz w:val="24"/>
          <w:highlight w:val="none"/>
          <w:lang w:val="en-US" w:eastAsia="zh-CN"/>
        </w:rPr>
        <w:t>3</w:t>
      </w:r>
      <w:r>
        <w:rPr>
          <w:rFonts w:hint="eastAsia" w:ascii="宋体" w:hAnsi="宋体" w:cs="宋体"/>
          <w:color w:val="auto"/>
          <w:kern w:val="0"/>
          <w:sz w:val="24"/>
          <w:highlight w:val="none"/>
        </w:rPr>
        <w:t>.本项目特定资格要求</w:t>
      </w:r>
      <w:r>
        <w:rPr>
          <w:rFonts w:hint="eastAsia" w:ascii="宋体" w:hAnsi="宋体" w:cs="宋体"/>
          <w:color w:val="auto"/>
          <w:kern w:val="0"/>
          <w:sz w:val="24"/>
          <w:highlight w:val="none"/>
          <w:lang w:eastAsia="zh-CN"/>
        </w:rPr>
        <w:t>：无。</w:t>
      </w:r>
    </w:p>
    <w:p w14:paraId="3AA40DDE">
      <w:pPr>
        <w:wordWrap w:val="0"/>
        <w:spacing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4.本项目接受联合体投标。</w:t>
      </w:r>
    </w:p>
    <w:p w14:paraId="4FA38AE3">
      <w:pPr>
        <w:wordWrap w:val="0"/>
        <w:spacing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cs="宋体"/>
          <w:color w:val="auto"/>
          <w:kern w:val="0"/>
          <w:sz w:val="24"/>
          <w:highlight w:val="none"/>
          <w:lang w:val="en-US" w:eastAsia="zh-CN"/>
        </w:rPr>
        <w:t>5.</w:t>
      </w:r>
      <w:r>
        <w:rPr>
          <w:rFonts w:hint="eastAsia" w:ascii="宋体" w:hAnsi="宋体" w:eastAsia="宋体" w:cs="宋体"/>
          <w:color w:val="auto"/>
          <w:kern w:val="0"/>
          <w:sz w:val="24"/>
          <w:highlight w:val="none"/>
          <w:lang w:val="en-US" w:eastAsia="zh-CN"/>
        </w:rPr>
        <w:t>本项目允许供应商同时参与两个标项竞标</w:t>
      </w:r>
      <w:r>
        <w:rPr>
          <w:rFonts w:hint="eastAsia" w:ascii="宋体" w:hAnsi="宋体" w:cs="宋体"/>
          <w:color w:val="auto"/>
          <w:kern w:val="0"/>
          <w:sz w:val="24"/>
          <w:highlight w:val="none"/>
          <w:lang w:val="en-US" w:eastAsia="zh-CN"/>
        </w:rPr>
        <w:t>。</w:t>
      </w:r>
    </w:p>
    <w:bookmarkEnd w:id="13"/>
    <w:bookmarkEnd w:id="14"/>
    <w:bookmarkEnd w:id="15"/>
    <w:bookmarkEnd w:id="16"/>
    <w:p w14:paraId="4AA36421">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三、获取招标文件</w:t>
      </w:r>
    </w:p>
    <w:p w14:paraId="3F2C692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 时间：/至</w:t>
      </w:r>
      <w:r>
        <w:rPr>
          <w:rFonts w:hint="eastAsia" w:ascii="宋体" w:hAnsi="宋体" w:cs="宋体"/>
          <w:bCs/>
          <w:snapToGrid w:val="0"/>
          <w:color w:val="000000" w:themeColor="text1"/>
          <w:sz w:val="24"/>
          <w:highlight w:val="none"/>
          <w:u w:val="single"/>
          <w14:textFill>
            <w14:solidFill>
              <w14:schemeClr w14:val="tx1"/>
            </w14:solidFill>
          </w14:textFill>
        </w:rPr>
        <w:t>202</w:t>
      </w:r>
      <w:r>
        <w:rPr>
          <w:rFonts w:hint="eastAsia" w:ascii="宋体" w:hAnsi="宋体" w:cs="宋体"/>
          <w:bCs/>
          <w:snapToGrid w:val="0"/>
          <w:color w:val="000000" w:themeColor="text1"/>
          <w:sz w:val="24"/>
          <w:highlight w:val="none"/>
          <w:u w:val="single"/>
          <w:lang w:val="en-US" w:eastAsia="zh-CN"/>
          <w14:textFill>
            <w14:solidFill>
              <w14:schemeClr w14:val="tx1"/>
            </w14:solidFill>
          </w14:textFill>
        </w:rPr>
        <w:t>5</w:t>
      </w:r>
      <w:r>
        <w:rPr>
          <w:rFonts w:hint="eastAsia" w:ascii="宋体" w:hAnsi="宋体" w:cs="宋体"/>
          <w:bCs/>
          <w:color w:val="000000" w:themeColor="text1"/>
          <w:sz w:val="24"/>
          <w:highlight w:val="none"/>
          <w14:textFill>
            <w14:solidFill>
              <w14:schemeClr w14:val="tx1"/>
            </w14:solidFill>
          </w14:textFill>
        </w:rPr>
        <w:t>年</w:t>
      </w:r>
      <w:r>
        <w:rPr>
          <w:rFonts w:hint="eastAsia" w:ascii="宋体" w:hAnsi="宋体" w:cs="宋体"/>
          <w:bCs/>
          <w:color w:val="000000" w:themeColor="text1"/>
          <w:sz w:val="24"/>
          <w:highlight w:val="none"/>
          <w:u w:val="single"/>
          <w:lang w:val="en-US" w:eastAsia="zh-CN"/>
          <w14:textFill>
            <w14:solidFill>
              <w14:schemeClr w14:val="tx1"/>
            </w14:solidFill>
          </w14:textFill>
        </w:rPr>
        <w:t xml:space="preserve"> 7 </w:t>
      </w:r>
      <w:r>
        <w:rPr>
          <w:rFonts w:hint="eastAsia" w:ascii="宋体" w:hAnsi="宋体" w:cs="宋体"/>
          <w:bCs/>
          <w:color w:val="000000" w:themeColor="text1"/>
          <w:sz w:val="24"/>
          <w:highlight w:val="none"/>
          <w14:textFill>
            <w14:solidFill>
              <w14:schemeClr w14:val="tx1"/>
            </w14:solidFill>
          </w14:textFill>
        </w:rPr>
        <w:t>月</w:t>
      </w:r>
      <w:r>
        <w:rPr>
          <w:rFonts w:hint="eastAsia" w:ascii="宋体" w:hAnsi="宋体" w:cs="宋体"/>
          <w:bCs/>
          <w:color w:val="000000" w:themeColor="text1"/>
          <w:sz w:val="24"/>
          <w:highlight w:val="none"/>
          <w:u w:val="single"/>
          <w14:textFill>
            <w14:solidFill>
              <w14:schemeClr w14:val="tx1"/>
            </w14:solidFill>
          </w14:textFill>
        </w:rPr>
        <w:t xml:space="preserve"> </w:t>
      </w:r>
      <w:r>
        <w:rPr>
          <w:rFonts w:hint="eastAsia" w:ascii="宋体" w:hAnsi="宋体" w:cs="宋体"/>
          <w:bCs/>
          <w:color w:val="000000" w:themeColor="text1"/>
          <w:sz w:val="24"/>
          <w:highlight w:val="none"/>
          <w:u w:val="single"/>
          <w:lang w:val="en-US" w:eastAsia="zh-CN"/>
          <w14:textFill>
            <w14:solidFill>
              <w14:schemeClr w14:val="tx1"/>
            </w14:solidFill>
          </w14:textFill>
        </w:rPr>
        <w:t>11</w:t>
      </w:r>
      <w:r>
        <w:rPr>
          <w:rFonts w:hint="eastAsia" w:ascii="宋体" w:hAnsi="宋体" w:cs="宋体"/>
          <w:bCs/>
          <w:color w:val="000000" w:themeColor="text1"/>
          <w:sz w:val="24"/>
          <w:highlight w:val="none"/>
          <w:u w:val="single"/>
          <w14:textFill>
            <w14:solidFill>
              <w14:schemeClr w14:val="tx1"/>
            </w14:solidFill>
          </w14:textFill>
        </w:rPr>
        <w:t xml:space="preserve"> </w:t>
      </w:r>
      <w:r>
        <w:rPr>
          <w:rFonts w:hint="eastAsia" w:ascii="宋体" w:hAnsi="宋体" w:cs="宋体"/>
          <w:bCs/>
          <w:color w:val="000000" w:themeColor="text1"/>
          <w:sz w:val="24"/>
          <w:highlight w:val="none"/>
          <w14:textFill>
            <w14:solidFill>
              <w14:schemeClr w14:val="tx1"/>
            </w14:solidFill>
          </w14:textFill>
        </w:rPr>
        <w:t>日</w:t>
      </w:r>
      <w:r>
        <w:rPr>
          <w:rFonts w:hint="eastAsia" w:ascii="宋体" w:hAnsi="宋体" w:cs="宋体"/>
          <w:color w:val="000000" w:themeColor="text1"/>
          <w:sz w:val="24"/>
          <w:highlight w:val="none"/>
          <w14:textFill>
            <w14:solidFill>
              <w14:schemeClr w14:val="tx1"/>
            </w14:solidFill>
          </w14:textFill>
        </w:rPr>
        <w:t>，每天上午00:00至12:00，下午12:00至23:59（北京时间，线上获取法定节假日均可，线下获取文件法定节假日除外）</w:t>
      </w:r>
    </w:p>
    <w:p w14:paraId="48B5F31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 地点（网址）：浙江政府采购网（</w:t>
      </w:r>
      <w:r>
        <w:rPr>
          <w:rFonts w:hint="eastAsia" w:ascii="宋体" w:hAnsi="宋体" w:cs="宋体"/>
          <w:color w:val="000000" w:themeColor="text1"/>
          <w:sz w:val="24"/>
          <w:highlight w:val="none"/>
          <w:u w:val="single"/>
          <w14:textFill>
            <w14:solidFill>
              <w14:schemeClr w14:val="tx1"/>
            </w14:solidFill>
          </w14:textFill>
        </w:rPr>
        <w:t>http://zfcg.czt.zj.gov.cn</w:t>
      </w:r>
      <w:r>
        <w:rPr>
          <w:rFonts w:hint="eastAsia" w:ascii="宋体" w:hAnsi="宋体" w:cs="宋体"/>
          <w:color w:val="000000" w:themeColor="text1"/>
          <w:sz w:val="24"/>
          <w:highlight w:val="none"/>
          <w14:textFill>
            <w14:solidFill>
              <w14:schemeClr w14:val="tx1"/>
            </w14:solidFill>
          </w14:textFill>
        </w:rPr>
        <w:t>），丽水市公共资源交易网</w:t>
      </w:r>
      <w:r>
        <w:rPr>
          <w:rFonts w:hint="eastAsia" w:ascii="宋体" w:hAnsi="宋体" w:cs="宋体"/>
          <w:color w:val="000000" w:themeColor="text1"/>
          <w:sz w:val="24"/>
          <w:highlight w:val="none"/>
          <w:u w:val="single"/>
          <w14:textFill>
            <w14:solidFill>
              <w14:schemeClr w14:val="tx1"/>
            </w14:solidFill>
          </w14:textFill>
        </w:rPr>
        <w:t>（http://lssggzy.lishui.gov.cn/jyweb/）</w:t>
      </w:r>
      <w:r>
        <w:rPr>
          <w:rFonts w:hint="eastAsia" w:ascii="宋体" w:hAnsi="宋体" w:cs="宋体"/>
          <w:color w:val="000000" w:themeColor="text1"/>
          <w:sz w:val="24"/>
          <w:highlight w:val="none"/>
          <w14:textFill>
            <w14:solidFill>
              <w14:schemeClr w14:val="tx1"/>
            </w14:solidFill>
          </w14:textFill>
        </w:rPr>
        <w:t>公告附件</w:t>
      </w:r>
    </w:p>
    <w:p w14:paraId="3CF2D01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 方式：自行下载获取。</w:t>
      </w: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1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⑴</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获取流程：浙江政府采购网—用户入驻/登录—用户登录—项目采购—获取招标文件管理；</w:t>
      </w: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2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⑵</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未在浙江省政府采购网注册成为正式供应商的，请注册完成审核成功后登录获取；</w:t>
      </w: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3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⑶</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在浙江政府采购网采购公告附件中以“游客”身份（或丽水市公共资源交易网）获取的招标文件在仅供阅览；潜在供应商未按上述第</w:t>
      </w: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1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⑴</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条方式获取招标文件的不得对招标文件提起质疑投诉；</w:t>
      </w:r>
    </w:p>
    <w:p w14:paraId="14F38FA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 售价：0元</w:t>
      </w:r>
    </w:p>
    <w:p w14:paraId="761F7DB2">
      <w:pPr>
        <w:spacing w:line="360" w:lineRule="auto"/>
        <w:rPr>
          <w:rFonts w:ascii="宋体" w:hAnsi="宋体" w:cs="宋体"/>
          <w:b/>
          <w:color w:val="000000" w:themeColor="text1"/>
          <w:sz w:val="24"/>
          <w:highlight w:val="none"/>
          <w14:textFill>
            <w14:solidFill>
              <w14:schemeClr w14:val="tx1"/>
            </w14:solidFill>
          </w14:textFill>
        </w:rPr>
      </w:pPr>
      <w:bookmarkStart w:id="17" w:name="_Toc35393794"/>
      <w:bookmarkStart w:id="18" w:name="_Toc28359084"/>
      <w:bookmarkStart w:id="19" w:name="_Toc28359007"/>
      <w:bookmarkStart w:id="20" w:name="_Toc35393625"/>
      <w:r>
        <w:rPr>
          <w:rFonts w:hint="eastAsia" w:ascii="宋体" w:hAnsi="宋体" w:cs="宋体"/>
          <w:b/>
          <w:color w:val="000000" w:themeColor="text1"/>
          <w:sz w:val="24"/>
          <w:highlight w:val="none"/>
          <w14:textFill>
            <w14:solidFill>
              <w14:schemeClr w14:val="tx1"/>
            </w14:solidFill>
          </w14:textFill>
        </w:rPr>
        <w:t>四、提交投标文件截止时间、开标时间和地点</w:t>
      </w:r>
    </w:p>
    <w:p w14:paraId="33DD578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1.提交投标文件截止时间：</w:t>
      </w:r>
      <w:r>
        <w:rPr>
          <w:rFonts w:hint="eastAsia" w:ascii="宋体" w:hAnsi="宋体" w:cs="宋体"/>
          <w:color w:val="000000" w:themeColor="text1"/>
          <w:sz w:val="24"/>
          <w:szCs w:val="24"/>
          <w:highlight w:val="none"/>
          <w:lang w:eastAsia="zh-CN"/>
          <w14:textFill>
            <w14:solidFill>
              <w14:schemeClr w14:val="tx1"/>
            </w14:solidFill>
          </w14:textFill>
        </w:rPr>
        <w:t>2025</w:t>
      </w:r>
      <w:r>
        <w:rPr>
          <w:rFonts w:hint="eastAsia" w:ascii="宋体" w:hAnsi="宋体" w:cs="宋体"/>
          <w:color w:val="000000" w:themeColor="text1"/>
          <w:sz w:val="24"/>
          <w:szCs w:val="24"/>
          <w:highlight w:val="none"/>
          <w14:textFill>
            <w14:solidFill>
              <w14:schemeClr w14:val="tx1"/>
            </w14:solidFill>
          </w14:textFill>
        </w:rPr>
        <w:t>年</w:t>
      </w:r>
      <w:r>
        <w:rPr>
          <w:rFonts w:hint="eastAsia" w:ascii="宋体" w:hAnsi="宋体" w:cs="宋体"/>
          <w:color w:val="000000" w:themeColor="text1"/>
          <w:sz w:val="24"/>
          <w:szCs w:val="24"/>
          <w:highlight w:val="none"/>
          <w:lang w:val="en-US" w:eastAsia="zh-CN"/>
          <w14:textFill>
            <w14:solidFill>
              <w14:schemeClr w14:val="tx1"/>
            </w14:solidFill>
          </w14:textFill>
        </w:rPr>
        <w:t>7</w:t>
      </w:r>
      <w:r>
        <w:rPr>
          <w:rFonts w:hint="eastAsia" w:ascii="宋体" w:hAnsi="宋体" w:cs="宋体"/>
          <w:color w:val="000000" w:themeColor="text1"/>
          <w:sz w:val="24"/>
          <w:szCs w:val="24"/>
          <w:highlight w:val="none"/>
          <w14:textFill>
            <w14:solidFill>
              <w14:schemeClr w14:val="tx1"/>
            </w14:solidFill>
          </w14:textFill>
        </w:rPr>
        <w:t>月</w:t>
      </w:r>
      <w:r>
        <w:rPr>
          <w:rFonts w:hint="eastAsia" w:ascii="宋体" w:hAnsi="宋体" w:cs="宋体"/>
          <w:color w:val="000000" w:themeColor="text1"/>
          <w:sz w:val="24"/>
          <w:szCs w:val="24"/>
          <w:highlight w:val="none"/>
          <w:lang w:val="en-US" w:eastAsia="zh-CN"/>
          <w14:textFill>
            <w14:solidFill>
              <w14:schemeClr w14:val="tx1"/>
            </w14:solidFill>
          </w14:textFill>
        </w:rPr>
        <w:t>11</w:t>
      </w:r>
      <w:r>
        <w:rPr>
          <w:rFonts w:hint="eastAsia" w:ascii="宋体" w:hAnsi="宋体" w:cs="宋体"/>
          <w:color w:val="000000" w:themeColor="text1"/>
          <w:sz w:val="24"/>
          <w:szCs w:val="24"/>
          <w:highlight w:val="none"/>
          <w14:textFill>
            <w14:solidFill>
              <w14:schemeClr w14:val="tx1"/>
            </w14:solidFill>
          </w14:textFill>
        </w:rPr>
        <w:t>日</w:t>
      </w:r>
      <w:r>
        <w:rPr>
          <w:rFonts w:hint="eastAsia" w:ascii="宋体" w:hAnsi="宋体" w:cs="宋体"/>
          <w:color w:val="000000" w:themeColor="text1"/>
          <w:sz w:val="24"/>
          <w:szCs w:val="24"/>
          <w:highlight w:val="none"/>
          <w:lang w:val="en-US" w:eastAsia="zh-CN"/>
          <w14:textFill>
            <w14:solidFill>
              <w14:schemeClr w14:val="tx1"/>
            </w14:solidFill>
          </w14:textFill>
        </w:rPr>
        <w:t>14</w:t>
      </w:r>
      <w:r>
        <w:rPr>
          <w:rFonts w:hint="eastAsia" w:ascii="宋体" w:hAnsi="宋体" w:cs="宋体"/>
          <w:color w:val="000000" w:themeColor="text1"/>
          <w:sz w:val="24"/>
          <w:szCs w:val="24"/>
          <w:highlight w:val="none"/>
          <w14:textFill>
            <w14:solidFill>
              <w14:schemeClr w14:val="tx1"/>
            </w14:solidFill>
          </w14:textFill>
        </w:rPr>
        <w:t>:</w:t>
      </w:r>
      <w:r>
        <w:rPr>
          <w:rFonts w:hint="eastAsia" w:ascii="宋体" w:hAnsi="宋体" w:cs="宋体"/>
          <w:color w:val="000000" w:themeColor="text1"/>
          <w:sz w:val="24"/>
          <w:szCs w:val="24"/>
          <w:highlight w:val="none"/>
          <w:lang w:val="en-US" w:eastAsia="zh-CN"/>
          <w14:textFill>
            <w14:solidFill>
              <w14:schemeClr w14:val="tx1"/>
            </w14:solidFill>
          </w14:textFill>
        </w:rPr>
        <w:t>0</w:t>
      </w:r>
      <w:r>
        <w:rPr>
          <w:rFonts w:hint="eastAsia" w:ascii="宋体" w:hAnsi="宋体" w:cs="宋体"/>
          <w:color w:val="000000" w:themeColor="text1"/>
          <w:sz w:val="24"/>
          <w:szCs w:val="24"/>
          <w:highlight w:val="none"/>
          <w14:textFill>
            <w14:solidFill>
              <w14:schemeClr w14:val="tx1"/>
            </w14:solidFill>
          </w14:textFill>
        </w:rPr>
        <w:t>0</w:t>
      </w:r>
      <w:r>
        <w:rPr>
          <w:rFonts w:hint="eastAsia" w:ascii="宋体" w:hAnsi="宋体" w:cs="宋体"/>
          <w:color w:val="000000" w:themeColor="text1"/>
          <w:sz w:val="24"/>
          <w:highlight w:val="none"/>
          <w14:textFill>
            <w14:solidFill>
              <w14:schemeClr w14:val="tx1"/>
            </w14:solidFill>
          </w14:textFill>
        </w:rPr>
        <w:t>（北京时间）</w:t>
      </w:r>
    </w:p>
    <w:p w14:paraId="047B2322">
      <w:pPr>
        <w:spacing w:line="360" w:lineRule="auto"/>
        <w:ind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2.投标地点（</w:t>
      </w:r>
      <w:r>
        <w:rPr>
          <w:rFonts w:hint="eastAsia" w:ascii="宋体" w:hAnsi="宋体" w:eastAsia="宋体" w:cs="宋体"/>
          <w:color w:val="000000" w:themeColor="text1"/>
          <w:sz w:val="24"/>
          <w:highlight w:val="none"/>
          <w14:textFill>
            <w14:solidFill>
              <w14:schemeClr w14:val="tx1"/>
            </w14:solidFill>
          </w14:textFill>
        </w:rPr>
        <w:t>网址）：应按照本项目</w:t>
      </w:r>
      <w:r>
        <w:rPr>
          <w:rFonts w:hint="eastAsia" w:ascii="宋体" w:hAnsi="宋体" w:eastAsia="宋体" w:cs="宋体"/>
          <w:color w:val="000000" w:themeColor="text1"/>
          <w:sz w:val="24"/>
          <w:highlight w:val="none"/>
          <w:lang w:eastAsia="zh-CN"/>
          <w14:textFill>
            <w14:solidFill>
              <w14:schemeClr w14:val="tx1"/>
            </w14:solidFill>
          </w14:textFill>
        </w:rPr>
        <w:t>招标文件</w:t>
      </w:r>
      <w:r>
        <w:rPr>
          <w:rFonts w:hint="eastAsia" w:ascii="宋体" w:hAnsi="宋体" w:eastAsia="宋体" w:cs="宋体"/>
          <w:color w:val="000000" w:themeColor="text1"/>
          <w:sz w:val="24"/>
          <w:highlight w:val="none"/>
          <w14:textFill>
            <w14:solidFill>
              <w14:schemeClr w14:val="tx1"/>
            </w14:solidFill>
          </w14:textFill>
        </w:rPr>
        <w:t>和政采云平台的要求编制、加密并递交投标文件</w:t>
      </w:r>
      <w:r>
        <w:rPr>
          <w:rFonts w:hint="eastAsia" w:ascii="宋体" w:hAnsi="宋体" w:eastAsia="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14:textFill>
            <w14:solidFill>
              <w14:schemeClr w14:val="tx1"/>
            </w14:solidFill>
          </w14:textFill>
        </w:rPr>
        <w:t>前往政采云平台上传电子响应文件</w:t>
      </w:r>
      <w:r>
        <w:rPr>
          <w:rFonts w:hint="eastAsia" w:ascii="宋体" w:hAnsi="宋体" w:eastAsia="宋体" w:cs="宋体"/>
          <w:color w:val="000000" w:themeColor="text1"/>
          <w:sz w:val="24"/>
          <w:highlight w:val="none"/>
          <w:lang w:eastAsia="zh-CN"/>
          <w14:textFill>
            <w14:solidFill>
              <w14:schemeClr w14:val="tx1"/>
            </w14:solidFill>
          </w14:textFill>
        </w:rPr>
        <w:t>（http://zfcg.czt.zj.gov.cn）。</w:t>
      </w:r>
    </w:p>
    <w:p w14:paraId="5CB76F84">
      <w:pPr>
        <w:spacing w:line="360" w:lineRule="auto"/>
        <w:ind w:firstLine="480" w:firstLineChars="200"/>
        <w:rPr>
          <w:rFonts w:hint="eastAsia" w:ascii="新宋体" w:hAnsi="新宋体" w:eastAsia="新宋体"/>
          <w:color w:val="auto"/>
          <w:sz w:val="24"/>
        </w:rPr>
      </w:pPr>
      <w:r>
        <w:rPr>
          <w:rFonts w:hint="eastAsia" w:ascii="新宋体" w:hAnsi="新宋体" w:eastAsia="新宋体"/>
          <w:color w:val="auto"/>
          <w:sz w:val="24"/>
        </w:rPr>
        <w:t>电子签章的备份</w:t>
      </w:r>
      <w:r>
        <w:rPr>
          <w:rFonts w:hint="eastAsia" w:hAnsi="宋体"/>
          <w:color w:val="auto"/>
          <w:sz w:val="24"/>
        </w:rPr>
        <w:t>投标</w:t>
      </w:r>
      <w:r>
        <w:rPr>
          <w:rFonts w:hint="eastAsia" w:ascii="新宋体" w:hAnsi="新宋体" w:eastAsia="新宋体"/>
          <w:color w:val="auto"/>
          <w:sz w:val="24"/>
        </w:rPr>
        <w:t>文件</w:t>
      </w:r>
      <w:r>
        <w:rPr>
          <w:rFonts w:hint="eastAsia" w:ascii="新宋体" w:hAnsi="新宋体" w:eastAsia="新宋体"/>
          <w:color w:val="auto"/>
          <w:sz w:val="24"/>
          <w:lang w:eastAsia="zh-CN"/>
        </w:rPr>
        <w:t>可</w:t>
      </w:r>
      <w:r>
        <w:rPr>
          <w:rFonts w:hint="eastAsia" w:ascii="新宋体" w:hAnsi="新宋体" w:eastAsia="新宋体"/>
          <w:color w:val="auto"/>
          <w:sz w:val="24"/>
        </w:rPr>
        <w:t>通过电子邮件方式传送至代理机构邮箱（</w:t>
      </w:r>
      <w:r>
        <w:rPr>
          <w:rFonts w:hint="eastAsia" w:ascii="宋体" w:hAnsi="宋体" w:cs="宋体"/>
          <w:color w:val="000000" w:themeColor="text1"/>
          <w:sz w:val="24"/>
          <w:highlight w:val="none"/>
          <w14:textFill>
            <w14:solidFill>
              <w14:schemeClr w14:val="tx1"/>
            </w14:solidFill>
          </w14:textFill>
        </w:rPr>
        <w:t>749278492@qq.co</w:t>
      </w:r>
      <w:r>
        <w:rPr>
          <w:rFonts w:hint="eastAsia" w:ascii="新宋体" w:hAnsi="新宋体" w:eastAsia="新宋体"/>
          <w:color w:val="auto"/>
          <w:sz w:val="24"/>
        </w:rPr>
        <w:t>），并在邮件中注明项目名称及投标人名称。</w:t>
      </w:r>
    </w:p>
    <w:p w14:paraId="7A1946F3">
      <w:pPr>
        <w:spacing w:line="360" w:lineRule="auto"/>
        <w:ind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hAnsi="宋体"/>
          <w:bCs/>
          <w:color w:val="auto"/>
          <w:sz w:val="24"/>
        </w:rPr>
        <w:t>备份投标文件是否提交由投标人自行决定，如不提交的，当电子投标文件无法解密时，将导致无备份投标文件而失去投标资格</w:t>
      </w:r>
      <w:r>
        <w:rPr>
          <w:rFonts w:hint="eastAsia" w:hAnsi="宋体"/>
          <w:bCs/>
          <w:color w:val="auto"/>
          <w:sz w:val="24"/>
          <w:lang w:eastAsia="zh-CN"/>
        </w:rPr>
        <w:t>。</w:t>
      </w:r>
    </w:p>
    <w:p w14:paraId="65F7B62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3.开标时间：</w:t>
      </w:r>
      <w:r>
        <w:rPr>
          <w:rFonts w:hint="eastAsia" w:ascii="宋体" w:hAnsi="宋体" w:cs="宋体"/>
          <w:color w:val="000000" w:themeColor="text1"/>
          <w:sz w:val="24"/>
          <w:szCs w:val="24"/>
          <w:highlight w:val="none"/>
          <w:lang w:eastAsia="zh-CN"/>
          <w14:textFill>
            <w14:solidFill>
              <w14:schemeClr w14:val="tx1"/>
            </w14:solidFill>
          </w14:textFill>
        </w:rPr>
        <w:t>2025</w:t>
      </w:r>
      <w:r>
        <w:rPr>
          <w:rFonts w:hint="eastAsia" w:ascii="宋体" w:hAnsi="宋体" w:cs="宋体"/>
          <w:color w:val="000000" w:themeColor="text1"/>
          <w:sz w:val="24"/>
          <w:szCs w:val="24"/>
          <w:highlight w:val="none"/>
          <w14:textFill>
            <w14:solidFill>
              <w14:schemeClr w14:val="tx1"/>
            </w14:solidFill>
          </w14:textFill>
        </w:rPr>
        <w:t>年</w:t>
      </w:r>
      <w:r>
        <w:rPr>
          <w:rFonts w:hint="eastAsia" w:ascii="宋体" w:hAnsi="宋体" w:cs="宋体"/>
          <w:color w:val="000000" w:themeColor="text1"/>
          <w:sz w:val="24"/>
          <w:szCs w:val="24"/>
          <w:highlight w:val="none"/>
          <w:lang w:val="en-US" w:eastAsia="zh-CN"/>
          <w14:textFill>
            <w14:solidFill>
              <w14:schemeClr w14:val="tx1"/>
            </w14:solidFill>
          </w14:textFill>
        </w:rPr>
        <w:t>7</w:t>
      </w:r>
      <w:r>
        <w:rPr>
          <w:rFonts w:hint="eastAsia" w:ascii="宋体" w:hAnsi="宋体" w:cs="宋体"/>
          <w:color w:val="000000" w:themeColor="text1"/>
          <w:sz w:val="24"/>
          <w:szCs w:val="24"/>
          <w:highlight w:val="none"/>
          <w14:textFill>
            <w14:solidFill>
              <w14:schemeClr w14:val="tx1"/>
            </w14:solidFill>
          </w14:textFill>
        </w:rPr>
        <w:t>月</w:t>
      </w:r>
      <w:r>
        <w:rPr>
          <w:rFonts w:hint="eastAsia" w:ascii="宋体" w:hAnsi="宋体" w:cs="宋体"/>
          <w:color w:val="000000" w:themeColor="text1"/>
          <w:sz w:val="24"/>
          <w:szCs w:val="24"/>
          <w:highlight w:val="none"/>
          <w:lang w:val="en-US" w:eastAsia="zh-CN"/>
          <w14:textFill>
            <w14:solidFill>
              <w14:schemeClr w14:val="tx1"/>
            </w14:solidFill>
          </w14:textFill>
        </w:rPr>
        <w:t>11</w:t>
      </w:r>
      <w:r>
        <w:rPr>
          <w:rFonts w:hint="eastAsia" w:ascii="宋体" w:hAnsi="宋体" w:cs="宋体"/>
          <w:color w:val="000000" w:themeColor="text1"/>
          <w:sz w:val="24"/>
          <w:szCs w:val="24"/>
          <w:highlight w:val="none"/>
          <w14:textFill>
            <w14:solidFill>
              <w14:schemeClr w14:val="tx1"/>
            </w14:solidFill>
          </w14:textFill>
        </w:rPr>
        <w:t>日</w:t>
      </w:r>
      <w:r>
        <w:rPr>
          <w:rFonts w:hint="eastAsia" w:ascii="宋体" w:hAnsi="宋体" w:cs="宋体"/>
          <w:color w:val="000000" w:themeColor="text1"/>
          <w:sz w:val="24"/>
          <w:szCs w:val="24"/>
          <w:highlight w:val="none"/>
          <w:lang w:val="en-US" w:eastAsia="zh-CN"/>
          <w14:textFill>
            <w14:solidFill>
              <w14:schemeClr w14:val="tx1"/>
            </w14:solidFill>
          </w14:textFill>
        </w:rPr>
        <w:t>14</w:t>
      </w:r>
      <w:r>
        <w:rPr>
          <w:rFonts w:hint="eastAsia" w:ascii="宋体" w:hAnsi="宋体" w:cs="宋体"/>
          <w:color w:val="000000" w:themeColor="text1"/>
          <w:sz w:val="24"/>
          <w:szCs w:val="24"/>
          <w:highlight w:val="none"/>
          <w14:textFill>
            <w14:solidFill>
              <w14:schemeClr w14:val="tx1"/>
            </w14:solidFill>
          </w14:textFill>
        </w:rPr>
        <w:t>:</w:t>
      </w:r>
      <w:r>
        <w:rPr>
          <w:rFonts w:hint="eastAsia" w:ascii="宋体" w:hAnsi="宋体" w:cs="宋体"/>
          <w:color w:val="000000" w:themeColor="text1"/>
          <w:sz w:val="24"/>
          <w:szCs w:val="24"/>
          <w:highlight w:val="none"/>
          <w:lang w:val="en-US" w:eastAsia="zh-CN"/>
          <w14:textFill>
            <w14:solidFill>
              <w14:schemeClr w14:val="tx1"/>
            </w14:solidFill>
          </w14:textFill>
        </w:rPr>
        <w:t>0</w:t>
      </w:r>
      <w:r>
        <w:rPr>
          <w:rFonts w:hint="eastAsia" w:ascii="宋体" w:hAnsi="宋体" w:cs="宋体"/>
          <w:color w:val="000000" w:themeColor="text1"/>
          <w:sz w:val="24"/>
          <w:szCs w:val="24"/>
          <w:highlight w:val="none"/>
          <w14:textFill>
            <w14:solidFill>
              <w14:schemeClr w14:val="tx1"/>
            </w14:solidFill>
          </w14:textFill>
        </w:rPr>
        <w:t>0</w:t>
      </w:r>
      <w:r>
        <w:rPr>
          <w:rFonts w:hint="eastAsia" w:ascii="宋体" w:hAnsi="宋体" w:cs="宋体"/>
          <w:color w:val="000000" w:themeColor="text1"/>
          <w:sz w:val="24"/>
          <w:highlight w:val="none"/>
          <w14:textFill>
            <w14:solidFill>
              <w14:schemeClr w14:val="tx1"/>
            </w14:solidFill>
          </w14:textFill>
        </w:rPr>
        <w:t>（北京时间）</w:t>
      </w:r>
    </w:p>
    <w:p w14:paraId="0D6589D2">
      <w:pPr>
        <w:spacing w:line="360" w:lineRule="auto"/>
        <w:ind w:firstLine="480" w:firstLineChars="200"/>
        <w:rPr>
          <w:rFonts w:hint="eastAsia" w:ascii="宋体" w:hAnsi="宋体" w:eastAsia="宋体" w:cs="宋体"/>
          <w:color w:val="auto"/>
          <w:sz w:val="24"/>
          <w:highlight w:val="none"/>
          <w:lang w:eastAsia="zh-CN"/>
        </w:rPr>
      </w:pPr>
      <w:r>
        <w:rPr>
          <w:rFonts w:hint="eastAsia" w:ascii="宋体" w:hAnsi="宋体" w:cs="宋体"/>
          <w:color w:val="000000" w:themeColor="text1"/>
          <w:sz w:val="24"/>
          <w:highlight w:val="none"/>
          <w14:textFill>
            <w14:solidFill>
              <w14:schemeClr w14:val="tx1"/>
            </w14:solidFill>
          </w14:textFill>
        </w:rPr>
        <w:t>4.开标地点（网址）：</w:t>
      </w:r>
      <w:r>
        <w:rPr>
          <w:rFonts w:hint="eastAsia" w:ascii="宋体" w:hAnsi="宋体" w:cs="宋体"/>
          <w:bCs/>
          <w:color w:val="000000" w:themeColor="text1"/>
          <w:sz w:val="24"/>
          <w:highlight w:val="none"/>
          <w14:textFill>
            <w14:solidFill>
              <w14:schemeClr w14:val="tx1"/>
            </w14:solidFill>
          </w14:textFill>
        </w:rPr>
        <w:t>缙云县公共资源交易中心</w:t>
      </w:r>
      <w:r>
        <w:rPr>
          <w:rFonts w:hint="eastAsia" w:ascii="宋体" w:hAnsi="宋体" w:cs="宋体"/>
          <w:bCs/>
          <w:color w:val="auto"/>
          <w:sz w:val="24"/>
          <w:highlight w:val="none"/>
          <w:lang w:eastAsia="zh-CN"/>
        </w:rPr>
        <w:t>。</w:t>
      </w:r>
    </w:p>
    <w:p w14:paraId="6188C62E">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五、公告期限</w:t>
      </w:r>
      <w:bookmarkEnd w:id="17"/>
      <w:bookmarkEnd w:id="18"/>
      <w:bookmarkEnd w:id="19"/>
      <w:bookmarkEnd w:id="20"/>
    </w:p>
    <w:p w14:paraId="1FAA59BB">
      <w:pPr>
        <w:spacing w:line="360" w:lineRule="auto"/>
        <w:ind w:firstLine="480" w:firstLineChars="200"/>
        <w:rPr>
          <w:rFonts w:ascii="宋体" w:hAnsi="宋体" w:cs="宋体"/>
          <w:color w:val="000000" w:themeColor="text1"/>
          <w:sz w:val="24"/>
          <w:highlight w:val="none"/>
          <w14:textFill>
            <w14:solidFill>
              <w14:schemeClr w14:val="tx1"/>
            </w14:solidFill>
          </w14:textFill>
        </w:rPr>
      </w:pPr>
      <w:bookmarkStart w:id="21" w:name="_Toc35393795"/>
      <w:bookmarkStart w:id="22" w:name="_Toc35393626"/>
      <w:r>
        <w:rPr>
          <w:rFonts w:hint="eastAsia" w:ascii="宋体" w:hAnsi="宋体" w:cs="宋体"/>
          <w:color w:val="000000" w:themeColor="text1"/>
          <w:sz w:val="24"/>
          <w:highlight w:val="none"/>
          <w14:textFill>
            <w14:solidFill>
              <w14:schemeClr w14:val="tx1"/>
            </w14:solidFill>
          </w14:textFill>
        </w:rPr>
        <w:t>自本公告发布之日起5个工作日。</w:t>
      </w:r>
    </w:p>
    <w:p w14:paraId="586A1AEE">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六、其他补充事宜</w:t>
      </w:r>
      <w:bookmarkEnd w:id="21"/>
      <w:bookmarkEnd w:id="22"/>
    </w:p>
    <w:p w14:paraId="692B280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14:paraId="5640E3A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69D73CF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24E67E83">
      <w:pPr>
        <w:spacing w:line="360" w:lineRule="auto"/>
        <w:ind w:firstLine="482"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
          <w:bCs/>
          <w:color w:val="000000" w:themeColor="text1"/>
          <w:sz w:val="24"/>
          <w:highlight w:val="none"/>
          <w14:textFill>
            <w14:solidFill>
              <w14:schemeClr w14:val="tx1"/>
            </w14:solidFill>
          </w14:textFill>
        </w:rPr>
        <w:t>4.其他事项：本项目通过政府采购云平台实行电子投标，应按照本项目招标文件和政府采购云平台的要求编制；供应商在使用系统进行投标的过程中遇到涉及平台使用的任何问题，可致电政府采购云平台技术支持热线咨询，联系方式：95763。</w:t>
      </w:r>
    </w:p>
    <w:p w14:paraId="7B4BC8BC">
      <w:pPr>
        <w:spacing w:line="360" w:lineRule="auto"/>
        <w:jc w:val="left"/>
        <w:rPr>
          <w:rFonts w:ascii="宋体" w:hAnsi="宋体" w:cs="宋体"/>
          <w:b/>
          <w:color w:val="000000" w:themeColor="text1"/>
          <w:sz w:val="24"/>
          <w:highlight w:val="none"/>
          <w14:textFill>
            <w14:solidFill>
              <w14:schemeClr w14:val="tx1"/>
            </w14:solidFill>
          </w14:textFill>
        </w:rPr>
      </w:pPr>
      <w:bookmarkStart w:id="23" w:name="_Toc28359085"/>
      <w:bookmarkStart w:id="24" w:name="_Toc35393796"/>
      <w:bookmarkStart w:id="25" w:name="_Toc35393627"/>
      <w:bookmarkStart w:id="26" w:name="_Toc28359008"/>
      <w:r>
        <w:rPr>
          <w:rFonts w:hint="eastAsia" w:ascii="宋体" w:hAnsi="宋体" w:cs="宋体"/>
          <w:b/>
          <w:color w:val="000000" w:themeColor="text1"/>
          <w:sz w:val="24"/>
          <w:highlight w:val="none"/>
          <w14:textFill>
            <w14:solidFill>
              <w14:schemeClr w14:val="tx1"/>
            </w14:solidFill>
          </w14:textFill>
        </w:rPr>
        <w:t>七、</w:t>
      </w:r>
      <w:bookmarkEnd w:id="23"/>
      <w:bookmarkEnd w:id="24"/>
      <w:bookmarkEnd w:id="25"/>
      <w:bookmarkEnd w:id="26"/>
      <w:r>
        <w:rPr>
          <w:rFonts w:hint="eastAsia" w:ascii="宋体" w:hAnsi="宋体" w:cs="宋体"/>
          <w:b/>
          <w:color w:val="000000" w:themeColor="text1"/>
          <w:sz w:val="24"/>
          <w:highlight w:val="none"/>
          <w14:textFill>
            <w14:solidFill>
              <w14:schemeClr w14:val="tx1"/>
            </w14:solidFill>
          </w14:textFill>
        </w:rPr>
        <w:t>对本次采购提出询问、质疑、投诉，请按以下方式联系</w:t>
      </w:r>
    </w:p>
    <w:p w14:paraId="29345446">
      <w:pPr>
        <w:snapToGrid w:val="0"/>
        <w:spacing w:line="360" w:lineRule="auto"/>
        <w:ind w:firstLine="51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 采购人信息</w:t>
      </w:r>
    </w:p>
    <w:p w14:paraId="4574D9D7">
      <w:pPr>
        <w:snapToGrid w:val="0"/>
        <w:spacing w:line="360" w:lineRule="auto"/>
        <w:ind w:firstLine="868" w:firstLineChars="362"/>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采购人名称：</w:t>
      </w:r>
      <w:r>
        <w:rPr>
          <w:rFonts w:hint="eastAsia" w:ascii="宋体" w:hAnsi="宋体" w:cs="宋体"/>
          <w:color w:val="000000" w:themeColor="text1"/>
          <w:sz w:val="24"/>
          <w:highlight w:val="none"/>
          <w:lang w:eastAsia="zh-CN"/>
          <w14:textFill>
            <w14:solidFill>
              <w14:schemeClr w14:val="tx1"/>
            </w14:solidFill>
          </w14:textFill>
        </w:rPr>
        <w:t>缙云县教育局</w:t>
      </w:r>
    </w:p>
    <w:p w14:paraId="456C4118">
      <w:pPr>
        <w:snapToGrid w:val="0"/>
        <w:spacing w:line="360" w:lineRule="auto"/>
        <w:ind w:left="420"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项目联系人：</w:t>
      </w:r>
      <w:r>
        <w:rPr>
          <w:rFonts w:hint="eastAsia" w:ascii="宋体" w:hAnsi="宋体" w:cs="宋体"/>
          <w:color w:val="000000" w:themeColor="text1"/>
          <w:sz w:val="24"/>
          <w:highlight w:val="none"/>
          <w:lang w:eastAsia="zh-CN"/>
          <w14:textFill>
            <w14:solidFill>
              <w14:schemeClr w14:val="tx1"/>
            </w14:solidFill>
          </w14:textFill>
        </w:rPr>
        <w:t>田剑丰</w:t>
      </w:r>
    </w:p>
    <w:p w14:paraId="298F54B7">
      <w:pPr>
        <w:snapToGrid w:val="0"/>
        <w:spacing w:line="360" w:lineRule="auto"/>
        <w:ind w:firstLine="960" w:firstLineChars="4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联系电话：</w:t>
      </w:r>
      <w:r>
        <w:rPr>
          <w:rFonts w:hint="eastAsia" w:ascii="宋体" w:hAnsi="宋体"/>
          <w:color w:val="auto"/>
          <w:sz w:val="24"/>
          <w:lang w:val="en-US" w:eastAsia="zh-CN"/>
        </w:rPr>
        <w:t>0578-3122859</w:t>
      </w:r>
      <w:r>
        <w:rPr>
          <w:rFonts w:hint="eastAsia" w:ascii="宋体" w:hAnsi="宋体" w:eastAsia="宋体" w:cs="宋体"/>
          <w:color w:val="000000" w:themeColor="text1"/>
          <w:sz w:val="24"/>
          <w:highlight w:val="none"/>
          <w:lang w:eastAsia="zh-CN"/>
          <w14:textFill>
            <w14:solidFill>
              <w14:schemeClr w14:val="tx1"/>
            </w14:solidFill>
          </w14:textFill>
        </w:rPr>
        <w:t xml:space="preserve"> </w:t>
      </w:r>
    </w:p>
    <w:p w14:paraId="2DB841A7">
      <w:pPr>
        <w:snapToGrid w:val="0"/>
        <w:spacing w:line="360" w:lineRule="auto"/>
        <w:ind w:firstLine="51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 采购代理机构信息</w:t>
      </w:r>
    </w:p>
    <w:p w14:paraId="3C779003">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采购代理机构名称：浙江大兴建设项目管理咨询有限公司</w:t>
      </w:r>
    </w:p>
    <w:p w14:paraId="2C3843F9">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项目负责人：杜女士   联系电话：0578-3316115   </w:t>
      </w:r>
    </w:p>
    <w:p w14:paraId="0EA55B36">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质疑联系人：樊先生    联系电话：0578-3316115   </w:t>
      </w:r>
    </w:p>
    <w:p w14:paraId="4CA99C3D">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地址：浙江省丽水市缙云县五云街道黄龙路293号5单元202室</w:t>
      </w:r>
    </w:p>
    <w:p w14:paraId="562AD867">
      <w:pPr>
        <w:pStyle w:val="11"/>
        <w:adjustRightInd w:val="0"/>
        <w:snapToGrid w:val="0"/>
        <w:spacing w:line="360" w:lineRule="auto"/>
        <w:ind w:firstLine="480" w:firstLineChars="200"/>
        <w:rPr>
          <w:rFonts w:hAnsi="宋体" w:eastAsia="宋体" w:cs="宋体"/>
          <w:bCs/>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 同级政府采购监督管理部门名称：</w:t>
      </w:r>
      <w:r>
        <w:rPr>
          <w:rFonts w:hint="eastAsia" w:hAnsi="宋体" w:eastAsia="宋体" w:cs="宋体"/>
          <w:bCs/>
          <w:color w:val="000000" w:themeColor="text1"/>
          <w:sz w:val="24"/>
          <w:highlight w:val="none"/>
          <w14:textFill>
            <w14:solidFill>
              <w14:schemeClr w14:val="tx1"/>
            </w14:solidFill>
          </w14:textFill>
        </w:rPr>
        <w:t>缙云县财政局政府采购监管科</w:t>
      </w:r>
    </w:p>
    <w:p w14:paraId="4C9D7E4A">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联系人：朱航    监督投诉电话：0578-3318985   传真：0578-3318985</w:t>
      </w:r>
    </w:p>
    <w:p w14:paraId="491D9C60">
      <w:pPr>
        <w:snapToGrid w:val="0"/>
        <w:spacing w:line="360" w:lineRule="auto"/>
        <w:ind w:firstLine="868" w:firstLineChars="36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地 址：</w:t>
      </w:r>
      <w:bookmarkEnd w:id="7"/>
      <w:r>
        <w:rPr>
          <w:rFonts w:hint="eastAsia" w:ascii="宋体" w:hAnsi="宋体" w:cs="宋体"/>
          <w:color w:val="000000" w:themeColor="text1"/>
          <w:sz w:val="24"/>
          <w:highlight w:val="none"/>
          <w14:textFill>
            <w14:solidFill>
              <w14:schemeClr w14:val="tx1"/>
            </w14:solidFill>
          </w14:textFill>
        </w:rPr>
        <w:t>缙云县财政局7楼</w:t>
      </w:r>
    </w:p>
    <w:p w14:paraId="0FEAA26C">
      <w:pPr>
        <w:snapToGrid w:val="0"/>
        <w:spacing w:line="360" w:lineRule="auto"/>
        <w:ind w:firstLine="720" w:firstLineChars="300"/>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若对项目采购电子交易系统操作有疑问，可登录政采云（https://www.zcygov.cn/），点击右侧咨询小采，获取采小蜜智能服务管家帮助，或拨打政采云服务热线95763获取热线服务帮助。</w:t>
      </w:r>
    </w:p>
    <w:p w14:paraId="0B599F89">
      <w:pPr>
        <w:snapToGrid w:val="0"/>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CA问题联系电话（人工）：汇信CA 400-888-4636；天谷CA 400-087-8198。</w:t>
      </w:r>
    </w:p>
    <w:p w14:paraId="37AD437B">
      <w:pPr>
        <w:spacing w:line="360" w:lineRule="auto"/>
        <w:ind w:firstLine="470" w:firstLineChars="196"/>
        <w:jc w:val="right"/>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采购人：</w:t>
      </w:r>
      <w:r>
        <w:rPr>
          <w:rFonts w:hint="eastAsia" w:ascii="宋体" w:hAnsi="宋体" w:cs="宋体"/>
          <w:color w:val="000000" w:themeColor="text1"/>
          <w:sz w:val="24"/>
          <w:highlight w:val="none"/>
          <w:lang w:eastAsia="zh-CN"/>
          <w14:textFill>
            <w14:solidFill>
              <w14:schemeClr w14:val="tx1"/>
            </w14:solidFill>
          </w14:textFill>
        </w:rPr>
        <w:t>缙云县教育局</w:t>
      </w:r>
    </w:p>
    <w:p w14:paraId="00F3E2A2">
      <w:pPr>
        <w:spacing w:line="360" w:lineRule="auto"/>
        <w:ind w:firstLine="470" w:firstLineChars="196"/>
        <w:jc w:val="righ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采购代理机构：浙江大兴建设项目管理咨询有限公司 </w:t>
      </w:r>
    </w:p>
    <w:p w14:paraId="7AFB5C77">
      <w:pPr>
        <w:spacing w:line="360" w:lineRule="auto"/>
        <w:ind w:firstLine="470" w:firstLineChars="196"/>
        <w:jc w:val="righ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日期：202</w:t>
      </w:r>
      <w:r>
        <w:rPr>
          <w:rFonts w:hint="eastAsia" w:ascii="宋体" w:hAnsi="宋体" w:cs="宋体"/>
          <w:color w:val="000000" w:themeColor="text1"/>
          <w:sz w:val="24"/>
          <w:highlight w:val="none"/>
          <w:lang w:val="en-US" w:eastAsia="zh-CN"/>
          <w14:textFill>
            <w14:solidFill>
              <w14:schemeClr w14:val="tx1"/>
            </w14:solidFill>
          </w14:textFill>
        </w:rPr>
        <w:t>5</w:t>
      </w:r>
      <w:r>
        <w:rPr>
          <w:rFonts w:hint="eastAsia" w:ascii="宋体" w:hAnsi="宋体" w:cs="宋体"/>
          <w:color w:val="000000" w:themeColor="text1"/>
          <w:sz w:val="24"/>
          <w:highlight w:val="none"/>
          <w14:textFill>
            <w14:solidFill>
              <w14:schemeClr w14:val="tx1"/>
            </w14:solidFill>
          </w14:textFill>
        </w:rPr>
        <w:t>年</w:t>
      </w:r>
      <w:r>
        <w:rPr>
          <w:rFonts w:hint="eastAsia" w:ascii="宋体" w:hAnsi="宋体" w:cs="宋体"/>
          <w:color w:val="000000" w:themeColor="text1"/>
          <w:sz w:val="24"/>
          <w:highlight w:val="none"/>
          <w:lang w:val="en-US" w:eastAsia="zh-CN"/>
          <w14:textFill>
            <w14:solidFill>
              <w14:schemeClr w14:val="tx1"/>
            </w14:solidFill>
          </w14:textFill>
        </w:rPr>
        <w:t>6</w:t>
      </w:r>
      <w:r>
        <w:rPr>
          <w:rFonts w:hint="eastAsia" w:ascii="宋体" w:hAnsi="宋体" w:cs="宋体"/>
          <w:color w:val="000000" w:themeColor="text1"/>
          <w:sz w:val="24"/>
          <w:highlight w:val="none"/>
          <w14:textFill>
            <w14:solidFill>
              <w14:schemeClr w14:val="tx1"/>
            </w14:solidFill>
          </w14:textFill>
        </w:rPr>
        <w:t>月</w:t>
      </w:r>
      <w:r>
        <w:rPr>
          <w:rFonts w:hint="eastAsia" w:ascii="宋体" w:hAnsi="宋体" w:cs="宋体"/>
          <w:color w:val="000000" w:themeColor="text1"/>
          <w:sz w:val="24"/>
          <w:highlight w:val="none"/>
          <w:lang w:val="en-US" w:eastAsia="zh-CN"/>
          <w14:textFill>
            <w14:solidFill>
              <w14:schemeClr w14:val="tx1"/>
            </w14:solidFill>
          </w14:textFill>
        </w:rPr>
        <w:t>25</w:t>
      </w:r>
      <w:r>
        <w:rPr>
          <w:rFonts w:hint="eastAsia" w:ascii="宋体" w:hAnsi="宋体" w:cs="宋体"/>
          <w:color w:val="000000" w:themeColor="text1"/>
          <w:sz w:val="24"/>
          <w:highlight w:val="none"/>
          <w14:textFill>
            <w14:solidFill>
              <w14:schemeClr w14:val="tx1"/>
            </w14:solidFill>
          </w14:textFill>
        </w:rPr>
        <w:t>日</w:t>
      </w:r>
    </w:p>
    <w:bookmarkEnd w:id="8"/>
    <w:p w14:paraId="24DC85FC">
      <w:pPr>
        <w:spacing w:line="360" w:lineRule="auto"/>
        <w:ind w:firstLine="708" w:firstLineChars="196"/>
        <w:jc w:val="center"/>
        <w:rPr>
          <w:rFonts w:ascii="宋体" w:hAnsi="宋体" w:cs="宋体"/>
          <w:b/>
          <w:color w:val="000000" w:themeColor="text1"/>
          <w:sz w:val="36"/>
          <w:szCs w:val="36"/>
          <w:highlight w:val="none"/>
          <w14:textFill>
            <w14:solidFill>
              <w14:schemeClr w14:val="tx1"/>
            </w14:solidFill>
          </w14:textFill>
        </w:rPr>
      </w:pPr>
      <w:bookmarkStart w:id="27" w:name="_Toc26114"/>
      <w:bookmarkStart w:id="28" w:name="_Toc15754_WPSOffice_Level1"/>
      <w:bookmarkStart w:id="29" w:name="_Toc32158"/>
    </w:p>
    <w:p w14:paraId="02C38F61">
      <w:pPr>
        <w:rPr>
          <w:rFonts w:hint="eastAsia"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br w:type="page"/>
      </w:r>
    </w:p>
    <w:p w14:paraId="67233808">
      <w:pPr>
        <w:spacing w:line="240" w:lineRule="auto"/>
        <w:jc w:val="center"/>
        <w:rPr>
          <w:rFonts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第二章  投标人须知</w:t>
      </w:r>
      <w:bookmarkEnd w:id="27"/>
      <w:bookmarkEnd w:id="28"/>
      <w:bookmarkEnd w:id="29"/>
    </w:p>
    <w:p w14:paraId="62150B63">
      <w:pPr>
        <w:pStyle w:val="5"/>
        <w:keepNext/>
        <w:keepLines/>
        <w:pageBreakBefore w:val="0"/>
        <w:widowControl w:val="0"/>
        <w:kinsoku/>
        <w:wordWrap/>
        <w:overflowPunct/>
        <w:topLinePunct w:val="0"/>
        <w:autoSpaceDE/>
        <w:autoSpaceDN/>
        <w:bidi w:val="0"/>
        <w:adjustRightInd/>
        <w:snapToGrid/>
        <w:spacing w:before="200" w:after="200" w:line="240" w:lineRule="auto"/>
        <w:ind w:firstLine="0" w:firstLineChars="0"/>
        <w:jc w:val="center"/>
        <w:textAlignment w:val="auto"/>
        <w:rPr>
          <w:rFonts w:ascii="宋体" w:hAnsi="宋体" w:eastAsia="宋体" w:cs="宋体"/>
          <w:color w:val="000000" w:themeColor="text1"/>
          <w:sz w:val="32"/>
          <w:szCs w:val="21"/>
          <w:highlight w:val="none"/>
          <w14:textFill>
            <w14:solidFill>
              <w14:schemeClr w14:val="tx1"/>
            </w14:solidFill>
          </w14:textFill>
        </w:rPr>
      </w:pPr>
      <w:bookmarkStart w:id="30" w:name="_Toc24898"/>
      <w:r>
        <w:rPr>
          <w:rFonts w:hint="eastAsia" w:ascii="宋体" w:hAnsi="宋体" w:eastAsia="宋体" w:cs="宋体"/>
          <w:color w:val="000000" w:themeColor="text1"/>
          <w:sz w:val="32"/>
          <w:szCs w:val="21"/>
          <w:highlight w:val="none"/>
          <w14:textFill>
            <w14:solidFill>
              <w14:schemeClr w14:val="tx1"/>
            </w14:solidFill>
          </w14:textFill>
        </w:rPr>
        <w:t>前列表</w:t>
      </w:r>
      <w:bookmarkEnd w:id="30"/>
    </w:p>
    <w:tbl>
      <w:tblPr>
        <w:tblStyle w:val="28"/>
        <w:tblpPr w:leftFromText="180" w:rightFromText="180" w:vertAnchor="text" w:tblpXSpec="center" w:tblpY="1"/>
        <w:tblOverlap w:val="never"/>
        <w:tblW w:w="100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687"/>
        <w:gridCol w:w="2480"/>
        <w:gridCol w:w="1262"/>
        <w:gridCol w:w="3921"/>
      </w:tblGrid>
      <w:tr w14:paraId="710AE9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17" w:hRule="exact"/>
          <w:jc w:val="center"/>
        </w:trPr>
        <w:tc>
          <w:tcPr>
            <w:tcW w:w="713" w:type="dxa"/>
            <w:tcBorders>
              <w:top w:val="double" w:color="auto" w:sz="4" w:space="0"/>
              <w:left w:val="double" w:color="auto" w:sz="4" w:space="0"/>
              <w:bottom w:val="single" w:color="auto" w:sz="4" w:space="0"/>
              <w:right w:val="single" w:color="auto" w:sz="4" w:space="0"/>
            </w:tcBorders>
            <w:vAlign w:val="center"/>
          </w:tcPr>
          <w:p w14:paraId="66E39555">
            <w:pPr>
              <w:spacing w:line="240" w:lineRule="auto"/>
              <w:jc w:val="center"/>
              <w:rPr>
                <w:rFonts w:ascii="宋体" w:hAnsi="宋体" w:cs="宋体"/>
                <w:b/>
                <w:bCs/>
                <w:snapToGrid w:val="0"/>
                <w:color w:val="000000" w:themeColor="text1"/>
                <w:sz w:val="24"/>
                <w:highlight w:val="none"/>
                <w14:textFill>
                  <w14:solidFill>
                    <w14:schemeClr w14:val="tx1"/>
                  </w14:solidFill>
                </w14:textFill>
              </w:rPr>
            </w:pPr>
            <w:r>
              <w:rPr>
                <w:rFonts w:hint="eastAsia" w:ascii="宋体" w:hAnsi="宋体" w:cs="宋体"/>
                <w:b/>
                <w:bCs/>
                <w:snapToGrid w:val="0"/>
                <w:color w:val="000000" w:themeColor="text1"/>
                <w:sz w:val="24"/>
                <w:highlight w:val="none"/>
                <w14:textFill>
                  <w14:solidFill>
                    <w14:schemeClr w14:val="tx1"/>
                  </w14:solidFill>
                </w14:textFill>
              </w:rPr>
              <w:t>序号</w:t>
            </w:r>
          </w:p>
        </w:tc>
        <w:tc>
          <w:tcPr>
            <w:tcW w:w="1687" w:type="dxa"/>
            <w:tcBorders>
              <w:top w:val="double" w:color="auto" w:sz="4" w:space="0"/>
              <w:left w:val="single" w:color="auto" w:sz="4" w:space="0"/>
              <w:bottom w:val="single" w:color="auto" w:sz="4" w:space="0"/>
            </w:tcBorders>
            <w:vAlign w:val="center"/>
          </w:tcPr>
          <w:p w14:paraId="33072A1D">
            <w:pPr>
              <w:spacing w:line="240" w:lineRule="auto"/>
              <w:jc w:val="center"/>
              <w:rPr>
                <w:rFonts w:ascii="宋体" w:hAnsi="宋体" w:cs="宋体"/>
                <w:b/>
                <w:bCs/>
                <w:color w:val="000000" w:themeColor="text1"/>
                <w:sz w:val="24"/>
                <w:highlight w:val="none"/>
                <w14:textFill>
                  <w14:solidFill>
                    <w14:schemeClr w14:val="tx1"/>
                  </w14:solidFill>
                </w14:textFill>
              </w:rPr>
            </w:pPr>
            <w:r>
              <w:rPr>
                <w:rFonts w:hint="eastAsia" w:ascii="宋体" w:hAnsi="宋体" w:cs="宋体"/>
                <w:b/>
                <w:bCs/>
                <w:color w:val="000000" w:themeColor="text1"/>
                <w:sz w:val="24"/>
                <w:highlight w:val="none"/>
                <w14:textFill>
                  <w14:solidFill>
                    <w14:schemeClr w14:val="tx1"/>
                  </w14:solidFill>
                </w14:textFill>
              </w:rPr>
              <w:t>须知项目</w:t>
            </w:r>
          </w:p>
        </w:tc>
        <w:tc>
          <w:tcPr>
            <w:tcW w:w="7663" w:type="dxa"/>
            <w:gridSpan w:val="3"/>
            <w:tcBorders>
              <w:top w:val="double" w:color="auto" w:sz="4" w:space="0"/>
              <w:bottom w:val="single" w:color="auto" w:sz="4" w:space="0"/>
              <w:right w:val="double" w:color="auto" w:sz="4" w:space="0"/>
            </w:tcBorders>
            <w:vAlign w:val="center"/>
          </w:tcPr>
          <w:p w14:paraId="0DBBE19E">
            <w:pPr>
              <w:spacing w:line="240" w:lineRule="auto"/>
              <w:jc w:val="center"/>
              <w:rPr>
                <w:rFonts w:ascii="宋体" w:hAnsi="宋体" w:cs="宋体"/>
                <w:b/>
                <w:bCs/>
                <w:color w:val="000000" w:themeColor="text1"/>
                <w:sz w:val="24"/>
                <w:highlight w:val="none"/>
                <w14:textFill>
                  <w14:solidFill>
                    <w14:schemeClr w14:val="tx1"/>
                  </w14:solidFill>
                </w14:textFill>
              </w:rPr>
            </w:pPr>
            <w:r>
              <w:rPr>
                <w:rFonts w:hint="eastAsia" w:ascii="宋体" w:hAnsi="宋体" w:cs="宋体"/>
                <w:b/>
                <w:bCs/>
                <w:color w:val="000000" w:themeColor="text1"/>
                <w:sz w:val="24"/>
                <w:highlight w:val="none"/>
                <w14:textFill>
                  <w14:solidFill>
                    <w14:schemeClr w14:val="tx1"/>
                  </w14:solidFill>
                </w14:textFill>
              </w:rPr>
              <w:t>内容、要求和时间</w:t>
            </w:r>
          </w:p>
        </w:tc>
      </w:tr>
      <w:tr w14:paraId="583AAC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713" w:type="dxa"/>
            <w:tcBorders>
              <w:top w:val="single" w:color="auto" w:sz="4" w:space="0"/>
              <w:left w:val="double" w:color="auto" w:sz="4" w:space="0"/>
              <w:right w:val="single" w:color="auto" w:sz="4" w:space="0"/>
            </w:tcBorders>
            <w:vAlign w:val="center"/>
          </w:tcPr>
          <w:p w14:paraId="685DD30D">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1</w:t>
            </w:r>
          </w:p>
        </w:tc>
        <w:tc>
          <w:tcPr>
            <w:tcW w:w="1687" w:type="dxa"/>
            <w:tcBorders>
              <w:top w:val="single" w:color="auto" w:sz="4" w:space="0"/>
              <w:left w:val="single" w:color="auto" w:sz="4" w:space="0"/>
            </w:tcBorders>
            <w:vAlign w:val="center"/>
          </w:tcPr>
          <w:p w14:paraId="0933E04D">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项目名称</w:t>
            </w:r>
          </w:p>
        </w:tc>
        <w:tc>
          <w:tcPr>
            <w:tcW w:w="7663" w:type="dxa"/>
            <w:gridSpan w:val="3"/>
            <w:tcBorders>
              <w:top w:val="single" w:color="auto" w:sz="4" w:space="0"/>
              <w:right w:val="double" w:color="auto" w:sz="4" w:space="0"/>
            </w:tcBorders>
            <w:vAlign w:val="center"/>
          </w:tcPr>
          <w:p w14:paraId="0B77D358">
            <w:pPr>
              <w:spacing w:line="240" w:lineRule="auto"/>
              <w:jc w:val="both"/>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缙云县教育局（缙云县五云学校）专用教室和功能室采购项目</w:t>
            </w:r>
          </w:p>
        </w:tc>
      </w:tr>
      <w:tr w14:paraId="5D913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713" w:type="dxa"/>
            <w:tcBorders>
              <w:left w:val="double" w:color="auto" w:sz="4" w:space="0"/>
              <w:right w:val="single" w:color="auto" w:sz="4" w:space="0"/>
            </w:tcBorders>
            <w:vAlign w:val="center"/>
          </w:tcPr>
          <w:p w14:paraId="13D81A83">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2</w:t>
            </w:r>
          </w:p>
        </w:tc>
        <w:tc>
          <w:tcPr>
            <w:tcW w:w="1687" w:type="dxa"/>
            <w:tcBorders>
              <w:left w:val="single" w:color="auto" w:sz="4" w:space="0"/>
            </w:tcBorders>
            <w:vAlign w:val="center"/>
          </w:tcPr>
          <w:p w14:paraId="13C61947">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采购人</w:t>
            </w:r>
          </w:p>
        </w:tc>
        <w:tc>
          <w:tcPr>
            <w:tcW w:w="7663" w:type="dxa"/>
            <w:gridSpan w:val="3"/>
            <w:tcBorders>
              <w:right w:val="double" w:color="auto" w:sz="4" w:space="0"/>
            </w:tcBorders>
            <w:vAlign w:val="center"/>
          </w:tcPr>
          <w:p w14:paraId="1A35B6EB">
            <w:pPr>
              <w:spacing w:line="240" w:lineRule="auto"/>
              <w:jc w:val="both"/>
              <w:rPr>
                <w:rFonts w:hint="eastAsia" w:ascii="宋体" w:hAnsi="宋体" w:eastAsia="宋体" w:cs="宋体"/>
                <w:bCs/>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缙云县教育局</w:t>
            </w:r>
          </w:p>
        </w:tc>
      </w:tr>
      <w:tr w14:paraId="4E393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76" w:hRule="atLeast"/>
          <w:jc w:val="center"/>
        </w:trPr>
        <w:tc>
          <w:tcPr>
            <w:tcW w:w="713" w:type="dxa"/>
            <w:tcBorders>
              <w:left w:val="double" w:color="auto" w:sz="4" w:space="0"/>
              <w:right w:val="single" w:color="auto" w:sz="4" w:space="0"/>
            </w:tcBorders>
            <w:vAlign w:val="center"/>
          </w:tcPr>
          <w:p w14:paraId="76C764E6">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3</w:t>
            </w:r>
          </w:p>
        </w:tc>
        <w:tc>
          <w:tcPr>
            <w:tcW w:w="1687" w:type="dxa"/>
            <w:tcBorders>
              <w:left w:val="single" w:color="auto" w:sz="4" w:space="0"/>
            </w:tcBorders>
            <w:vAlign w:val="center"/>
          </w:tcPr>
          <w:p w14:paraId="0FE074E4">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采购代理机构</w:t>
            </w:r>
          </w:p>
        </w:tc>
        <w:tc>
          <w:tcPr>
            <w:tcW w:w="7663" w:type="dxa"/>
            <w:gridSpan w:val="3"/>
            <w:tcBorders>
              <w:right w:val="double" w:color="auto" w:sz="4" w:space="0"/>
            </w:tcBorders>
            <w:vAlign w:val="center"/>
          </w:tcPr>
          <w:p w14:paraId="4B94135A">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浙江大兴建设项目管理咨询有限公司</w:t>
            </w:r>
          </w:p>
        </w:tc>
      </w:tr>
      <w:tr w14:paraId="13E24F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713" w:type="dxa"/>
            <w:tcBorders>
              <w:left w:val="double" w:color="auto" w:sz="4" w:space="0"/>
              <w:right w:val="single" w:color="auto" w:sz="4" w:space="0"/>
            </w:tcBorders>
            <w:vAlign w:val="center"/>
          </w:tcPr>
          <w:p w14:paraId="7A1C06DE">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4</w:t>
            </w:r>
          </w:p>
        </w:tc>
        <w:tc>
          <w:tcPr>
            <w:tcW w:w="1687" w:type="dxa"/>
            <w:tcBorders>
              <w:left w:val="single" w:color="auto" w:sz="4" w:space="0"/>
            </w:tcBorders>
            <w:vAlign w:val="center"/>
          </w:tcPr>
          <w:p w14:paraId="696B3A85">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采购方式</w:t>
            </w:r>
          </w:p>
        </w:tc>
        <w:tc>
          <w:tcPr>
            <w:tcW w:w="2480" w:type="dxa"/>
            <w:vAlign w:val="center"/>
          </w:tcPr>
          <w:p w14:paraId="7A30DA04">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公开招标</w:t>
            </w:r>
          </w:p>
        </w:tc>
        <w:tc>
          <w:tcPr>
            <w:tcW w:w="1262" w:type="dxa"/>
            <w:vAlign w:val="center"/>
          </w:tcPr>
          <w:p w14:paraId="4F90ADAC">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组织方式</w:t>
            </w:r>
          </w:p>
        </w:tc>
        <w:tc>
          <w:tcPr>
            <w:tcW w:w="3921" w:type="dxa"/>
            <w:tcBorders>
              <w:right w:val="double" w:color="auto" w:sz="4" w:space="0"/>
            </w:tcBorders>
            <w:vAlign w:val="center"/>
          </w:tcPr>
          <w:p w14:paraId="28438F66">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分散采购</w:t>
            </w:r>
          </w:p>
        </w:tc>
      </w:tr>
      <w:tr w14:paraId="21B338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21" w:hRule="exact"/>
          <w:jc w:val="center"/>
        </w:trPr>
        <w:tc>
          <w:tcPr>
            <w:tcW w:w="713" w:type="dxa"/>
            <w:tcBorders>
              <w:left w:val="double" w:color="auto" w:sz="4" w:space="0"/>
              <w:right w:val="single" w:color="auto" w:sz="4" w:space="0"/>
            </w:tcBorders>
            <w:vAlign w:val="center"/>
          </w:tcPr>
          <w:p w14:paraId="21CAC1BB">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5</w:t>
            </w:r>
          </w:p>
        </w:tc>
        <w:tc>
          <w:tcPr>
            <w:tcW w:w="1687" w:type="dxa"/>
            <w:tcBorders>
              <w:left w:val="single" w:color="auto" w:sz="4" w:space="0"/>
            </w:tcBorders>
            <w:vAlign w:val="center"/>
          </w:tcPr>
          <w:p w14:paraId="6BC4AC35">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资格审查方式</w:t>
            </w:r>
          </w:p>
        </w:tc>
        <w:tc>
          <w:tcPr>
            <w:tcW w:w="7663" w:type="dxa"/>
            <w:gridSpan w:val="3"/>
            <w:tcBorders>
              <w:right w:val="double" w:color="auto" w:sz="4" w:space="0"/>
            </w:tcBorders>
            <w:vAlign w:val="center"/>
          </w:tcPr>
          <w:p w14:paraId="32552179">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采用资格后审。投标人获取招标文件或提交投标文件不表明已获取投标资格。开标会上通过资格审查的投标人才具有投标资格。</w:t>
            </w:r>
          </w:p>
        </w:tc>
      </w:tr>
      <w:tr w14:paraId="60B8B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9" w:hRule="exact"/>
          <w:jc w:val="center"/>
        </w:trPr>
        <w:tc>
          <w:tcPr>
            <w:tcW w:w="713" w:type="dxa"/>
            <w:tcBorders>
              <w:left w:val="double" w:color="auto" w:sz="4" w:space="0"/>
              <w:right w:val="single" w:color="auto" w:sz="4" w:space="0"/>
            </w:tcBorders>
            <w:vAlign w:val="center"/>
          </w:tcPr>
          <w:p w14:paraId="41B7763A">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6</w:t>
            </w:r>
          </w:p>
        </w:tc>
        <w:tc>
          <w:tcPr>
            <w:tcW w:w="1687" w:type="dxa"/>
            <w:tcBorders>
              <w:left w:val="single" w:color="auto" w:sz="4" w:space="0"/>
            </w:tcBorders>
            <w:vAlign w:val="center"/>
          </w:tcPr>
          <w:p w14:paraId="2E587F50">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投标有效期</w:t>
            </w:r>
          </w:p>
        </w:tc>
        <w:tc>
          <w:tcPr>
            <w:tcW w:w="7663" w:type="dxa"/>
            <w:gridSpan w:val="3"/>
            <w:tcBorders>
              <w:right w:val="double" w:color="auto" w:sz="4" w:space="0"/>
            </w:tcBorders>
            <w:vAlign w:val="center"/>
          </w:tcPr>
          <w:p w14:paraId="20E16E31">
            <w:pPr>
              <w:spacing w:line="240" w:lineRule="auto"/>
              <w:jc w:val="both"/>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提交投标文件的截止之日起90天内有效</w:t>
            </w:r>
          </w:p>
        </w:tc>
      </w:tr>
      <w:tr w14:paraId="2E6B7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84" w:hRule="exact"/>
          <w:jc w:val="center"/>
        </w:trPr>
        <w:tc>
          <w:tcPr>
            <w:tcW w:w="713" w:type="dxa"/>
            <w:tcBorders>
              <w:left w:val="double" w:color="auto" w:sz="4" w:space="0"/>
              <w:right w:val="single" w:color="auto" w:sz="4" w:space="0"/>
            </w:tcBorders>
            <w:vAlign w:val="center"/>
          </w:tcPr>
          <w:p w14:paraId="1877FB7C">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7</w:t>
            </w:r>
          </w:p>
        </w:tc>
        <w:tc>
          <w:tcPr>
            <w:tcW w:w="1687" w:type="dxa"/>
            <w:tcBorders>
              <w:left w:val="single" w:color="auto" w:sz="4" w:space="0"/>
            </w:tcBorders>
            <w:vAlign w:val="center"/>
          </w:tcPr>
          <w:p w14:paraId="31081494">
            <w:pPr>
              <w:spacing w:line="240" w:lineRule="auto"/>
              <w:jc w:val="center"/>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招标文件质疑</w:t>
            </w:r>
          </w:p>
        </w:tc>
        <w:tc>
          <w:tcPr>
            <w:tcW w:w="7663" w:type="dxa"/>
            <w:gridSpan w:val="3"/>
            <w:tcBorders>
              <w:right w:val="double" w:color="auto" w:sz="4" w:space="0"/>
            </w:tcBorders>
            <w:vAlign w:val="center"/>
          </w:tcPr>
          <w:p w14:paraId="70D81E34">
            <w:pPr>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1、只有通过浙江政府采购网—用户入驻/登录—用户登录—项目采购—获取招标文件管理栏获取招标文件的投标人才能对招标文件提出质疑，否则不予受理。</w:t>
            </w:r>
          </w:p>
          <w:p w14:paraId="231E718B">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2、质疑期限为自招标公告期限届满之日（招标公告届满日为公告发布后的第6个工作日）起7个工作日内，以书面形式向采购人和采购代理机构一次性提出质疑。</w:t>
            </w:r>
          </w:p>
        </w:tc>
      </w:tr>
      <w:tr w14:paraId="1F6F6A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70" w:hRule="exact"/>
          <w:jc w:val="center"/>
        </w:trPr>
        <w:tc>
          <w:tcPr>
            <w:tcW w:w="713" w:type="dxa"/>
            <w:tcBorders>
              <w:left w:val="double" w:color="auto" w:sz="4" w:space="0"/>
              <w:right w:val="single" w:color="auto" w:sz="4" w:space="0"/>
            </w:tcBorders>
            <w:vAlign w:val="center"/>
          </w:tcPr>
          <w:p w14:paraId="758467C6">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8</w:t>
            </w:r>
          </w:p>
        </w:tc>
        <w:tc>
          <w:tcPr>
            <w:tcW w:w="1687" w:type="dxa"/>
            <w:tcBorders>
              <w:left w:val="single" w:color="auto" w:sz="4" w:space="0"/>
            </w:tcBorders>
            <w:vAlign w:val="center"/>
          </w:tcPr>
          <w:p w14:paraId="5CEB57FC">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招标文件澄清或修改时间</w:t>
            </w:r>
          </w:p>
        </w:tc>
        <w:tc>
          <w:tcPr>
            <w:tcW w:w="7663" w:type="dxa"/>
            <w:gridSpan w:val="3"/>
            <w:tcBorders>
              <w:right w:val="double" w:color="auto" w:sz="4" w:space="0"/>
            </w:tcBorders>
            <w:vAlign w:val="center"/>
          </w:tcPr>
          <w:p w14:paraId="7E5BDEAC">
            <w:pPr>
              <w:spacing w:line="240" w:lineRule="auto"/>
              <w:jc w:val="both"/>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投标截止时间15天前，发布网址同招标公告发布网址。</w:t>
            </w:r>
          </w:p>
        </w:tc>
      </w:tr>
      <w:tr w14:paraId="10D87C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3" w:type="dxa"/>
            <w:tcBorders>
              <w:left w:val="double" w:color="auto" w:sz="4" w:space="0"/>
              <w:right w:val="single" w:color="auto" w:sz="4" w:space="0"/>
            </w:tcBorders>
            <w:vAlign w:val="center"/>
          </w:tcPr>
          <w:p w14:paraId="73C195A3">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9</w:t>
            </w:r>
          </w:p>
        </w:tc>
        <w:tc>
          <w:tcPr>
            <w:tcW w:w="1687" w:type="dxa"/>
            <w:tcBorders>
              <w:left w:val="single" w:color="auto" w:sz="4" w:space="0"/>
            </w:tcBorders>
            <w:vAlign w:val="center"/>
          </w:tcPr>
          <w:p w14:paraId="7F05E6AD">
            <w:pPr>
              <w:spacing w:line="240" w:lineRule="auto"/>
              <w:jc w:val="center"/>
              <w:rPr>
                <w:rFonts w:ascii="宋体" w:hAnsi="宋体" w:cs="宋体"/>
                <w:b/>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投标文件提交</w:t>
            </w:r>
          </w:p>
        </w:tc>
        <w:tc>
          <w:tcPr>
            <w:tcW w:w="7663" w:type="dxa"/>
            <w:gridSpan w:val="3"/>
            <w:tcBorders>
              <w:right w:val="double" w:color="auto" w:sz="4" w:space="0"/>
            </w:tcBorders>
            <w:vAlign w:val="center"/>
          </w:tcPr>
          <w:p w14:paraId="620E4068">
            <w:pPr>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本项目实行电子招投标，供应商须在投标截止时间前，前往政采云平台上传电子响应文件，无需到达现场提交响应文件。</w:t>
            </w:r>
          </w:p>
        </w:tc>
      </w:tr>
      <w:tr w14:paraId="74249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52" w:hRule="exact"/>
          <w:jc w:val="center"/>
        </w:trPr>
        <w:tc>
          <w:tcPr>
            <w:tcW w:w="713" w:type="dxa"/>
            <w:tcBorders>
              <w:left w:val="double" w:color="auto" w:sz="4" w:space="0"/>
              <w:right w:val="single" w:color="auto" w:sz="4" w:space="0"/>
            </w:tcBorders>
            <w:vAlign w:val="center"/>
          </w:tcPr>
          <w:p w14:paraId="5BB75ED7">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10</w:t>
            </w:r>
          </w:p>
        </w:tc>
        <w:tc>
          <w:tcPr>
            <w:tcW w:w="1687" w:type="dxa"/>
            <w:tcBorders>
              <w:left w:val="single" w:color="auto" w:sz="4" w:space="0"/>
            </w:tcBorders>
            <w:vAlign w:val="center"/>
          </w:tcPr>
          <w:p w14:paraId="4853806E">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开标时间及地点</w:t>
            </w:r>
          </w:p>
        </w:tc>
        <w:tc>
          <w:tcPr>
            <w:tcW w:w="7663" w:type="dxa"/>
            <w:gridSpan w:val="3"/>
            <w:tcBorders>
              <w:right w:val="double" w:color="auto" w:sz="4" w:space="0"/>
            </w:tcBorders>
            <w:vAlign w:val="center"/>
          </w:tcPr>
          <w:p w14:paraId="144D2144">
            <w:pPr>
              <w:spacing w:line="240" w:lineRule="auto"/>
              <w:jc w:val="both"/>
              <w:rPr>
                <w:rFonts w:ascii="宋体" w:hAnsi="宋体" w:cs="宋体"/>
                <w:b/>
                <w:color w:val="000000" w:themeColor="text1"/>
                <w:sz w:val="24"/>
                <w:highlight w:val="none"/>
                <w:u w:val="single"/>
                <w14:textFill>
                  <w14:solidFill>
                    <w14:schemeClr w14:val="tx1"/>
                  </w14:solidFill>
                </w14:textFill>
              </w:rPr>
            </w:pPr>
            <w:r>
              <w:rPr>
                <w:rFonts w:hint="eastAsia" w:ascii="宋体" w:hAnsi="宋体" w:cs="宋体"/>
                <w:b/>
                <w:color w:val="000000" w:themeColor="text1"/>
                <w:sz w:val="24"/>
                <w:highlight w:val="none"/>
                <w:u w:val="single"/>
                <w14:textFill>
                  <w14:solidFill>
                    <w14:schemeClr w14:val="tx1"/>
                  </w14:solidFill>
                </w14:textFill>
              </w:rPr>
              <w:t>开标时间：同投标截止时间。</w:t>
            </w:r>
          </w:p>
          <w:p w14:paraId="44625FBA">
            <w:pPr>
              <w:spacing w:line="240" w:lineRule="auto"/>
              <w:jc w:val="both"/>
              <w:rPr>
                <w:rFonts w:ascii="宋体" w:hAnsi="宋体" w:cs="宋体"/>
                <w:b/>
                <w:color w:val="000000" w:themeColor="text1"/>
                <w:sz w:val="24"/>
                <w:highlight w:val="none"/>
                <w:u w:val="singl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开标地点：浙江政府采购网—用户入驻/登录—用户登录—项目采购—开标评标—进入开标大厅</w:t>
            </w:r>
          </w:p>
          <w:p w14:paraId="58F36CAF">
            <w:pPr>
              <w:snapToGrid w:val="0"/>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评标地点：缙云县公共资源交易中心（</w:t>
            </w:r>
            <w:r>
              <w:rPr>
                <w:rFonts w:hint="eastAsia" w:ascii="宋体" w:hAnsi="宋体" w:cs="宋体"/>
                <w:bCs/>
                <w:color w:val="000000" w:themeColor="text1"/>
                <w:sz w:val="24"/>
                <w:highlight w:val="none"/>
                <w:lang w:eastAsia="zh-CN"/>
                <w14:textFill>
                  <w14:solidFill>
                    <w14:schemeClr w14:val="tx1"/>
                  </w14:solidFill>
                </w14:textFill>
              </w:rPr>
              <w:t>浙江省丽水市缙云县新区黄龙路48号广电大楼7楼开标大厅</w:t>
            </w:r>
            <w:r>
              <w:rPr>
                <w:rFonts w:hint="eastAsia" w:ascii="宋体" w:hAnsi="宋体" w:cs="宋体"/>
                <w:bCs/>
                <w:color w:val="000000" w:themeColor="text1"/>
                <w:sz w:val="24"/>
                <w:highlight w:val="none"/>
                <w14:textFill>
                  <w14:solidFill>
                    <w14:schemeClr w14:val="tx1"/>
                  </w14:solidFill>
                </w14:textFill>
              </w:rPr>
              <w:t>）</w:t>
            </w:r>
          </w:p>
        </w:tc>
      </w:tr>
      <w:tr w14:paraId="5D8FD1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60" w:hRule="exact"/>
          <w:jc w:val="center"/>
        </w:trPr>
        <w:tc>
          <w:tcPr>
            <w:tcW w:w="713" w:type="dxa"/>
            <w:tcBorders>
              <w:left w:val="double" w:color="auto" w:sz="4" w:space="0"/>
              <w:right w:val="single" w:color="auto" w:sz="4" w:space="0"/>
            </w:tcBorders>
            <w:vAlign w:val="center"/>
          </w:tcPr>
          <w:p w14:paraId="5B9A37B1">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11</w:t>
            </w:r>
          </w:p>
        </w:tc>
        <w:tc>
          <w:tcPr>
            <w:tcW w:w="1687" w:type="dxa"/>
            <w:tcBorders>
              <w:left w:val="single" w:color="auto" w:sz="4" w:space="0"/>
            </w:tcBorders>
            <w:vAlign w:val="center"/>
          </w:tcPr>
          <w:p w14:paraId="196571D6">
            <w:pPr>
              <w:spacing w:line="240" w:lineRule="auto"/>
              <w:jc w:val="center"/>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中标结果公告及中标通知书</w:t>
            </w:r>
          </w:p>
        </w:tc>
        <w:tc>
          <w:tcPr>
            <w:tcW w:w="7663" w:type="dxa"/>
            <w:gridSpan w:val="3"/>
            <w:tcBorders>
              <w:right w:val="double" w:color="auto" w:sz="4" w:space="0"/>
            </w:tcBorders>
            <w:vAlign w:val="center"/>
          </w:tcPr>
          <w:p w14:paraId="6AD1BCEB">
            <w:pPr>
              <w:snapToGrid w:val="0"/>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kern w:val="0"/>
                <w:sz w:val="24"/>
                <w:highlight w:val="none"/>
                <w14:textFill>
                  <w14:solidFill>
                    <w14:schemeClr w14:val="tx1"/>
                  </w14:solidFill>
                </w14:textFill>
              </w:rPr>
              <w:t>评标报告经采购人确认后2个工作日内，中标公告在</w:t>
            </w:r>
            <w:r>
              <w:rPr>
                <w:rFonts w:hint="eastAsia" w:ascii="宋体" w:hAnsi="宋体" w:cs="宋体"/>
                <w:color w:val="000000" w:themeColor="text1"/>
                <w:sz w:val="24"/>
                <w:highlight w:val="none"/>
                <w14:textFill>
                  <w14:solidFill>
                    <w14:schemeClr w14:val="tx1"/>
                  </w14:solidFill>
                </w14:textFill>
              </w:rPr>
              <w:t>浙江政府采购网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"http://60.190.126.3:8080/wcm/WCMV6/editor/editor/招标文件（新版）.doc" </w:instrText>
            </w:r>
            <w:r>
              <w:rPr>
                <w:color w:val="000000" w:themeColor="text1"/>
                <w:highlight w:val="none"/>
                <w14:textFill>
                  <w14:solidFill>
                    <w14:schemeClr w14:val="tx1"/>
                  </w14:solidFill>
                </w14:textFill>
              </w:rPr>
              <w:fldChar w:fldCharType="separate"/>
            </w:r>
            <w:r>
              <w:rPr>
                <w:rStyle w:val="32"/>
                <w:rFonts w:hint="eastAsia" w:ascii="宋体" w:hAnsi="宋体" w:cs="宋体"/>
                <w:color w:val="000000" w:themeColor="text1"/>
                <w:sz w:val="24"/>
                <w:highlight w:val="none"/>
                <w14:textFill>
                  <w14:solidFill>
                    <w14:schemeClr w14:val="tx1"/>
                  </w14:solidFill>
                </w14:textFill>
              </w:rPr>
              <w:t>http://zfcg.czt.zj.gov.cn/</w:t>
            </w:r>
            <w:r>
              <w:rPr>
                <w:rStyle w:val="32"/>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、丽水市公共资源交易网http://lssggzy.lishui.gov.cn/jyweb</w:t>
            </w:r>
            <w:r>
              <w:rPr>
                <w:rStyle w:val="32"/>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媒</w:t>
            </w:r>
            <w:r>
              <w:rPr>
                <w:rFonts w:hint="eastAsia" w:ascii="宋体" w:hAnsi="宋体" w:cs="宋体"/>
                <w:bCs/>
                <w:color w:val="000000" w:themeColor="text1"/>
                <w:kern w:val="0"/>
                <w:sz w:val="24"/>
                <w:highlight w:val="none"/>
                <w14:textFill>
                  <w14:solidFill>
                    <w14:schemeClr w14:val="tx1"/>
                  </w14:solidFill>
                </w14:textFill>
              </w:rPr>
              <w:t>体上发布，并同时发出中标通知书。</w:t>
            </w:r>
          </w:p>
        </w:tc>
      </w:tr>
      <w:tr w14:paraId="467A2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63" w:hRule="exact"/>
          <w:jc w:val="center"/>
        </w:trPr>
        <w:tc>
          <w:tcPr>
            <w:tcW w:w="713" w:type="dxa"/>
            <w:tcBorders>
              <w:left w:val="double" w:color="auto" w:sz="4" w:space="0"/>
              <w:right w:val="single" w:color="auto" w:sz="4" w:space="0"/>
            </w:tcBorders>
            <w:vAlign w:val="center"/>
          </w:tcPr>
          <w:p w14:paraId="57F87022">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12</w:t>
            </w:r>
          </w:p>
        </w:tc>
        <w:tc>
          <w:tcPr>
            <w:tcW w:w="1687" w:type="dxa"/>
            <w:tcBorders>
              <w:left w:val="single" w:color="auto" w:sz="4" w:space="0"/>
            </w:tcBorders>
            <w:vAlign w:val="center"/>
          </w:tcPr>
          <w:p w14:paraId="5066800B">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评标办法和细则</w:t>
            </w:r>
          </w:p>
        </w:tc>
        <w:tc>
          <w:tcPr>
            <w:tcW w:w="7663" w:type="dxa"/>
            <w:gridSpan w:val="3"/>
            <w:tcBorders>
              <w:right w:val="double" w:color="auto" w:sz="4" w:space="0"/>
            </w:tcBorders>
            <w:vAlign w:val="center"/>
          </w:tcPr>
          <w:p w14:paraId="06F6A1C2">
            <w:pPr>
              <w:spacing w:line="240" w:lineRule="auto"/>
              <w:jc w:val="both"/>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详见本招标文件第六章</w:t>
            </w:r>
          </w:p>
        </w:tc>
      </w:tr>
      <w:tr w14:paraId="5370B2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93" w:hRule="exact"/>
          <w:jc w:val="center"/>
        </w:trPr>
        <w:tc>
          <w:tcPr>
            <w:tcW w:w="713" w:type="dxa"/>
            <w:tcBorders>
              <w:left w:val="double" w:color="auto" w:sz="4" w:space="0"/>
              <w:right w:val="single" w:color="auto" w:sz="4" w:space="0"/>
            </w:tcBorders>
            <w:vAlign w:val="center"/>
          </w:tcPr>
          <w:p w14:paraId="2298AF39">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13</w:t>
            </w:r>
          </w:p>
        </w:tc>
        <w:tc>
          <w:tcPr>
            <w:tcW w:w="1687" w:type="dxa"/>
            <w:tcBorders>
              <w:left w:val="single" w:color="auto" w:sz="4" w:space="0"/>
            </w:tcBorders>
            <w:vAlign w:val="center"/>
          </w:tcPr>
          <w:p w14:paraId="1CD6735B">
            <w:pPr>
              <w:spacing w:line="240" w:lineRule="auto"/>
              <w:jc w:val="center"/>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签订合同</w:t>
            </w:r>
          </w:p>
        </w:tc>
        <w:tc>
          <w:tcPr>
            <w:tcW w:w="7663" w:type="dxa"/>
            <w:gridSpan w:val="3"/>
            <w:tcBorders>
              <w:right w:val="double" w:color="auto" w:sz="4" w:space="0"/>
            </w:tcBorders>
            <w:vAlign w:val="center"/>
          </w:tcPr>
          <w:p w14:paraId="11B6FF67">
            <w:pPr>
              <w:pStyle w:val="39"/>
              <w:spacing w:line="240" w:lineRule="auto"/>
              <w:jc w:val="both"/>
              <w:rPr>
                <w:rFonts w:ascii="宋体" w:hAnsi="宋体" w:cs="宋体"/>
                <w:bCs/>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中标通知书发出之日起30日内，按照采购文件确定的事项签订政府采购合同。</w:t>
            </w:r>
          </w:p>
        </w:tc>
      </w:tr>
      <w:tr w14:paraId="2FE912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014" w:hRule="exact"/>
          <w:jc w:val="center"/>
        </w:trPr>
        <w:tc>
          <w:tcPr>
            <w:tcW w:w="713" w:type="dxa"/>
            <w:tcBorders>
              <w:left w:val="double" w:color="auto" w:sz="4" w:space="0"/>
              <w:right w:val="single" w:color="auto" w:sz="4" w:space="0"/>
            </w:tcBorders>
            <w:vAlign w:val="center"/>
          </w:tcPr>
          <w:p w14:paraId="2B54E3B2">
            <w:pPr>
              <w:spacing w:line="240" w:lineRule="auto"/>
              <w:jc w:val="center"/>
              <w:rPr>
                <w:rFonts w:ascii="宋体" w:hAnsi="宋体" w:cs="宋体"/>
                <w:bCs/>
                <w:color w:val="000000" w:themeColor="text1"/>
                <w:kern w:val="0"/>
                <w:sz w:val="24"/>
                <w:highlight w:val="none"/>
                <w14:textFill>
                  <w14:solidFill>
                    <w14:schemeClr w14:val="tx1"/>
                  </w14:solidFill>
                </w14:textFill>
              </w:rPr>
            </w:pPr>
            <w:r>
              <w:rPr>
                <w:rFonts w:hint="eastAsia" w:ascii="宋体" w:hAnsi="宋体" w:cs="宋体"/>
                <w:bCs/>
                <w:color w:val="000000" w:themeColor="text1"/>
                <w:kern w:val="0"/>
                <w:sz w:val="24"/>
                <w:highlight w:val="none"/>
                <w14:textFill>
                  <w14:solidFill>
                    <w14:schemeClr w14:val="tx1"/>
                  </w14:solidFill>
                </w14:textFill>
              </w:rPr>
              <w:t>14</w:t>
            </w:r>
          </w:p>
        </w:tc>
        <w:tc>
          <w:tcPr>
            <w:tcW w:w="1687" w:type="dxa"/>
            <w:tcBorders>
              <w:left w:val="single" w:color="auto" w:sz="4" w:space="0"/>
            </w:tcBorders>
            <w:vAlign w:val="center"/>
          </w:tcPr>
          <w:p w14:paraId="7292C75D">
            <w:pPr>
              <w:spacing w:line="240" w:lineRule="auto"/>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Cs/>
                <w:snapToGrid w:val="0"/>
                <w:color w:val="000000" w:themeColor="text1"/>
                <w:sz w:val="24"/>
                <w:highlight w:val="none"/>
                <w14:textFill>
                  <w14:solidFill>
                    <w14:schemeClr w14:val="tx1"/>
                  </w14:solidFill>
                </w14:textFill>
              </w:rPr>
              <w:t>发布媒体</w:t>
            </w:r>
          </w:p>
        </w:tc>
        <w:tc>
          <w:tcPr>
            <w:tcW w:w="7663" w:type="dxa"/>
            <w:gridSpan w:val="3"/>
            <w:tcBorders>
              <w:right w:val="double" w:color="auto" w:sz="4" w:space="0"/>
            </w:tcBorders>
            <w:vAlign w:val="center"/>
          </w:tcPr>
          <w:p w14:paraId="478EB623">
            <w:pPr>
              <w:snapToGrid w:val="0"/>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浙江政府采购网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"http://60.190.126.3:8080/wcm/WCMV6/editor/editor/招标文件（新版）.doc" </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http://zfcg.czt.zj.gov.cn/</w:t>
            </w:r>
            <w:r>
              <w:rPr>
                <w:rFonts w:hint="eastAsia" w:ascii="宋体" w:hAnsi="宋体" w:cs="宋体"/>
                <w:color w:val="000000" w:themeColor="text1"/>
                <w:sz w:val="24"/>
                <w:highlight w:val="none"/>
                <w14:textFill>
                  <w14:solidFill>
                    <w14:schemeClr w14:val="tx1"/>
                  </w14:solidFill>
                </w14:textFill>
              </w:rPr>
              <w:fldChar w:fldCharType="end"/>
            </w:r>
          </w:p>
          <w:p w14:paraId="3B532A34">
            <w:pPr>
              <w:snapToGrid w:val="0"/>
              <w:spacing w:line="240" w:lineRule="auto"/>
              <w:jc w:val="both"/>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丽水市公共资源交易网http://lssggzy.lishui.gov.cn/jyweb/</w:t>
            </w:r>
          </w:p>
        </w:tc>
      </w:tr>
      <w:tr w14:paraId="3DC468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26" w:hRule="exact"/>
          <w:jc w:val="center"/>
        </w:trPr>
        <w:tc>
          <w:tcPr>
            <w:tcW w:w="713" w:type="dxa"/>
            <w:tcBorders>
              <w:left w:val="double" w:color="auto" w:sz="4" w:space="0"/>
              <w:right w:val="single" w:color="auto" w:sz="4" w:space="0"/>
            </w:tcBorders>
            <w:vAlign w:val="center"/>
          </w:tcPr>
          <w:p w14:paraId="45D75FBB">
            <w:pPr>
              <w:spacing w:line="240" w:lineRule="auto"/>
              <w:ind w:left="-88" w:leftChars="-42" w:right="-113" w:rightChars="-54"/>
              <w:jc w:val="center"/>
              <w:rPr>
                <w:rFonts w:ascii="宋体" w:hAnsi="宋体" w:cs="宋体"/>
                <w:bCs/>
                <w:snapToGrid w:val="0"/>
                <w:color w:val="000000" w:themeColor="text1"/>
                <w:sz w:val="24"/>
                <w:highlight w:val="none"/>
                <w14:textFill>
                  <w14:solidFill>
                    <w14:schemeClr w14:val="tx1"/>
                  </w14:solidFill>
                </w14:textFill>
              </w:rPr>
            </w:pPr>
            <w:r>
              <w:rPr>
                <w:rFonts w:hint="eastAsia" w:ascii="宋体" w:hAnsi="宋体" w:cs="宋体"/>
                <w:b/>
                <w:bCs/>
                <w:snapToGrid w:val="0"/>
                <w:color w:val="000000" w:themeColor="text1"/>
                <w:sz w:val="24"/>
                <w:highlight w:val="none"/>
                <w14:textFill>
                  <w14:solidFill>
                    <w14:schemeClr w14:val="tx1"/>
                  </w14:solidFill>
                </w14:textFill>
              </w:rPr>
              <w:t>15</w:t>
            </w:r>
          </w:p>
        </w:tc>
        <w:tc>
          <w:tcPr>
            <w:tcW w:w="1687" w:type="dxa"/>
            <w:tcBorders>
              <w:left w:val="single" w:color="auto" w:sz="4" w:space="0"/>
            </w:tcBorders>
            <w:vAlign w:val="center"/>
          </w:tcPr>
          <w:p w14:paraId="694EF8A9">
            <w:pPr>
              <w:spacing w:line="240" w:lineRule="auto"/>
              <w:jc w:val="center"/>
              <w:rPr>
                <w:rFonts w:ascii="宋体" w:hAnsi="宋体" w:cs="宋体"/>
                <w:bCs/>
                <w:color w:val="000000" w:themeColor="text1"/>
                <w:kern w:val="0"/>
                <w:sz w:val="24"/>
                <w:highlight w:val="none"/>
                <w14:textFill>
                  <w14:solidFill>
                    <w14:schemeClr w14:val="tx1"/>
                  </w14:solidFill>
                </w14:textFill>
              </w:rPr>
            </w:pPr>
            <w:r>
              <w:rPr>
                <w:rFonts w:hint="eastAsia" w:ascii="宋体" w:hAnsi="宋体" w:cs="宋体"/>
                <w:bCs/>
                <w:color w:val="000000" w:themeColor="text1"/>
                <w:kern w:val="0"/>
                <w:sz w:val="24"/>
                <w:highlight w:val="none"/>
                <w14:textFill>
                  <w14:solidFill>
                    <w14:schemeClr w14:val="tx1"/>
                  </w14:solidFill>
                </w14:textFill>
              </w:rPr>
              <w:t>采购文件解释</w:t>
            </w:r>
          </w:p>
        </w:tc>
        <w:tc>
          <w:tcPr>
            <w:tcW w:w="7663" w:type="dxa"/>
            <w:gridSpan w:val="3"/>
            <w:tcBorders>
              <w:right w:val="double" w:color="auto" w:sz="4" w:space="0"/>
            </w:tcBorders>
            <w:vAlign w:val="center"/>
          </w:tcPr>
          <w:p w14:paraId="727EF0BA">
            <w:pPr>
              <w:spacing w:line="240" w:lineRule="auto"/>
              <w:jc w:val="both"/>
              <w:rPr>
                <w:rFonts w:ascii="宋体" w:hAnsi="宋体" w:cs="宋体"/>
                <w:bCs/>
                <w:color w:val="000000" w:themeColor="text1"/>
                <w:kern w:val="0"/>
                <w:sz w:val="24"/>
                <w:highlight w:val="none"/>
                <w14:textFill>
                  <w14:solidFill>
                    <w14:schemeClr w14:val="tx1"/>
                  </w14:solidFill>
                </w14:textFill>
              </w:rPr>
            </w:pPr>
            <w:r>
              <w:rPr>
                <w:rFonts w:hint="eastAsia" w:ascii="宋体" w:hAnsi="宋体" w:cs="宋体"/>
                <w:bCs/>
                <w:color w:val="000000" w:themeColor="text1"/>
                <w:kern w:val="0"/>
                <w:sz w:val="24"/>
                <w:highlight w:val="none"/>
                <w14:textFill>
                  <w14:solidFill>
                    <w14:schemeClr w14:val="tx1"/>
                  </w14:solidFill>
                </w14:textFill>
              </w:rPr>
              <w:t>本项目采购文件的解释权属于浙江大兴建设项目管理咨询有限公司</w:t>
            </w:r>
          </w:p>
        </w:tc>
      </w:tr>
      <w:tr w14:paraId="1DED4A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1" w:hRule="exact"/>
          <w:jc w:val="center"/>
        </w:trPr>
        <w:tc>
          <w:tcPr>
            <w:tcW w:w="713" w:type="dxa"/>
            <w:tcBorders>
              <w:left w:val="double" w:color="auto" w:sz="4" w:space="0"/>
              <w:right w:val="single" w:color="auto" w:sz="4" w:space="0"/>
            </w:tcBorders>
            <w:vAlign w:val="center"/>
          </w:tcPr>
          <w:p w14:paraId="422A7527">
            <w:pPr>
              <w:spacing w:line="240" w:lineRule="auto"/>
              <w:ind w:left="-88" w:leftChars="-42" w:right="-113" w:rightChars="-54"/>
              <w:jc w:val="center"/>
              <w:rPr>
                <w:rFonts w:ascii="宋体" w:hAnsi="宋体" w:cs="宋体"/>
                <w:bCs/>
                <w:snapToGrid w:val="0"/>
                <w:color w:val="auto"/>
                <w:sz w:val="24"/>
                <w:highlight w:val="none"/>
              </w:rPr>
            </w:pPr>
            <w:r>
              <w:rPr>
                <w:rFonts w:hint="eastAsia" w:ascii="宋体" w:hAnsi="宋体" w:cs="宋体"/>
                <w:bCs/>
                <w:snapToGrid w:val="0"/>
                <w:color w:val="auto"/>
                <w:sz w:val="24"/>
                <w:highlight w:val="none"/>
              </w:rPr>
              <w:t>16</w:t>
            </w:r>
          </w:p>
        </w:tc>
        <w:tc>
          <w:tcPr>
            <w:tcW w:w="1687" w:type="dxa"/>
            <w:tcBorders>
              <w:left w:val="single" w:color="auto" w:sz="4" w:space="0"/>
            </w:tcBorders>
            <w:vAlign w:val="center"/>
          </w:tcPr>
          <w:p w14:paraId="72C018B6">
            <w:pPr>
              <w:spacing w:line="240" w:lineRule="auto"/>
              <w:ind w:left="-44" w:leftChars="-53" w:right="-65" w:rightChars="-31" w:hanging="67" w:hangingChars="28"/>
              <w:jc w:val="center"/>
              <w:rPr>
                <w:rFonts w:ascii="宋体" w:hAnsi="宋体" w:cs="宋体"/>
                <w:bCs/>
                <w:color w:val="auto"/>
                <w:sz w:val="24"/>
                <w:highlight w:val="none"/>
              </w:rPr>
            </w:pPr>
            <w:r>
              <w:rPr>
                <w:rFonts w:hint="eastAsia" w:ascii="宋体" w:hAnsi="宋体" w:cs="宋体"/>
                <w:b/>
                <w:bCs/>
                <w:color w:val="auto"/>
                <w:sz w:val="24"/>
                <w:highlight w:val="none"/>
              </w:rPr>
              <w:t>投标人硬件准备</w:t>
            </w:r>
          </w:p>
        </w:tc>
        <w:tc>
          <w:tcPr>
            <w:tcW w:w="7663" w:type="dxa"/>
            <w:gridSpan w:val="3"/>
            <w:tcBorders>
              <w:right w:val="double" w:color="auto" w:sz="4" w:space="0"/>
            </w:tcBorders>
            <w:vAlign w:val="center"/>
          </w:tcPr>
          <w:p w14:paraId="666C8DA7">
            <w:pPr>
              <w:spacing w:line="240" w:lineRule="auto"/>
              <w:jc w:val="both"/>
              <w:rPr>
                <w:rFonts w:ascii="宋体" w:hAnsi="宋体" w:cs="宋体"/>
                <w:b/>
                <w:bCs/>
                <w:color w:val="auto"/>
                <w:sz w:val="24"/>
                <w:highlight w:val="none"/>
              </w:rPr>
            </w:pPr>
            <w:r>
              <w:rPr>
                <w:rFonts w:hint="eastAsia" w:ascii="宋体" w:hAnsi="宋体" w:cs="宋体"/>
                <w:b/>
                <w:bCs/>
                <w:color w:val="auto"/>
                <w:sz w:val="24"/>
                <w:highlight w:val="none"/>
              </w:rPr>
              <w:t>1.电脑、网络（供电子投标文件解密和澄清答疑使用）；</w:t>
            </w:r>
          </w:p>
          <w:p w14:paraId="280BD6ED">
            <w:pPr>
              <w:spacing w:line="240" w:lineRule="auto"/>
              <w:jc w:val="both"/>
              <w:rPr>
                <w:rFonts w:ascii="宋体" w:hAnsi="宋体" w:cs="宋体"/>
                <w:bCs/>
                <w:color w:val="auto"/>
                <w:sz w:val="24"/>
                <w:highlight w:val="none"/>
              </w:rPr>
            </w:pPr>
            <w:r>
              <w:rPr>
                <w:rFonts w:hint="eastAsia" w:ascii="宋体" w:hAnsi="宋体" w:cs="宋体"/>
                <w:b/>
                <w:bCs/>
                <w:color w:val="auto"/>
                <w:sz w:val="24"/>
                <w:highlight w:val="none"/>
              </w:rPr>
              <w:t>2.电子投标文件解密CA锁(即原编制电子投标文件加密的CA锁)；</w:t>
            </w:r>
          </w:p>
        </w:tc>
      </w:tr>
      <w:tr w14:paraId="5471BB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14" w:hRule="exact"/>
          <w:jc w:val="center"/>
        </w:trPr>
        <w:tc>
          <w:tcPr>
            <w:tcW w:w="713" w:type="dxa"/>
            <w:tcBorders>
              <w:left w:val="double" w:color="auto" w:sz="4" w:space="0"/>
              <w:right w:val="single" w:color="auto" w:sz="4" w:space="0"/>
            </w:tcBorders>
            <w:vAlign w:val="center"/>
          </w:tcPr>
          <w:p w14:paraId="4C05FF5A">
            <w:pPr>
              <w:spacing w:line="240" w:lineRule="auto"/>
              <w:ind w:left="-88" w:leftChars="-42" w:right="-113" w:rightChars="-54"/>
              <w:jc w:val="center"/>
              <w:rPr>
                <w:rFonts w:hint="default" w:ascii="宋体" w:hAnsi="宋体" w:cs="宋体"/>
                <w:bCs/>
                <w:snapToGrid w:val="0"/>
                <w:color w:val="auto"/>
                <w:sz w:val="24"/>
                <w:highlight w:val="none"/>
                <w:lang w:val="en-US" w:eastAsia="zh-CN"/>
              </w:rPr>
            </w:pPr>
            <w:r>
              <w:rPr>
                <w:rFonts w:hint="eastAsia" w:ascii="宋体" w:hAnsi="宋体" w:cs="宋体"/>
                <w:bCs/>
                <w:snapToGrid w:val="0"/>
                <w:color w:val="auto"/>
                <w:sz w:val="24"/>
                <w:highlight w:val="none"/>
                <w:lang w:val="en-US" w:eastAsia="zh-CN"/>
              </w:rPr>
              <w:t>17</w:t>
            </w:r>
          </w:p>
        </w:tc>
        <w:tc>
          <w:tcPr>
            <w:tcW w:w="1687" w:type="dxa"/>
            <w:tcBorders>
              <w:left w:val="single" w:color="auto" w:sz="4" w:space="0"/>
            </w:tcBorders>
            <w:shd w:val="clear" w:color="auto" w:fill="auto"/>
            <w:vAlign w:val="center"/>
          </w:tcPr>
          <w:p w14:paraId="0EAA665D">
            <w:pPr>
              <w:widowControl/>
              <w:adjustRightInd/>
              <w:spacing w:line="360" w:lineRule="auto"/>
              <w:jc w:val="center"/>
              <w:rPr>
                <w:rFonts w:hint="eastAsia" w:ascii="宋体" w:hAnsi="宋体" w:eastAsia="宋体" w:cs="宋体"/>
                <w:b/>
                <w:color w:val="auto"/>
                <w:sz w:val="24"/>
                <w:highlight w:val="none"/>
                <w:lang w:eastAsia="zh-CN"/>
              </w:rPr>
            </w:pPr>
            <w:r>
              <w:rPr>
                <w:rFonts w:hint="eastAsia" w:ascii="宋体" w:hAnsi="宋体" w:cs="宋体"/>
                <w:b/>
                <w:color w:val="auto"/>
                <w:sz w:val="24"/>
                <w:highlight w:val="none"/>
                <w:lang w:eastAsia="zh-CN"/>
              </w:rPr>
              <w:t>核心产品</w:t>
            </w:r>
          </w:p>
        </w:tc>
        <w:tc>
          <w:tcPr>
            <w:tcW w:w="7663" w:type="dxa"/>
            <w:gridSpan w:val="3"/>
            <w:tcBorders>
              <w:right w:val="double" w:color="auto" w:sz="4" w:space="0"/>
            </w:tcBorders>
            <w:shd w:val="clear" w:color="auto" w:fill="auto"/>
            <w:vAlign w:val="center"/>
          </w:tcPr>
          <w:p w14:paraId="170B478F">
            <w:pPr>
              <w:widowControl/>
              <w:adjustRightInd/>
              <w:spacing w:line="360" w:lineRule="auto"/>
              <w:rPr>
                <w:rFonts w:hint="eastAsia" w:ascii="宋体" w:hAnsi="宋体" w:eastAsia="宋体" w:cs="宋体"/>
                <w:color w:val="auto"/>
                <w:sz w:val="24"/>
                <w:highlight w:val="none"/>
                <w:lang w:eastAsia="zh-CN"/>
              </w:rPr>
            </w:pPr>
            <w:r>
              <w:rPr>
                <w:rFonts w:hint="eastAsia" w:ascii="宋体" w:hAnsi="宋体" w:cs="宋体"/>
                <w:color w:val="auto"/>
                <w:sz w:val="24"/>
                <w:highlight w:val="none"/>
                <w:lang w:eastAsia="zh-CN"/>
              </w:rPr>
              <w:t>“</w:t>
            </w:r>
            <w:r>
              <w:rPr>
                <w:rFonts w:hint="eastAsia" w:ascii="宋体" w:hAnsi="宋体" w:cs="宋体"/>
                <w:color w:val="auto"/>
                <w:sz w:val="24"/>
                <w:highlight w:val="none"/>
              </w:rPr>
              <w:t>★</w:t>
            </w:r>
            <w:r>
              <w:rPr>
                <w:rFonts w:hint="eastAsia" w:ascii="宋体" w:hAnsi="宋体" w:cs="宋体"/>
                <w:color w:val="auto"/>
                <w:sz w:val="24"/>
                <w:highlight w:val="none"/>
                <w:lang w:eastAsia="zh-CN"/>
              </w:rPr>
              <w:t>”标注的产品</w:t>
            </w:r>
          </w:p>
        </w:tc>
      </w:tr>
      <w:tr w14:paraId="01A8BC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3" w:type="dxa"/>
            <w:tcBorders>
              <w:left w:val="double" w:color="auto" w:sz="4" w:space="0"/>
              <w:right w:val="single" w:color="auto" w:sz="4" w:space="0"/>
            </w:tcBorders>
            <w:vAlign w:val="center"/>
          </w:tcPr>
          <w:p w14:paraId="472B949D">
            <w:pPr>
              <w:keepNext w:val="0"/>
              <w:keepLines/>
              <w:pageBreakBefore w:val="0"/>
              <w:widowControl w:val="0"/>
              <w:kinsoku/>
              <w:wordWrap/>
              <w:overflowPunct/>
              <w:topLinePunct w:val="0"/>
              <w:autoSpaceDE/>
              <w:autoSpaceDN/>
              <w:bidi w:val="0"/>
              <w:adjustRightInd/>
              <w:snapToGrid w:val="0"/>
              <w:spacing w:line="312" w:lineRule="auto"/>
              <w:jc w:val="center"/>
              <w:textAlignment w:val="auto"/>
              <w:rPr>
                <w:rFonts w:hint="eastAsia" w:ascii="宋体" w:hAnsi="宋体" w:eastAsia="宋体" w:cs="宋体"/>
                <w:bCs/>
                <w:color w:val="auto"/>
                <w:sz w:val="24"/>
                <w:highlight w:val="none"/>
                <w:lang w:val="en-US" w:eastAsia="zh-CN"/>
              </w:rPr>
            </w:pPr>
            <w:r>
              <w:rPr>
                <w:rFonts w:hint="eastAsia" w:ascii="宋体" w:hAnsi="宋体" w:cs="宋体"/>
                <w:bCs/>
                <w:color w:val="auto"/>
                <w:sz w:val="24"/>
                <w:highlight w:val="none"/>
              </w:rPr>
              <w:t>1</w:t>
            </w:r>
            <w:r>
              <w:rPr>
                <w:rFonts w:hint="eastAsia" w:ascii="宋体" w:hAnsi="宋体" w:cs="宋体"/>
                <w:bCs/>
                <w:color w:val="auto"/>
                <w:sz w:val="24"/>
                <w:highlight w:val="none"/>
                <w:lang w:val="en-US" w:eastAsia="zh-CN"/>
              </w:rPr>
              <w:t>8</w:t>
            </w:r>
          </w:p>
        </w:tc>
        <w:tc>
          <w:tcPr>
            <w:tcW w:w="1687" w:type="dxa"/>
            <w:tcBorders>
              <w:left w:val="single" w:color="auto" w:sz="4" w:space="0"/>
            </w:tcBorders>
            <w:vAlign w:val="center"/>
          </w:tcPr>
          <w:p w14:paraId="700E6561">
            <w:pPr>
              <w:keepNext w:val="0"/>
              <w:keepLines/>
              <w:pageBreakBefore w:val="0"/>
              <w:widowControl w:val="0"/>
              <w:kinsoku/>
              <w:wordWrap/>
              <w:overflowPunct/>
              <w:topLinePunct w:val="0"/>
              <w:autoSpaceDE/>
              <w:autoSpaceDN/>
              <w:bidi w:val="0"/>
              <w:adjustRightInd/>
              <w:snapToGrid w:val="0"/>
              <w:spacing w:line="312" w:lineRule="auto"/>
              <w:textAlignment w:val="auto"/>
              <w:rPr>
                <w:rFonts w:ascii="宋体" w:hAnsi="宋体" w:cs="宋体"/>
                <w:bCs/>
                <w:color w:val="auto"/>
                <w:sz w:val="24"/>
                <w:highlight w:val="none"/>
              </w:rPr>
            </w:pPr>
            <w:r>
              <w:rPr>
                <w:rFonts w:hint="eastAsia" w:ascii="宋体" w:hAnsi="宋体" w:cs="宋体"/>
                <w:bCs/>
                <w:color w:val="auto"/>
                <w:sz w:val="24"/>
                <w:highlight w:val="none"/>
              </w:rPr>
              <w:t>落实政府采购支持中小企业、监狱企业及残疾人福利性单位发展政策</w:t>
            </w:r>
          </w:p>
        </w:tc>
        <w:tc>
          <w:tcPr>
            <w:tcW w:w="7663" w:type="dxa"/>
            <w:gridSpan w:val="3"/>
            <w:tcBorders>
              <w:right w:val="double" w:color="auto" w:sz="4" w:space="0"/>
            </w:tcBorders>
            <w:vAlign w:val="center"/>
          </w:tcPr>
          <w:p w14:paraId="6B6AA0C5">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根据《政府采购促进中小企业发展管理办法》（财库﹝2020﹞46号）规定，本项目</w:t>
            </w:r>
            <w:r>
              <w:rPr>
                <w:rFonts w:hint="eastAsia" w:ascii="宋体" w:hAnsi="宋体" w:eastAsia="宋体" w:cs="宋体"/>
                <w:b w:val="0"/>
                <w:bCs w:val="0"/>
                <w:snapToGrid w:val="0"/>
                <w:color w:val="auto"/>
                <w:kern w:val="28"/>
                <w:sz w:val="24"/>
                <w:szCs w:val="24"/>
                <w:highlight w:val="none"/>
                <w:u w:val="single"/>
              </w:rPr>
              <w:t xml:space="preserve"> </w:t>
            </w:r>
            <w:r>
              <w:rPr>
                <w:rFonts w:hint="eastAsia" w:ascii="宋体" w:hAnsi="宋体" w:eastAsia="宋体" w:cs="宋体"/>
                <w:b/>
                <w:bCs/>
                <w:snapToGrid w:val="0"/>
                <w:color w:val="auto"/>
                <w:kern w:val="28"/>
                <w:sz w:val="24"/>
                <w:szCs w:val="24"/>
                <w:highlight w:val="none"/>
                <w:u w:val="single"/>
              </w:rPr>
              <w:t>是</w:t>
            </w:r>
            <w:r>
              <w:rPr>
                <w:rFonts w:hint="eastAsia" w:ascii="宋体" w:hAnsi="宋体" w:eastAsia="宋体" w:cs="宋体"/>
                <w:b w:val="0"/>
                <w:bCs w:val="0"/>
                <w:snapToGrid w:val="0"/>
                <w:color w:val="auto"/>
                <w:kern w:val="28"/>
                <w:sz w:val="24"/>
                <w:szCs w:val="24"/>
                <w:highlight w:val="none"/>
                <w:u w:val="single"/>
              </w:rPr>
              <w:t xml:space="preserve"> </w:t>
            </w:r>
            <w:r>
              <w:rPr>
                <w:rFonts w:hint="eastAsia" w:ascii="宋体" w:hAnsi="宋体" w:cs="宋体"/>
                <w:color w:val="auto"/>
                <w:kern w:val="0"/>
                <w:sz w:val="24"/>
                <w:highlight w:val="none"/>
                <w:lang w:eastAsia="zh-CN"/>
              </w:rPr>
              <w:t>专门面向</w:t>
            </w:r>
            <w:r>
              <w:rPr>
                <w:rFonts w:hint="eastAsia" w:ascii="宋体" w:hAnsi="宋体" w:cs="宋体"/>
                <w:color w:val="auto"/>
                <w:kern w:val="0"/>
                <w:sz w:val="24"/>
                <w:highlight w:val="none"/>
              </w:rPr>
              <w:t>中小微企业</w:t>
            </w:r>
            <w:r>
              <w:rPr>
                <w:rFonts w:hint="eastAsia" w:ascii="宋体" w:hAnsi="宋体" w:cs="宋体"/>
                <w:color w:val="auto"/>
                <w:kern w:val="0"/>
                <w:sz w:val="24"/>
                <w:highlight w:val="none"/>
                <w:lang w:eastAsia="zh-CN"/>
              </w:rPr>
              <w:t>采购</w:t>
            </w:r>
            <w:r>
              <w:rPr>
                <w:rFonts w:hint="eastAsia" w:ascii="宋体" w:hAnsi="宋体" w:eastAsia="宋体" w:cs="宋体"/>
                <w:b w:val="0"/>
                <w:bCs w:val="0"/>
                <w:snapToGrid w:val="0"/>
                <w:color w:val="auto"/>
                <w:kern w:val="28"/>
                <w:sz w:val="24"/>
                <w:szCs w:val="24"/>
                <w:highlight w:val="none"/>
              </w:rPr>
              <w:t>，不再重复享受价格扣除的优惠政策。</w:t>
            </w:r>
          </w:p>
          <w:p w14:paraId="4DAAC680">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对于非</w:t>
            </w:r>
            <w:r>
              <w:rPr>
                <w:rFonts w:hint="eastAsia" w:ascii="宋体" w:hAnsi="宋体" w:cs="宋体"/>
                <w:color w:val="auto"/>
                <w:kern w:val="0"/>
                <w:sz w:val="24"/>
                <w:highlight w:val="none"/>
                <w:lang w:eastAsia="zh-CN"/>
              </w:rPr>
              <w:t>专门面向</w:t>
            </w:r>
            <w:r>
              <w:rPr>
                <w:rFonts w:hint="eastAsia" w:ascii="宋体" w:hAnsi="宋体" w:cs="宋体"/>
                <w:color w:val="auto"/>
                <w:kern w:val="0"/>
                <w:sz w:val="24"/>
                <w:highlight w:val="none"/>
              </w:rPr>
              <w:t>中小微企业</w:t>
            </w:r>
            <w:r>
              <w:rPr>
                <w:rFonts w:hint="eastAsia" w:ascii="宋体" w:hAnsi="宋体" w:cs="宋体"/>
                <w:color w:val="auto"/>
                <w:kern w:val="0"/>
                <w:sz w:val="24"/>
                <w:highlight w:val="none"/>
                <w:lang w:eastAsia="zh-CN"/>
              </w:rPr>
              <w:t>采购</w:t>
            </w:r>
            <w:r>
              <w:rPr>
                <w:rFonts w:hint="eastAsia" w:ascii="宋体" w:hAnsi="宋体" w:eastAsia="宋体" w:cs="宋体"/>
                <w:b w:val="0"/>
                <w:bCs w:val="0"/>
                <w:snapToGrid w:val="0"/>
                <w:color w:val="auto"/>
                <w:kern w:val="28"/>
                <w:sz w:val="24"/>
                <w:szCs w:val="24"/>
                <w:highlight w:val="none"/>
              </w:rPr>
              <w:t>的项目，对小微企业报价给予20%的扣除，用扣除后的价格参加评审。对于联合协议或者分包意向协议约定小微企业的合同份额占到合同总金额30%以上的，对联合体或者大中型企业的报价给予6%的扣除，用扣除后的价格参加评审。</w:t>
            </w:r>
          </w:p>
          <w:p w14:paraId="15CF90EE">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本项目所属行业</w:t>
            </w:r>
            <w:r>
              <w:rPr>
                <w:rFonts w:hint="eastAsia" w:ascii="宋体" w:hAnsi="宋体" w:eastAsia="宋体" w:cs="宋体"/>
                <w:b w:val="0"/>
                <w:bCs w:val="0"/>
                <w:snapToGrid w:val="0"/>
                <w:color w:val="auto"/>
                <w:kern w:val="28"/>
                <w:sz w:val="24"/>
                <w:szCs w:val="24"/>
                <w:highlight w:val="none"/>
                <w:u w:val="single"/>
              </w:rPr>
              <w:t>：</w:t>
            </w:r>
            <w:r>
              <w:rPr>
                <w:rFonts w:hint="eastAsia" w:ascii="Segoe UI" w:hAnsi="Segoe UI" w:cs="Segoe UI"/>
                <w:i w:val="0"/>
                <w:iCs w:val="0"/>
                <w:caps w:val="0"/>
                <w:color w:val="auto"/>
                <w:spacing w:val="0"/>
                <w:sz w:val="24"/>
                <w:szCs w:val="24"/>
                <w:u w:val="single"/>
                <w:shd w:val="clear" w:fill="FFFFFF"/>
                <w:lang w:val="en-US" w:eastAsia="zh-CN"/>
              </w:rPr>
              <w:t>工业</w:t>
            </w:r>
            <w:r>
              <w:rPr>
                <w:rFonts w:hint="eastAsia" w:ascii="宋体" w:hAnsi="宋体" w:cs="宋体"/>
                <w:b w:val="0"/>
                <w:bCs w:val="0"/>
                <w:snapToGrid w:val="0"/>
                <w:color w:val="auto"/>
                <w:kern w:val="28"/>
                <w:sz w:val="24"/>
                <w:szCs w:val="24"/>
                <w:highlight w:val="none"/>
                <w:u w:val="single"/>
                <w:lang w:val="en-US" w:eastAsia="zh-CN"/>
              </w:rPr>
              <w:t xml:space="preserve"> </w:t>
            </w:r>
            <w:r>
              <w:rPr>
                <w:rFonts w:hint="eastAsia" w:ascii="宋体" w:hAnsi="宋体" w:eastAsia="宋体" w:cs="宋体"/>
                <w:b w:val="0"/>
                <w:bCs w:val="0"/>
                <w:snapToGrid w:val="0"/>
                <w:color w:val="auto"/>
                <w:kern w:val="28"/>
                <w:sz w:val="24"/>
                <w:szCs w:val="24"/>
                <w:highlight w:val="none"/>
                <w:u w:val="single"/>
              </w:rPr>
              <w:t>。</w:t>
            </w:r>
            <w:r>
              <w:rPr>
                <w:rFonts w:hint="eastAsia" w:ascii="宋体" w:hAnsi="宋体" w:eastAsia="宋体" w:cs="宋体"/>
                <w:b w:val="0"/>
                <w:bCs w:val="0"/>
                <w:snapToGrid w:val="0"/>
                <w:color w:val="auto"/>
                <w:kern w:val="28"/>
                <w:sz w:val="24"/>
                <w:szCs w:val="24"/>
                <w:highlight w:val="none"/>
              </w:rPr>
              <w:t>(中小微型企业划分标准参照国家统计局印发的《统计上大中小微型企业划分办法（2017）》，上述填写的所属行业详见《统计上大中小微型企业划分办法（2017）》附件)。</w:t>
            </w:r>
          </w:p>
          <w:p w14:paraId="30D0A517">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监狱企业、残疾人福利性单位视同小型、微型企业，享受价格扣除。</w:t>
            </w:r>
          </w:p>
          <w:p w14:paraId="4405D5A6">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残疾人福利性单位属于小型、微型企业的，不重复享受政策。</w:t>
            </w:r>
          </w:p>
          <w:p w14:paraId="05CC9647">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注：</w:t>
            </w:r>
          </w:p>
          <w:p w14:paraId="5EAF730C">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1、从业人员、营业收入、资产总额填报上一年度数据，新成立企业也需要提供声明函，在声明函中对营业收入、资产总额、从业人员的数据不填写。</w:t>
            </w:r>
          </w:p>
          <w:p w14:paraId="2A28AF7A">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2、填写要求：</w:t>
            </w:r>
          </w:p>
          <w:p w14:paraId="266AD7B9">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①“标的名称”、“采购文件中明确的所属行业”依据招标文件第三章投标人须知前附表中“采购标的及其对应的中小企业划分标准所属行业”的指引逐一填写，不得缺漏；其中行业错填、漏填，声明函无效，但错填为“采购文件确定的行业”等类似瑕疵的除外。</w:t>
            </w:r>
          </w:p>
          <w:p w14:paraId="30570561">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②从业人员、营业收入、资产总额填报上一年度数据，无上一年度数据的新成立企业可不填报；</w:t>
            </w:r>
          </w:p>
          <w:p w14:paraId="3A4AB531">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③中型企业、小型企业、微型企业等3种企业类型，结合以上数据，依据《中小企业划型标准规定》（工信部联企业〔2011〕300号）确定；从业人员、营业收入、资产总额数据存在疑义的，由供应商澄清说明，供应商对填报的数据来源作出合理解释，且企业类型正确的，声明函有效。</w:t>
            </w:r>
          </w:p>
          <w:p w14:paraId="181D9046">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④投标人提供的《中小企业声明函》中供应商企业类型与实际不符的，声明函无效，不享受中小企业扶持政策。供应商企业类型与实际不符，且获得了本不应获得的利益（价格扣除或者资格审查通过），属于提供虚假材料谋取中标、成交，依法承担法律责任。</w:t>
            </w:r>
          </w:p>
          <w:p w14:paraId="0A2B4AEE">
            <w:pPr>
              <w:keepNext w:val="0"/>
              <w:keepLines/>
              <w:pageBreakBefore w:val="0"/>
              <w:widowControl w:val="0"/>
              <w:kinsoku/>
              <w:wordWrap/>
              <w:overflowPunct/>
              <w:topLinePunct w:val="0"/>
              <w:autoSpaceDE/>
              <w:autoSpaceDN/>
              <w:bidi w:val="0"/>
              <w:adjustRightInd/>
              <w:textAlignment w:val="auto"/>
              <w:rPr>
                <w:rFonts w:hint="eastAsia" w:ascii="宋体" w:hAnsi="宋体" w:eastAsia="宋体" w:cs="宋体"/>
                <w:b w:val="0"/>
                <w:bCs w:val="0"/>
                <w:snapToGrid w:val="0"/>
                <w:color w:val="auto"/>
                <w:kern w:val="28"/>
                <w:sz w:val="24"/>
                <w:szCs w:val="24"/>
                <w:highlight w:val="none"/>
              </w:rPr>
            </w:pPr>
            <w:r>
              <w:rPr>
                <w:rFonts w:hint="eastAsia" w:ascii="宋体" w:hAnsi="宋体" w:eastAsia="宋体" w:cs="宋体"/>
                <w:b w:val="0"/>
                <w:bCs w:val="0"/>
                <w:snapToGrid w:val="0"/>
                <w:color w:val="auto"/>
                <w:kern w:val="28"/>
                <w:sz w:val="24"/>
                <w:szCs w:val="24"/>
                <w:highlight w:val="none"/>
              </w:rPr>
              <w:t>3、符合《关于促进残疾人就业政府采购政策的通知》（财库〔2017〕141号）规定的条件并提供《残疾人福利性单位声明函》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241BF81D">
            <w:pPr>
              <w:keepNext w:val="0"/>
              <w:keepLines/>
              <w:pageBreakBefore w:val="0"/>
              <w:widowControl w:val="0"/>
              <w:kinsoku/>
              <w:wordWrap/>
              <w:overflowPunct/>
              <w:topLinePunct w:val="0"/>
              <w:autoSpaceDE/>
              <w:autoSpaceDN/>
              <w:bidi w:val="0"/>
              <w:adjustRightInd/>
              <w:textAlignment w:val="auto"/>
              <w:rPr>
                <w:color w:val="auto"/>
              </w:rPr>
            </w:pPr>
            <w:r>
              <w:rPr>
                <w:rFonts w:hint="eastAsia" w:ascii="宋体" w:hAnsi="宋体" w:eastAsia="宋体" w:cs="宋体"/>
                <w:b w:val="0"/>
                <w:bCs w:val="0"/>
                <w:snapToGrid w:val="0"/>
                <w:color w:val="auto"/>
                <w:kern w:val="28"/>
                <w:sz w:val="24"/>
                <w:szCs w:val="24"/>
                <w:highlight w:val="none"/>
              </w:rPr>
              <w:t>4.制造商请务必和《报价明细表》的制造商保持一致。《中小企业声明函》（货物）中制造厂商错填、漏填，声明函无效；《中小企业声明函》中的制造厂商使用他人授权品牌或者授权他人实际生产，声明函无效。</w:t>
            </w:r>
          </w:p>
        </w:tc>
      </w:tr>
      <w:tr w14:paraId="3BB4F2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713" w:type="dxa"/>
            <w:tcBorders>
              <w:left w:val="double" w:color="auto" w:sz="4" w:space="0"/>
              <w:bottom w:val="double" w:color="auto" w:sz="4" w:space="0"/>
              <w:right w:val="single" w:color="auto" w:sz="4" w:space="0"/>
            </w:tcBorders>
            <w:vAlign w:val="center"/>
          </w:tcPr>
          <w:p w14:paraId="365CCB43">
            <w:pPr>
              <w:spacing w:line="288" w:lineRule="auto"/>
              <w:ind w:left="-88" w:leftChars="-42" w:right="-113" w:rightChars="-54"/>
              <w:jc w:val="center"/>
              <w:rPr>
                <w:rFonts w:hint="default" w:ascii="宋体" w:hAnsi="宋体" w:eastAsia="宋体" w:cs="宋体"/>
                <w:bCs/>
                <w:snapToGrid w:val="0"/>
                <w:color w:val="000000" w:themeColor="text1"/>
                <w:sz w:val="24"/>
                <w:highlight w:val="none"/>
                <w:lang w:val="en-US" w:eastAsia="zh-CN"/>
                <w14:textFill>
                  <w14:solidFill>
                    <w14:schemeClr w14:val="tx1"/>
                  </w14:solidFill>
                </w14:textFill>
              </w:rPr>
            </w:pPr>
            <w:r>
              <w:rPr>
                <w:rFonts w:hint="eastAsia" w:ascii="宋体" w:hAnsi="宋体" w:cs="宋体"/>
                <w:bCs/>
                <w:snapToGrid w:val="0"/>
                <w:color w:val="000000" w:themeColor="text1"/>
                <w:sz w:val="24"/>
                <w:highlight w:val="none"/>
                <w:lang w:val="en-US" w:eastAsia="zh-CN"/>
                <w14:textFill>
                  <w14:solidFill>
                    <w14:schemeClr w14:val="tx1"/>
                  </w14:solidFill>
                </w14:textFill>
              </w:rPr>
              <w:t>19</w:t>
            </w:r>
          </w:p>
        </w:tc>
        <w:tc>
          <w:tcPr>
            <w:tcW w:w="1687" w:type="dxa"/>
            <w:tcBorders>
              <w:left w:val="single" w:color="auto" w:sz="4" w:space="0"/>
              <w:bottom w:val="double" w:color="auto" w:sz="4" w:space="0"/>
            </w:tcBorders>
            <w:vAlign w:val="center"/>
          </w:tcPr>
          <w:p w14:paraId="0947CE30">
            <w:pPr>
              <w:spacing w:line="288" w:lineRule="auto"/>
              <w:ind w:left="-44" w:leftChars="-53" w:right="-65" w:rightChars="-31" w:hanging="67" w:hangingChars="28"/>
              <w:jc w:val="center"/>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其它</w:t>
            </w:r>
          </w:p>
        </w:tc>
        <w:tc>
          <w:tcPr>
            <w:tcW w:w="7663" w:type="dxa"/>
            <w:gridSpan w:val="3"/>
            <w:tcBorders>
              <w:bottom w:val="double" w:color="auto" w:sz="4" w:space="0"/>
              <w:right w:val="double" w:color="auto" w:sz="4" w:space="0"/>
            </w:tcBorders>
            <w:vAlign w:val="center"/>
          </w:tcPr>
          <w:p w14:paraId="4A1E2BB8">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中标供应商有资金需求，可申请政采贷、履约保函、预付款保函等政府采购金融服务。</w:t>
            </w:r>
          </w:p>
          <w:p w14:paraId="6A7FB349">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1、政采贷</w:t>
            </w:r>
          </w:p>
          <w:p w14:paraId="2D9B26F6">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通过发挥政府采购政策功能，依托政采云在互联网、云计算、大数据等方面的优势，由各银行向平台用户提供中短期贷款（主要包括流水贷和合同贷），以解决中小微企业“融资难”、“担保难”问题的信用融资产品。</w:t>
            </w:r>
          </w:p>
          <w:p w14:paraId="1AB18BAB">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2、履约保函、预付款保函</w:t>
            </w:r>
          </w:p>
          <w:p w14:paraId="3E082802">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中标供应商可通过以保函的形式提交履约保证金，减少对中小微企业的资金占用，降低财务成本。</w:t>
            </w:r>
          </w:p>
          <w:p w14:paraId="1FE0D751">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履约保函，政采贷，预付款保函等金融服务办理方式。</w:t>
            </w:r>
          </w:p>
          <w:p w14:paraId="3E05F01D">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中标供应商登陆政采云——我的工作台——金融服务——融资专区或保函专区申请。金融专线95763</w:t>
            </w:r>
          </w:p>
          <w:p w14:paraId="385CD1BB">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3.风险提示</w:t>
            </w:r>
          </w:p>
          <w:p w14:paraId="6A7E1550">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（1）本宣传简介内容仅为提供给各中标供应商对办理政府采购金融服务的宣传和了解之方便，对金融服务的具体内容和操作流程均以各金融机构的要求为准，也不作强制要求。</w:t>
            </w:r>
          </w:p>
          <w:p w14:paraId="0254159D">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（2）政府采购金融服务有风险，请详细了解并综合评估后再决定。</w:t>
            </w:r>
          </w:p>
          <w:p w14:paraId="59668CAF">
            <w:pPr>
              <w:snapToGrid w:val="0"/>
              <w:spacing w:line="288" w:lineRule="auto"/>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（3）政府采购金融服务遵循平等自愿、风险自担的原则。采购人、代理机构、财政部门不为任何政府采购金融服务项目承担任何形式的担保、解释或其他连带责任。</w:t>
            </w:r>
          </w:p>
        </w:tc>
      </w:tr>
    </w:tbl>
    <w:p w14:paraId="3C9F53DD">
      <w:pPr>
        <w:pStyle w:val="5"/>
        <w:spacing w:before="0" w:after="0"/>
        <w:ind w:firstLine="0" w:firstLineChars="0"/>
        <w:rPr>
          <w:rFonts w:hint="eastAsia" w:ascii="宋体" w:hAnsi="宋体" w:eastAsia="宋体" w:cs="宋体"/>
          <w:color w:val="000000" w:themeColor="text1"/>
          <w:sz w:val="24"/>
          <w:szCs w:val="24"/>
          <w:highlight w:val="none"/>
          <w14:textFill>
            <w14:solidFill>
              <w14:schemeClr w14:val="tx1"/>
            </w14:solidFill>
          </w14:textFill>
        </w:rPr>
      </w:pPr>
      <w:bookmarkStart w:id="31" w:name="_Toc28883"/>
    </w:p>
    <w:p w14:paraId="114E6E29">
      <w:pPr>
        <w:pStyle w:val="3"/>
        <w:rPr>
          <w:rFonts w:hint="eastAsia" w:ascii="宋体" w:hAnsi="宋体" w:eastAsia="宋体" w:cs="宋体"/>
          <w:color w:val="000000" w:themeColor="text1"/>
          <w:sz w:val="24"/>
          <w:szCs w:val="24"/>
          <w:highlight w:val="none"/>
          <w14:textFill>
            <w14:solidFill>
              <w14:schemeClr w14:val="tx1"/>
            </w14:solidFill>
          </w14:textFill>
        </w:rPr>
      </w:pPr>
    </w:p>
    <w:p w14:paraId="404E20CF">
      <w:pPr>
        <w:rPr>
          <w:rFonts w:hint="eastAsia" w:ascii="宋体" w:hAnsi="宋体" w:eastAsia="宋体" w:cs="宋体"/>
          <w:color w:val="000000" w:themeColor="text1"/>
          <w:sz w:val="24"/>
          <w:szCs w:val="24"/>
          <w:highlight w:val="none"/>
          <w14:textFill>
            <w14:solidFill>
              <w14:schemeClr w14:val="tx1"/>
            </w14:solidFill>
          </w14:textFill>
        </w:rPr>
      </w:pPr>
    </w:p>
    <w:p w14:paraId="1BE2E5DD">
      <w:pPr>
        <w:pStyle w:val="3"/>
        <w:rPr>
          <w:rFonts w:hint="eastAsia" w:ascii="宋体" w:hAnsi="宋体" w:eastAsia="宋体" w:cs="宋体"/>
          <w:color w:val="000000" w:themeColor="text1"/>
          <w:sz w:val="24"/>
          <w:szCs w:val="24"/>
          <w:highlight w:val="none"/>
          <w14:textFill>
            <w14:solidFill>
              <w14:schemeClr w14:val="tx1"/>
            </w14:solidFill>
          </w14:textFill>
        </w:rPr>
      </w:pPr>
    </w:p>
    <w:p w14:paraId="2702491D">
      <w:pPr>
        <w:rPr>
          <w:rFonts w:hint="eastAsia" w:ascii="宋体" w:hAnsi="宋体" w:eastAsia="宋体" w:cs="宋体"/>
          <w:color w:val="000000" w:themeColor="text1"/>
          <w:sz w:val="24"/>
          <w:szCs w:val="24"/>
          <w:highlight w:val="none"/>
          <w14:textFill>
            <w14:solidFill>
              <w14:schemeClr w14:val="tx1"/>
            </w14:solidFill>
          </w14:textFill>
        </w:rPr>
      </w:pPr>
    </w:p>
    <w:p w14:paraId="04862BF2">
      <w:pPr>
        <w:pStyle w:val="3"/>
        <w:rPr>
          <w:rFonts w:hint="eastAsia" w:ascii="宋体" w:hAnsi="宋体" w:eastAsia="宋体" w:cs="宋体"/>
          <w:color w:val="000000" w:themeColor="text1"/>
          <w:sz w:val="24"/>
          <w:szCs w:val="24"/>
          <w:highlight w:val="none"/>
          <w14:textFill>
            <w14:solidFill>
              <w14:schemeClr w14:val="tx1"/>
            </w14:solidFill>
          </w14:textFill>
        </w:rPr>
      </w:pPr>
    </w:p>
    <w:p w14:paraId="551CCA61">
      <w:pPr>
        <w:rPr>
          <w:rFonts w:hint="eastAsia" w:ascii="宋体" w:hAnsi="宋体" w:eastAsia="宋体" w:cs="宋体"/>
          <w:color w:val="000000" w:themeColor="text1"/>
          <w:sz w:val="24"/>
          <w:szCs w:val="24"/>
          <w:highlight w:val="none"/>
          <w14:textFill>
            <w14:solidFill>
              <w14:schemeClr w14:val="tx1"/>
            </w14:solidFill>
          </w14:textFill>
        </w:rPr>
      </w:pPr>
    </w:p>
    <w:p w14:paraId="09EA29C2">
      <w:pPr>
        <w:pStyle w:val="3"/>
        <w:rPr>
          <w:rFonts w:hint="eastAsia" w:ascii="宋体" w:hAnsi="宋体" w:eastAsia="宋体" w:cs="宋体"/>
          <w:color w:val="000000" w:themeColor="text1"/>
          <w:sz w:val="24"/>
          <w:szCs w:val="24"/>
          <w:highlight w:val="none"/>
          <w14:textFill>
            <w14:solidFill>
              <w14:schemeClr w14:val="tx1"/>
            </w14:solidFill>
          </w14:textFill>
        </w:rPr>
      </w:pPr>
    </w:p>
    <w:p w14:paraId="7C2346E5">
      <w:pPr>
        <w:rPr>
          <w:rFonts w:hint="eastAsia" w:ascii="宋体" w:hAnsi="宋体" w:eastAsia="宋体" w:cs="宋体"/>
          <w:color w:val="000000" w:themeColor="text1"/>
          <w:sz w:val="24"/>
          <w:szCs w:val="24"/>
          <w:highlight w:val="none"/>
          <w14:textFill>
            <w14:solidFill>
              <w14:schemeClr w14:val="tx1"/>
            </w14:solidFill>
          </w14:textFill>
        </w:rPr>
      </w:pPr>
    </w:p>
    <w:p w14:paraId="12E6AD11">
      <w:pPr>
        <w:pStyle w:val="3"/>
        <w:rPr>
          <w:rFonts w:hint="eastAsia"/>
        </w:rPr>
      </w:pPr>
    </w:p>
    <w:p w14:paraId="13FAE26F">
      <w:pPr>
        <w:rPr>
          <w:rFonts w:hint="eastAsia"/>
        </w:rPr>
      </w:pPr>
    </w:p>
    <w:p w14:paraId="15262D35">
      <w:pPr>
        <w:pStyle w:val="5"/>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一   总则</w:t>
      </w:r>
      <w:bookmarkEnd w:id="31"/>
    </w:p>
    <w:p w14:paraId="720326CF">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1.适用范围</w:t>
      </w:r>
    </w:p>
    <w:p w14:paraId="1896442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1.1招标文件适用于本次所述项目的采购行为（法律、法规另有规定的，从其规定）。</w:t>
      </w:r>
    </w:p>
    <w:p w14:paraId="023EF0FA">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2.定义</w:t>
      </w:r>
    </w:p>
    <w:p w14:paraId="0F7F1F6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2.1.1“采购人”系</w:t>
      </w:r>
      <w:r>
        <w:rPr>
          <w:rFonts w:hint="eastAsia" w:ascii="宋体" w:hAnsi="宋体" w:cs="宋体"/>
          <w:color w:val="000000" w:themeColor="text1"/>
          <w:sz w:val="24"/>
          <w:highlight w:val="none"/>
          <w:lang w:eastAsia="zh-CN"/>
          <w14:textFill>
            <w14:solidFill>
              <w14:schemeClr w14:val="tx1"/>
            </w14:solidFill>
          </w14:textFill>
        </w:rPr>
        <w:t>缙云县教育局</w:t>
      </w:r>
      <w:r>
        <w:rPr>
          <w:rFonts w:hint="eastAsia" w:ascii="宋体" w:hAnsi="宋体" w:cs="宋体"/>
          <w:color w:val="000000" w:themeColor="text1"/>
          <w:sz w:val="24"/>
          <w:highlight w:val="none"/>
          <w14:textFill>
            <w14:solidFill>
              <w14:schemeClr w14:val="tx1"/>
            </w14:solidFill>
          </w14:textFill>
        </w:rPr>
        <w:t>。</w:t>
      </w:r>
    </w:p>
    <w:p w14:paraId="238B9B8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2.1.2 “投标人”系指符合本项目投标人应具备的资格要求，依法获取招标文件并参与项目投标的供应商。“投标人代表”系指投标文件中的负责人或其授权的委托代理人。</w:t>
      </w:r>
    </w:p>
    <w:p w14:paraId="797A75A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2.1.3 “采购代理机构”系指浙江大兴建设项目管理咨询有限公司。</w:t>
      </w:r>
    </w:p>
    <w:p w14:paraId="02A92B8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2.1.4“负责人”系指法人企业的法定代表人，或其他组织为法律、行政法规规定代表单位行使职权的主要负责人。</w:t>
      </w:r>
    </w:p>
    <w:p w14:paraId="1E40F67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2.1.5“合同”系指甲乙双方签署的规定甲乙双方权利与义务的协议，以及所有的附件、附录和招标文件所提到的构成合同的所有文件。</w:t>
      </w:r>
    </w:p>
    <w:p w14:paraId="247307D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2.1.6 “产品”系指投标人按招标文件规定，须向采购人提供的一切产品（包括：虚拟产品），以及产品相关的保险、税金、备品备件、附件、耗材、工具、手册及其它有关技术资料和材料等。</w:t>
      </w:r>
    </w:p>
    <w:p w14:paraId="3082277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2.1.7 “服务”系指投标人按招标文件规定应承担的送货上门、安装、调试、技术协助、校准、培训、技术指导以及其他类似的附随义务。</w:t>
      </w:r>
    </w:p>
    <w:p w14:paraId="06DBD049">
      <w:pPr>
        <w:spacing w:line="360" w:lineRule="auto"/>
        <w:ind w:firstLine="482" w:firstLineChars="200"/>
        <w:rPr>
          <w:rFonts w:ascii="宋体" w:hAnsi="宋体" w:cs="宋体"/>
          <w:b/>
          <w:bCs/>
          <w:color w:val="000000" w:themeColor="text1"/>
          <w:sz w:val="24"/>
          <w:highlight w:val="none"/>
          <w14:textFill>
            <w14:solidFill>
              <w14:schemeClr w14:val="tx1"/>
            </w14:solidFill>
          </w14:textFill>
        </w:rPr>
      </w:pPr>
      <w:r>
        <w:rPr>
          <w:rFonts w:hint="eastAsia" w:ascii="宋体" w:hAnsi="宋体" w:cs="宋体"/>
          <w:b/>
          <w:bCs/>
          <w:color w:val="000000" w:themeColor="text1"/>
          <w:sz w:val="24"/>
          <w:highlight w:val="none"/>
          <w14:textFill>
            <w14:solidFill>
              <w14:schemeClr w14:val="tx1"/>
            </w14:solidFill>
          </w14:textFill>
        </w:rPr>
        <w:t>2.1.8本文件所指的公章均指投标人的CA电子章（投标文件格式有特殊要求的除外）。</w:t>
      </w:r>
    </w:p>
    <w:p w14:paraId="612CEA31">
      <w:pPr>
        <w:spacing w:line="360" w:lineRule="auto"/>
        <w:ind w:firstLine="480" w:firstLineChars="200"/>
        <w:rPr>
          <w:rFonts w:ascii="宋体" w:hAnsi="宋体" w:cs="宋体"/>
          <w:b/>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2.1.9</w:t>
      </w:r>
      <w:r>
        <w:rPr>
          <w:rFonts w:hint="eastAsia" w:ascii="宋体" w:hAnsi="宋体" w:eastAsia="宋体" w:cs="宋体"/>
          <w:color w:val="000000" w:themeColor="text1"/>
          <w:sz w:val="24"/>
          <w:szCs w:val="32"/>
          <w:highlight w:val="none"/>
          <w14:textFill>
            <w14:solidFill>
              <w14:schemeClr w14:val="tx1"/>
            </w14:solidFill>
          </w14:textFill>
        </w:rPr>
        <w:t>“实质性条款”系指采购需求中标明“▲”的条款</w:t>
      </w:r>
      <w:r>
        <w:rPr>
          <w:rFonts w:hint="eastAsia" w:ascii="宋体" w:hAnsi="宋体" w:cs="宋体"/>
          <w:color w:val="000000" w:themeColor="text1"/>
          <w:sz w:val="24"/>
          <w:szCs w:val="32"/>
          <w:highlight w:val="none"/>
          <w:lang w:eastAsia="zh-CN"/>
          <w14:textFill>
            <w14:solidFill>
              <w14:schemeClr w14:val="tx1"/>
            </w14:solidFill>
          </w14:textFill>
        </w:rPr>
        <w:t>，</w:t>
      </w:r>
      <w:r>
        <w:rPr>
          <w:rFonts w:hint="eastAsia" w:ascii="宋体" w:hAnsi="宋体" w:eastAsia="宋体" w:cs="宋体"/>
          <w:bCs/>
          <w:color w:val="000000" w:themeColor="text1"/>
          <w:sz w:val="24"/>
          <w:highlight w:val="none"/>
          <w14:textFill>
            <w14:solidFill>
              <w14:schemeClr w14:val="tx1"/>
            </w14:solidFill>
          </w14:textFill>
        </w:rPr>
        <w:t>“★”为</w:t>
      </w:r>
      <w:r>
        <w:rPr>
          <w:rFonts w:hint="eastAsia" w:ascii="宋体" w:hAnsi="宋体" w:cs="宋体"/>
          <w:bCs/>
          <w:color w:val="000000" w:themeColor="text1"/>
          <w:sz w:val="24"/>
          <w:highlight w:val="none"/>
          <w:lang w:eastAsia="zh-CN"/>
          <w14:textFill>
            <w14:solidFill>
              <w14:schemeClr w14:val="tx1"/>
            </w14:solidFill>
          </w14:textFill>
        </w:rPr>
        <w:t>核心产品</w:t>
      </w:r>
      <w:r>
        <w:rPr>
          <w:rFonts w:hint="eastAsia" w:ascii="宋体" w:hAnsi="宋体" w:eastAsia="宋体" w:cs="宋体"/>
          <w:bCs/>
          <w:color w:val="000000" w:themeColor="text1"/>
          <w:sz w:val="24"/>
          <w:highlight w:val="none"/>
          <w14:textFill>
            <w14:solidFill>
              <w14:schemeClr w14:val="tx1"/>
            </w14:solidFill>
          </w14:textFill>
        </w:rPr>
        <w:t>。</w:t>
      </w:r>
    </w:p>
    <w:p w14:paraId="2C9BEA5D">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3.投标人基本要求</w:t>
      </w:r>
    </w:p>
    <w:p w14:paraId="668941D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3.1符合第一章第“二”条规定；</w:t>
      </w:r>
    </w:p>
    <w:p w14:paraId="77F0A85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3.2投标人应遵守有关的法律、法规和规章条例。</w:t>
      </w:r>
    </w:p>
    <w:p w14:paraId="61C0C46B">
      <w:pPr>
        <w:spacing w:line="360" w:lineRule="auto"/>
        <w:ind w:firstLine="482" w:firstLineChars="200"/>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4.联合体说明</w:t>
      </w:r>
    </w:p>
    <w:p w14:paraId="324E65FD">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4.1本项目接受联合体投标。</w:t>
      </w:r>
    </w:p>
    <w:p w14:paraId="48C5DE66">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4.2联合体投标的各方应当符合第一章第“二”条的特定资质条件。</w:t>
      </w:r>
    </w:p>
    <w:p w14:paraId="3DF20BB6">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4.3联合体投标的各方同一资质应当以资质最低一方作为合格供应商资格条件。</w:t>
      </w:r>
    </w:p>
    <w:p w14:paraId="166AF4EC">
      <w:pPr>
        <w:spacing w:line="360" w:lineRule="auto"/>
        <w:ind w:firstLine="480" w:firstLineChars="200"/>
      </w:pPr>
      <w:r>
        <w:rPr>
          <w:rFonts w:hint="eastAsia" w:ascii="宋体" w:hAnsi="宋体" w:eastAsia="宋体" w:cs="宋体"/>
          <w:color w:val="000000" w:themeColor="text1"/>
          <w:sz w:val="24"/>
          <w:highlight w:val="none"/>
          <w14:textFill>
            <w14:solidFill>
              <w14:schemeClr w14:val="tx1"/>
            </w14:solidFill>
          </w14:textFill>
        </w:rPr>
        <w:t>4.4联合体投标的，必须提供《联合协议书》。</w:t>
      </w:r>
    </w:p>
    <w:p w14:paraId="388A0AE4">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5.特别说明</w:t>
      </w:r>
    </w:p>
    <w:p w14:paraId="4AD7E24D">
      <w:pPr>
        <w:spacing w:line="360" w:lineRule="auto"/>
        <w:ind w:firstLine="480" w:firstLineChars="200"/>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5.1</w:t>
      </w:r>
      <w:r>
        <w:rPr>
          <w:rFonts w:hint="eastAsia" w:ascii="宋体" w:hAnsi="宋体" w:cs="宋体"/>
          <w:color w:val="000000" w:themeColor="text1"/>
          <w:sz w:val="24"/>
          <w:highlight w:val="none"/>
          <w14:textFill>
            <w14:solidFill>
              <w14:schemeClr w14:val="tx1"/>
            </w14:solidFill>
          </w14:textFill>
        </w:rPr>
        <w:t>单位负责人为同一人或者存在直接控股、管理关系的不同投标人，不得参加同一合同项下的政府采购活动。</w:t>
      </w:r>
    </w:p>
    <w:p w14:paraId="774EDF0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5.2 为采购项目提供整体设计、规范编制或者项目管理、监理、检测等服务的投标人，不得再参加该采购项目的其他采购活动。</w:t>
      </w:r>
    </w:p>
    <w:p w14:paraId="4A0BAC8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5.3投标人自行承担所有与投标有关的全部费用。</w:t>
      </w:r>
    </w:p>
    <w:p w14:paraId="689E064B">
      <w:pPr>
        <w:pStyle w:val="5"/>
        <w:spacing w:before="0" w:after="0"/>
        <w:ind w:firstLine="0" w:firstLineChars="0"/>
        <w:rPr>
          <w:rFonts w:ascii="宋体" w:hAnsi="宋体" w:eastAsia="宋体" w:cs="宋体"/>
          <w:color w:val="000000" w:themeColor="text1"/>
          <w:sz w:val="24"/>
          <w:szCs w:val="24"/>
          <w:highlight w:val="none"/>
          <w14:textFill>
            <w14:solidFill>
              <w14:schemeClr w14:val="tx1"/>
            </w14:solidFill>
          </w14:textFill>
        </w:rPr>
      </w:pPr>
      <w:bookmarkStart w:id="32" w:name="_Toc10913"/>
      <w:r>
        <w:rPr>
          <w:rFonts w:hint="eastAsia" w:ascii="宋体" w:hAnsi="宋体" w:eastAsia="宋体" w:cs="宋体"/>
          <w:color w:val="000000" w:themeColor="text1"/>
          <w:sz w:val="24"/>
          <w:szCs w:val="24"/>
          <w:highlight w:val="none"/>
          <w14:textFill>
            <w14:solidFill>
              <w14:schemeClr w14:val="tx1"/>
            </w14:solidFill>
          </w14:textFill>
        </w:rPr>
        <w:t>二   招标文件说明</w:t>
      </w:r>
      <w:bookmarkEnd w:id="32"/>
    </w:p>
    <w:p w14:paraId="285E6F6B">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6.招标文件的构成</w:t>
      </w:r>
    </w:p>
    <w:p w14:paraId="6AF85C1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6.1招标文件用以阐明所需货物及服务、招标、投标程序和合同条款。招标文件由下述部分组成：</w:t>
      </w:r>
    </w:p>
    <w:p w14:paraId="6849DD1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6.1.1招标公告</w:t>
      </w:r>
    </w:p>
    <w:p w14:paraId="19A3E55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6.1.2投标人须知</w:t>
      </w:r>
    </w:p>
    <w:p w14:paraId="0EB7E8B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6.1.3采购需求</w:t>
      </w:r>
    </w:p>
    <w:p w14:paraId="5F0FA74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6.1.4政府采购合同格式</w:t>
      </w:r>
    </w:p>
    <w:p w14:paraId="27A1404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6.1.5投标相关文件格式</w:t>
      </w:r>
    </w:p>
    <w:p w14:paraId="3F0A882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6.1.6评标办法和细则</w:t>
      </w:r>
    </w:p>
    <w:p w14:paraId="5FDEBC6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6.1.7与本项目有关的招标文件澄清、答复、修改、补充的内容。</w:t>
      </w:r>
    </w:p>
    <w:p w14:paraId="1FA83EF7">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7.投标人的风险</w:t>
      </w:r>
    </w:p>
    <w:p w14:paraId="570EDFC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7.1投标人应认真阅读招标文件中的所有条款。投标人没有按照招标文件的要求提供全部资料，或者投标人没有对招标文件在各方面作出实质性响应是投标人的风险，并可能导致其投标被拒绝。</w:t>
      </w:r>
    </w:p>
    <w:p w14:paraId="7A6CB140">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8.招标文件的澄清和修改</w:t>
      </w:r>
    </w:p>
    <w:p w14:paraId="1B71854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8.1招标文件澄清、答复、修改、补充的内容为招标文件的组成部分。</w:t>
      </w:r>
    </w:p>
    <w:p w14:paraId="06485CB6">
      <w:pPr>
        <w:snapToGrid w:val="0"/>
        <w:spacing w:line="360" w:lineRule="auto"/>
        <w:ind w:firstLine="480" w:firstLineChars="200"/>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8.2依法获取招标文件的投标人应认真阅读招标文件，如有疑问应于招标文件规定的时间前向采购代理机构（可传真）提出澄清申请。采购代理机构对已发出的招标文件进行必要的澄清或者修改，澄清或者修改内容可能影响投标文件编制的，采购代理机构在投标截止时间15日前,在“浙江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HYPERLINK "http://60.190.126.3:8080/wcm/WCMV6/editor/editor/招标文件（新版）.doc"</w:instrText>
      </w:r>
      <w:r>
        <w:rPr>
          <w:color w:val="000000" w:themeColor="text1"/>
          <w:highlight w:val="none"/>
          <w14:textFill>
            <w14:solidFill>
              <w14:schemeClr w14:val="tx1"/>
            </w14:solidFill>
          </w14:textFill>
        </w:rPr>
        <w:fldChar w:fldCharType="separate"/>
      </w:r>
      <w:r>
        <w:rPr>
          <w:rStyle w:val="32"/>
          <w:rFonts w:hint="eastAsia" w:ascii="宋体" w:hAnsi="宋体" w:cs="宋体"/>
          <w:color w:val="000000" w:themeColor="text1"/>
          <w:sz w:val="24"/>
          <w:highlight w:val="none"/>
          <w14:textFill>
            <w14:solidFill>
              <w14:schemeClr w14:val="tx1"/>
            </w14:solidFill>
          </w14:textFill>
        </w:rPr>
        <w:t>http://zfcg.czt.zj.gov.cn/</w:t>
      </w:r>
      <w:r>
        <w:rPr>
          <w:rStyle w:val="32"/>
          <w:rFonts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 xml:space="preserve"> 、丽水市公共资源交易网http://lssggzy.lishui.gov.cn/jyweb/</w:t>
      </w:r>
      <w:r>
        <w:rPr>
          <w:rStyle w:val="32"/>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发布更正公告，并对其具有约束力。不足15日的，采购代理机构有权顺延提交投标文件的截止时间。</w:t>
      </w:r>
    </w:p>
    <w:p w14:paraId="1F04E387">
      <w:pPr>
        <w:pStyle w:val="5"/>
        <w:spacing w:before="0" w:after="0"/>
        <w:ind w:firstLine="0" w:firstLineChars="0"/>
        <w:rPr>
          <w:rFonts w:ascii="宋体" w:hAnsi="宋体" w:eastAsia="宋体" w:cs="宋体"/>
          <w:color w:val="000000" w:themeColor="text1"/>
          <w:sz w:val="24"/>
          <w:szCs w:val="24"/>
          <w:highlight w:val="none"/>
          <w14:textFill>
            <w14:solidFill>
              <w14:schemeClr w14:val="tx1"/>
            </w14:solidFill>
          </w14:textFill>
        </w:rPr>
      </w:pPr>
      <w:bookmarkStart w:id="33" w:name="_Toc15978"/>
      <w:r>
        <w:rPr>
          <w:rFonts w:hint="eastAsia" w:ascii="宋体" w:hAnsi="宋体" w:eastAsia="宋体" w:cs="宋体"/>
          <w:color w:val="000000" w:themeColor="text1"/>
          <w:sz w:val="24"/>
          <w:szCs w:val="24"/>
          <w:highlight w:val="none"/>
          <w14:textFill>
            <w14:solidFill>
              <w14:schemeClr w14:val="tx1"/>
            </w14:solidFill>
          </w14:textFill>
        </w:rPr>
        <w:t>三   投标文件的编写</w:t>
      </w:r>
      <w:bookmarkEnd w:id="33"/>
    </w:p>
    <w:p w14:paraId="6E3B7158">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9.要求</w:t>
      </w:r>
    </w:p>
    <w:p w14:paraId="7918C20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9.1投标人应仔细阅读招标文件的所有内容，按照招标文件的要求提交投标文件，并对所提供的全部资料的真实性承担法律责任。</w:t>
      </w:r>
    </w:p>
    <w:p w14:paraId="10C4B1B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9.2投标文件、投标人与采购有关的往来通知、函件和文件均应使用中文。如涉及非中文内容的，投标人有义务将其内容翻译成中文，一切对非中文内容的误解，都将由投标人承担。</w:t>
      </w:r>
    </w:p>
    <w:p w14:paraId="0F0C45B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9.3投标文件的形式和效力</w:t>
      </w:r>
    </w:p>
    <w:p w14:paraId="5F48B955">
      <w:pPr>
        <w:snapToGrid w:val="0"/>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9.3.1 投标文件的形式：投标文件分为电子投标文件、备份投标文件。</w:t>
      </w:r>
    </w:p>
    <w:p w14:paraId="478DF82D">
      <w:pPr>
        <w:snapToGrid w:val="0"/>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9.3.2 投标文件的效力</w:t>
      </w:r>
    </w:p>
    <w:p w14:paraId="28643413">
      <w:pPr>
        <w:snapToGrid w:val="0"/>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投标文件的启用，按先后顺位分别为电子投标文件、备份投标文件。</w:t>
      </w:r>
    </w:p>
    <w:p w14:paraId="56B53C70">
      <w:pPr>
        <w:snapToGrid w:val="0"/>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电子投标文件未按时解密，投标人已在规定时间内按规定方式提交了备份投标文件，且经代理机构工作人员通知后提供备份投标文件密码的，以备份投标文件为依据，否则视为投标文件撤回；电子投标文件已按时解密的，备份投标文件自动失效。 </w:t>
      </w:r>
    </w:p>
    <w:p w14:paraId="4E9981A5">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10. 投标文件的组成</w:t>
      </w:r>
    </w:p>
    <w:p w14:paraId="1540EC8F">
      <w:pPr>
        <w:spacing w:line="360" w:lineRule="auto"/>
        <w:ind w:firstLine="482"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10.1提交的投标文件应分为</w:t>
      </w:r>
      <w:r>
        <w:rPr>
          <w:rFonts w:hint="eastAsia" w:ascii="宋体" w:hAnsi="宋体" w:cs="宋体"/>
          <w:b/>
          <w:color w:val="000000" w:themeColor="text1"/>
          <w:kern w:val="0"/>
          <w:sz w:val="24"/>
          <w:highlight w:val="none"/>
          <w14:textFill>
            <w14:solidFill>
              <w14:schemeClr w14:val="tx1"/>
            </w14:solidFill>
          </w14:textFill>
        </w:rPr>
        <w:t>资格审查文件、</w:t>
      </w:r>
      <w:r>
        <w:rPr>
          <w:rFonts w:hint="eastAsia" w:ascii="宋体" w:hAnsi="宋体" w:cs="宋体"/>
          <w:b/>
          <w:color w:val="000000" w:themeColor="text1"/>
          <w:sz w:val="24"/>
          <w:highlight w:val="none"/>
          <w14:textFill>
            <w14:solidFill>
              <w14:schemeClr w14:val="tx1"/>
            </w14:solidFill>
          </w14:textFill>
        </w:rPr>
        <w:t>资信商务及技术文件、报价文件三部分</w:t>
      </w:r>
      <w:r>
        <w:rPr>
          <w:rFonts w:hint="eastAsia" w:ascii="宋体" w:hAnsi="宋体" w:cs="宋体"/>
          <w:color w:val="000000" w:themeColor="text1"/>
          <w:sz w:val="24"/>
          <w:highlight w:val="none"/>
          <w14:textFill>
            <w14:solidFill>
              <w14:schemeClr w14:val="tx1"/>
            </w14:solidFill>
          </w14:textFill>
        </w:rPr>
        <w:t>。</w:t>
      </w:r>
      <w:r>
        <w:rPr>
          <w:rFonts w:hint="eastAsia" w:ascii="宋体" w:hAnsi="宋体" w:cs="宋体"/>
          <w:b/>
          <w:color w:val="000000" w:themeColor="text1"/>
          <w:sz w:val="24"/>
          <w:highlight w:val="none"/>
          <w14:textFill>
            <w14:solidFill>
              <w14:schemeClr w14:val="tx1"/>
            </w14:solidFill>
          </w14:textFill>
        </w:rPr>
        <w:t>资格审查文件、资信商务及技术文件如有报价的内容, 其投标文件无效；报价文件如有资信商务及技术文件内容, 其资信商务及技术文件内容评标时将作为无效内容。</w:t>
      </w:r>
    </w:p>
    <w:p w14:paraId="5513A234">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11. 投标文件编制内容和要求</w:t>
      </w:r>
    </w:p>
    <w:p w14:paraId="4588CEF0">
      <w:pPr>
        <w:spacing w:line="240" w:lineRule="auto"/>
        <w:ind w:firstLine="482" w:firstLineChars="200"/>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11.1 资格审查文件编制内容和要求：</w:t>
      </w:r>
      <w:r>
        <w:rPr>
          <w:rFonts w:hint="eastAsia" w:ascii="宋体" w:hAnsi="宋体" w:cs="宋体"/>
          <w:color w:val="000000" w:themeColor="text1"/>
          <w:sz w:val="24"/>
          <w:highlight w:val="none"/>
          <w14:textFill>
            <w14:solidFill>
              <w14:schemeClr w14:val="tx1"/>
            </w14:solidFill>
          </w14:textFill>
        </w:rPr>
        <w:t>格式见第五章资格审查文件格式</w:t>
      </w:r>
    </w:p>
    <w:p w14:paraId="0D9B1C95">
      <w:pPr>
        <w:pStyle w:val="40"/>
        <w:spacing w:beforeLines="0" w:after="0"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11.1.1公司有效营业执照扫描件；</w:t>
      </w:r>
    </w:p>
    <w:p w14:paraId="5C61322A">
      <w:pPr>
        <w:pStyle w:val="40"/>
        <w:spacing w:beforeLines="0" w:after="0"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11.1.2负责人身份证扫描件（委托代理人参加投标的，提供负责人身份证扫描件，同时提供授权委托书及委托代理人的身份证扫描件）；</w:t>
      </w:r>
    </w:p>
    <w:p w14:paraId="0D3D53E3">
      <w:pPr>
        <w:pStyle w:val="40"/>
        <w:spacing w:beforeLines="0" w:after="0"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 xml:space="preserve">11.1.3资格承诺函： </w:t>
      </w:r>
    </w:p>
    <w:p w14:paraId="39FD04AB">
      <w:pPr>
        <w:spacing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11.1.4资格证明；</w:t>
      </w:r>
    </w:p>
    <w:p w14:paraId="0C747032">
      <w:pPr>
        <w:spacing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11.1.5无重大违法记录声明书；</w:t>
      </w:r>
    </w:p>
    <w:p w14:paraId="57D3E553">
      <w:pPr>
        <w:pStyle w:val="41"/>
        <w:spacing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11.1.6企业类型声明函格式；</w:t>
      </w:r>
    </w:p>
    <w:p w14:paraId="1B50997B">
      <w:pPr>
        <w:pStyle w:val="41"/>
        <w:spacing w:line="400" w:lineRule="atLeast"/>
        <w:ind w:firstLine="480" w:firstLineChars="200"/>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11.1.7联合协议（如有）</w:t>
      </w:r>
    </w:p>
    <w:p w14:paraId="4E55BD3C">
      <w:pPr>
        <w:spacing w:line="400" w:lineRule="atLeast"/>
        <w:ind w:firstLine="482" w:firstLineChars="200"/>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注：</w:t>
      </w:r>
    </w:p>
    <w:p w14:paraId="36956A99">
      <w:pPr>
        <w:keepNext w:val="0"/>
        <w:keepLines w:val="0"/>
        <w:pageBreakBefore w:val="0"/>
        <w:widowControl w:val="0"/>
        <w:kinsoku/>
        <w:wordWrap/>
        <w:overflowPunct/>
        <w:topLinePunct w:val="0"/>
        <w:autoSpaceDE/>
        <w:autoSpaceDN/>
        <w:bidi w:val="0"/>
        <w:adjustRightInd/>
        <w:snapToGrid/>
        <w:spacing w:line="400" w:lineRule="atLeast"/>
        <w:ind w:firstLine="482" w:firstLineChars="200"/>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①资格审查不通过的，不进入下一阶段评标。</w:t>
      </w:r>
    </w:p>
    <w:p w14:paraId="4D908497">
      <w:pPr>
        <w:pStyle w:val="3"/>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②资格审查顺序为电子交易平台解密后自动生成的“投标（响应）文件签收登记表”名单顺序。</w:t>
      </w:r>
    </w:p>
    <w:p w14:paraId="7AFB733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11.2资信商务及技术文件编制内容和要求：</w:t>
      </w:r>
    </w:p>
    <w:p w14:paraId="08776F3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11.2.1资信及商务部分详见第五章格式。</w:t>
      </w:r>
    </w:p>
    <w:p w14:paraId="635A489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11.2.2技术部分（包含但不限于）:</w:t>
      </w:r>
    </w:p>
    <w:p w14:paraId="09D0F70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11.2.2.1按招标文件第五章投标相关文件格式所列的内容、格式的要求,及投标人认为有必要提供的其它文件；</w:t>
      </w:r>
    </w:p>
    <w:p w14:paraId="0698D18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11.2.2.2投标人需对照招标文件第三章招标要求所列的内容进行承诺；</w:t>
      </w:r>
    </w:p>
    <w:p w14:paraId="704CCF6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11.2.2.3投标人认为有必要提交的其他资料文件；</w:t>
      </w:r>
    </w:p>
    <w:p w14:paraId="694D124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11.3报价文件内容: 详见第五章格式。</w:t>
      </w:r>
    </w:p>
    <w:p w14:paraId="0BFCD7E2">
      <w:pPr>
        <w:spacing w:line="360" w:lineRule="auto"/>
        <w:ind w:firstLine="480"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11.3</w:t>
      </w:r>
      <w:r>
        <w:rPr>
          <w:rFonts w:hint="eastAsia" w:ascii="宋体" w:hAnsi="宋体" w:cs="宋体"/>
          <w:b/>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1投标报价要求</w:t>
      </w:r>
    </w:p>
    <w:p w14:paraId="0E3BB0B5">
      <w:pPr>
        <w:spacing w:line="360" w:lineRule="auto"/>
        <w:ind w:firstLine="480" w:firstLineChars="200"/>
        <w:rPr>
          <w:rFonts w:ascii="宋体" w:hAnsi="宋体" w:cs="宋体"/>
          <w:b/>
          <w:bCs/>
          <w:color w:val="000000" w:themeColor="text1"/>
          <w:sz w:val="24"/>
          <w:highlight w:val="none"/>
          <w14:textFill>
            <w14:solidFill>
              <w14:schemeClr w14:val="tx1"/>
            </w14:solidFill>
          </w14:textFill>
        </w:rPr>
      </w:pPr>
      <w:r>
        <w:rPr>
          <w:rFonts w:hint="eastAsia" w:ascii="宋体" w:hAnsi="宋体"/>
          <w:color w:val="auto"/>
          <w:sz w:val="24"/>
          <w:highlight w:val="none"/>
        </w:rPr>
        <w:t>▲</w:t>
      </w:r>
      <w:r>
        <w:rPr>
          <w:rFonts w:hint="eastAsia" w:ascii="宋体" w:hAnsi="宋体" w:cs="宋体"/>
          <w:b/>
          <w:bCs/>
          <w:color w:val="000000" w:themeColor="text1"/>
          <w:sz w:val="24"/>
          <w:highlight w:val="none"/>
          <w14:textFill>
            <w14:solidFill>
              <w14:schemeClr w14:val="tx1"/>
            </w14:solidFill>
          </w14:textFill>
        </w:rPr>
        <w:t>投标人应在招标文件所附的投标报价表上写明投标报价。投标人只允许有一个报价,采购人不接受有任何选择性的报价。投标报价高于最高限价的作无效标处理。</w:t>
      </w:r>
    </w:p>
    <w:p w14:paraId="168D956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11.3</w:t>
      </w:r>
      <w:r>
        <w:rPr>
          <w:rFonts w:hint="eastAsia" w:ascii="宋体" w:hAnsi="宋体" w:cs="宋体"/>
          <w:b/>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2投标相关报价明细表填写时应详细注明该表列举的费用及分项清单。</w:t>
      </w:r>
    </w:p>
    <w:p w14:paraId="2D487FBE">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12.投标文件排版、封面</w:t>
      </w:r>
    </w:p>
    <w:p w14:paraId="59BE5271">
      <w:pPr>
        <w:spacing w:line="360" w:lineRule="auto"/>
        <w:ind w:firstLine="480" w:firstLineChars="200"/>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12.1排版：</w:t>
      </w:r>
      <w:r>
        <w:rPr>
          <w:rFonts w:hint="eastAsia" w:ascii="宋体" w:hAnsi="宋体" w:cs="宋体"/>
          <w:color w:val="000000" w:themeColor="text1"/>
          <w:kern w:val="0"/>
          <w:sz w:val="24"/>
          <w:highlight w:val="none"/>
          <w14:textFill>
            <w14:solidFill>
              <w14:schemeClr w14:val="tx1"/>
            </w14:solidFill>
          </w14:textFill>
        </w:rPr>
        <w:t>建议A4排版。</w:t>
      </w:r>
    </w:p>
    <w:p w14:paraId="391C79B7">
      <w:pPr>
        <w:spacing w:line="360" w:lineRule="auto"/>
        <w:ind w:firstLine="480" w:firstLineChars="200"/>
      </w:pPr>
      <w:r>
        <w:rPr>
          <w:rFonts w:hint="eastAsia" w:ascii="宋体" w:hAnsi="宋体" w:eastAsia="宋体" w:cs="宋体"/>
          <w:color w:val="000000" w:themeColor="text1"/>
          <w:sz w:val="24"/>
          <w:highlight w:val="none"/>
          <w14:textFill>
            <w14:solidFill>
              <w14:schemeClr w14:val="tx1"/>
            </w14:solidFill>
          </w14:textFill>
        </w:rPr>
        <w:t>12.2封面：按照招标文件第五章提供的格式制作封面。</w:t>
      </w:r>
    </w:p>
    <w:p w14:paraId="0EF7B214">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13.投标有效期</w:t>
      </w:r>
    </w:p>
    <w:p w14:paraId="2E4C74A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olor w:val="auto"/>
          <w:sz w:val="24"/>
          <w:highlight w:val="none"/>
        </w:rPr>
        <w:t>▲</w:t>
      </w:r>
      <w:r>
        <w:rPr>
          <w:rFonts w:hint="eastAsia" w:ascii="宋体" w:hAnsi="宋体" w:cs="宋体"/>
          <w:color w:val="000000" w:themeColor="text1"/>
          <w:sz w:val="24"/>
          <w:highlight w:val="none"/>
          <w14:textFill>
            <w14:solidFill>
              <w14:schemeClr w14:val="tx1"/>
            </w14:solidFill>
          </w14:textFill>
        </w:rPr>
        <w:t>13.1</w:t>
      </w:r>
      <w:r>
        <w:rPr>
          <w:rFonts w:hint="eastAsia" w:ascii="宋体" w:hAnsi="宋体" w:cs="宋体"/>
          <w:bCs/>
          <w:snapToGrid w:val="0"/>
          <w:color w:val="000000" w:themeColor="text1"/>
          <w:sz w:val="24"/>
          <w:highlight w:val="none"/>
          <w14:textFill>
            <w14:solidFill>
              <w14:schemeClr w14:val="tx1"/>
            </w14:solidFill>
          </w14:textFill>
        </w:rPr>
        <w:t>提交投标文件的截止之日起90天内有效。</w:t>
      </w:r>
    </w:p>
    <w:p w14:paraId="23072C7C">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14.投标文件的签署及规定</w:t>
      </w:r>
    </w:p>
    <w:p w14:paraId="0DDFB9C4">
      <w:pPr>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14.1</w:t>
      </w:r>
      <w:r>
        <w:rPr>
          <w:rFonts w:hint="eastAsia" w:ascii="宋体" w:hAnsi="宋体" w:cs="宋体"/>
          <w:color w:val="000000" w:themeColor="text1"/>
          <w:kern w:val="0"/>
          <w:sz w:val="24"/>
          <w:highlight w:val="none"/>
          <w14:textFill>
            <w14:solidFill>
              <w14:schemeClr w14:val="tx1"/>
            </w14:solidFill>
          </w14:textFill>
        </w:rPr>
        <w:t>投标人应按招标文件规定的内容和要求编制投标文件，</w:t>
      </w:r>
      <w:r>
        <w:rPr>
          <w:rFonts w:hint="eastAsia" w:ascii="宋体" w:hAnsi="宋体" w:cs="宋体"/>
          <w:bCs/>
          <w:color w:val="000000" w:themeColor="text1"/>
          <w:sz w:val="24"/>
          <w:highlight w:val="none"/>
          <w14:textFill>
            <w14:solidFill>
              <w14:schemeClr w14:val="tx1"/>
            </w14:solidFill>
          </w14:textFill>
        </w:rPr>
        <w:t>投标文件</w:t>
      </w:r>
      <w:r>
        <w:rPr>
          <w:rFonts w:hint="eastAsia" w:ascii="宋体" w:hAnsi="宋体" w:cs="宋体"/>
          <w:color w:val="000000" w:themeColor="text1"/>
          <w:kern w:val="0"/>
          <w:sz w:val="24"/>
          <w:highlight w:val="none"/>
          <w14:textFill>
            <w14:solidFill>
              <w14:schemeClr w14:val="tx1"/>
            </w14:solidFill>
          </w14:textFill>
        </w:rPr>
        <w:t>须清楚的标明“资格审查文件”、“资信商务及技术文件”、“报价文件”。</w:t>
      </w:r>
    </w:p>
    <w:p w14:paraId="490F3C8C">
      <w:pPr>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14.2电子投标文件及备份投标文件中须加盖公章部分均采用</w:t>
      </w:r>
      <w:r>
        <w:rPr>
          <w:rFonts w:hint="eastAsia" w:ascii="宋体" w:hAnsi="宋体" w:cs="宋体"/>
          <w:b/>
          <w:color w:val="000000" w:themeColor="text1"/>
          <w:kern w:val="0"/>
          <w:sz w:val="24"/>
          <w:highlight w:val="none"/>
          <w14:textFill>
            <w14:solidFill>
              <w14:schemeClr w14:val="tx1"/>
            </w14:solidFill>
          </w14:textFill>
        </w:rPr>
        <w:t>CA</w:t>
      </w:r>
      <w:r>
        <w:rPr>
          <w:rFonts w:hint="eastAsia" w:ascii="宋体" w:hAnsi="宋体" w:cs="宋体"/>
          <w:color w:val="000000" w:themeColor="text1"/>
          <w:kern w:val="0"/>
          <w:sz w:val="24"/>
          <w:highlight w:val="none"/>
          <w14:textFill>
            <w14:solidFill>
              <w14:schemeClr w14:val="tx1"/>
            </w14:solidFill>
          </w14:textFill>
        </w:rPr>
        <w:t>签章</w:t>
      </w:r>
      <w:r>
        <w:rPr>
          <w:rFonts w:hint="eastAsia" w:ascii="宋体" w:hAnsi="宋体" w:cs="宋体"/>
          <w:b/>
          <w:bCs/>
          <w:color w:val="000000" w:themeColor="text1"/>
          <w:sz w:val="24"/>
          <w:highlight w:val="none"/>
          <w14:textFill>
            <w14:solidFill>
              <w14:schemeClr w14:val="tx1"/>
            </w14:solidFill>
          </w14:textFill>
        </w:rPr>
        <w:t>（投标文件格式有特殊要求的除外）。</w:t>
      </w:r>
    </w:p>
    <w:p w14:paraId="4DFF017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14.3电报、电话、传真形式的投标概不接受。</w:t>
      </w:r>
      <w:bookmarkStart w:id="34" w:name="_Toc107820049"/>
      <w:bookmarkStart w:id="35" w:name="_Toc56928685"/>
    </w:p>
    <w:p w14:paraId="742CC4B7">
      <w:pPr>
        <w:pStyle w:val="5"/>
        <w:spacing w:before="0" w:after="0" w:line="360" w:lineRule="auto"/>
        <w:ind w:firstLine="200" w:firstLineChars="0"/>
        <w:rPr>
          <w:rFonts w:hint="eastAsia" w:ascii="宋体" w:hAnsi="宋体" w:eastAsia="宋体" w:cs="宋体"/>
          <w:b w:val="0"/>
          <w:bCs w:val="0"/>
          <w:color w:val="000000" w:themeColor="text1"/>
          <w:sz w:val="24"/>
          <w:szCs w:val="24"/>
          <w:highlight w:val="none"/>
          <w:lang w:eastAsia="zh-CN"/>
          <w14:textFill>
            <w14:solidFill>
              <w14:schemeClr w14:val="tx1"/>
            </w14:solidFill>
          </w14:textFill>
        </w:rPr>
      </w:pPr>
      <w:bookmarkStart w:id="36" w:name="_Toc17793765"/>
      <w:bookmarkStart w:id="37" w:name="_Toc3940"/>
      <w:r>
        <w:rPr>
          <w:rFonts w:hint="eastAsia" w:ascii="宋体" w:hAnsi="宋体" w:eastAsia="宋体" w:cs="宋体"/>
          <w:color w:val="000000" w:themeColor="text1"/>
          <w:sz w:val="24"/>
          <w:szCs w:val="24"/>
          <w:highlight w:val="none"/>
          <w14:textFill>
            <w14:solidFill>
              <w14:schemeClr w14:val="tx1"/>
            </w14:solidFill>
          </w14:textFill>
        </w:rPr>
        <w:t>四   履约保证金</w:t>
      </w:r>
      <w:bookmarkEnd w:id="36"/>
      <w:bookmarkEnd w:id="37"/>
    </w:p>
    <w:p w14:paraId="00374D42">
      <w:pPr>
        <w:pStyle w:val="3"/>
        <w:spacing w:line="360" w:lineRule="auto"/>
        <w:rPr>
          <w:rFonts w:hint="eastAsia"/>
          <w:color w:val="000000" w:themeColor="text1"/>
          <w:highlight w:val="none"/>
          <w:lang w:eastAsia="zh-CN"/>
          <w14:textFill>
            <w14:solidFill>
              <w14:schemeClr w14:val="tx1"/>
            </w14:solidFill>
          </w14:textFill>
        </w:rPr>
      </w:pPr>
      <w:r>
        <w:rPr>
          <w:rFonts w:hint="eastAsia" w:ascii="宋体" w:hAnsi="宋体" w:eastAsia="宋体" w:cs="宋体"/>
          <w:b w:val="0"/>
          <w:bCs w:val="0"/>
          <w:color w:val="000000" w:themeColor="text1"/>
          <w:kern w:val="2"/>
          <w:sz w:val="24"/>
          <w:szCs w:val="24"/>
          <w:highlight w:val="none"/>
          <w:lang w:val="en-US" w:eastAsia="zh-CN" w:bidi="ar-SA"/>
          <w14:textFill>
            <w14:solidFill>
              <w14:schemeClr w14:val="tx1"/>
            </w14:solidFill>
          </w14:textFill>
        </w:rPr>
        <w:t>15.1履约保证金：</w:t>
      </w:r>
      <w:r>
        <w:rPr>
          <w:rFonts w:hint="eastAsia" w:ascii="宋体" w:hAnsi="宋体" w:cs="宋体"/>
          <w:b w:val="0"/>
          <w:bCs w:val="0"/>
          <w:color w:val="000000" w:themeColor="text1"/>
          <w:kern w:val="2"/>
          <w:sz w:val="24"/>
          <w:szCs w:val="24"/>
          <w:highlight w:val="none"/>
          <w:lang w:val="en-US" w:eastAsia="zh-CN" w:bidi="ar-SA"/>
          <w14:textFill>
            <w14:solidFill>
              <w14:schemeClr w14:val="tx1"/>
            </w14:solidFill>
          </w14:textFill>
        </w:rPr>
        <w:t>本项目不收</w:t>
      </w:r>
      <w:r>
        <w:rPr>
          <w:rFonts w:hint="eastAsia" w:ascii="宋体" w:hAnsi="宋体" w:eastAsia="宋体" w:cs="宋体"/>
          <w:b w:val="0"/>
          <w:bCs w:val="0"/>
          <w:color w:val="000000" w:themeColor="text1"/>
          <w:kern w:val="2"/>
          <w:sz w:val="24"/>
          <w:szCs w:val="24"/>
          <w:highlight w:val="none"/>
          <w:lang w:val="en-US" w:eastAsia="zh-CN" w:bidi="ar-SA"/>
          <w14:textFill>
            <w14:solidFill>
              <w14:schemeClr w14:val="tx1"/>
            </w14:solidFill>
          </w14:textFill>
        </w:rPr>
        <w:t>履约保证金。</w:t>
      </w:r>
    </w:p>
    <w:p w14:paraId="580441EE">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38" w:name="_Toc18341"/>
      <w:r>
        <w:rPr>
          <w:rFonts w:hint="eastAsia" w:ascii="宋体" w:hAnsi="宋体" w:eastAsia="宋体" w:cs="宋体"/>
          <w:color w:val="000000" w:themeColor="text1"/>
          <w:sz w:val="24"/>
          <w:szCs w:val="24"/>
          <w:highlight w:val="none"/>
          <w14:textFill>
            <w14:solidFill>
              <w14:schemeClr w14:val="tx1"/>
            </w14:solidFill>
          </w14:textFill>
        </w:rPr>
        <w:t>五   投标文件的</w:t>
      </w:r>
      <w:bookmarkEnd w:id="34"/>
      <w:bookmarkEnd w:id="35"/>
      <w:r>
        <w:rPr>
          <w:rFonts w:hint="eastAsia" w:ascii="宋体" w:hAnsi="宋体" w:eastAsia="宋体" w:cs="宋体"/>
          <w:color w:val="000000" w:themeColor="text1"/>
          <w:sz w:val="24"/>
          <w:szCs w:val="24"/>
          <w:highlight w:val="none"/>
          <w14:textFill>
            <w14:solidFill>
              <w14:schemeClr w14:val="tx1"/>
            </w14:solidFill>
          </w14:textFill>
        </w:rPr>
        <w:t>加密、提交、修改和撤回</w:t>
      </w:r>
      <w:bookmarkEnd w:id="38"/>
    </w:p>
    <w:p w14:paraId="5BD9B481">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16.投标文件的加密</w:t>
      </w:r>
    </w:p>
    <w:p w14:paraId="44A09C2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16.1投标人应当将资格审查文件、资信商务及技术文件和报价文件三部分分别导入相应位置，各文件之间不得混装；</w:t>
      </w:r>
    </w:p>
    <w:p w14:paraId="456A2DB9">
      <w:pPr>
        <w:spacing w:line="360" w:lineRule="auto"/>
        <w:ind w:firstLine="480"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16.2</w:t>
      </w:r>
      <w:r>
        <w:rPr>
          <w:rFonts w:hint="eastAsia" w:ascii="宋体" w:hAnsi="宋体" w:cs="宋体"/>
          <w:b/>
          <w:color w:val="000000" w:themeColor="text1"/>
          <w:sz w:val="24"/>
          <w:highlight w:val="none"/>
          <w14:textFill>
            <w14:solidFill>
              <w14:schemeClr w14:val="tx1"/>
            </w14:solidFill>
          </w14:textFill>
        </w:rPr>
        <w:t>电子投标文件按政采云平台供应商项目采购-电子招投标操作指南进行加密；</w:t>
      </w:r>
      <w:r>
        <w:rPr>
          <w:rFonts w:hint="eastAsia" w:ascii="宋体" w:hAnsi="宋体" w:cs="宋体"/>
          <w:color w:val="000000" w:themeColor="text1"/>
          <w:sz w:val="24"/>
          <w:highlight w:val="none"/>
          <w14:textFill>
            <w14:solidFill>
              <w14:schemeClr w14:val="tx1"/>
            </w14:solidFill>
          </w14:textFill>
        </w:rPr>
        <w:t>将最后生成的具有电子签章的备份响应文件进行压缩并加密。</w:t>
      </w:r>
    </w:p>
    <w:p w14:paraId="2890B93C">
      <w:pPr>
        <w:spacing w:line="360" w:lineRule="auto"/>
        <w:ind w:firstLine="482" w:firstLineChars="200"/>
        <w:rPr>
          <w:rFonts w:ascii="宋体" w:hAnsi="宋体" w:cs="宋体"/>
          <w:b/>
          <w:color w:val="000000" w:themeColor="text1"/>
          <w:sz w:val="24"/>
          <w:highlight w:val="none"/>
          <w14:textFill>
            <w14:solidFill>
              <w14:schemeClr w14:val="tx1"/>
            </w14:solidFill>
          </w14:textFill>
        </w:rPr>
      </w:pPr>
      <w:bookmarkStart w:id="39" w:name="_Toc107820050"/>
      <w:r>
        <w:rPr>
          <w:rFonts w:hint="eastAsia" w:ascii="宋体" w:hAnsi="宋体" w:cs="宋体"/>
          <w:b/>
          <w:color w:val="000000" w:themeColor="text1"/>
          <w:sz w:val="24"/>
          <w:highlight w:val="none"/>
          <w14:textFill>
            <w14:solidFill>
              <w14:schemeClr w14:val="tx1"/>
            </w14:solidFill>
          </w14:textFill>
        </w:rPr>
        <w:t>17.投标文件的提交</w:t>
      </w:r>
    </w:p>
    <w:p w14:paraId="7EA7EA87">
      <w:pPr>
        <w:spacing w:line="360" w:lineRule="auto"/>
        <w:ind w:firstLine="42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auto"/>
          <w:szCs w:val="21"/>
          <w:highlight w:val="none"/>
        </w:rPr>
        <w:t>▲</w:t>
      </w:r>
      <w:r>
        <w:rPr>
          <w:rFonts w:hint="eastAsia" w:ascii="宋体" w:hAnsi="宋体" w:cs="宋体"/>
          <w:color w:val="000000" w:themeColor="text1"/>
          <w:sz w:val="24"/>
          <w:highlight w:val="none"/>
          <w14:textFill>
            <w14:solidFill>
              <w14:schemeClr w14:val="tx1"/>
            </w14:solidFill>
          </w14:textFill>
        </w:rPr>
        <w:t>17.1投标文件提交截止时间和提交地点详见本章前附表。</w:t>
      </w:r>
    </w:p>
    <w:p w14:paraId="42E7ED9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17.2不予接收的电子投标文件情形</w:t>
      </w:r>
    </w:p>
    <w:p w14:paraId="6E6174C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1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⑴</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投标截止时间前未完成传输的电子投标文件；</w:t>
      </w:r>
    </w:p>
    <w:p w14:paraId="00DDC2E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fldChar w:fldCharType="begin"/>
      </w:r>
      <w:r>
        <w:rPr>
          <w:rFonts w:hint="eastAsia" w:ascii="宋体" w:hAnsi="宋体" w:cs="宋体"/>
          <w:color w:val="000000" w:themeColor="text1"/>
          <w:sz w:val="24"/>
          <w:highlight w:val="none"/>
          <w14:textFill>
            <w14:solidFill>
              <w14:schemeClr w14:val="tx1"/>
            </w14:solidFill>
          </w14:textFill>
        </w:rPr>
        <w:instrText xml:space="preserve"> = 2 \* GB2 </w:instrText>
      </w:r>
      <w:r>
        <w:rPr>
          <w:rFonts w:hint="eastAsia" w:ascii="宋体" w:hAnsi="宋体" w:cs="宋体"/>
          <w:color w:val="000000" w:themeColor="text1"/>
          <w:sz w:val="24"/>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⑵</w:t>
      </w:r>
      <w:r>
        <w:rPr>
          <w:rFonts w:hint="eastAsia"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未生成加密的电子投标文件；</w:t>
      </w:r>
    </w:p>
    <w:p w14:paraId="28EA329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⑶在规定时间内未解密的电子投标文件或者解密不成功又未在规定时间内提交备份投标文件的。</w:t>
      </w:r>
    </w:p>
    <w:p w14:paraId="66EED02C">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18.投标文件的修改和撤回</w:t>
      </w:r>
    </w:p>
    <w:p w14:paraId="1B29C692">
      <w:pPr>
        <w:spacing w:line="360" w:lineRule="auto"/>
        <w:ind w:firstLine="480"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18.1在投标截止时间前，可以修改或撤回其投标文件：</w:t>
      </w:r>
      <w:r>
        <w:rPr>
          <w:rFonts w:hint="eastAsia" w:ascii="宋体" w:hAnsi="宋体" w:cs="宋体"/>
          <w:b/>
          <w:color w:val="000000" w:themeColor="text1"/>
          <w:sz w:val="24"/>
          <w:highlight w:val="none"/>
          <w14:textFill>
            <w14:solidFill>
              <w14:schemeClr w14:val="tx1"/>
            </w14:solidFill>
          </w14:textFill>
        </w:rPr>
        <w:t>（1）电子投标文件补充、修改或撤回的，应当先行撤回原文件，补充、修改后重新传输提交；（2）备份投标文件补充、修改或撤回的应以书面形式通知采购代理机构。</w:t>
      </w:r>
    </w:p>
    <w:p w14:paraId="037EC3F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18.2修改后重新提交的投标文件应按招标文件的规定编制、标记和提交。</w:t>
      </w:r>
    </w:p>
    <w:p w14:paraId="6D1F05C1">
      <w:pPr>
        <w:spacing w:line="360" w:lineRule="auto"/>
        <w:ind w:firstLine="42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auto"/>
          <w:szCs w:val="21"/>
          <w:highlight w:val="none"/>
        </w:rPr>
        <w:t>▲</w:t>
      </w:r>
      <w:r>
        <w:rPr>
          <w:rFonts w:hint="eastAsia" w:ascii="宋体" w:hAnsi="宋体" w:cs="宋体"/>
          <w:color w:val="000000" w:themeColor="text1"/>
          <w:sz w:val="24"/>
          <w:highlight w:val="none"/>
          <w14:textFill>
            <w14:solidFill>
              <w14:schemeClr w14:val="tx1"/>
            </w14:solidFill>
          </w14:textFill>
        </w:rPr>
        <w:t>18.3在投标截止时间后,投标人不得修改、撤回已提交的投标文件。</w:t>
      </w:r>
    </w:p>
    <w:p w14:paraId="5419437B">
      <w:pPr>
        <w:spacing w:line="360" w:lineRule="auto"/>
        <w:ind w:firstLine="42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auto"/>
          <w:szCs w:val="21"/>
          <w:highlight w:val="none"/>
        </w:rPr>
        <w:t>▲</w:t>
      </w:r>
      <w:r>
        <w:rPr>
          <w:rFonts w:hint="eastAsia" w:ascii="宋体" w:hAnsi="宋体" w:cs="宋体"/>
          <w:b/>
          <w:color w:val="000000" w:themeColor="text1"/>
          <w:sz w:val="24"/>
          <w:highlight w:val="none"/>
          <w14:textFill>
            <w14:solidFill>
              <w14:schemeClr w14:val="tx1"/>
            </w14:solidFill>
          </w14:textFill>
        </w:rPr>
        <w:t>18.4补充、修改后的电子投标文件、备份投标文件内容均应相同。</w:t>
      </w:r>
    </w:p>
    <w:p w14:paraId="74C9AEA4">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40" w:name="_Toc27850"/>
      <w:r>
        <w:rPr>
          <w:rFonts w:hint="eastAsia" w:ascii="宋体" w:hAnsi="宋体" w:eastAsia="宋体" w:cs="宋体"/>
          <w:color w:val="000000" w:themeColor="text1"/>
          <w:sz w:val="24"/>
          <w:szCs w:val="24"/>
          <w:highlight w:val="none"/>
          <w14:textFill>
            <w14:solidFill>
              <w14:schemeClr w14:val="tx1"/>
            </w14:solidFill>
          </w14:textFill>
        </w:rPr>
        <w:t>六   开标和评</w:t>
      </w:r>
      <w:bookmarkEnd w:id="39"/>
      <w:r>
        <w:rPr>
          <w:rFonts w:hint="eastAsia" w:ascii="宋体" w:hAnsi="宋体" w:eastAsia="宋体" w:cs="宋体"/>
          <w:color w:val="000000" w:themeColor="text1"/>
          <w:sz w:val="24"/>
          <w:szCs w:val="24"/>
          <w:highlight w:val="none"/>
          <w14:textFill>
            <w14:solidFill>
              <w14:schemeClr w14:val="tx1"/>
            </w14:solidFill>
          </w14:textFill>
        </w:rPr>
        <w:t>审</w:t>
      </w:r>
      <w:bookmarkEnd w:id="40"/>
    </w:p>
    <w:p w14:paraId="702CCC27">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19.开标</w:t>
      </w:r>
    </w:p>
    <w:p w14:paraId="4120E775">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19.1优先采用电子投标文件进行开标，电子投标文件未按时解密的，采用备份投标文件开标。</w:t>
      </w:r>
    </w:p>
    <w:p w14:paraId="0760E636">
      <w:pPr>
        <w:spacing w:line="360" w:lineRule="auto"/>
        <w:ind w:firstLine="480" w:firstLineChars="200"/>
        <w:rPr>
          <w:rFonts w:ascii="宋体" w:hAnsi="宋体" w:cs="宋体"/>
          <w:color w:val="000000" w:themeColor="text1"/>
          <w:sz w:val="24"/>
          <w:highlight w:val="none"/>
          <w14:textFill>
            <w14:solidFill>
              <w14:schemeClr w14:val="tx1"/>
            </w14:solidFill>
          </w14:textFill>
        </w:rPr>
      </w:pPr>
      <w:bookmarkStart w:id="41" w:name="_Toc393869892"/>
      <w:bookmarkStart w:id="42" w:name="_Toc396838136"/>
      <w:bookmarkStart w:id="43" w:name="_Toc415648536"/>
      <w:bookmarkStart w:id="44" w:name="_Toc393869894"/>
      <w:bookmarkStart w:id="45" w:name="_Toc335664280"/>
      <w:bookmarkStart w:id="46" w:name="_Toc394928032"/>
      <w:bookmarkStart w:id="47" w:name="_Toc334087238"/>
      <w:bookmarkStart w:id="48" w:name="_Toc107820051"/>
      <w:r>
        <w:rPr>
          <w:rFonts w:hint="eastAsia" w:ascii="宋体" w:hAnsi="宋体" w:cs="宋体"/>
          <w:color w:val="000000" w:themeColor="text1"/>
          <w:sz w:val="24"/>
          <w:highlight w:val="none"/>
          <w14:textFill>
            <w14:solidFill>
              <w14:schemeClr w14:val="tx1"/>
            </w14:solidFill>
          </w14:textFill>
        </w:rPr>
        <w:t>19.2采购代理机构在招标文件规定的时间和地点组织开标会，建议投标人派代表参加开标会，投标人若未安排人员到场的应准时在线参加，否则产生的风险由供应商自行承担。</w:t>
      </w:r>
    </w:p>
    <w:p w14:paraId="3048750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19.3</w:t>
      </w:r>
      <w:r>
        <w:rPr>
          <w:rFonts w:hint="eastAsia" w:ascii="宋体" w:hAnsi="宋体" w:cs="宋体"/>
          <w:bCs/>
          <w:color w:val="000000" w:themeColor="text1"/>
          <w:sz w:val="24"/>
          <w:highlight w:val="none"/>
          <w14:textFill>
            <w14:solidFill>
              <w14:schemeClr w14:val="tx1"/>
            </w14:solidFill>
          </w14:textFill>
        </w:rPr>
        <w:t>电子投标文件解密：由代理机构工作人员开启电子投标文件解密通道，解密时限以政采云电子交易平台为准。</w:t>
      </w:r>
    </w:p>
    <w:p w14:paraId="01648C0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19.4</w:t>
      </w:r>
      <w:r>
        <w:rPr>
          <w:rFonts w:hint="eastAsia" w:ascii="宋体" w:hAnsi="宋体" w:cs="宋体"/>
          <w:bCs/>
          <w:color w:val="000000" w:themeColor="text1"/>
          <w:sz w:val="24"/>
          <w:highlight w:val="none"/>
          <w14:textFill>
            <w14:solidFill>
              <w14:schemeClr w14:val="tx1"/>
            </w14:solidFill>
          </w14:textFill>
        </w:rPr>
        <w:t>电子投标文件无法解密的，代理机构通过电子交易平台“异常处理”通道上传备份投标文件，上传之前须由投标人代表提供备份投标文件密码进行解密。备份投标文件上传成功视同解密成功。</w:t>
      </w:r>
    </w:p>
    <w:p w14:paraId="7A43DA2C">
      <w:pPr>
        <w:spacing w:line="360" w:lineRule="auto"/>
        <w:ind w:firstLine="480" w:firstLineChars="200"/>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19.5</w:t>
      </w:r>
      <w:r>
        <w:rPr>
          <w:rFonts w:hint="eastAsia" w:ascii="宋体" w:hAnsi="宋体" w:cs="宋体"/>
          <w:color w:val="000000" w:themeColor="text1"/>
          <w:kern w:val="0"/>
          <w:sz w:val="24"/>
          <w:highlight w:val="none"/>
          <w14:textFill>
            <w14:solidFill>
              <w14:schemeClr w14:val="tx1"/>
            </w14:solidFill>
          </w14:textFill>
        </w:rPr>
        <w:t>解密成功的投标人不足三家的，按相关规定重新组织采购。</w:t>
      </w:r>
    </w:p>
    <w:p w14:paraId="704A933F">
      <w:pPr>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19.6采购代理机构做好会议记录，投标人在代理机构开启标书信息后可查看投标人名单。</w:t>
      </w:r>
    </w:p>
    <w:p w14:paraId="337FA982">
      <w:pPr>
        <w:spacing w:line="360" w:lineRule="auto"/>
        <w:ind w:firstLine="480" w:firstLineChars="200"/>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19.7投标人认为采购人员及相关人员与其他投标人有利害关系的，可向采购代理机构提出回避申请，并说明理由，申请须由投标人代表签字或盖章。</w:t>
      </w:r>
    </w:p>
    <w:p w14:paraId="4611FD1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19.</w:t>
      </w:r>
      <w:r>
        <w:rPr>
          <w:rFonts w:hint="eastAsia" w:ascii="宋体" w:hAnsi="宋体" w:cs="宋体"/>
          <w:color w:val="000000" w:themeColor="text1"/>
          <w:kern w:val="0"/>
          <w:sz w:val="24"/>
          <w:highlight w:val="none"/>
          <w:lang w:val="en-US" w:eastAsia="zh-CN"/>
          <w14:textFill>
            <w14:solidFill>
              <w14:schemeClr w14:val="tx1"/>
            </w14:solidFill>
          </w14:textFill>
        </w:rPr>
        <w:t>8</w:t>
      </w:r>
      <w:r>
        <w:rPr>
          <w:rFonts w:hint="eastAsia" w:ascii="宋体" w:hAnsi="宋体" w:cs="宋体"/>
          <w:color w:val="000000" w:themeColor="text1"/>
          <w:kern w:val="0"/>
          <w:sz w:val="24"/>
          <w:highlight w:val="none"/>
          <w14:textFill>
            <w14:solidFill>
              <w14:schemeClr w14:val="tx1"/>
            </w14:solidFill>
          </w14:textFill>
        </w:rPr>
        <w:t>投标人对记录表有疑义的，</w:t>
      </w:r>
      <w:r>
        <w:rPr>
          <w:rFonts w:hint="eastAsia" w:ascii="宋体" w:hAnsi="宋体" w:cs="宋体"/>
          <w:color w:val="000000" w:themeColor="text1"/>
          <w:sz w:val="24"/>
          <w:highlight w:val="none"/>
          <w14:textFill>
            <w14:solidFill>
              <w14:schemeClr w14:val="tx1"/>
            </w14:solidFill>
          </w14:textFill>
        </w:rPr>
        <w:t>投标人代表在开标会议结束前可以向采购代理机构通过现场或电子邮件的方式（749278492@qq.com）提出申请，并说明理由，申请须由投标人代表签字或盖章。</w:t>
      </w:r>
    </w:p>
    <w:p w14:paraId="2CF8D811">
      <w:pPr>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19.</w:t>
      </w:r>
      <w:r>
        <w:rPr>
          <w:rFonts w:hint="eastAsia" w:ascii="宋体" w:hAnsi="宋体" w:cs="宋体"/>
          <w:color w:val="000000" w:themeColor="text1"/>
          <w:kern w:val="0"/>
          <w:sz w:val="24"/>
          <w:highlight w:val="none"/>
          <w:lang w:val="en-US" w:eastAsia="zh-CN"/>
          <w14:textFill>
            <w14:solidFill>
              <w14:schemeClr w14:val="tx1"/>
            </w14:solidFill>
          </w14:textFill>
        </w:rPr>
        <w:t>9</w:t>
      </w:r>
      <w:r>
        <w:rPr>
          <w:rFonts w:hint="eastAsia" w:ascii="宋体" w:hAnsi="宋体" w:cs="宋体"/>
          <w:color w:val="000000" w:themeColor="text1"/>
          <w:kern w:val="0"/>
          <w:sz w:val="24"/>
          <w:highlight w:val="none"/>
          <w14:textFill>
            <w14:solidFill>
              <w14:schemeClr w14:val="tx1"/>
            </w14:solidFill>
          </w14:textFill>
        </w:rPr>
        <w:t>开标会议结束。</w:t>
      </w:r>
    </w:p>
    <w:p w14:paraId="6D80D329">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20. 资格审查</w:t>
      </w:r>
    </w:p>
    <w:p w14:paraId="6A0A8C7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20.1 采购人或采购代理机构按资格要求和资格审查文件要求对投标人进行资格审查及记录。并通过政采云平台公布审查结果。</w:t>
      </w:r>
    </w:p>
    <w:p w14:paraId="4AD6ACCA">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20.2 经资格审查后合格的投标人不足三家的，按相关规定重新组织招标。</w:t>
      </w:r>
    </w:p>
    <w:p w14:paraId="67B053E3">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21. 评审流程：详见第六章。</w:t>
      </w:r>
    </w:p>
    <w:p w14:paraId="64D8F021">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22. 投标文件的澄清</w:t>
      </w:r>
    </w:p>
    <w:p w14:paraId="2AF2CB65">
      <w:pPr>
        <w:spacing w:line="360" w:lineRule="auto"/>
        <w:ind w:firstLine="436" w:firstLineChars="18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22.1 对</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中含义不明确、同类问题表述不一致或者有明显文字和计算错误的内容，评审委员会应当通过电子交易平台交换数据电文的形式要求投标人作出必要的澄清、说明或者补正。投标人的澄清、说明或者补正也应当采用电子交易平台交换数据电文的形式，投标人的澄清、说明或者补正不得超出投标文件的范围或者改变投标文件的实质性内容。</w:t>
      </w:r>
    </w:p>
    <w:p w14:paraId="3C6512DC">
      <w:pPr>
        <w:spacing w:line="360" w:lineRule="auto"/>
        <w:ind w:firstLine="436" w:firstLineChars="18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22.2 报价算术错误将按以下方法修正：</w:t>
      </w:r>
    </w:p>
    <w:p w14:paraId="11F7718F">
      <w:pPr>
        <w:spacing w:line="360" w:lineRule="auto"/>
        <w:ind w:firstLine="436" w:firstLineChars="182"/>
        <w:rPr>
          <w:rFonts w:ascii="宋体" w:hAnsi="宋体" w:cs="宋体"/>
          <w:bCs/>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w:t>
      </w:r>
      <w:r>
        <w:rPr>
          <w:rFonts w:hint="eastAsia" w:ascii="宋体" w:hAnsi="宋体" w:cs="宋体"/>
          <w:color w:val="000000" w:themeColor="text1"/>
          <w:kern w:val="0"/>
          <w:sz w:val="24"/>
          <w:highlight w:val="none"/>
          <w14:textFill>
            <w14:solidFill>
              <w14:schemeClr w14:val="tx1"/>
            </w14:solidFill>
          </w14:textFill>
        </w:rPr>
        <w:t>报价文件</w:t>
      </w:r>
      <w:r>
        <w:rPr>
          <w:rFonts w:hint="eastAsia" w:ascii="宋体" w:hAnsi="宋体" w:cs="宋体"/>
          <w:bCs/>
          <w:color w:val="000000" w:themeColor="text1"/>
          <w:sz w:val="24"/>
          <w:highlight w:val="none"/>
          <w14:textFill>
            <w14:solidFill>
              <w14:schemeClr w14:val="tx1"/>
            </w14:solidFill>
          </w14:textFill>
        </w:rPr>
        <w:t>中开标一览表内容与</w:t>
      </w:r>
      <w:r>
        <w:rPr>
          <w:rFonts w:hint="eastAsia" w:ascii="宋体" w:hAnsi="宋体" w:cs="宋体"/>
          <w:color w:val="000000" w:themeColor="text1"/>
          <w:kern w:val="0"/>
          <w:sz w:val="24"/>
          <w:highlight w:val="none"/>
          <w14:textFill>
            <w14:solidFill>
              <w14:schemeClr w14:val="tx1"/>
            </w14:solidFill>
          </w14:textFill>
        </w:rPr>
        <w:t>报价</w:t>
      </w:r>
      <w:r>
        <w:rPr>
          <w:rFonts w:hint="eastAsia" w:ascii="宋体" w:hAnsi="宋体" w:cs="宋体"/>
          <w:bCs/>
          <w:color w:val="000000" w:themeColor="text1"/>
          <w:sz w:val="24"/>
          <w:highlight w:val="none"/>
          <w14:textFill>
            <w14:solidFill>
              <w14:schemeClr w14:val="tx1"/>
            </w14:solidFill>
          </w14:textFill>
        </w:rPr>
        <w:t>明细表相应内容不一致的，以开标一览表为准；</w:t>
      </w:r>
    </w:p>
    <w:p w14:paraId="04D850C8">
      <w:pPr>
        <w:spacing w:line="360" w:lineRule="auto"/>
        <w:ind w:firstLine="436" w:firstLineChars="182"/>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（2）报价有明显错位的，以开标一览表的报价为准，并修改分项报价；</w:t>
      </w:r>
    </w:p>
    <w:p w14:paraId="41986563">
      <w:pPr>
        <w:spacing w:line="360" w:lineRule="auto"/>
        <w:ind w:firstLine="436" w:firstLineChars="182"/>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（3）</w:t>
      </w:r>
      <w:r>
        <w:rPr>
          <w:rFonts w:hint="eastAsia" w:ascii="宋体" w:hAnsi="宋体" w:cs="宋体"/>
          <w:color w:val="000000" w:themeColor="text1"/>
          <w:sz w:val="24"/>
          <w:highlight w:val="none"/>
          <w14:textFill>
            <w14:solidFill>
              <w14:schemeClr w14:val="tx1"/>
            </w14:solidFill>
          </w14:textFill>
        </w:rPr>
        <w:t>大写金额和小写金额不一致的，以大写金额为准；单价金额小数点或者百分比有明显错位的，以开标一览表的总价为准，并修改单价。</w:t>
      </w:r>
    </w:p>
    <w:p w14:paraId="35DD9AF4">
      <w:pPr>
        <w:spacing w:line="360" w:lineRule="auto"/>
        <w:ind w:firstLine="436" w:firstLineChars="182"/>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（4）</w:t>
      </w:r>
      <w:r>
        <w:rPr>
          <w:rFonts w:hint="eastAsia" w:ascii="宋体" w:hAnsi="宋体" w:cs="宋体"/>
          <w:color w:val="000000" w:themeColor="text1"/>
          <w:sz w:val="24"/>
          <w:highlight w:val="none"/>
          <w14:textFill>
            <w14:solidFill>
              <w14:schemeClr w14:val="tx1"/>
            </w14:solidFill>
          </w14:textFill>
        </w:rPr>
        <w:t>单价金额小数点或者百分比有明显错位的，以开标一览表的总价为准，并修改单价</w:t>
      </w:r>
      <w:r>
        <w:rPr>
          <w:rFonts w:hint="eastAsia" w:ascii="宋体" w:hAnsi="宋体" w:cs="宋体"/>
          <w:bCs/>
          <w:color w:val="000000" w:themeColor="text1"/>
          <w:sz w:val="24"/>
          <w:highlight w:val="none"/>
          <w14:textFill>
            <w14:solidFill>
              <w14:schemeClr w14:val="tx1"/>
            </w14:solidFill>
          </w14:textFill>
        </w:rPr>
        <w:t>；</w:t>
      </w:r>
    </w:p>
    <w:p w14:paraId="3ABA2179">
      <w:pPr>
        <w:spacing w:line="360" w:lineRule="auto"/>
        <w:ind w:firstLine="436" w:firstLineChars="182"/>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（5）对不同文字文本</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bCs/>
          <w:color w:val="000000" w:themeColor="text1"/>
          <w:sz w:val="24"/>
          <w:highlight w:val="none"/>
          <w14:textFill>
            <w14:solidFill>
              <w14:schemeClr w14:val="tx1"/>
            </w14:solidFill>
          </w14:textFill>
        </w:rPr>
        <w:t>的解释发生异议的，以中文文本为准；</w:t>
      </w:r>
    </w:p>
    <w:p w14:paraId="298C3E6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（6）同时出现两种以上不一致的，按照前款规定的顺序修正。</w:t>
      </w:r>
    </w:p>
    <w:p w14:paraId="66D0A1E7">
      <w:pPr>
        <w:spacing w:line="360" w:lineRule="auto"/>
        <w:ind w:firstLine="436" w:firstLineChars="182"/>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修正错误的的投标报价，投标人应当通过电子交易平台交换数据电文的形式提交，调整后的投标报价对投标人具有约束作用。若投标人不接受修正后的投标报价，则其投标将作为无效投标处理。</w:t>
      </w:r>
    </w:p>
    <w:p w14:paraId="1D756ACB">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23. 对投标文件的比较和评估</w:t>
      </w:r>
    </w:p>
    <w:p w14:paraId="6C32FA25">
      <w:pPr>
        <w:spacing w:line="360" w:lineRule="auto"/>
        <w:ind w:firstLine="480" w:firstLineChars="200"/>
        <w:rPr>
          <w:rFonts w:ascii="宋体" w:hAnsi="宋体" w:cs="宋体"/>
          <w:color w:val="auto"/>
          <w:sz w:val="24"/>
          <w:highlight w:val="none"/>
        </w:rPr>
      </w:pPr>
      <w:r>
        <w:rPr>
          <w:rFonts w:hint="eastAsia" w:ascii="宋体" w:hAnsi="宋体" w:cs="宋体"/>
          <w:color w:val="000000" w:themeColor="text1"/>
          <w:sz w:val="24"/>
          <w:highlight w:val="none"/>
          <w14:textFill>
            <w14:solidFill>
              <w14:schemeClr w14:val="tx1"/>
            </w14:solidFill>
          </w14:textFill>
        </w:rPr>
        <w:t>23.1评审委员会根据招标文件规定的评审办法和标准、对符合性审查合格投标人的投标文件及澄清答复内容进行商务和技术评估，综合比较与评价，并按照平等、客观、公</w:t>
      </w:r>
      <w:r>
        <w:rPr>
          <w:rFonts w:hint="eastAsia" w:ascii="宋体" w:hAnsi="宋体" w:cs="宋体"/>
          <w:color w:val="auto"/>
          <w:sz w:val="24"/>
          <w:highlight w:val="none"/>
        </w:rPr>
        <w:t>正的原则对投标文件进行综合评审和评分。</w:t>
      </w:r>
    </w:p>
    <w:p w14:paraId="774CC16C">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23.2 相同品牌的产品认定</w:t>
      </w:r>
    </w:p>
    <w:p w14:paraId="59040E36">
      <w:pP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sz w:val="24"/>
          <w:highlight w:val="none"/>
        </w:rPr>
        <w:t>23.2.1财政部令第87号《政府采购货物和服务招标投标管理办法》第三十一条规定：</w:t>
      </w:r>
      <w:r>
        <w:rPr>
          <w:rFonts w:hint="eastAsia" w:ascii="宋体" w:hAnsi="宋体" w:cs="宋体"/>
          <w:color w:val="auto"/>
          <w:kern w:val="0"/>
          <w:sz w:val="24"/>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0D1E9F03">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23.2.2如按一家有效投标人认定后，造成项目有效投标人不足三家的，项目应予以废标处理。</w:t>
      </w:r>
    </w:p>
    <w:p w14:paraId="6D1EE335">
      <w:pPr>
        <w:spacing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24. 评标报告</w:t>
      </w:r>
    </w:p>
    <w:p w14:paraId="0007037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auto"/>
          <w:sz w:val="24"/>
          <w:highlight w:val="none"/>
        </w:rPr>
        <w:t>评审委员会根据全体评审成员签字的原始评审记</w:t>
      </w:r>
      <w:r>
        <w:rPr>
          <w:rFonts w:hint="eastAsia" w:ascii="宋体" w:hAnsi="宋体" w:cs="宋体"/>
          <w:color w:val="000000" w:themeColor="text1"/>
          <w:sz w:val="24"/>
          <w:highlight w:val="none"/>
          <w14:textFill>
            <w14:solidFill>
              <w14:schemeClr w14:val="tx1"/>
            </w14:solidFill>
          </w14:textFill>
        </w:rPr>
        <w:t>录和评审结果编写评标报告，并推荐中标候选人，评审报告由评审委员会成员签字确认提交。</w:t>
      </w:r>
    </w:p>
    <w:p w14:paraId="5C895C04">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25.采购过程中出现以下情形，导致电子交易平台无法正常运行，或者无法保证电子交易的公平、公正和安全时，可中止电子交易活动：</w:t>
      </w:r>
    </w:p>
    <w:p w14:paraId="6825E5EE">
      <w:pPr>
        <w:spacing w:line="360" w:lineRule="auto"/>
        <w:ind w:firstLine="240" w:firstLineChars="1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（一）电子交易平台发生故障而无法登录访问的； </w:t>
      </w:r>
    </w:p>
    <w:p w14:paraId="354898F1">
      <w:pPr>
        <w:spacing w:line="360" w:lineRule="auto"/>
        <w:ind w:firstLine="240" w:firstLineChars="1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（二）电子交易平台应用或数据库出现错误，不能进行正常操作的；</w:t>
      </w:r>
    </w:p>
    <w:p w14:paraId="512D154B">
      <w:pPr>
        <w:spacing w:line="360" w:lineRule="auto"/>
        <w:ind w:firstLine="240" w:firstLineChars="1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（三）电子交易平台发现严重安全漏洞，有潜在泄密危险的；</w:t>
      </w:r>
    </w:p>
    <w:p w14:paraId="7B229EF7">
      <w:pPr>
        <w:spacing w:line="360" w:lineRule="auto"/>
        <w:ind w:firstLine="240" w:firstLineChars="1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（四）病毒发作导致不能进行正常操作的； </w:t>
      </w:r>
    </w:p>
    <w:p w14:paraId="5BC9BF00">
      <w:pPr>
        <w:spacing w:line="360" w:lineRule="auto"/>
        <w:ind w:firstLine="240" w:firstLineChars="1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（五）其他无法保证电子交易的公平、公正和安全的情况。</w:t>
      </w:r>
    </w:p>
    <w:p w14:paraId="03EAD742">
      <w:pPr>
        <w:spacing w:line="360" w:lineRule="auto"/>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出现前款规定情形，不影响采购公平、公正性的，采购代理机构可以待上述情形消除后继续组织电子交易活动；影响或可能影响采购公平、公正性的，重新组织采购。</w:t>
      </w:r>
    </w:p>
    <w:p w14:paraId="7AA0156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26. 采购代理机构或评审委员会因不可抗力（不可抗力包括但不限于自然灾害、断电、传播疫病等）原因造成电子交易活动无法正常运行的，将采取以下措施：</w:t>
      </w:r>
    </w:p>
    <w:p w14:paraId="69D0BCD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⑴短时间内能消除不可抗力因素的，采购代理机构或评审委员会在消除不可抗力因素后继续组织电子交易活动。</w:t>
      </w:r>
    </w:p>
    <w:p w14:paraId="5C6B2E3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⑵长时间内无法消除不可抗力因素的，采购代理机构或评审委员会将中止电子交易活动。中止电子交易活动的，采购人应当重新组织政府采购活动。</w:t>
      </w:r>
    </w:p>
    <w:p w14:paraId="3C01D3B9">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27. 保密和评审过程的监控</w:t>
      </w:r>
    </w:p>
    <w:p w14:paraId="1000A5FF">
      <w:pPr>
        <w:spacing w:line="360" w:lineRule="auto"/>
        <w:ind w:firstLine="480" w:firstLineChars="200"/>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27.1 自开标时间起至中标结果公告发布时间止，凡属于审查、澄清、评估和比较投标的有关资料，且与授予合同有关的信息都不得向任何投标人或与上述评审过程无关的人员透露。</w:t>
      </w:r>
    </w:p>
    <w:p w14:paraId="53CBFB9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27.2 本项目开标、评审过程实行全程录音、录像监控，投标人在开标、评审过程中所进行的试图影响评审结果的不公正行为或授予合同决定的过程施加影响的企图和行为，可能导致和其投标被拒绝。</w:t>
      </w:r>
      <w:bookmarkStart w:id="49" w:name="EB6abbdb67ad8e4dca83235298b1f0b56f"/>
      <w:r>
        <w:rPr>
          <w:rFonts w:hint="eastAsia" w:ascii="宋体" w:hAnsi="宋体" w:cs="宋体"/>
          <w:color w:val="000000" w:themeColor="text1"/>
          <w:sz w:val="24"/>
          <w:highlight w:val="none"/>
          <w14:textFill>
            <w14:solidFill>
              <w14:schemeClr w14:val="tx1"/>
            </w14:solidFill>
          </w14:textFill>
        </w:rPr>
        <w:t xml:space="preserve"> </w:t>
      </w:r>
      <w:bookmarkEnd w:id="49"/>
      <w:bookmarkStart w:id="50" w:name="EB50051ac8f4a946c091713b64242fa8f2"/>
      <w:r>
        <w:rPr>
          <w:rFonts w:hint="eastAsia" w:ascii="宋体" w:hAnsi="宋体" w:cs="宋体"/>
          <w:color w:val="000000" w:themeColor="text1"/>
          <w:sz w:val="24"/>
          <w:highlight w:val="none"/>
          <w14:textFill>
            <w14:solidFill>
              <w14:schemeClr w14:val="tx1"/>
            </w14:solidFill>
          </w14:textFill>
        </w:rPr>
        <w:t xml:space="preserve"> </w:t>
      </w:r>
      <w:bookmarkEnd w:id="50"/>
    </w:p>
    <w:p w14:paraId="3FA31290">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51" w:name="_Toc494555855"/>
      <w:bookmarkStart w:id="52" w:name="_Toc25936"/>
      <w:bookmarkStart w:id="53" w:name="_Toc493956039"/>
      <w:r>
        <w:rPr>
          <w:rFonts w:hint="eastAsia" w:ascii="宋体" w:hAnsi="宋体" w:eastAsia="宋体" w:cs="宋体"/>
          <w:color w:val="000000" w:themeColor="text1"/>
          <w:sz w:val="24"/>
          <w:szCs w:val="24"/>
          <w:highlight w:val="none"/>
          <w14:textFill>
            <w14:solidFill>
              <w14:schemeClr w14:val="tx1"/>
            </w14:solidFill>
          </w14:textFill>
        </w:rPr>
        <w:t>七   投标无效的情形</w:t>
      </w:r>
      <w:bookmarkEnd w:id="51"/>
      <w:bookmarkEnd w:id="52"/>
      <w:bookmarkEnd w:id="53"/>
    </w:p>
    <w:p w14:paraId="010A7F7F">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28. 实质上没有响应招标文件要求的投标将被视为无效投标。投标人不得通过修正或撤消不合要求的偏离或保留从而使其投标成为实质上响应的投标。投标人如有下列情形之一的，其投标将被拒绝，</w:t>
      </w:r>
      <w:r>
        <w:rPr>
          <w:rFonts w:hint="eastAsia" w:ascii="宋体" w:hAnsi="宋体" w:cs="宋体"/>
          <w:b/>
          <w:color w:val="000000" w:themeColor="text1"/>
          <w:kern w:val="0"/>
          <w:sz w:val="24"/>
          <w:highlight w:val="none"/>
          <w14:textFill>
            <w14:solidFill>
              <w14:schemeClr w14:val="tx1"/>
            </w14:solidFill>
          </w14:textFill>
        </w:rPr>
        <w:t>投标文件</w:t>
      </w:r>
      <w:r>
        <w:rPr>
          <w:rFonts w:hint="eastAsia" w:ascii="宋体" w:hAnsi="宋体" w:cs="宋体"/>
          <w:b/>
          <w:color w:val="000000" w:themeColor="text1"/>
          <w:sz w:val="24"/>
          <w:highlight w:val="none"/>
          <w14:textFill>
            <w14:solidFill>
              <w14:schemeClr w14:val="tx1"/>
            </w14:solidFill>
          </w14:textFill>
        </w:rPr>
        <w:t>无效：</w:t>
      </w:r>
    </w:p>
    <w:p w14:paraId="49EF908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28.1电报、电话、传真形式提交响应文件的；</w:t>
      </w:r>
    </w:p>
    <w:p w14:paraId="5EC2454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28.2投标人未按招标文件规定的时间和地点提交电子投标文件的；</w:t>
      </w:r>
    </w:p>
    <w:p w14:paraId="3E3DDDF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28.3未按招标文件规定要求签署、盖章的；</w:t>
      </w:r>
    </w:p>
    <w:p w14:paraId="39B3020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28.4不具备投标文件规定资格要求的；</w:t>
      </w:r>
    </w:p>
    <w:p w14:paraId="3D4E906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28.5 投标有效期不足的。</w:t>
      </w:r>
    </w:p>
    <w:p w14:paraId="3BA9642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28.6采购产品为政府强制采购的节能产品，投标人未提供节能产品认证证书的；</w:t>
      </w:r>
    </w:p>
    <w:p w14:paraId="00E6FF1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28.7评审委员会评定有实质上“</w:t>
      </w:r>
      <w:r>
        <w:rPr>
          <w:rFonts w:hint="eastAsia" w:ascii="宋体" w:hAnsi="宋体" w:eastAsia="宋体" w:cs="宋体"/>
          <w:bCs/>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”条款的负偏离的。</w:t>
      </w:r>
    </w:p>
    <w:p w14:paraId="36AF6DD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28.8投标文件含有采购人不能接受的附加条款的。</w:t>
      </w:r>
    </w:p>
    <w:p w14:paraId="4521581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28.9投标报价高于招标文件中规定的预算金额或者最高限价的。</w:t>
      </w:r>
    </w:p>
    <w:p w14:paraId="0E8ACAC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2</w:t>
      </w:r>
      <w:r>
        <w:rPr>
          <w:rFonts w:hint="eastAsia" w:ascii="宋体" w:hAnsi="宋体" w:cs="宋体"/>
          <w:color w:val="000000" w:themeColor="text1"/>
          <w:sz w:val="24"/>
          <w:highlight w:val="none"/>
          <w14:textFill>
            <w14:solidFill>
              <w14:schemeClr w14:val="tx1"/>
            </w14:solidFill>
          </w14:textFill>
        </w:rPr>
        <w:t>8.10招标文件中未要求，但投标人给予赠品、回扣或与采购无关的其他商品、服务的。</w:t>
      </w:r>
    </w:p>
    <w:p w14:paraId="0F93740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28.11投标报价存在漏项或报价数量少于采购要求的。</w:t>
      </w:r>
    </w:p>
    <w:p w14:paraId="64F7AD1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28.12评审委员会认为投标人的报价明显低于其他通过符合性审查投标人的报价，有可能影响产品质量或者不能诚信履约的，投标人代表应在评审委员会规定的时间内通过电子交易平台提交说明，必要时提交相关证明材料；投标人不能证明其报价合理性的，评审委员会应当将其作为无效投标处理。</w:t>
      </w:r>
    </w:p>
    <w:p w14:paraId="56A0263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28.13投标人已明知采购期间或之后企业将发生兼并改制，或提供的产品将停产、淘汰，或必须有偿使用专供的备品备件和试剂耗材的，及其他应当告知采购人可能影响采购项目实施或损害采购人利益的信息，不在</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中予以特别说明的。</w:t>
      </w:r>
    </w:p>
    <w:p w14:paraId="27FCD41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28.14提供虚假材料谋取中标的。</w:t>
      </w:r>
    </w:p>
    <w:p w14:paraId="2194D5D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28.15在招标过程中与采购人进行协商谈判、不按招标文件和中标人的</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订立合同，或者与采购人另行订立背离合同实质性内容的协议的。</w:t>
      </w:r>
    </w:p>
    <w:p w14:paraId="3DFBC48A">
      <w:pPr>
        <w:spacing w:line="360" w:lineRule="auto"/>
        <w:ind w:firstLine="480" w:firstLineChars="200"/>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28.16招标文件规定的其他</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无效情形。</w:t>
      </w:r>
      <w:bookmarkStart w:id="54" w:name="EBdafef940fa674575a283c03dcfd15197"/>
      <w:r>
        <w:rPr>
          <w:rFonts w:hint="eastAsia" w:ascii="宋体" w:hAnsi="宋体" w:cs="宋体"/>
          <w:color w:val="000000" w:themeColor="text1"/>
          <w:sz w:val="24"/>
          <w:highlight w:val="none"/>
          <w14:textFill>
            <w14:solidFill>
              <w14:schemeClr w14:val="tx1"/>
            </w14:solidFill>
          </w14:textFill>
        </w:rPr>
        <w:t xml:space="preserve"> </w:t>
      </w:r>
      <w:bookmarkEnd w:id="54"/>
      <w:bookmarkStart w:id="55" w:name="EB09b84f7f941446eb81ae304223ba6dc4"/>
      <w:r>
        <w:rPr>
          <w:rFonts w:hint="eastAsia" w:ascii="宋体" w:hAnsi="宋体" w:cs="宋体"/>
          <w:color w:val="000000" w:themeColor="text1"/>
          <w:sz w:val="24"/>
          <w:highlight w:val="none"/>
          <w14:textFill>
            <w14:solidFill>
              <w14:schemeClr w14:val="tx1"/>
            </w14:solidFill>
          </w14:textFill>
        </w:rPr>
        <w:t xml:space="preserve"> </w:t>
      </w:r>
      <w:bookmarkEnd w:id="55"/>
    </w:p>
    <w:p w14:paraId="3BFE13F2">
      <w:pPr>
        <w:spacing w:line="360" w:lineRule="auto"/>
        <w:ind w:firstLine="480" w:firstLineChars="200"/>
        <w:rPr>
          <w:rFonts w:hint="eastAsia" w:ascii="宋体" w:hAnsi="宋体" w:cs="宋体"/>
          <w:color w:val="auto"/>
          <w:sz w:val="24"/>
          <w:highlight w:val="none"/>
        </w:rPr>
      </w:pPr>
      <w:r>
        <w:rPr>
          <w:rFonts w:hint="eastAsia" w:ascii="宋体" w:hAnsi="宋体" w:cs="宋体"/>
          <w:color w:val="000000" w:themeColor="text1"/>
          <w:sz w:val="24"/>
          <w:highlight w:val="none"/>
          <w:lang w:val="en-US" w:eastAsia="zh-CN"/>
          <w14:textFill>
            <w14:solidFill>
              <w14:schemeClr w14:val="tx1"/>
            </w14:solidFill>
          </w14:textFill>
        </w:rPr>
        <w:t>28.1</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参与同一个采购包（标段）的供应商存在下列情形之一且无法合理解释的，其投标（响应）文件无效：</w:t>
      </w:r>
    </w:p>
    <w:p w14:paraId="4E5960EF">
      <w:pPr>
        <w:numPr>
          <w:ilvl w:val="0"/>
          <w:numId w:val="2"/>
        </w:num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不同供应商的电子投标（响应）文件上传计算机的网卡MAC地址或硬盘序列号等硬件信息相同的；</w:t>
      </w:r>
    </w:p>
    <w:p w14:paraId="44457149">
      <w:pPr>
        <w:numPr>
          <w:ilvl w:val="0"/>
          <w:numId w:val="2"/>
        </w:numPr>
        <w:spacing w:line="360" w:lineRule="auto"/>
        <w:ind w:left="0" w:leftChars="0" w:firstLine="480" w:firstLineChars="200"/>
        <w:rPr>
          <w:rFonts w:hint="eastAsia" w:ascii="宋体" w:hAnsi="宋体" w:cs="宋体"/>
          <w:color w:val="auto"/>
          <w:sz w:val="24"/>
          <w:highlight w:val="none"/>
        </w:rPr>
      </w:pPr>
      <w:r>
        <w:rPr>
          <w:rFonts w:hint="eastAsia" w:ascii="宋体" w:hAnsi="宋体" w:cs="宋体"/>
          <w:color w:val="auto"/>
          <w:sz w:val="24"/>
          <w:highlight w:val="none"/>
        </w:rPr>
        <w:t>上传的电子投标（响应）文件若出现使用本项目其他投标（响应）供应商的数字证书加密的，或者加盖本项目其他投标（响应）供应商的电子印章的；</w:t>
      </w:r>
    </w:p>
    <w:p w14:paraId="654E3D15">
      <w:pPr>
        <w:numPr>
          <w:ilvl w:val="0"/>
          <w:numId w:val="2"/>
        </w:numPr>
        <w:spacing w:line="360" w:lineRule="auto"/>
        <w:ind w:left="0" w:leftChars="0" w:firstLine="480" w:firstLineChars="200"/>
        <w:rPr>
          <w:rFonts w:ascii="宋体" w:hAnsi="宋体" w:cs="宋体"/>
          <w:color w:val="auto"/>
          <w:sz w:val="24"/>
          <w:highlight w:val="none"/>
        </w:rPr>
      </w:pPr>
      <w:r>
        <w:rPr>
          <w:rFonts w:hint="eastAsia" w:ascii="宋体" w:hAnsi="宋体" w:cs="宋体"/>
          <w:color w:val="auto"/>
          <w:sz w:val="24"/>
          <w:highlight w:val="none"/>
        </w:rPr>
        <w:t>不同供应商的投标（响应）文件的内容存在3处（含）以上错误一致的；</w:t>
      </w:r>
    </w:p>
    <w:p w14:paraId="7688CDAA">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 xml:space="preserve">不同供应商联系人为同一人或不同联系人的联系电话一致的。 </w:t>
      </w:r>
    </w:p>
    <w:p w14:paraId="7A9CE1D1">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56" w:name="_Toc3787"/>
      <w:bookmarkStart w:id="57" w:name="_Toc494555856"/>
      <w:bookmarkStart w:id="58" w:name="_Toc493956040"/>
      <w:r>
        <w:rPr>
          <w:rFonts w:hint="eastAsia" w:ascii="宋体" w:hAnsi="宋体" w:eastAsia="宋体" w:cs="宋体"/>
          <w:color w:val="000000" w:themeColor="text1"/>
          <w:sz w:val="24"/>
          <w:szCs w:val="24"/>
          <w:highlight w:val="none"/>
          <w14:textFill>
            <w14:solidFill>
              <w14:schemeClr w14:val="tx1"/>
            </w14:solidFill>
          </w14:textFill>
        </w:rPr>
        <w:t>八   法律责任</w:t>
      </w:r>
      <w:bookmarkEnd w:id="56"/>
      <w:bookmarkEnd w:id="57"/>
      <w:bookmarkEnd w:id="58"/>
    </w:p>
    <w:p w14:paraId="7E7E16CA">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29. 投标人有下列情形之一的，处以政府采购项目中标金额千分之五以上千分之十以下的罚款，列入不良行为记录名单，在一至三年内禁止参加政府采购活动，并予以公告，有违法所得的，并处没收违法所得，情节严重的，由工商行政管理机关吊销营业执照；构成犯罪的，依法追究刑事责任：</w:t>
      </w:r>
    </w:p>
    <w:p w14:paraId="27F6952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29.1 提供虚假材料谋取中标的；</w:t>
      </w:r>
    </w:p>
    <w:p w14:paraId="2DF3DA9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29.2 采取不正当手段诋毁、排挤其他投标人的；</w:t>
      </w:r>
    </w:p>
    <w:p w14:paraId="4941CA9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29.3 与采购人、其他投标人或者采购代理机构恶意串通的；</w:t>
      </w:r>
    </w:p>
    <w:p w14:paraId="787901F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29.4 向采购人、采购代理机构行贿或者提供其他不正当利益的；</w:t>
      </w:r>
    </w:p>
    <w:p w14:paraId="6A3F182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29.5 在招标采购过程中与采购人进行协商谈判的；</w:t>
      </w:r>
    </w:p>
    <w:p w14:paraId="1D7D021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29.6 拒绝有关部门监督检查或者提供虚假情况的；</w:t>
      </w:r>
    </w:p>
    <w:p w14:paraId="0C7FE63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投标人有前款29.1至29.5项情形之一的，中标无效。</w:t>
      </w:r>
    </w:p>
    <w:p w14:paraId="1081579C">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30. 投标人有下列情形之一的，依照政府采购法第七十七条第一款的规定追究法律责任：</w:t>
      </w:r>
    </w:p>
    <w:p w14:paraId="7421176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30.1 向评审委员会或者评审委员会成员行贿或者提供其他不正当利益；</w:t>
      </w:r>
    </w:p>
    <w:p w14:paraId="186AB71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30.2 中标或者成交后无正当理由拒不与采购人签订政府采购合同；</w:t>
      </w:r>
    </w:p>
    <w:p w14:paraId="47F040F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30.3 未按照招标文件确定的事项签订政府采购合同；</w:t>
      </w:r>
    </w:p>
    <w:p w14:paraId="362C102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30.4 将政府采购合同转包；</w:t>
      </w:r>
    </w:p>
    <w:p w14:paraId="3023E44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30.5 提供假冒伪劣产品；</w:t>
      </w:r>
    </w:p>
    <w:p w14:paraId="06F486B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30.6 擅自变更、中止或者终止政府采购合同。</w:t>
      </w:r>
    </w:p>
    <w:p w14:paraId="1DD8873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人有前款第一项规定情形的，中标无效。评审阶段资格发生变化，投标人未依照《中华人民共和国政府采购法实施条例》第二十一条的规定通知采购人和采购代理机构的，处以采购金额5‰的罚款，列入不良行为记录名单，中标无效。</w:t>
      </w:r>
    </w:p>
    <w:p w14:paraId="18CFCAC3">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31. 投标人捏造事实、提供虚假材料或者以非法手段取得证明材料进行投诉的，由财政部门列入不良行为记录名单，禁止其1至3年内参加政府采购活动。</w:t>
      </w:r>
    </w:p>
    <w:p w14:paraId="78592EA6">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32. 有下列情形之一的，属于恶意串通，对投标人依照政府采购法第七十七条第一款的规定追究法律责任，对采购人、采购代理机构及其工作人员依照政府采购法第七十二条的规定追究法律责任：</w:t>
      </w:r>
    </w:p>
    <w:p w14:paraId="2848B14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32.1投标人直接或者间接从采购人或者采购代理机构处获得其他投标人的相关情况并修改其</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w:t>
      </w:r>
    </w:p>
    <w:p w14:paraId="6F310A3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32.2 投标人按照采购人或者采购代理机构的授意撤换、修改</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w:t>
      </w:r>
    </w:p>
    <w:p w14:paraId="7B73C64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32.3 投标人之间协商报价、技术方案等</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的实质性内容；</w:t>
      </w:r>
    </w:p>
    <w:p w14:paraId="489924F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32.4属于同一集团、协会、商会等组织成员的投标人按照该组织要求协同参加政府采购活动；</w:t>
      </w:r>
    </w:p>
    <w:p w14:paraId="25BE8D7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32.5 投标人之间事先约定由某一特定投标人中标、成交；</w:t>
      </w:r>
    </w:p>
    <w:p w14:paraId="44F41D0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32.6 投标人之间商定部分投标人放弃参加政府采购活动或者放弃中标、成交；</w:t>
      </w:r>
    </w:p>
    <w:p w14:paraId="2F61D46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32.7投标人与采购人或者采购代理机构之间、投标人相互之间，为谋求特定投标人中标、成交或者排斥其他投标人的其他串通行为；</w:t>
      </w:r>
    </w:p>
    <w:p w14:paraId="0C21804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32.8 不同投标人的投标文件由同一单位或者个人编制；</w:t>
      </w:r>
    </w:p>
    <w:p w14:paraId="066F255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32.9 不同投标人委托同一单位或者个人办理投标事宜；</w:t>
      </w:r>
    </w:p>
    <w:p w14:paraId="095DEF6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32.10 不同投标人的投标文件载明的项目管理成员或者联系人员为同一人；</w:t>
      </w:r>
    </w:p>
    <w:p w14:paraId="09CB43C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32.11 不同投标人的投标文件异常一致或者投标报价呈规律性差异；</w:t>
      </w:r>
    </w:p>
    <w:p w14:paraId="28B8580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32.12 不同投标人的投标文件相互混装。</w:t>
      </w:r>
    </w:p>
    <w:bookmarkEnd w:id="41"/>
    <w:bookmarkEnd w:id="42"/>
    <w:bookmarkEnd w:id="43"/>
    <w:p w14:paraId="7DE71066">
      <w:pPr>
        <w:pStyle w:val="5"/>
        <w:spacing w:before="0" w:after="0"/>
        <w:ind w:firstLine="118" w:firstLineChars="49"/>
        <w:rPr>
          <w:rFonts w:ascii="宋体" w:hAnsi="宋体" w:eastAsia="宋体" w:cs="宋体"/>
          <w:color w:val="000000" w:themeColor="text1"/>
          <w:sz w:val="24"/>
          <w:szCs w:val="24"/>
          <w:highlight w:val="none"/>
          <w14:textFill>
            <w14:solidFill>
              <w14:schemeClr w14:val="tx1"/>
            </w14:solidFill>
          </w14:textFill>
        </w:rPr>
      </w:pPr>
      <w:bookmarkStart w:id="59" w:name="_Toc17793770"/>
      <w:bookmarkStart w:id="60" w:name="_Toc14433"/>
      <w:bookmarkStart w:id="61" w:name="_Toc334087237"/>
      <w:bookmarkStart w:id="62" w:name="_Toc396838137"/>
      <w:bookmarkStart w:id="63" w:name="_Toc393869893"/>
      <w:bookmarkStart w:id="64" w:name="_Toc335664279"/>
      <w:bookmarkStart w:id="65" w:name="_Toc415648537"/>
      <w:bookmarkStart w:id="66" w:name="_Toc176659672"/>
      <w:r>
        <w:rPr>
          <w:rFonts w:hint="eastAsia" w:ascii="宋体" w:hAnsi="宋体" w:eastAsia="宋体" w:cs="宋体"/>
          <w:color w:val="000000" w:themeColor="text1"/>
          <w:sz w:val="24"/>
          <w:szCs w:val="24"/>
          <w:highlight w:val="none"/>
          <w14:textFill>
            <w14:solidFill>
              <w14:schemeClr w14:val="tx1"/>
            </w14:solidFill>
          </w14:textFill>
        </w:rPr>
        <w:t>九   澄清、修改发布媒体</w:t>
      </w:r>
      <w:bookmarkEnd w:id="59"/>
      <w:bookmarkEnd w:id="60"/>
    </w:p>
    <w:p w14:paraId="79B46974">
      <w:pPr>
        <w:snapToGrid w:val="0"/>
        <w:spacing w:line="360" w:lineRule="auto"/>
        <w:ind w:firstLine="480" w:firstLineChars="200"/>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33.1针对潜在投标人提出的询问，采购代理机构一般在3个工作日内作出答复，如需澄清或</w:t>
      </w:r>
      <w:r>
        <w:rPr>
          <w:rFonts w:hint="eastAsia" w:ascii="宋体" w:hAnsi="宋体" w:cs="宋体"/>
          <w:bCs/>
          <w:color w:val="000000" w:themeColor="text1"/>
          <w:kern w:val="0"/>
          <w:sz w:val="24"/>
          <w:highlight w:val="none"/>
          <w14:textFill>
            <w14:solidFill>
              <w14:schemeClr w14:val="tx1"/>
            </w14:solidFill>
          </w14:textFill>
        </w:rPr>
        <w:t>修改的，采购代理机构将在投标截止时间十五日前将澄清或修改内容在浙江政府采购网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"http://60.190.126.3:8080/wcm/WCMV6/editor/editor/招标文件（新版）.doc" </w:instrText>
      </w:r>
      <w:r>
        <w:rPr>
          <w:color w:val="000000" w:themeColor="text1"/>
          <w:highlight w:val="none"/>
          <w14:textFill>
            <w14:solidFill>
              <w14:schemeClr w14:val="tx1"/>
            </w14:solidFill>
          </w14:textFill>
        </w:rPr>
        <w:fldChar w:fldCharType="separate"/>
      </w:r>
      <w:r>
        <w:rPr>
          <w:rFonts w:hint="eastAsia" w:ascii="宋体" w:hAnsi="宋体" w:cs="宋体"/>
          <w:bCs/>
          <w:color w:val="000000" w:themeColor="text1"/>
          <w:kern w:val="0"/>
          <w:sz w:val="24"/>
          <w:highlight w:val="none"/>
          <w14:textFill>
            <w14:solidFill>
              <w14:schemeClr w14:val="tx1"/>
            </w14:solidFill>
          </w14:textFill>
        </w:rPr>
        <w:t>http://zfcg.czt.zj.gov.cn/</w:t>
      </w:r>
      <w:r>
        <w:rPr>
          <w:rFonts w:hint="eastAsia" w:ascii="宋体" w:hAnsi="宋体" w:cs="宋体"/>
          <w:bCs/>
          <w:color w:val="000000" w:themeColor="text1"/>
          <w:kern w:val="0"/>
          <w:sz w:val="24"/>
          <w:highlight w:val="none"/>
          <w14:textFill>
            <w14:solidFill>
              <w14:schemeClr w14:val="tx1"/>
            </w14:solidFill>
          </w14:textFill>
        </w:rPr>
        <w:fldChar w:fldCharType="end"/>
      </w:r>
      <w:r>
        <w:rPr>
          <w:rFonts w:hint="eastAsia" w:ascii="宋体" w:hAnsi="宋体" w:cs="宋体"/>
          <w:bCs/>
          <w:color w:val="000000" w:themeColor="text1"/>
          <w:kern w:val="0"/>
          <w:sz w:val="24"/>
          <w:highlight w:val="none"/>
          <w14:textFill>
            <w14:solidFill>
              <w14:schemeClr w14:val="tx1"/>
            </w14:solidFill>
          </w14:textFill>
        </w:rPr>
        <w:t>、丽水市公共资源交易网（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HYPERLINK "http://sy.lssggzy.com/syweb/"</w:instrText>
      </w:r>
      <w:r>
        <w:rPr>
          <w:color w:val="000000" w:themeColor="text1"/>
          <w:highlight w:val="none"/>
          <w14:textFill>
            <w14:solidFill>
              <w14:schemeClr w14:val="tx1"/>
            </w14:solidFill>
          </w14:textFill>
        </w:rPr>
        <w:fldChar w:fldCharType="separate"/>
      </w:r>
      <w:r>
        <w:rPr>
          <w:rFonts w:hint="eastAsia" w:ascii="宋体" w:hAnsi="宋体" w:cs="宋体"/>
          <w:bCs/>
          <w:color w:val="000000" w:themeColor="text1"/>
          <w:kern w:val="0"/>
          <w:sz w:val="24"/>
          <w:highlight w:val="none"/>
          <w14:textFill>
            <w14:solidFill>
              <w14:schemeClr w14:val="tx1"/>
            </w14:solidFill>
          </w14:textFill>
        </w:rPr>
        <w:t>http://lssggzy.lishui.gov.cn/jyweb</w:t>
      </w:r>
      <w:r>
        <w:rPr>
          <w:rFonts w:ascii="宋体" w:hAnsi="宋体" w:cs="宋体"/>
          <w:bCs/>
          <w:color w:val="000000" w:themeColor="text1"/>
          <w:kern w:val="0"/>
          <w:sz w:val="24"/>
          <w:highlight w:val="none"/>
          <w14:textFill>
            <w14:solidFill>
              <w14:schemeClr w14:val="tx1"/>
            </w14:solidFill>
          </w14:textFill>
        </w:rPr>
        <w:fldChar w:fldCharType="end"/>
      </w:r>
      <w:r>
        <w:rPr>
          <w:rFonts w:hint="eastAsia" w:ascii="宋体" w:hAnsi="宋体" w:cs="宋体"/>
          <w:bCs/>
          <w:color w:val="000000" w:themeColor="text1"/>
          <w:kern w:val="0"/>
          <w:sz w:val="24"/>
          <w:highlight w:val="none"/>
          <w14:textFill>
            <w14:solidFill>
              <w14:schemeClr w14:val="tx1"/>
            </w14:solidFill>
          </w14:textFill>
        </w:rPr>
        <w:t>/）上予以公布，潜在投标人应自行关注网站更正公告等内容，采购代理机构不再一一通知。</w:t>
      </w:r>
    </w:p>
    <w:p w14:paraId="5C8D6053">
      <w:pPr>
        <w:snapToGrid w:val="0"/>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33.2潜在投标人提出的询问超出采购人对采购代理机构委托授权范围的，投标人应向采购人提出。</w:t>
      </w:r>
    </w:p>
    <w:p w14:paraId="3CAA93D6">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67" w:name="_Toc27646"/>
      <w:r>
        <w:rPr>
          <w:rFonts w:hint="eastAsia" w:ascii="宋体" w:hAnsi="宋体" w:eastAsia="宋体" w:cs="宋体"/>
          <w:color w:val="000000" w:themeColor="text1"/>
          <w:sz w:val="24"/>
          <w:szCs w:val="24"/>
          <w:highlight w:val="none"/>
          <w14:textFill>
            <w14:solidFill>
              <w14:schemeClr w14:val="tx1"/>
            </w14:solidFill>
          </w14:textFill>
        </w:rPr>
        <w:t>十   质疑</w:t>
      </w:r>
      <w:bookmarkEnd w:id="61"/>
      <w:bookmarkEnd w:id="62"/>
      <w:bookmarkEnd w:id="63"/>
      <w:bookmarkEnd w:id="64"/>
      <w:bookmarkEnd w:id="65"/>
      <w:bookmarkEnd w:id="66"/>
      <w:bookmarkEnd w:id="67"/>
    </w:p>
    <w:p w14:paraId="2CF8B8E5">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34.1</w:t>
      </w:r>
      <w:r>
        <w:rPr>
          <w:rFonts w:hint="eastAsia" w:hAnsi="宋体" w:eastAsia="宋体" w:cs="宋体"/>
          <w:color w:val="000000" w:themeColor="text1"/>
          <w:kern w:val="0"/>
          <w:sz w:val="24"/>
          <w:highlight w:val="none"/>
          <w14:textFill>
            <w14:solidFill>
              <w14:schemeClr w14:val="tx1"/>
            </w14:solidFill>
          </w14:textFill>
        </w:rPr>
        <w:t>投标人认为采购文件、采购过程、中标或者成交结果使自己的权益受到损害的，可以在知道或者应知其权益受到损害之日起7个工作日内，以书面形式向采购人、采购代理机构一次性提出各采购程序环节的质疑。</w:t>
      </w:r>
    </w:p>
    <w:p w14:paraId="0A331897">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34.2质疑的主要内容应符合</w:t>
      </w:r>
      <w:r>
        <w:rPr>
          <w:rFonts w:hint="eastAsia" w:hAnsi="宋体" w:eastAsia="宋体" w:cs="宋体"/>
          <w:color w:val="000000" w:themeColor="text1"/>
          <w:kern w:val="0"/>
          <w:sz w:val="24"/>
          <w:highlight w:val="none"/>
          <w14:textFill>
            <w14:solidFill>
              <w14:schemeClr w14:val="tx1"/>
            </w14:solidFill>
          </w14:textFill>
        </w:rPr>
        <w:t>《政府采购质疑和投诉办法》（94号令）规定</w:t>
      </w:r>
      <w:r>
        <w:rPr>
          <w:rFonts w:hint="eastAsia" w:hAnsi="宋体" w:eastAsia="宋体" w:cs="宋体"/>
          <w:color w:val="000000" w:themeColor="text1"/>
          <w:sz w:val="24"/>
          <w:highlight w:val="none"/>
          <w14:textFill>
            <w14:solidFill>
              <w14:schemeClr w14:val="tx1"/>
            </w14:solidFill>
          </w14:textFill>
        </w:rPr>
        <w:t>以及浙江省和丽水市相关文件的规定。质疑内容涉及保密事项，质疑投标人应提供有效的信息来源或有效证据。</w:t>
      </w:r>
    </w:p>
    <w:p w14:paraId="704F2486">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34.3质疑投标人可直接提交、传真或邮寄方式提交质疑书（一式三份以上）。以其他方式提出的质疑，采购代理机构可不予接受、答复。</w:t>
      </w:r>
    </w:p>
    <w:p w14:paraId="2D4308BF">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34.3.1邮寄方式送达质疑书的，以采购代理机构实际收到邮件之日作为收到质疑的日期。</w:t>
      </w:r>
    </w:p>
    <w:p w14:paraId="1B75954F">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34.3.2传真方式送达质疑书的，质疑投标人应当取得采购代理机构确认收到传真的意见，并及时将质疑书原件送达采购代理机构。采购代理机构以实际收到原件之日作为收到质疑的日期。</w:t>
      </w:r>
    </w:p>
    <w:p w14:paraId="5AE33CF1">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34.3.3在质疑期限届满前，质疑书已经邮寄或传真成功的，质疑不视为过期。</w:t>
      </w:r>
    </w:p>
    <w:p w14:paraId="0133ABD3">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34.4质疑投标人提供的相关材料中有外文资料的，应将与质疑相关的外文资料完整、客观、真实地翻译为中文，并注明翻译人员姓名、工作单位、联系方式等信息。</w:t>
      </w:r>
    </w:p>
    <w:p w14:paraId="613810AC">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34.5采购代理机构在收到质疑投标人的书面质疑后7个工作日内作出答复，并以书面形式答复质疑投标人。</w:t>
      </w:r>
    </w:p>
    <w:p w14:paraId="714A7EED">
      <w:pPr>
        <w:pStyle w:val="11"/>
        <w:spacing w:line="360" w:lineRule="auto"/>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34.6质疑投标人捏造事实、提供虚假材料进行质疑的，采购代理机构报告同级财政部门，由同级财政部门审查，情况属实的，应列入不良行为记录，并在指定的媒体上公告。</w:t>
      </w:r>
    </w:p>
    <w:p w14:paraId="2ACE3A39">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68" w:name="_Toc6332"/>
      <w:r>
        <w:rPr>
          <w:rFonts w:hint="eastAsia" w:ascii="宋体" w:hAnsi="宋体" w:eastAsia="宋体" w:cs="宋体"/>
          <w:color w:val="000000" w:themeColor="text1"/>
          <w:sz w:val="24"/>
          <w:szCs w:val="24"/>
          <w:highlight w:val="none"/>
          <w14:textFill>
            <w14:solidFill>
              <w14:schemeClr w14:val="tx1"/>
            </w14:solidFill>
          </w14:textFill>
        </w:rPr>
        <w:t>十一  投诉</w:t>
      </w:r>
      <w:bookmarkEnd w:id="44"/>
      <w:bookmarkEnd w:id="45"/>
      <w:bookmarkEnd w:id="46"/>
      <w:bookmarkEnd w:id="47"/>
      <w:bookmarkEnd w:id="68"/>
    </w:p>
    <w:p w14:paraId="3AFA253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35.质疑投标人对采购代理机构的答复不满意或者采购代理机构未在规定时间内答复的，可以在答复期满后十五个工作日内按有关规定，书面向同级政府采购管理办公室投诉。</w:t>
      </w:r>
    </w:p>
    <w:p w14:paraId="2FA0E311">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69" w:name="_Toc29108"/>
      <w:r>
        <w:rPr>
          <w:rFonts w:hint="eastAsia" w:ascii="宋体" w:hAnsi="宋体" w:eastAsia="宋体" w:cs="宋体"/>
          <w:color w:val="000000" w:themeColor="text1"/>
          <w:sz w:val="24"/>
          <w:szCs w:val="24"/>
          <w:highlight w:val="none"/>
          <w14:textFill>
            <w14:solidFill>
              <w14:schemeClr w14:val="tx1"/>
            </w14:solidFill>
          </w14:textFill>
        </w:rPr>
        <w:t>十二  授予合同</w:t>
      </w:r>
      <w:bookmarkEnd w:id="48"/>
      <w:bookmarkEnd w:id="69"/>
    </w:p>
    <w:p w14:paraId="4FDFF3C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36. 中标结果公告及中标通知书</w:t>
      </w:r>
    </w:p>
    <w:p w14:paraId="23DAFE3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36.1 采购代理机构将在浙江政府采购网</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HYPERLINK "http://60.190.126.3:8080/wcm/WCMV6/editor/editor/招标文件（新版）.doc"</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sz w:val="24"/>
          <w:highlight w:val="none"/>
          <w14:textFill>
            <w14:solidFill>
              <w14:schemeClr w14:val="tx1"/>
            </w14:solidFill>
          </w14:textFill>
        </w:rPr>
        <w:t>http://zfcg.czt.zj.gov.cn/</w:t>
      </w:r>
      <w:r>
        <w:rPr>
          <w:rFonts w:ascii="宋体" w:hAnsi="宋体" w:cs="宋体"/>
          <w:color w:val="000000" w:themeColor="text1"/>
          <w:sz w:val="24"/>
          <w:highlight w:val="none"/>
          <w14:textFill>
            <w14:solidFill>
              <w14:schemeClr w14:val="tx1"/>
            </w14:solidFill>
          </w14:textFill>
        </w:rPr>
        <w:fldChar w:fldCharType="end"/>
      </w:r>
      <w:r>
        <w:rPr>
          <w:rFonts w:hint="eastAsia" w:ascii="宋体" w:hAnsi="宋体" w:cs="宋体"/>
          <w:color w:val="000000" w:themeColor="text1"/>
          <w:sz w:val="24"/>
          <w:highlight w:val="none"/>
          <w14:textFill>
            <w14:solidFill>
              <w14:schemeClr w14:val="tx1"/>
            </w14:solidFill>
          </w14:textFill>
        </w:rPr>
        <w:t xml:space="preserve"> 、丽水市公共资源交易网http://lssggzy.lishui.gov.cn/jyweb/上发布中标结果公告。中标结果公告内容不包括国家秘密、商业秘密。</w:t>
      </w:r>
    </w:p>
    <w:p w14:paraId="5674326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36.2发布中标公告的同时，采购代理机构向中标人发出中标通知书。</w:t>
      </w:r>
    </w:p>
    <w:p w14:paraId="4C2384C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37.授予合同时变更数量的权力</w:t>
      </w:r>
    </w:p>
    <w:p w14:paraId="078EFEC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37.1采购人需追加与合同标的相同的货物、工程或者服务的，在不改变合同其他条款的前提下，可经同级政府采购管理办公室批准直接与中标人签订补充合同，补充合同需交由同级政府采购管理办公室备案，但所补充合同的采购金额不得超过原合同采购金额的10%。</w:t>
      </w:r>
    </w:p>
    <w:p w14:paraId="1C407B6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38.签订合同</w:t>
      </w:r>
    </w:p>
    <w:p w14:paraId="4D3FAE6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38.1中标人自中标通知书发出之日起30日内与采购人签定合同。</w:t>
      </w:r>
    </w:p>
    <w:p w14:paraId="6AB55AD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38.2招标文件、中标人的投标文件及其澄清文件等,均为签订合同的依据。</w:t>
      </w:r>
    </w:p>
    <w:p w14:paraId="7350BA4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38.3中标人不遵守招标文件和投标文件的要约条款及所作的承诺,擅自修改报价或在中标通知书发出之日起30日内,借故拖延、拒签合同者,采购人有权取消该投标人的中标资格。</w:t>
      </w:r>
    </w:p>
    <w:p w14:paraId="340D83D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按有关法律法规中标人拒绝与采购人签订合同的，采购人可以按照评审报告推荐的中标候选人名单排序，确定下一候选人为中标人，也可以重新开展政府采购活动。</w:t>
      </w:r>
    </w:p>
    <w:p w14:paraId="4DBB110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38.4质疑事项可能影响中标结果的，采购人应当暂停签订合同，已经签订合同的，应当中止履行合同。（中标结果的质疑期为中标结果公告期限届满之日起七个工作日）。</w:t>
      </w:r>
    </w:p>
    <w:p w14:paraId="61FF18A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38.5采购人应当自政府采购合同签订之日起2个工作日内，将政府采购合同在省级以上人民政府财政部门指定的媒体上公告，但政府采购合同中涉及国家秘密、商业秘密的内容除外。</w:t>
      </w:r>
    </w:p>
    <w:p w14:paraId="6272EE77">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70" w:name="_Toc26469"/>
      <w:r>
        <w:rPr>
          <w:rFonts w:hint="eastAsia" w:ascii="宋体" w:hAnsi="宋体" w:eastAsia="宋体" w:cs="宋体"/>
          <w:color w:val="000000" w:themeColor="text1"/>
          <w:sz w:val="24"/>
          <w:szCs w:val="24"/>
          <w:highlight w:val="none"/>
          <w14:textFill>
            <w14:solidFill>
              <w14:schemeClr w14:val="tx1"/>
            </w14:solidFill>
          </w14:textFill>
        </w:rPr>
        <w:t>十三  验收</w:t>
      </w:r>
      <w:bookmarkEnd w:id="70"/>
    </w:p>
    <w:p w14:paraId="1B292628">
      <w:pPr>
        <w:spacing w:line="360" w:lineRule="auto"/>
        <w:ind w:firstLine="480" w:firstLineChars="200"/>
        <w:rPr>
          <w:rFonts w:ascii="宋体" w:hAnsi="宋体" w:cs="宋体"/>
          <w:color w:val="000000" w:themeColor="text1"/>
          <w:sz w:val="24"/>
          <w:highlight w:val="none"/>
          <w14:textFill>
            <w14:solidFill>
              <w14:schemeClr w14:val="tx1"/>
            </w14:solidFill>
          </w14:textFill>
        </w:rPr>
      </w:pPr>
      <w:bookmarkStart w:id="71" w:name="_Toc45506731"/>
      <w:bookmarkStart w:id="72" w:name="_Toc47756031"/>
      <w:bookmarkStart w:id="73" w:name="_Toc107820052"/>
      <w:bookmarkStart w:id="74" w:name="_Toc15813254"/>
      <w:bookmarkStart w:id="75" w:name="_Toc15805937"/>
      <w:r>
        <w:rPr>
          <w:rFonts w:hint="eastAsia" w:ascii="宋体" w:hAnsi="宋体" w:cs="宋体"/>
          <w:color w:val="000000" w:themeColor="text1"/>
          <w:sz w:val="24"/>
          <w:highlight w:val="none"/>
          <w14:textFill>
            <w14:solidFill>
              <w14:schemeClr w14:val="tx1"/>
            </w14:solidFill>
          </w14:textFill>
        </w:rPr>
        <w:t>39. 采购人应当按照政府采购合同规定的技术、服务、安全标准组织对投标人履约情况进行验收，并出具验收书。验收书应当包括每一项技术、服务、安全标准的履约情况。</w:t>
      </w:r>
    </w:p>
    <w:p w14:paraId="58993CF0">
      <w:pPr>
        <w:pStyle w:val="24"/>
        <w:snapToGrid w:val="0"/>
        <w:spacing w:line="360" w:lineRule="auto"/>
        <w:ind w:firstLine="480" w:firstLineChars="200"/>
        <w:jc w:val="both"/>
        <w:rPr>
          <w:rFonts w:cs="宋体"/>
          <w:color w:val="000000" w:themeColor="text1"/>
          <w:kern w:val="2"/>
          <w:highlight w:val="none"/>
          <w14:textFill>
            <w14:solidFill>
              <w14:schemeClr w14:val="tx1"/>
            </w14:solidFill>
          </w14:textFill>
        </w:rPr>
      </w:pPr>
      <w:r>
        <w:rPr>
          <w:rFonts w:hint="eastAsia" w:cs="宋体"/>
          <w:color w:val="000000" w:themeColor="text1"/>
          <w:kern w:val="2"/>
          <w:highlight w:val="none"/>
          <w14:textFill>
            <w14:solidFill>
              <w14:schemeClr w14:val="tx1"/>
            </w14:solidFill>
          </w14:textFill>
        </w:rPr>
        <w:t>39.1本项目采购人可邀请其他投标人或者第三方机构参与验收、核对，参与验收、核对的内容为中标产品的技术指标、规格型号、质保服务、承诺等内容，是否和</w:t>
      </w:r>
      <w:r>
        <w:rPr>
          <w:rFonts w:hint="eastAsia" w:cs="宋体"/>
          <w:color w:val="000000" w:themeColor="text1"/>
          <w:highlight w:val="none"/>
          <w14:textFill>
            <w14:solidFill>
              <w14:schemeClr w14:val="tx1"/>
            </w14:solidFill>
          </w14:textFill>
        </w:rPr>
        <w:t>招标文件</w:t>
      </w:r>
      <w:r>
        <w:rPr>
          <w:rFonts w:hint="eastAsia" w:cs="宋体"/>
          <w:color w:val="000000" w:themeColor="text1"/>
          <w:kern w:val="2"/>
          <w:highlight w:val="none"/>
          <w14:textFill>
            <w14:solidFill>
              <w14:schemeClr w14:val="tx1"/>
            </w14:solidFill>
          </w14:textFill>
        </w:rPr>
        <w:t>、中标人</w:t>
      </w:r>
      <w:r>
        <w:rPr>
          <w:rFonts w:hint="eastAsia" w:cs="宋体"/>
          <w:color w:val="000000" w:themeColor="text1"/>
          <w:highlight w:val="none"/>
          <w14:textFill>
            <w14:solidFill>
              <w14:schemeClr w14:val="tx1"/>
            </w14:solidFill>
          </w14:textFill>
        </w:rPr>
        <w:t>投标文件</w:t>
      </w:r>
      <w:r>
        <w:rPr>
          <w:rFonts w:hint="eastAsia" w:cs="宋体"/>
          <w:color w:val="000000" w:themeColor="text1"/>
          <w:kern w:val="2"/>
          <w:highlight w:val="none"/>
          <w14:textFill>
            <w14:solidFill>
              <w14:schemeClr w14:val="tx1"/>
            </w14:solidFill>
          </w14:textFill>
        </w:rPr>
        <w:t>的内容相符合。</w:t>
      </w:r>
    </w:p>
    <w:p w14:paraId="45DAAE3D">
      <w:pPr>
        <w:pStyle w:val="24"/>
        <w:snapToGrid w:val="0"/>
        <w:spacing w:line="360" w:lineRule="auto"/>
        <w:ind w:firstLine="480" w:firstLineChars="200"/>
        <w:jc w:val="both"/>
        <w:rPr>
          <w:rFonts w:cs="宋体"/>
          <w:color w:val="000000" w:themeColor="text1"/>
          <w:kern w:val="2"/>
          <w:highlight w:val="none"/>
          <w14:textFill>
            <w14:solidFill>
              <w14:schemeClr w14:val="tx1"/>
            </w14:solidFill>
          </w14:textFill>
        </w:rPr>
      </w:pPr>
      <w:r>
        <w:rPr>
          <w:rFonts w:hint="eastAsia" w:cs="宋体"/>
          <w:color w:val="000000" w:themeColor="text1"/>
          <w:kern w:val="2"/>
          <w:highlight w:val="none"/>
          <w14:textFill>
            <w14:solidFill>
              <w14:schemeClr w14:val="tx1"/>
            </w14:solidFill>
          </w14:textFill>
        </w:rPr>
        <w:t>39.2其他投标人在项目中标结果公告前将参与验收的人员名单、联系方式等相关信息书面告知采购人。采购人在验收二日前告知其参加验收的具体时间和地址。参加验收工作的人员，应提供投标人出具的授权委托书。</w:t>
      </w:r>
    </w:p>
    <w:p w14:paraId="5E01570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39.3其他投标人应遵守诚实信用、实事求是的原则，在验收期间积极配合采购人组织的验收工作，不得影响或阻扰验收工作的正常进行。参与验收的一切费用，原则上由投标人自行承担。</w:t>
      </w:r>
      <w:bookmarkStart w:id="76" w:name="EBd2522df597074a4482c1669877a67a9b"/>
      <w:r>
        <w:rPr>
          <w:rFonts w:hint="eastAsia" w:ascii="宋体" w:hAnsi="宋体" w:cs="宋体"/>
          <w:color w:val="000000" w:themeColor="text1"/>
          <w:sz w:val="24"/>
          <w:highlight w:val="none"/>
          <w14:textFill>
            <w14:solidFill>
              <w14:schemeClr w14:val="tx1"/>
            </w14:solidFill>
          </w14:textFill>
        </w:rPr>
        <w:t xml:space="preserve"> </w:t>
      </w:r>
      <w:bookmarkEnd w:id="76"/>
      <w:bookmarkStart w:id="77" w:name="EB2f50be56a5df4291a19f1a40e16bfb61"/>
      <w:r>
        <w:rPr>
          <w:rFonts w:hint="eastAsia" w:ascii="宋体" w:hAnsi="宋体" w:cs="宋体"/>
          <w:color w:val="000000" w:themeColor="text1"/>
          <w:sz w:val="24"/>
          <w:highlight w:val="none"/>
          <w14:textFill>
            <w14:solidFill>
              <w14:schemeClr w14:val="tx1"/>
            </w14:solidFill>
          </w14:textFill>
        </w:rPr>
        <w:t xml:space="preserve"> </w:t>
      </w:r>
      <w:bookmarkEnd w:id="77"/>
    </w:p>
    <w:p w14:paraId="432ABF7C">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bookmarkStart w:id="78" w:name="_Toc530987054"/>
      <w:bookmarkStart w:id="79" w:name="_Toc493956047"/>
      <w:bookmarkStart w:id="80" w:name="_Toc27124"/>
      <w:r>
        <w:rPr>
          <w:rFonts w:hint="eastAsia" w:ascii="宋体" w:hAnsi="宋体" w:eastAsia="宋体" w:cs="宋体"/>
          <w:color w:val="000000" w:themeColor="text1"/>
          <w:sz w:val="24"/>
          <w:szCs w:val="24"/>
          <w:highlight w:val="none"/>
          <w14:textFill>
            <w14:solidFill>
              <w14:schemeClr w14:val="tx1"/>
            </w14:solidFill>
          </w14:textFill>
        </w:rPr>
        <w:t>十四  政府采购政策</w:t>
      </w:r>
      <w:bookmarkEnd w:id="78"/>
      <w:bookmarkEnd w:id="79"/>
      <w:bookmarkEnd w:id="80"/>
    </w:p>
    <w:p w14:paraId="7CC89ACB">
      <w:pPr>
        <w:spacing w:line="360" w:lineRule="auto"/>
        <w:ind w:firstLine="480" w:firstLineChars="200"/>
        <w:rPr>
          <w:rFonts w:ascii="宋体" w:hAnsi="宋体" w:cs="宋体"/>
          <w:color w:val="000000" w:themeColor="text1"/>
          <w:sz w:val="24"/>
          <w:highlight w:val="none"/>
          <w14:textFill>
            <w14:solidFill>
              <w14:schemeClr w14:val="tx1"/>
            </w14:solidFill>
          </w14:textFill>
        </w:rPr>
      </w:pPr>
      <w:bookmarkStart w:id="81" w:name="_Toc18197"/>
      <w:r>
        <w:rPr>
          <w:rFonts w:hint="eastAsia" w:ascii="宋体" w:hAnsi="宋体" w:cs="宋体"/>
          <w:color w:val="000000" w:themeColor="text1"/>
          <w:sz w:val="24"/>
          <w:highlight w:val="none"/>
          <w14:textFill>
            <w14:solidFill>
              <w14:schemeClr w14:val="tx1"/>
            </w14:solidFill>
          </w14:textFill>
        </w:rPr>
        <w:t>40.1本项目</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b/>
          <w:bCs/>
          <w:color w:val="000000" w:themeColor="text1"/>
          <w:sz w:val="24"/>
          <w:highlight w:val="none"/>
          <w:u w:val="single"/>
          <w14:textFill>
            <w14:solidFill>
              <w14:schemeClr w14:val="tx1"/>
            </w14:solidFill>
          </w14:textFill>
        </w:rPr>
        <w:t xml:space="preserve">是 </w:t>
      </w:r>
      <w:r>
        <w:rPr>
          <w:rFonts w:hint="eastAsia" w:ascii="宋体" w:hAnsi="宋体" w:cs="宋体"/>
          <w:color w:val="000000" w:themeColor="text1"/>
          <w:kern w:val="0"/>
          <w:sz w:val="24"/>
          <w:highlight w:val="none"/>
          <w:lang w:eastAsia="zh-CN"/>
          <w14:textFill>
            <w14:solidFill>
              <w14:schemeClr w14:val="tx1"/>
            </w14:solidFill>
          </w14:textFill>
        </w:rPr>
        <w:t>专门面向</w:t>
      </w:r>
      <w:r>
        <w:rPr>
          <w:rFonts w:hint="eastAsia" w:ascii="宋体" w:hAnsi="宋体" w:cs="宋体"/>
          <w:color w:val="000000" w:themeColor="text1"/>
          <w:kern w:val="0"/>
          <w:sz w:val="24"/>
          <w:highlight w:val="none"/>
          <w14:textFill>
            <w14:solidFill>
              <w14:schemeClr w14:val="tx1"/>
            </w14:solidFill>
          </w14:textFill>
        </w:rPr>
        <w:t>中小微企业</w:t>
      </w:r>
      <w:r>
        <w:rPr>
          <w:rFonts w:hint="eastAsia" w:ascii="宋体" w:hAnsi="宋体" w:cs="宋体"/>
          <w:color w:val="000000" w:themeColor="text1"/>
          <w:kern w:val="0"/>
          <w:sz w:val="24"/>
          <w:highlight w:val="none"/>
          <w:lang w:eastAsia="zh-CN"/>
          <w14:textFill>
            <w14:solidFill>
              <w14:schemeClr w14:val="tx1"/>
            </w14:solidFill>
          </w14:textFill>
        </w:rPr>
        <w:t>采购</w:t>
      </w:r>
      <w:r>
        <w:rPr>
          <w:rFonts w:hint="eastAsia" w:ascii="宋体" w:hAnsi="宋体" w:cs="宋体"/>
          <w:color w:val="000000" w:themeColor="text1"/>
          <w:sz w:val="24"/>
          <w:highlight w:val="none"/>
          <w14:textFill>
            <w14:solidFill>
              <w14:schemeClr w14:val="tx1"/>
            </w14:solidFill>
          </w14:textFill>
        </w:rPr>
        <w:t>。</w:t>
      </w:r>
    </w:p>
    <w:p w14:paraId="1CE46162">
      <w:pPr>
        <w:adjustRightInd w:val="0"/>
        <w:snapToGrid w:val="0"/>
        <w:spacing w:line="360" w:lineRule="auto"/>
        <w:ind w:firstLine="480" w:firstLineChars="200"/>
        <w:rPr>
          <w:rFonts w:hint="eastAsia" w:ascii="宋体" w:hAnsi="宋体" w:eastAsia="宋体" w:cs="宋体"/>
          <w:color w:val="0000FF"/>
          <w:sz w:val="24"/>
          <w:highlight w:val="none"/>
          <w:u w:val="single"/>
          <w:lang w:eastAsia="zh-CN"/>
        </w:rPr>
      </w:pPr>
      <w:r>
        <w:rPr>
          <w:rFonts w:hint="eastAsia" w:ascii="宋体" w:hAnsi="宋体" w:cs="宋体"/>
          <w:color w:val="000000" w:themeColor="text1"/>
          <w:sz w:val="24"/>
          <w:highlight w:val="none"/>
          <w14:textFill>
            <w14:solidFill>
              <w14:schemeClr w14:val="tx1"/>
            </w14:solidFill>
          </w14:textFill>
        </w:rPr>
        <w:t>40.1.1本项目对应的中小企</w:t>
      </w:r>
      <w:r>
        <w:rPr>
          <w:rFonts w:hint="eastAsia" w:ascii="宋体" w:hAnsi="宋体" w:cs="宋体"/>
          <w:color w:val="auto"/>
          <w:sz w:val="24"/>
          <w:highlight w:val="none"/>
        </w:rPr>
        <w:t>业划分标准所属行业：</w:t>
      </w:r>
      <w:r>
        <w:rPr>
          <w:rFonts w:hint="eastAsia" w:ascii="Segoe UI" w:hAnsi="Segoe UI" w:cs="Segoe UI"/>
          <w:i w:val="0"/>
          <w:iCs w:val="0"/>
          <w:caps w:val="0"/>
          <w:spacing w:val="0"/>
          <w:sz w:val="24"/>
          <w:szCs w:val="24"/>
          <w:u w:val="single"/>
          <w:shd w:val="clear" w:fill="FFFFFF"/>
          <w:lang w:val="en-US" w:eastAsia="zh-CN"/>
        </w:rPr>
        <w:t>工业</w:t>
      </w:r>
      <w:r>
        <w:rPr>
          <w:rFonts w:hint="eastAsia" w:ascii="Segoe UI" w:hAnsi="Segoe UI" w:eastAsia="宋体" w:cs="Segoe UI"/>
          <w:i w:val="0"/>
          <w:iCs w:val="0"/>
          <w:caps w:val="0"/>
          <w:color w:val="auto"/>
          <w:spacing w:val="0"/>
          <w:sz w:val="24"/>
          <w:szCs w:val="24"/>
          <w:u w:val="none"/>
          <w:shd w:val="clear" w:fill="FFFFFF"/>
          <w:lang w:eastAsia="zh-CN"/>
        </w:rPr>
        <w:t>。</w:t>
      </w:r>
      <w:r>
        <w:rPr>
          <w:rFonts w:hint="eastAsia" w:ascii="宋体" w:hAnsi="宋体" w:eastAsia="宋体" w:cs="宋体"/>
          <w:color w:val="000000" w:themeColor="text1"/>
          <w:sz w:val="24"/>
          <w:highlight w:val="none"/>
          <w14:textFill>
            <w14:solidFill>
              <w14:schemeClr w14:val="tx1"/>
            </w14:solidFill>
          </w14:textFill>
        </w:rPr>
        <w:t>(中小微型企业划分标准参照国家统计局印发的《统计上大中小微型企业划分办法（2017）》，上述填写的所属行业详见《统计上大中小微型企业划分办法（2017）》附件)。</w:t>
      </w:r>
    </w:p>
    <w:p w14:paraId="27BE257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40.1.2中小企业是指在中华人民共和国境内依法设立，依据国务院批准的中小企业划分标准确定的中型企业、小型企业和微型企业，但与大企业的负责人为同一人，或者与大企业存在直接控股、管理关系的除外。</w:t>
      </w:r>
    </w:p>
    <w:p w14:paraId="353A88D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40.1.3符合中小企业划分标准的个体工商户，在政府采购活动中视同中小企业。</w:t>
      </w:r>
    </w:p>
    <w:p w14:paraId="241A49D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40.1.4在政府采购活动中，供应商提供的货物、工程或者服务符合下列情形的，可享受小型、微型企业（以下简称小微企业）的价格扣除：</w:t>
      </w:r>
    </w:p>
    <w:p w14:paraId="595BF11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（1）在货物采购项目中，货物由小微企业制造，即货物由小微企业生产且使用该小微企业商号或者注册商标；</w:t>
      </w:r>
    </w:p>
    <w:p w14:paraId="17C12AC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（2）在工程采购项目中，工程由小微企业承建，即工程施工单位为小微企业；</w:t>
      </w:r>
    </w:p>
    <w:p w14:paraId="7332ACA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（3）在服务采购项目中，服务由小微企业承接，即提供服务的人员为小微企业依照《中华人民共和国劳动合同法》订立劳动合同的从业人员。</w:t>
      </w:r>
    </w:p>
    <w:p w14:paraId="7FA5B36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以联合体形式参加政府采购活动，联合体各方均为小微企业的，联合体视同小微企业。</w:t>
      </w:r>
    </w:p>
    <w:p w14:paraId="1A3A2B6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40.1.5在货物采购项目中，供应商提供的货物既有中小企业制造货物，也有大型企业制造货物的，不享受的小微企业价格扣除。</w:t>
      </w:r>
    </w:p>
    <w:p w14:paraId="169B6E5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w:t>
      </w:r>
      <w:r>
        <w:rPr>
          <w:rFonts w:hint="eastAsia" w:ascii="宋体" w:hAnsi="宋体" w:cs="宋体"/>
          <w:color w:val="000000" w:themeColor="text1"/>
          <w:sz w:val="24"/>
          <w:highlight w:val="none"/>
          <w:lang w:val="en-US" w:eastAsia="zh-CN"/>
          <w14:textFill>
            <w14:solidFill>
              <w14:schemeClr w14:val="tx1"/>
            </w14:solidFill>
          </w14:textFill>
        </w:rPr>
        <w:t>6</w:t>
      </w:r>
      <w:r>
        <w:rPr>
          <w:rFonts w:hint="eastAsia" w:ascii="宋体" w:hAnsi="宋体" w:cs="宋体"/>
          <w:color w:val="000000" w:themeColor="text1"/>
          <w:sz w:val="24"/>
          <w:highlight w:val="none"/>
          <w14:textFill>
            <w14:solidFill>
              <w14:schemeClr w14:val="tx1"/>
            </w14:solidFill>
          </w14:textFill>
        </w:rPr>
        <w:t>中小企业应按照采购文件格式要求提供《中小企业声明函》。</w:t>
      </w:r>
    </w:p>
    <w:p w14:paraId="53372F7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w:t>
      </w:r>
      <w:r>
        <w:rPr>
          <w:rFonts w:hint="eastAsia" w:ascii="宋体" w:hAnsi="宋体" w:cs="宋体"/>
          <w:color w:val="000000" w:themeColor="text1"/>
          <w:sz w:val="24"/>
          <w:highlight w:val="none"/>
          <w:lang w:val="en-US" w:eastAsia="zh-CN"/>
          <w14:textFill>
            <w14:solidFill>
              <w14:schemeClr w14:val="tx1"/>
            </w14:solidFill>
          </w14:textFill>
        </w:rPr>
        <w:t>7</w:t>
      </w:r>
      <w:r>
        <w:rPr>
          <w:rFonts w:hint="eastAsia" w:ascii="宋体" w:hAnsi="宋体" w:cs="宋体"/>
          <w:color w:val="000000" w:themeColor="text1"/>
          <w:sz w:val="24"/>
          <w:highlight w:val="none"/>
          <w14:textFill>
            <w14:solidFill>
              <w14:schemeClr w14:val="tx1"/>
            </w14:solidFill>
          </w14:textFill>
        </w:rPr>
        <w:t>根据《财政部司法部关于政府采购支持监狱企业发展有关问题的通知》（财库〔2014〕68号）规定，监狱企业视同小型、微型企业。监狱企业参加政府采购活动时，应当提供由省级以上监狱管理局、戒毒管理局（含新疆生产建设兵团）出具的属于监狱企业的证明文件。</w:t>
      </w:r>
    </w:p>
    <w:p w14:paraId="3AF09AB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w:t>
      </w:r>
      <w:r>
        <w:rPr>
          <w:rFonts w:hint="eastAsia" w:ascii="宋体" w:hAnsi="宋体" w:cs="宋体"/>
          <w:color w:val="000000" w:themeColor="text1"/>
          <w:sz w:val="24"/>
          <w:highlight w:val="none"/>
          <w:lang w:val="en-US" w:eastAsia="zh-CN"/>
          <w14:textFill>
            <w14:solidFill>
              <w14:schemeClr w14:val="tx1"/>
            </w14:solidFill>
          </w14:textFill>
        </w:rPr>
        <w:t>8</w:t>
      </w:r>
      <w:r>
        <w:rPr>
          <w:rFonts w:hint="eastAsia" w:ascii="宋体" w:hAnsi="宋体" w:cs="宋体"/>
          <w:color w:val="000000" w:themeColor="text1"/>
          <w:sz w:val="24"/>
          <w:highlight w:val="none"/>
          <w14:textFill>
            <w14:solidFill>
              <w14:schemeClr w14:val="tx1"/>
            </w14:solidFill>
          </w14:textFill>
        </w:rPr>
        <w:t>根据《关于促进残疾人就业政府采购政策的通知》（财库[2017]141号）规定，在政府采购活动中，残疾人福利性单位视同小型、微型企业。残疾人福利性单位参加政府采购活动时，提供《残疾人福利性单位声明函》。</w:t>
      </w:r>
    </w:p>
    <w:p w14:paraId="49A0E4C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w:t>
      </w:r>
      <w:r>
        <w:rPr>
          <w:rFonts w:hint="eastAsia" w:ascii="宋体" w:hAnsi="宋体" w:cs="宋体"/>
          <w:color w:val="000000" w:themeColor="text1"/>
          <w:sz w:val="24"/>
          <w:highlight w:val="none"/>
          <w:lang w:val="en-US" w:eastAsia="zh-CN"/>
          <w14:textFill>
            <w14:solidFill>
              <w14:schemeClr w14:val="tx1"/>
            </w14:solidFill>
          </w14:textFill>
        </w:rPr>
        <w:t>9</w:t>
      </w:r>
      <w:r>
        <w:rPr>
          <w:rFonts w:hint="eastAsia" w:ascii="宋体" w:hAnsi="宋体" w:cs="宋体"/>
          <w:color w:val="000000" w:themeColor="text1"/>
          <w:sz w:val="24"/>
          <w:highlight w:val="none"/>
          <w14:textFill>
            <w14:solidFill>
              <w14:schemeClr w14:val="tx1"/>
            </w14:solidFill>
          </w14:textFill>
        </w:rPr>
        <w:t>按规定享受扶持政策获得政府采购合同的，小微企业不得将合同分包给大中型企业，中型企业不得将合同分包给大型企业。</w:t>
      </w:r>
    </w:p>
    <w:p w14:paraId="14516C0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40.1.1</w:t>
      </w:r>
      <w:r>
        <w:rPr>
          <w:rFonts w:hint="eastAsia" w:ascii="宋体" w:hAnsi="宋体" w:cs="宋体"/>
          <w:color w:val="000000" w:themeColor="text1"/>
          <w:sz w:val="24"/>
          <w:highlight w:val="none"/>
          <w:lang w:val="en-US" w:eastAsia="zh-CN"/>
          <w14:textFill>
            <w14:solidFill>
              <w14:schemeClr w14:val="tx1"/>
            </w14:solidFill>
          </w14:textFill>
        </w:rPr>
        <w:t>0</w:t>
      </w:r>
      <w:r>
        <w:rPr>
          <w:rFonts w:hint="eastAsia" w:ascii="宋体" w:hAnsi="宋体" w:cs="宋体"/>
          <w:color w:val="000000" w:themeColor="text1"/>
          <w:sz w:val="24"/>
          <w:highlight w:val="none"/>
          <w14:textFill>
            <w14:solidFill>
              <w14:schemeClr w14:val="tx1"/>
            </w14:solidFill>
          </w14:textFill>
        </w:rPr>
        <w:t>供应商按照《政府采购促进中小企业发展管理办法》（财库﹝2020﹞46号）规定提供声明函内容不实的，属于提供虚假材料谋取中标、成交，依照《中华人民共和国政府采购法》等国家有关规定追究相应责任。</w:t>
      </w:r>
    </w:p>
    <w:p w14:paraId="098CA772">
      <w:pPr>
        <w:pStyle w:val="5"/>
        <w:spacing w:before="0" w:after="0"/>
        <w:ind w:firstLine="200" w:firstLineChars="0"/>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十五  其他事项</w:t>
      </w:r>
      <w:bookmarkEnd w:id="71"/>
      <w:bookmarkEnd w:id="72"/>
      <w:bookmarkEnd w:id="73"/>
      <w:bookmarkEnd w:id="74"/>
      <w:bookmarkEnd w:id="75"/>
      <w:bookmarkEnd w:id="81"/>
    </w:p>
    <w:p w14:paraId="590014C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42.</w:t>
      </w:r>
      <w:r>
        <w:rPr>
          <w:rFonts w:hint="eastAsia" w:ascii="宋体" w:hAnsi="宋体" w:cs="宋体"/>
          <w:color w:val="000000" w:themeColor="text1"/>
          <w:sz w:val="24"/>
          <w:highlight w:val="none"/>
          <w14:textFill>
            <w14:solidFill>
              <w14:schemeClr w14:val="tx1"/>
            </w14:solidFill>
          </w14:textFill>
        </w:rPr>
        <w:t xml:space="preserve"> 解释权 </w:t>
      </w:r>
    </w:p>
    <w:p w14:paraId="74815378">
      <w:pPr>
        <w:spacing w:line="360" w:lineRule="auto"/>
        <w:ind w:firstLine="480" w:firstLineChars="200"/>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42.1本招标文件是根据国家有关法律、法规、规章和有关规定编制的,解释权属采购代理机构。</w:t>
      </w:r>
    </w:p>
    <w:p w14:paraId="3FE076B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42.2 采购代理机构</w:t>
      </w:r>
      <w:r>
        <w:rPr>
          <w:rFonts w:hint="eastAsia" w:ascii="宋体" w:hAnsi="宋体" w:cs="宋体"/>
          <w:color w:val="000000" w:themeColor="text1"/>
          <w:sz w:val="24"/>
          <w:highlight w:val="none"/>
          <w14:textFill>
            <w14:solidFill>
              <w14:schemeClr w14:val="tx1"/>
            </w14:solidFill>
          </w14:textFill>
        </w:rPr>
        <w:t>对决标结果不负责解释。</w:t>
      </w:r>
    </w:p>
    <w:p w14:paraId="67F143D1">
      <w:pPr>
        <w:spacing w:line="360" w:lineRule="auto"/>
        <w:ind w:firstLine="480" w:firstLineChars="200"/>
        <w:rPr>
          <w:rFonts w:ascii="宋体" w:hAnsi="宋体" w:cs="宋体"/>
          <w:b/>
          <w:color w:val="000000" w:themeColor="text1"/>
          <w:sz w:val="44"/>
          <w:szCs w:val="4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由中标</w:t>
      </w:r>
      <w:r>
        <w:rPr>
          <w:rFonts w:hint="eastAsia" w:ascii="宋体" w:hAnsi="宋体" w:cs="宋体"/>
          <w:bCs/>
          <w:color w:val="000000" w:themeColor="text1"/>
          <w:sz w:val="24"/>
          <w:highlight w:val="none"/>
          <w:lang w:eastAsia="zh-CN"/>
          <w14:textFill>
            <w14:solidFill>
              <w14:schemeClr w14:val="tx1"/>
            </w14:solidFill>
          </w14:textFill>
        </w:rPr>
        <w:t>单位</w:t>
      </w:r>
      <w:r>
        <w:rPr>
          <w:rFonts w:hint="eastAsia" w:ascii="宋体" w:hAnsi="宋体" w:cs="宋体"/>
          <w:bCs/>
          <w:color w:val="000000" w:themeColor="text1"/>
          <w:sz w:val="24"/>
          <w:highlight w:val="none"/>
          <w14:textFill>
            <w14:solidFill>
              <w14:schemeClr w14:val="tx1"/>
            </w14:solidFill>
          </w14:textFill>
        </w:rPr>
        <w:t>支付代理服务费，</w:t>
      </w:r>
      <w:r>
        <w:rPr>
          <w:rFonts w:hint="eastAsia" w:ascii="宋体" w:hAnsi="宋体" w:cs="宋体"/>
          <w:bCs/>
          <w:color w:val="000000" w:themeColor="text1"/>
          <w:sz w:val="24"/>
          <w:highlight w:val="none"/>
          <w:lang w:eastAsia="zh-CN"/>
          <w14:textFill>
            <w14:solidFill>
              <w14:schemeClr w14:val="tx1"/>
            </w14:solidFill>
          </w14:textFill>
        </w:rPr>
        <w:t>费用标项一为：</w:t>
      </w:r>
      <w:r>
        <w:rPr>
          <w:rFonts w:hint="eastAsia" w:ascii="宋体" w:hAnsi="宋体" w:cs="宋体"/>
          <w:bCs/>
          <w:color w:val="000000" w:themeColor="text1"/>
          <w:sz w:val="24"/>
          <w:highlight w:val="none"/>
          <w:lang w:val="en-US" w:eastAsia="zh-CN"/>
          <w14:textFill>
            <w14:solidFill>
              <w14:schemeClr w14:val="tx1"/>
            </w14:solidFill>
          </w14:textFill>
        </w:rPr>
        <w:t>伍仟元</w:t>
      </w:r>
      <w:r>
        <w:rPr>
          <w:rFonts w:hint="eastAsia" w:ascii="宋体" w:hAnsi="宋体" w:cs="宋体"/>
          <w:bCs/>
          <w:color w:val="000000" w:themeColor="text1"/>
          <w:sz w:val="24"/>
          <w:highlight w:val="none"/>
          <w:lang w:eastAsia="zh-CN"/>
          <w14:textFill>
            <w14:solidFill>
              <w14:schemeClr w14:val="tx1"/>
            </w14:solidFill>
          </w14:textFill>
        </w:rPr>
        <w:t>整，费用标项</w:t>
      </w:r>
      <w:r>
        <w:rPr>
          <w:rFonts w:hint="eastAsia" w:ascii="宋体" w:hAnsi="宋体" w:cs="宋体"/>
          <w:bCs/>
          <w:color w:val="000000" w:themeColor="text1"/>
          <w:sz w:val="24"/>
          <w:highlight w:val="none"/>
          <w:lang w:val="en-US" w:eastAsia="zh-CN"/>
          <w14:textFill>
            <w14:solidFill>
              <w14:schemeClr w14:val="tx1"/>
            </w14:solidFill>
          </w14:textFill>
        </w:rPr>
        <w:t>二</w:t>
      </w:r>
      <w:r>
        <w:rPr>
          <w:rFonts w:hint="eastAsia" w:ascii="宋体" w:hAnsi="宋体" w:cs="宋体"/>
          <w:bCs/>
          <w:color w:val="000000" w:themeColor="text1"/>
          <w:sz w:val="24"/>
          <w:highlight w:val="none"/>
          <w:lang w:eastAsia="zh-CN"/>
          <w14:textFill>
            <w14:solidFill>
              <w14:schemeClr w14:val="tx1"/>
            </w14:solidFill>
          </w14:textFill>
        </w:rPr>
        <w:t>为：</w:t>
      </w:r>
      <w:r>
        <w:rPr>
          <w:rFonts w:hint="eastAsia" w:ascii="宋体" w:hAnsi="宋体" w:cs="宋体"/>
          <w:bCs/>
          <w:color w:val="000000" w:themeColor="text1"/>
          <w:sz w:val="24"/>
          <w:highlight w:val="none"/>
          <w:lang w:val="en-US" w:eastAsia="zh-CN"/>
          <w14:textFill>
            <w14:solidFill>
              <w14:schemeClr w14:val="tx1"/>
            </w14:solidFill>
          </w14:textFill>
        </w:rPr>
        <w:t>肆仟元</w:t>
      </w:r>
      <w:r>
        <w:rPr>
          <w:rFonts w:hint="eastAsia" w:ascii="宋体" w:hAnsi="宋体" w:cs="宋体"/>
          <w:bCs/>
          <w:color w:val="000000" w:themeColor="text1"/>
          <w:sz w:val="24"/>
          <w:highlight w:val="none"/>
          <w:lang w:eastAsia="zh-CN"/>
          <w14:textFill>
            <w14:solidFill>
              <w14:schemeClr w14:val="tx1"/>
            </w14:solidFill>
          </w14:textFill>
        </w:rPr>
        <w:t>整，</w:t>
      </w:r>
      <w:r>
        <w:rPr>
          <w:rFonts w:hint="eastAsia" w:ascii="宋体" w:hAnsi="宋体" w:cs="宋体"/>
          <w:bCs/>
          <w:color w:val="000000" w:themeColor="text1"/>
          <w:sz w:val="24"/>
          <w:highlight w:val="none"/>
          <w14:textFill>
            <w14:solidFill>
              <w14:schemeClr w14:val="tx1"/>
            </w14:solidFill>
          </w14:textFill>
        </w:rPr>
        <w:t>中标人在中标公告发布之日起5个工作日内向代理机构一次性付清</w:t>
      </w:r>
      <w:r>
        <w:rPr>
          <w:rFonts w:hint="eastAsia" w:ascii="宋体" w:hAnsi="宋体" w:cs="宋体"/>
          <w:bCs/>
          <w:color w:val="000000" w:themeColor="text1"/>
          <w:sz w:val="24"/>
          <w:highlight w:val="none"/>
          <w:lang w:eastAsia="zh-CN"/>
          <w14:textFill>
            <w14:solidFill>
              <w14:schemeClr w14:val="tx1"/>
            </w14:solidFill>
          </w14:textFill>
        </w:rPr>
        <w:t>。</w:t>
      </w:r>
      <w:r>
        <w:rPr>
          <w:rFonts w:hint="eastAsia" w:ascii="宋体" w:hAnsi="宋体" w:cs="宋体"/>
          <w:b/>
          <w:color w:val="000000" w:themeColor="text1"/>
          <w:sz w:val="44"/>
          <w:szCs w:val="44"/>
          <w:highlight w:val="none"/>
          <w14:textFill>
            <w14:solidFill>
              <w14:schemeClr w14:val="tx1"/>
            </w14:solidFill>
          </w14:textFill>
        </w:rPr>
        <w:br w:type="page"/>
      </w:r>
    </w:p>
    <w:p w14:paraId="113F363A">
      <w:pPr>
        <w:autoSpaceDE w:val="0"/>
        <w:snapToGrid w:val="0"/>
        <w:spacing w:before="156" w:after="156" w:line="400" w:lineRule="exact"/>
        <w:jc w:val="center"/>
        <w:rPr>
          <w:rFonts w:hint="eastAsia"/>
          <w:b/>
          <w:color w:val="000000" w:themeColor="text1"/>
          <w:sz w:val="36"/>
          <w:szCs w:val="44"/>
          <w:lang w:eastAsia="zh-CN"/>
          <w14:textFill>
            <w14:solidFill>
              <w14:schemeClr w14:val="tx1"/>
            </w14:solidFill>
          </w14:textFill>
        </w:rPr>
      </w:pPr>
      <w:bookmarkStart w:id="82" w:name="_Toc1223"/>
      <w:bookmarkStart w:id="83" w:name="_Toc5762"/>
      <w:bookmarkStart w:id="84" w:name="_Toc27895_WPSOffice_Level1"/>
      <w:r>
        <w:rPr>
          <w:rFonts w:hint="eastAsia"/>
          <w:b/>
          <w:color w:val="000000" w:themeColor="text1"/>
          <w:sz w:val="36"/>
          <w:szCs w:val="44"/>
          <w:lang w:eastAsia="zh-CN"/>
          <w14:textFill>
            <w14:solidFill>
              <w14:schemeClr w14:val="tx1"/>
            </w14:solidFill>
          </w14:textFill>
        </w:rPr>
        <w:t>第三章</w:t>
      </w:r>
      <w:r>
        <w:rPr>
          <w:rFonts w:hint="eastAsia"/>
          <w:b/>
          <w:color w:val="000000" w:themeColor="text1"/>
          <w:sz w:val="36"/>
          <w:szCs w:val="44"/>
          <w:lang w:val="en-US" w:eastAsia="zh-CN"/>
          <w14:textFill>
            <w14:solidFill>
              <w14:schemeClr w14:val="tx1"/>
            </w14:solidFill>
          </w14:textFill>
        </w:rPr>
        <w:t xml:space="preserve">  招标</w:t>
      </w:r>
      <w:r>
        <w:rPr>
          <w:rFonts w:hint="eastAsia"/>
          <w:b/>
          <w:color w:val="000000" w:themeColor="text1"/>
          <w:sz w:val="36"/>
          <w:szCs w:val="44"/>
          <w:lang w:eastAsia="zh-CN"/>
          <w14:textFill>
            <w14:solidFill>
              <w14:schemeClr w14:val="tx1"/>
            </w14:solidFill>
          </w14:textFill>
        </w:rPr>
        <w:t>需求</w:t>
      </w:r>
    </w:p>
    <w:bookmarkEnd w:id="82"/>
    <w:bookmarkEnd w:id="83"/>
    <w:bookmarkEnd w:id="84"/>
    <w:p w14:paraId="5394C51B">
      <w:pPr>
        <w:pStyle w:val="5"/>
        <w:keepNext w:val="0"/>
        <w:keepLines w:val="0"/>
        <w:spacing w:after="0"/>
        <w:ind w:firstLine="0" w:firstLineChars="0"/>
        <w:rPr>
          <w:rFonts w:hint="eastAsia" w:ascii="宋体" w:hAnsi="宋体" w:eastAsia="宋体" w:cs="宋体"/>
          <w:color w:val="auto"/>
        </w:rPr>
      </w:pPr>
      <w:bookmarkStart w:id="85" w:name="_Toc31438"/>
      <w:bookmarkStart w:id="86" w:name="_Toc23303"/>
      <w:r>
        <w:rPr>
          <w:rFonts w:hint="eastAsia" w:ascii="宋体" w:hAnsi="宋体" w:eastAsia="宋体" w:cs="宋体"/>
          <w:color w:val="auto"/>
        </w:rPr>
        <w:t xml:space="preserve">一、采购项目说明 </w:t>
      </w:r>
    </w:p>
    <w:p w14:paraId="77FBCF5B">
      <w:pPr>
        <w:tabs>
          <w:tab w:val="left" w:pos="540"/>
        </w:tabs>
        <w:snapToGrid w:val="0"/>
        <w:spacing w:line="336" w:lineRule="auto"/>
        <w:ind w:firstLine="51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1、本技术要求提出的是最低限度的基本技术要求，并未对所有技术细节作出规定，供应商应提供符合本技术要求和国家标准、行业标准的优质产品。 </w:t>
      </w:r>
    </w:p>
    <w:p w14:paraId="549FF25D">
      <w:pPr>
        <w:tabs>
          <w:tab w:val="left" w:pos="540"/>
        </w:tabs>
        <w:snapToGrid w:val="0"/>
        <w:spacing w:line="336" w:lineRule="auto"/>
        <w:ind w:firstLine="51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2、供应商产品与本技术要求不一致时，供应商应在投标文件中予以说明，并由评标委员会鉴定供应商产品能否达到要求。如供应商没有在投标文件中提出异议，则视为供应商提供的产品完全按照本招标文件要求。 </w:t>
      </w:r>
    </w:p>
    <w:p w14:paraId="73D0798B">
      <w:pPr>
        <w:tabs>
          <w:tab w:val="left" w:pos="540"/>
        </w:tabs>
        <w:snapToGrid w:val="0"/>
        <w:spacing w:line="336" w:lineRule="auto"/>
        <w:ind w:firstLine="51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3、技术要求及标准的执行 </w:t>
      </w:r>
    </w:p>
    <w:p w14:paraId="5A179AED">
      <w:pPr>
        <w:tabs>
          <w:tab w:val="left" w:pos="540"/>
        </w:tabs>
        <w:snapToGrid w:val="0"/>
        <w:spacing w:line="336" w:lineRule="auto"/>
        <w:ind w:firstLine="51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供应商提供的产品应标明所执行的质量标准，若同一标准已颁发新标准，则按最新标准执行。若同一产品同时有几个标准（国际标准、国家标准、行业标准、企业标准等），则按最高层次/要求的标准执行。 </w:t>
      </w:r>
    </w:p>
    <w:p w14:paraId="6C44FDC5">
      <w:pPr>
        <w:pStyle w:val="2"/>
        <w:numPr>
          <w:ilvl w:val="0"/>
          <w:numId w:val="3"/>
        </w:numPr>
        <w:ind w:firstLine="480" w:firstLineChars="200"/>
        <w:jc w:val="left"/>
        <w:rPr>
          <w:rFonts w:hint="eastAsia" w:ascii="宋体" w:hAnsi="宋体" w:eastAsia="宋体" w:cs="宋体"/>
          <w:b w:val="0"/>
          <w:bCs/>
          <w:color w:val="000000"/>
          <w:sz w:val="24"/>
          <w:szCs w:val="24"/>
          <w:highlight w:val="none"/>
        </w:rPr>
      </w:pPr>
      <w:r>
        <w:rPr>
          <w:rFonts w:hint="eastAsia" w:ascii="宋体" w:hAnsi="宋体" w:eastAsia="宋体" w:cs="宋体"/>
          <w:b w:val="0"/>
          <w:bCs/>
          <w:color w:val="000000"/>
          <w:sz w:val="24"/>
          <w:szCs w:val="24"/>
          <w:highlight w:val="none"/>
        </w:rPr>
        <w:t>供应商须按国家有关规定及标准完成本次采购产品的供货、运输、装卸、就位、安装、调试、技术培训、检验、通过有关部门验收、维保期服务、产品终身维修等各项工作，并保证投标产品使用的安全性能与检测结果的可靠性。如中标，中标供应商及制造商对中标产品使用的安全性能与可靠性负全部责任。中标供应商须随产品提供使用说明</w:t>
      </w:r>
      <w:r>
        <w:rPr>
          <w:rFonts w:hint="eastAsia" w:ascii="宋体" w:hAnsi="宋体" w:eastAsia="宋体" w:cs="宋体"/>
          <w:b w:val="0"/>
          <w:bCs/>
          <w:color w:val="000000"/>
          <w:sz w:val="24"/>
          <w:szCs w:val="24"/>
          <w:highlight w:val="none"/>
          <w:lang w:eastAsia="zh-CN"/>
        </w:rPr>
        <w:t>。</w:t>
      </w:r>
    </w:p>
    <w:p w14:paraId="2420A10C">
      <w:pPr>
        <w:pStyle w:val="5"/>
        <w:keepNext w:val="0"/>
        <w:keepLines w:val="0"/>
        <w:pageBreakBefore w:val="0"/>
        <w:widowControl w:val="0"/>
        <w:numPr>
          <w:ilvl w:val="0"/>
          <w:numId w:val="4"/>
        </w:numPr>
        <w:kinsoku/>
        <w:wordWrap/>
        <w:overflowPunct/>
        <w:topLinePunct w:val="0"/>
        <w:autoSpaceDE/>
        <w:autoSpaceDN/>
        <w:bidi w:val="0"/>
        <w:adjustRightInd/>
        <w:snapToGrid/>
        <w:spacing w:after="0" w:line="240" w:lineRule="auto"/>
        <w:ind w:firstLine="0" w:firstLineChars="0"/>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采购内容及清单</w:t>
      </w:r>
    </w:p>
    <w:p w14:paraId="7C8836E8">
      <w:pPr>
        <w:pStyle w:val="3"/>
        <w:numPr>
          <w:ilvl w:val="0"/>
          <w:numId w:val="0"/>
        </w:numPr>
        <w:rPr>
          <w:rFonts w:hint="eastAsia"/>
          <w:b/>
          <w:bCs/>
          <w:sz w:val="24"/>
          <w:szCs w:val="22"/>
          <w:lang w:val="en-US" w:eastAsia="zh-CN"/>
        </w:rPr>
      </w:pPr>
    </w:p>
    <w:p w14:paraId="115E4337">
      <w:pPr>
        <w:pStyle w:val="3"/>
        <w:numPr>
          <w:ilvl w:val="0"/>
          <w:numId w:val="0"/>
        </w:numPr>
        <w:jc w:val="center"/>
        <w:rPr>
          <w:rFonts w:hint="eastAsia"/>
          <w:b/>
          <w:bCs/>
          <w:sz w:val="28"/>
          <w:szCs w:val="24"/>
        </w:rPr>
      </w:pPr>
      <w:r>
        <w:rPr>
          <w:rFonts w:hint="eastAsia"/>
          <w:b/>
          <w:bCs/>
          <w:sz w:val="28"/>
          <w:szCs w:val="24"/>
          <w:lang w:val="en-US" w:eastAsia="zh-CN"/>
        </w:rPr>
        <w:t>标项一：</w:t>
      </w:r>
      <w:r>
        <w:rPr>
          <w:rFonts w:hint="eastAsia"/>
          <w:b/>
          <w:bCs/>
          <w:sz w:val="28"/>
          <w:szCs w:val="24"/>
        </w:rPr>
        <w:t>初中部专用教室</w:t>
      </w:r>
    </w:p>
    <w:p w14:paraId="6B3B6721">
      <w:pPr>
        <w:rPr>
          <w:rFonts w:hint="default" w:eastAsia="宋体"/>
          <w:b/>
          <w:bCs/>
          <w:sz w:val="28"/>
          <w:szCs w:val="36"/>
          <w:lang w:val="en-US" w:eastAsia="zh-CN"/>
        </w:rPr>
      </w:pPr>
      <w:r>
        <w:rPr>
          <w:rFonts w:hint="eastAsia"/>
          <w:b/>
          <w:bCs/>
          <w:sz w:val="28"/>
          <w:szCs w:val="36"/>
          <w:lang w:eastAsia="zh-CN"/>
        </w:rPr>
        <w:t>采购清单</w:t>
      </w:r>
    </w:p>
    <w:tbl>
      <w:tblPr>
        <w:tblStyle w:val="28"/>
        <w:tblpPr w:leftFromText="180" w:rightFromText="180" w:vertAnchor="text" w:horzAnchor="page" w:tblpX="1446" w:tblpY="319"/>
        <w:tblOverlap w:val="never"/>
        <w:tblW w:w="897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73"/>
        <w:gridCol w:w="1131"/>
        <w:gridCol w:w="4560"/>
        <w:gridCol w:w="1276"/>
        <w:gridCol w:w="1238"/>
      </w:tblGrid>
      <w:tr w14:paraId="36597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1CF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1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2F01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实验室</w:t>
            </w: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68F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物理实验室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6D2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D21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2AD18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1D8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DF15ED">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68D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物理仪器室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FDE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D74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5E503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D20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A39B9E">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424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化学实验室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F3D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992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4B6D6D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612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DBC38B">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AE7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化学仪器室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C33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6B5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7D554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5EB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BC99EE">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5F1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化学药品室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917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3B7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3E99C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7BB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FE8286">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13B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生物实验室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9F0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EB8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5EB8D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1F0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8A0270">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8A2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生物仪器室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37E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B1C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4F0D1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D38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1CE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地理</w:t>
            </w: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BAB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地理实验室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925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1B8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2EE4E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7AD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1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6773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美术</w:t>
            </w: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FD5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美术教室1</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8CB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0C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221BA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161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E3AD5C">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50D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美术教室2</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461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D4D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0102B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A35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11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785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音乐舞蹈</w:t>
            </w: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87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音乐教室1（合唱）</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810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605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5A770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CD1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5AFBB4">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B9C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音乐教室2（奥尔夫）</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26C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EDF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1181A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030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11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80D15B">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F70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舞蹈教室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208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5C0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354776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45F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11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F5911">
            <w:pPr>
              <w:jc w:val="center"/>
              <w:rPr>
                <w:rFonts w:hint="eastAsia" w:ascii="宋体" w:hAnsi="宋体" w:eastAsia="宋体" w:cs="宋体"/>
                <w:i w:val="0"/>
                <w:iCs w:val="0"/>
                <w:color w:val="000000"/>
                <w:sz w:val="20"/>
                <w:szCs w:val="20"/>
                <w:u w:val="none"/>
              </w:rPr>
            </w:pP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EE5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劳技教室（手工）</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4D3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0A8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7DCB63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5C55B6">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113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BB5AD3">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计算机</w:t>
            </w:r>
          </w:p>
        </w:tc>
        <w:tc>
          <w:tcPr>
            <w:tcW w:w="456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9F4C9EF">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计算机教室</w:t>
            </w:r>
          </w:p>
        </w:tc>
        <w:tc>
          <w:tcPr>
            <w:tcW w:w="127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EA3D7D">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123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903224">
            <w:pPr>
              <w:keepNext w:val="0"/>
              <w:keepLines w:val="0"/>
              <w:widowControl/>
              <w:suppressLineNumbers w:val="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间</w:t>
            </w:r>
          </w:p>
        </w:tc>
      </w:tr>
      <w:tr w14:paraId="359BAB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1EB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23C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书法</w:t>
            </w:r>
          </w:p>
        </w:tc>
        <w:tc>
          <w:tcPr>
            <w:tcW w:w="45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F19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书法教室</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9A5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2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4DB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bl>
    <w:p w14:paraId="075A91FB">
      <w:pPr>
        <w:rPr>
          <w:rFonts w:hint="default" w:eastAsia="宋体"/>
          <w:lang w:val="en-US" w:eastAsia="zh-CN"/>
        </w:rPr>
      </w:pPr>
    </w:p>
    <w:p w14:paraId="5F8105F1">
      <w:pPr>
        <w:pStyle w:val="3"/>
        <w:ind w:left="0" w:leftChars="0" w:firstLine="0" w:firstLineChars="0"/>
        <w:jc w:val="left"/>
        <w:rPr>
          <w:rFonts w:hint="eastAsia"/>
          <w:b/>
          <w:bCs/>
          <w:lang w:val="en-US" w:eastAsia="zh-CN"/>
        </w:rPr>
      </w:pPr>
    </w:p>
    <w:p w14:paraId="23BC8BAF">
      <w:pPr>
        <w:pStyle w:val="3"/>
        <w:ind w:left="0" w:leftChars="0" w:firstLine="0" w:firstLineChars="0"/>
        <w:jc w:val="left"/>
        <w:rPr>
          <w:rFonts w:hint="eastAsia"/>
          <w:b/>
          <w:bCs/>
          <w:lang w:val="en-US" w:eastAsia="zh-CN"/>
        </w:rPr>
      </w:pPr>
    </w:p>
    <w:p w14:paraId="3433C406">
      <w:pPr>
        <w:pStyle w:val="3"/>
        <w:ind w:left="0" w:leftChars="0" w:firstLine="0" w:firstLineChars="0"/>
        <w:jc w:val="left"/>
        <w:rPr>
          <w:rFonts w:hint="eastAsia"/>
          <w:b/>
          <w:bCs/>
          <w:lang w:val="en-US" w:eastAsia="zh-CN"/>
        </w:rPr>
      </w:pPr>
    </w:p>
    <w:p w14:paraId="276E70C3">
      <w:pPr>
        <w:pStyle w:val="3"/>
        <w:ind w:left="0" w:leftChars="0" w:firstLine="0" w:firstLineChars="0"/>
        <w:rPr>
          <w:rFonts w:hint="eastAsia" w:ascii="宋体" w:hAnsi="宋体" w:eastAsia="宋体" w:cs="宋体"/>
          <w:color w:val="auto"/>
          <w:lang w:val="en-US" w:eastAsia="zh-CN"/>
        </w:rPr>
      </w:pPr>
    </w:p>
    <w:p w14:paraId="3C0DA8C4">
      <w:pPr>
        <w:rPr>
          <w:rFonts w:hint="eastAsia" w:ascii="宋体" w:hAnsi="宋体" w:eastAsia="宋体" w:cs="宋体"/>
          <w:color w:val="auto"/>
          <w:lang w:val="en-US" w:eastAsia="zh-CN"/>
        </w:rPr>
      </w:pPr>
    </w:p>
    <w:p w14:paraId="0DECDF0C">
      <w:pPr>
        <w:rPr>
          <w:rFonts w:hint="eastAsia" w:ascii="宋体" w:hAnsi="宋体" w:eastAsia="宋体" w:cs="宋体"/>
          <w:color w:val="auto"/>
          <w:lang w:val="en-US" w:eastAsia="zh-CN"/>
        </w:rPr>
      </w:pPr>
    </w:p>
    <w:p w14:paraId="61CEC5ED">
      <w:pPr>
        <w:rPr>
          <w:rFonts w:hint="eastAsia" w:ascii="宋体" w:hAnsi="宋体" w:eastAsia="宋体" w:cs="宋体"/>
          <w:color w:val="auto"/>
          <w:lang w:val="en-US" w:eastAsia="zh-CN"/>
        </w:rPr>
      </w:pPr>
    </w:p>
    <w:p w14:paraId="5616BA29">
      <w:pPr>
        <w:pStyle w:val="3"/>
        <w:rPr>
          <w:rFonts w:hint="eastAsia"/>
          <w:lang w:val="en-US" w:eastAsia="zh-CN"/>
        </w:rPr>
      </w:pPr>
    </w:p>
    <w:p w14:paraId="774B154A">
      <w:pPr>
        <w:pStyle w:val="3"/>
        <w:rPr>
          <w:rFonts w:hint="eastAsia" w:ascii="宋体" w:hAnsi="宋体" w:eastAsia="宋体" w:cs="宋体"/>
          <w:color w:val="auto"/>
          <w:lang w:val="en-US" w:eastAsia="zh-CN"/>
        </w:rPr>
      </w:pPr>
    </w:p>
    <w:p w14:paraId="488C9586">
      <w:pPr>
        <w:rPr>
          <w:rFonts w:hint="eastAsia" w:ascii="宋体" w:hAnsi="宋体" w:eastAsia="宋体" w:cs="宋体"/>
          <w:color w:val="auto"/>
          <w:lang w:val="en-US" w:eastAsia="zh-CN"/>
        </w:rPr>
      </w:pPr>
    </w:p>
    <w:p w14:paraId="4FF2A411">
      <w:pPr>
        <w:rPr>
          <w:rFonts w:hint="eastAsia" w:ascii="宋体" w:hAnsi="宋体" w:eastAsia="宋体" w:cs="宋体"/>
          <w:color w:val="auto"/>
          <w:lang w:val="en-US" w:eastAsia="zh-CN"/>
        </w:rPr>
        <w:sectPr>
          <w:footerReference r:id="rId8" w:type="default"/>
          <w:pgSz w:w="11906" w:h="16838"/>
          <w:pgMar w:top="1440" w:right="1440" w:bottom="1440" w:left="1440" w:header="851" w:footer="851" w:gutter="0"/>
          <w:pgNumType w:fmt="decimal"/>
          <w:cols w:space="720" w:num="1"/>
          <w:docGrid w:linePitch="312" w:charSpace="0"/>
        </w:sectPr>
      </w:pPr>
    </w:p>
    <w:p w14:paraId="5CB12B2B">
      <w:pPr>
        <w:keepNext w:val="0"/>
        <w:keepLines w:val="0"/>
        <w:pageBreakBefore w:val="0"/>
        <w:widowControl w:val="0"/>
        <w:numPr>
          <w:ilvl w:val="0"/>
          <w:numId w:val="0"/>
        </w:numPr>
        <w:kinsoku/>
        <w:wordWrap w:val="0"/>
        <w:overflowPunct/>
        <w:topLinePunct w:val="0"/>
        <w:autoSpaceDE/>
        <w:autoSpaceDN/>
        <w:bidi w:val="0"/>
        <w:adjustRightInd/>
        <w:snapToGrid w:val="0"/>
        <w:spacing w:line="480" w:lineRule="exact"/>
        <w:ind w:leftChars="0"/>
        <w:jc w:val="left"/>
        <w:textAlignment w:val="auto"/>
        <w:outlineLvl w:val="1"/>
        <w:rPr>
          <w:rFonts w:hint="eastAsia" w:ascii="宋体" w:hAnsi="宋体" w:cs="宋体"/>
          <w:b/>
          <w:bCs/>
          <w:color w:val="auto"/>
          <w:kern w:val="2"/>
          <w:sz w:val="28"/>
          <w:szCs w:val="18"/>
          <w:lang w:val="en-US" w:eastAsia="zh-CN" w:bidi="ar-SA"/>
        </w:rPr>
      </w:pPr>
      <w:r>
        <w:rPr>
          <w:rFonts w:hint="eastAsia" w:ascii="宋体" w:hAnsi="宋体" w:cs="宋体"/>
          <w:b/>
          <w:bCs/>
          <w:color w:val="auto"/>
          <w:kern w:val="2"/>
          <w:sz w:val="28"/>
          <w:szCs w:val="18"/>
          <w:lang w:val="en-US" w:eastAsia="zh-CN" w:bidi="ar-SA"/>
        </w:rPr>
        <w:t>2.2</w:t>
      </w:r>
      <w:r>
        <w:rPr>
          <w:rFonts w:hint="eastAsia" w:ascii="宋体" w:hAnsi="宋体" w:eastAsia="宋体" w:cs="宋体"/>
          <w:b/>
          <w:bCs/>
          <w:color w:val="auto"/>
          <w:kern w:val="2"/>
          <w:sz w:val="28"/>
          <w:szCs w:val="18"/>
          <w:lang w:val="en-US" w:eastAsia="zh-CN" w:bidi="ar-SA"/>
        </w:rPr>
        <w:t>技术</w:t>
      </w:r>
      <w:r>
        <w:rPr>
          <w:rFonts w:hint="eastAsia" w:ascii="宋体" w:hAnsi="宋体" w:cs="宋体"/>
          <w:b/>
          <w:bCs/>
          <w:color w:val="auto"/>
          <w:kern w:val="2"/>
          <w:sz w:val="28"/>
          <w:szCs w:val="18"/>
          <w:lang w:val="en-US" w:eastAsia="zh-CN" w:bidi="ar-SA"/>
        </w:rPr>
        <w:t>参数要求</w:t>
      </w:r>
    </w:p>
    <w:tbl>
      <w:tblPr>
        <w:tblStyle w:val="28"/>
        <w:tblpPr w:leftFromText="180" w:rightFromText="180" w:vertAnchor="text" w:horzAnchor="page" w:tblpX="1206" w:tblpY="340"/>
        <w:tblOverlap w:val="never"/>
        <w:tblW w:w="1463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86"/>
        <w:gridCol w:w="1166"/>
        <w:gridCol w:w="8573"/>
        <w:gridCol w:w="816"/>
        <w:gridCol w:w="498"/>
        <w:gridCol w:w="2796"/>
      </w:tblGrid>
      <w:tr w14:paraId="1AED10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55F33B">
            <w:pPr>
              <w:keepNext w:val="0"/>
              <w:keepLines w:val="0"/>
              <w:widowControl/>
              <w:suppressLineNumbers w:val="0"/>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序号</w:t>
            </w:r>
          </w:p>
        </w:tc>
        <w:tc>
          <w:tcPr>
            <w:tcW w:w="1166" w:type="dxa"/>
            <w:tcBorders>
              <w:tl2br w:val="nil"/>
              <w:tr2bl w:val="nil"/>
            </w:tcBorders>
            <w:shd w:val="clear" w:color="auto" w:fill="auto"/>
            <w:vAlign w:val="center"/>
          </w:tcPr>
          <w:p w14:paraId="3ABD8E2C">
            <w:pPr>
              <w:keepNext w:val="0"/>
              <w:keepLines w:val="0"/>
              <w:widowControl/>
              <w:suppressLineNumbers w:val="0"/>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名称</w:t>
            </w:r>
          </w:p>
        </w:tc>
        <w:tc>
          <w:tcPr>
            <w:tcW w:w="8573" w:type="dxa"/>
            <w:tcBorders>
              <w:tl2br w:val="nil"/>
              <w:tr2bl w:val="nil"/>
            </w:tcBorders>
            <w:shd w:val="clear" w:color="auto" w:fill="auto"/>
            <w:vAlign w:val="center"/>
          </w:tcPr>
          <w:p w14:paraId="4E3A7531">
            <w:pPr>
              <w:keepNext w:val="0"/>
              <w:keepLines w:val="0"/>
              <w:widowControl/>
              <w:suppressLineNumbers w:val="0"/>
              <w:jc w:val="left"/>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规格参数</w:t>
            </w:r>
          </w:p>
        </w:tc>
        <w:tc>
          <w:tcPr>
            <w:tcW w:w="816" w:type="dxa"/>
            <w:tcBorders>
              <w:tl2br w:val="nil"/>
              <w:tr2bl w:val="nil"/>
            </w:tcBorders>
            <w:shd w:val="clear" w:color="auto" w:fill="auto"/>
            <w:vAlign w:val="center"/>
          </w:tcPr>
          <w:p w14:paraId="6AFB6899">
            <w:pPr>
              <w:keepNext w:val="0"/>
              <w:keepLines w:val="0"/>
              <w:widowControl/>
              <w:suppressLineNumbers w:val="0"/>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数量</w:t>
            </w:r>
          </w:p>
        </w:tc>
        <w:tc>
          <w:tcPr>
            <w:tcW w:w="498" w:type="dxa"/>
            <w:tcBorders>
              <w:tl2br w:val="nil"/>
              <w:tr2bl w:val="nil"/>
            </w:tcBorders>
            <w:shd w:val="clear" w:color="auto" w:fill="auto"/>
            <w:vAlign w:val="center"/>
          </w:tcPr>
          <w:p w14:paraId="748920B4">
            <w:pPr>
              <w:keepNext w:val="0"/>
              <w:keepLines w:val="0"/>
              <w:widowControl/>
              <w:suppressLineNumbers w:val="0"/>
              <w:jc w:val="center"/>
              <w:textAlignment w:val="center"/>
              <w:rPr>
                <w:rFonts w:hint="eastAsia" w:ascii="宋体" w:hAnsi="宋体" w:eastAsia="宋体" w:cs="宋体"/>
                <w:i w:val="0"/>
                <w:iCs w:val="0"/>
                <w:color w:val="000000"/>
                <w:sz w:val="20"/>
                <w:szCs w:val="20"/>
                <w:u w:val="none"/>
                <w:lang w:val="en-US" w:eastAsia="zh-CN"/>
              </w:rPr>
            </w:pPr>
            <w:r>
              <w:rPr>
                <w:rFonts w:hint="eastAsia" w:ascii="宋体" w:hAnsi="宋体" w:eastAsia="宋体" w:cs="宋体"/>
                <w:i w:val="0"/>
                <w:iCs w:val="0"/>
                <w:color w:val="000000"/>
                <w:sz w:val="20"/>
                <w:szCs w:val="20"/>
                <w:u w:val="none"/>
                <w:lang w:val="en-US" w:eastAsia="zh-CN"/>
              </w:rPr>
              <w:t>单位</w:t>
            </w:r>
          </w:p>
        </w:tc>
        <w:tc>
          <w:tcPr>
            <w:tcW w:w="2796" w:type="dxa"/>
            <w:tcBorders>
              <w:tl2br w:val="nil"/>
              <w:tr2bl w:val="nil"/>
            </w:tcBorders>
            <w:shd w:val="clear" w:color="auto" w:fill="auto"/>
            <w:vAlign w:val="center"/>
          </w:tcPr>
          <w:p w14:paraId="32D160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图片</w:t>
            </w:r>
          </w:p>
        </w:tc>
      </w:tr>
      <w:tr w14:paraId="12A7CE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58B3B0C4">
            <w:pPr>
              <w:pStyle w:val="5"/>
              <w:keepNext w:val="0"/>
              <w:keepLines w:val="0"/>
              <w:spacing w:after="0"/>
              <w:ind w:left="0" w:leftChars="0" w:firstLine="0" w:firstLineChars="0"/>
              <w:jc w:val="both"/>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color w:val="auto"/>
                <w:sz w:val="24"/>
                <w:szCs w:val="16"/>
                <w:lang w:val="en-US" w:eastAsia="zh-CN"/>
              </w:rPr>
              <w:t>1.物理实验室</w:t>
            </w:r>
          </w:p>
        </w:tc>
      </w:tr>
      <w:tr w14:paraId="72672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7ED45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76C0C7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学生凳</w:t>
            </w:r>
          </w:p>
        </w:tc>
        <w:tc>
          <w:tcPr>
            <w:tcW w:w="8573" w:type="dxa"/>
            <w:tcBorders>
              <w:tl2br w:val="nil"/>
              <w:tr2bl w:val="nil"/>
            </w:tcBorders>
            <w:shd w:val="clear" w:color="auto" w:fill="auto"/>
            <w:vAlign w:val="center"/>
          </w:tcPr>
          <w:p w14:paraId="1AB5A9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优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816" w:type="dxa"/>
            <w:tcBorders>
              <w:tl2br w:val="nil"/>
              <w:tr2bl w:val="nil"/>
            </w:tcBorders>
            <w:shd w:val="clear" w:color="auto" w:fill="auto"/>
            <w:vAlign w:val="center"/>
          </w:tcPr>
          <w:p w14:paraId="2DD1D8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96</w:t>
            </w:r>
          </w:p>
        </w:tc>
        <w:tc>
          <w:tcPr>
            <w:tcW w:w="498" w:type="dxa"/>
            <w:tcBorders>
              <w:tl2br w:val="nil"/>
              <w:tr2bl w:val="nil"/>
            </w:tcBorders>
            <w:shd w:val="clear" w:color="auto" w:fill="auto"/>
            <w:vAlign w:val="center"/>
          </w:tcPr>
          <w:p w14:paraId="7BC7E0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7F5F274">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085850" cy="1314450"/>
                  <wp:effectExtent l="0" t="0" r="0" b="0"/>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12"/>
                          <a:stretch>
                            <a:fillRect/>
                          </a:stretch>
                        </pic:blipFill>
                        <pic:spPr>
                          <a:xfrm>
                            <a:off x="0" y="0"/>
                            <a:ext cx="1085850" cy="1314450"/>
                          </a:xfrm>
                          <a:prstGeom prst="rect">
                            <a:avLst/>
                          </a:prstGeom>
                          <a:noFill/>
                          <a:ln w="9525">
                            <a:noFill/>
                          </a:ln>
                        </pic:spPr>
                      </pic:pic>
                    </a:graphicData>
                  </a:graphic>
                </wp:inline>
              </w:drawing>
            </w:r>
          </w:p>
        </w:tc>
      </w:tr>
      <w:tr w14:paraId="4561C8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32CB67D2">
            <w:pPr>
              <w:pStyle w:val="5"/>
              <w:keepNext w:val="0"/>
              <w:keepLines w:val="0"/>
              <w:spacing w:after="0"/>
              <w:ind w:left="0" w:leftChars="0" w:firstLine="0" w:firstLineChars="0"/>
              <w:jc w:val="both"/>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color w:val="auto"/>
                <w:sz w:val="24"/>
                <w:szCs w:val="16"/>
                <w:lang w:val="en-US" w:eastAsia="zh-CN"/>
              </w:rPr>
              <w:t>2.物理仪器室</w:t>
            </w:r>
          </w:p>
        </w:tc>
      </w:tr>
      <w:tr w14:paraId="2FB92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E6FF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07C38B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准备桌</w:t>
            </w:r>
          </w:p>
        </w:tc>
        <w:tc>
          <w:tcPr>
            <w:tcW w:w="8573" w:type="dxa"/>
            <w:tcBorders>
              <w:tl2br w:val="nil"/>
              <w:tr2bl w:val="nil"/>
            </w:tcBorders>
            <w:shd w:val="clear" w:color="auto" w:fill="auto"/>
            <w:vAlign w:val="center"/>
          </w:tcPr>
          <w:p w14:paraId="4FD713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1.规格：≥2000*1000*850mm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2.台面：采用≥12.7mm厚双面理化膜实芯理化板。倒圆边，经机械打磨，表面光滑平整，无缝隙。具有耐强酸碱、防腐蚀、防静电、耐辐射、耐磨、抗污染、易清洁、耐冲击、耐高温、防水、防火等特点。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3.钢木结构：采用≥1.Omm厚度镀锌方管钢架，所有钢制配件经过磷化、除油、除锈并经过粉末喷涂固化处理。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4.柜身：采用环保型三聚氰胺防潮双贴面板(基板为E1级环保板)</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可见截面均厚度≥2.0mmPVC封边。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5.连接件：ABS专用连接组装件。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6.固定桌脚：ABS注塑专用桌垫，可调节平衡。</w:t>
            </w:r>
            <w:r>
              <w:rPr>
                <w:rFonts w:hint="eastAsia" w:ascii="宋体" w:hAnsi="宋体" w:eastAsia="宋体" w:cs="宋体"/>
                <w:i w:val="0"/>
                <w:iCs w:val="0"/>
                <w:strike/>
                <w:dstrike w:val="0"/>
                <w:color w:val="FF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7</w:t>
            </w:r>
            <w:r>
              <w:rPr>
                <w:rFonts w:hint="eastAsia" w:ascii="宋体" w:hAnsi="宋体" w:eastAsia="宋体" w:cs="宋体"/>
                <w:i w:val="0"/>
                <w:iCs w:val="0"/>
                <w:color w:val="000000"/>
                <w:kern w:val="0"/>
                <w:sz w:val="20"/>
                <w:szCs w:val="20"/>
                <w:u w:val="none"/>
                <w:lang w:val="en-US" w:eastAsia="zh-CN" w:bidi="ar"/>
              </w:rPr>
              <w:t>.两套岛式电源尺寸≥140*80*74mm，盒体采用铝合金材料,钢制模具一体成型，表面经环氧树脂粉末静电喷涂,，设置86型二三眼多功能插座。</w:t>
            </w:r>
          </w:p>
        </w:tc>
        <w:tc>
          <w:tcPr>
            <w:tcW w:w="816" w:type="dxa"/>
            <w:tcBorders>
              <w:tl2br w:val="nil"/>
              <w:tr2bl w:val="nil"/>
            </w:tcBorders>
            <w:shd w:val="clear" w:color="auto" w:fill="auto"/>
            <w:vAlign w:val="center"/>
          </w:tcPr>
          <w:p w14:paraId="10E8D5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450BE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5D7B8FE8">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19200" cy="590550"/>
                  <wp:effectExtent l="0" t="0" r="0" b="0"/>
                  <wp:docPr id="1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IMG_256"/>
                          <pic:cNvPicPr>
                            <a:picLocks noChangeAspect="1"/>
                          </pic:cNvPicPr>
                        </pic:nvPicPr>
                        <pic:blipFill>
                          <a:blip r:embed="rId13"/>
                          <a:stretch>
                            <a:fillRect/>
                          </a:stretch>
                        </pic:blipFill>
                        <pic:spPr>
                          <a:xfrm>
                            <a:off x="0" y="0"/>
                            <a:ext cx="1219200" cy="590550"/>
                          </a:xfrm>
                          <a:prstGeom prst="rect">
                            <a:avLst/>
                          </a:prstGeom>
                          <a:noFill/>
                          <a:ln w="9525">
                            <a:noFill/>
                          </a:ln>
                        </pic:spPr>
                      </pic:pic>
                    </a:graphicData>
                  </a:graphic>
                </wp:inline>
              </w:drawing>
            </w:r>
          </w:p>
        </w:tc>
      </w:tr>
      <w:tr w14:paraId="1938D8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4DBE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 </w:t>
            </w:r>
          </w:p>
        </w:tc>
        <w:tc>
          <w:tcPr>
            <w:tcW w:w="1166" w:type="dxa"/>
            <w:tcBorders>
              <w:tl2br w:val="nil"/>
              <w:tr2bl w:val="nil"/>
            </w:tcBorders>
            <w:shd w:val="clear" w:color="auto" w:fill="auto"/>
            <w:vAlign w:val="center"/>
          </w:tcPr>
          <w:p w14:paraId="069B64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★仪器柜</w:t>
            </w:r>
          </w:p>
        </w:tc>
        <w:tc>
          <w:tcPr>
            <w:tcW w:w="8573" w:type="dxa"/>
            <w:tcBorders>
              <w:tl2br w:val="nil"/>
              <w:tr2bl w:val="nil"/>
            </w:tcBorders>
            <w:shd w:val="clear" w:color="auto" w:fill="auto"/>
            <w:vAlign w:val="center"/>
          </w:tcPr>
          <w:p w14:paraId="5E740A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1.规格：≥1000*500*2000mm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2.柜体：侧板、顶底板采用PP材料模具一次成型，表面沙面和光面相结合处理，保证柜体之坚固及密封性，耐腐蚀性强，顶板、底板可预留模具成型排风孔。底部镶嵌≥15mm*30*1.2mm钢制横梁，承重力强。</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上柜柜门：内框采用PP材质模具一次成型，外嵌≥5mm厚钢化烤漆玻璃，中间烤漆镂空制作。上下拉手及三角对称五点固定，防止玻璃的松动或开合。伸缩式PP旋转门轴，四角圆弧倒角，内侧弧形圆边。颜色可选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4.下柜柜门：内框采用PP材质模具一次成型，外嵌≥5mm厚钢化烤漆玻璃。上下拉手及三角对称五点固定，防止玻璃的松动或开合。伸缩式ABS旋转门轴，四角圆弧倒角，内侧弧形圆边。颜色可选配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5.层板：上柜配置两块活动层板，下柜配置一块活动层板，层板全部采用PP材料模具一次成型，表面沙面和光面相结合处理，四周有阻水边，底部镶嵌两根</w:t>
            </w:r>
            <w:r>
              <w:rPr>
                <w:rFonts w:hint="eastAsia" w:ascii="宋体" w:hAnsi="宋体" w:eastAsia="宋体" w:cs="宋体"/>
                <w:i w:val="0"/>
                <w:iCs w:val="0"/>
                <w:color w:val="000000"/>
                <w:kern w:val="0"/>
                <w:sz w:val="20"/>
                <w:szCs w:val="20"/>
                <w:u w:val="none"/>
                <w:lang w:val="en-US" w:eastAsia="zh-CN" w:bidi="ar"/>
              </w:rPr>
              <w:t>≥15mm*30*1.2mm钢制横梁，承重力强。整体设计为活动式，可随意抽取放在合适的隔层，自由组合各层空间。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6.拉手：采用ABS材料模具一次成型，直角梯形四周倒圆与柜门平行，开启方便。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7.铰链：采用ABS材料模具一次成型，伸缩式PP旋转门轴，永不生锈，耐腐蚀性好。</w:t>
            </w:r>
          </w:p>
        </w:tc>
        <w:tc>
          <w:tcPr>
            <w:tcW w:w="816" w:type="dxa"/>
            <w:tcBorders>
              <w:tl2br w:val="nil"/>
              <w:tr2bl w:val="nil"/>
            </w:tcBorders>
            <w:shd w:val="clear" w:color="auto" w:fill="auto"/>
            <w:vAlign w:val="center"/>
          </w:tcPr>
          <w:p w14:paraId="58F2B2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354FBA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1C8393C">
            <w:pPr>
              <w:keepNext w:val="0"/>
              <w:keepLines w:val="0"/>
              <w:widowControl/>
              <w:suppressLineNumbers w:val="0"/>
              <w:jc w:val="left"/>
              <w:textAlignment w:val="center"/>
              <w:rPr>
                <w:rFonts w:hint="eastAsia" w:ascii="楷体" w:hAnsi="楷体" w:eastAsia="楷体" w:cs="楷体"/>
                <w:i w:val="0"/>
                <w:iCs w:val="0"/>
                <w:color w:val="FF0000"/>
                <w:kern w:val="2"/>
                <w:sz w:val="20"/>
                <w:szCs w:val="20"/>
                <w:u w:val="none"/>
                <w:lang w:val="en-US" w:eastAsia="zh-CN" w:bidi="ar-SA"/>
              </w:rPr>
            </w:pPr>
            <w:r>
              <w:rPr>
                <w:rFonts w:hint="eastAsia" w:ascii="楷体" w:hAnsi="楷体" w:eastAsia="楷体" w:cs="楷体"/>
                <w:i w:val="0"/>
                <w:iCs w:val="0"/>
                <w:color w:val="FF0000"/>
                <w:kern w:val="0"/>
                <w:sz w:val="20"/>
                <w:szCs w:val="20"/>
                <w:u w:val="none"/>
                <w:lang w:val="en-US" w:eastAsia="zh-CN" w:bidi="ar"/>
              </w:rPr>
              <w:drawing>
                <wp:inline distT="0" distB="0" distL="114300" distR="114300">
                  <wp:extent cx="438150" cy="790575"/>
                  <wp:effectExtent l="0" t="0" r="0" b="8890"/>
                  <wp:docPr id="1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IMG_256"/>
                          <pic:cNvPicPr>
                            <a:picLocks noChangeAspect="1"/>
                          </pic:cNvPicPr>
                        </pic:nvPicPr>
                        <pic:blipFill>
                          <a:blip r:embed="rId14"/>
                          <a:stretch>
                            <a:fillRect/>
                          </a:stretch>
                        </pic:blipFill>
                        <pic:spPr>
                          <a:xfrm>
                            <a:off x="0" y="0"/>
                            <a:ext cx="438150" cy="790575"/>
                          </a:xfrm>
                          <a:prstGeom prst="rect">
                            <a:avLst/>
                          </a:prstGeom>
                          <a:noFill/>
                          <a:ln w="9525">
                            <a:noFill/>
                          </a:ln>
                        </pic:spPr>
                      </pic:pic>
                    </a:graphicData>
                  </a:graphic>
                </wp:inline>
              </w:drawing>
            </w:r>
          </w:p>
        </w:tc>
      </w:tr>
      <w:tr w14:paraId="54654A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F55E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 </w:t>
            </w:r>
          </w:p>
        </w:tc>
        <w:tc>
          <w:tcPr>
            <w:tcW w:w="1166" w:type="dxa"/>
            <w:tcBorders>
              <w:tl2br w:val="nil"/>
              <w:tr2bl w:val="nil"/>
            </w:tcBorders>
            <w:shd w:val="clear" w:color="auto" w:fill="auto"/>
            <w:vAlign w:val="center"/>
          </w:tcPr>
          <w:p w14:paraId="03A08BB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工作服</w:t>
            </w:r>
          </w:p>
        </w:tc>
        <w:tc>
          <w:tcPr>
            <w:tcW w:w="8573" w:type="dxa"/>
            <w:tcBorders>
              <w:tl2br w:val="nil"/>
              <w:tr2bl w:val="nil"/>
            </w:tcBorders>
            <w:shd w:val="clear" w:color="auto" w:fill="auto"/>
            <w:vAlign w:val="center"/>
          </w:tcPr>
          <w:p w14:paraId="04F3B6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实验室防护用具，形似白大褂，用于预防实验操作过程中酸碱接触到操作员身体。采用35%棉加65%涤纶材质，经3D立体裁剪，360°人体工程学设计，修身显瘦不褶皱。</w:t>
            </w:r>
          </w:p>
        </w:tc>
        <w:tc>
          <w:tcPr>
            <w:tcW w:w="816" w:type="dxa"/>
            <w:tcBorders>
              <w:tl2br w:val="nil"/>
              <w:tr2bl w:val="nil"/>
            </w:tcBorders>
            <w:shd w:val="clear" w:color="auto" w:fill="auto"/>
            <w:vAlign w:val="center"/>
          </w:tcPr>
          <w:p w14:paraId="01BE65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1A757D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7EA5188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FBAD3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DEB4A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 </w:t>
            </w:r>
          </w:p>
        </w:tc>
        <w:tc>
          <w:tcPr>
            <w:tcW w:w="1166" w:type="dxa"/>
            <w:tcBorders>
              <w:tl2br w:val="nil"/>
              <w:tr2bl w:val="nil"/>
            </w:tcBorders>
            <w:shd w:val="clear" w:color="auto" w:fill="auto"/>
            <w:vAlign w:val="center"/>
          </w:tcPr>
          <w:p w14:paraId="021891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简易急救箱</w:t>
            </w:r>
          </w:p>
        </w:tc>
        <w:tc>
          <w:tcPr>
            <w:tcW w:w="8573" w:type="dxa"/>
            <w:tcBorders>
              <w:tl2br w:val="nil"/>
              <w:tr2bl w:val="nil"/>
            </w:tcBorders>
            <w:shd w:val="clear" w:color="auto" w:fill="auto"/>
            <w:vAlign w:val="center"/>
          </w:tcPr>
          <w:p w14:paraId="41DF86C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化学实验必备用品，用于实验出现事故急救用。配备：1）消毒剂：碘酒1瓶；2）烫伤药：烫伤油膏或凡士林1盒；3)化学炸药：硼酸、苏打粉各100克；4）治疗药品：药棉1包、创口贴5张、绷带1卷、胶布1卷、剪刀1把、医用镊子1个；2、优质实木箱装，表面油漆，配背带。</w:t>
            </w:r>
          </w:p>
        </w:tc>
        <w:tc>
          <w:tcPr>
            <w:tcW w:w="816" w:type="dxa"/>
            <w:tcBorders>
              <w:tl2br w:val="nil"/>
              <w:tr2bl w:val="nil"/>
            </w:tcBorders>
            <w:shd w:val="clear" w:color="auto" w:fill="auto"/>
            <w:vAlign w:val="center"/>
          </w:tcPr>
          <w:p w14:paraId="3D58A1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D0D68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08903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8C69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93962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 </w:t>
            </w:r>
          </w:p>
        </w:tc>
        <w:tc>
          <w:tcPr>
            <w:tcW w:w="1166" w:type="dxa"/>
            <w:tcBorders>
              <w:tl2br w:val="nil"/>
              <w:tr2bl w:val="nil"/>
            </w:tcBorders>
            <w:shd w:val="clear" w:color="auto" w:fill="auto"/>
            <w:vAlign w:val="center"/>
          </w:tcPr>
          <w:p w14:paraId="1944368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吹风机</w:t>
            </w:r>
          </w:p>
        </w:tc>
        <w:tc>
          <w:tcPr>
            <w:tcW w:w="8573" w:type="dxa"/>
            <w:tcBorders>
              <w:tl2br w:val="nil"/>
              <w:tr2bl w:val="nil"/>
            </w:tcBorders>
            <w:shd w:val="clear" w:color="auto" w:fill="auto"/>
            <w:vAlign w:val="center"/>
          </w:tcPr>
          <w:p w14:paraId="6BECDC7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功率≥1000 W ，双档风速，三档温度，根据需求，自由选择档位组合，随心调控。</w:t>
            </w:r>
          </w:p>
        </w:tc>
        <w:tc>
          <w:tcPr>
            <w:tcW w:w="816" w:type="dxa"/>
            <w:tcBorders>
              <w:tl2br w:val="nil"/>
              <w:tr2bl w:val="nil"/>
            </w:tcBorders>
            <w:shd w:val="clear" w:color="auto" w:fill="auto"/>
            <w:vAlign w:val="center"/>
          </w:tcPr>
          <w:p w14:paraId="1642D9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4E812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E63AF1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A5CAB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D888F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 </w:t>
            </w:r>
          </w:p>
        </w:tc>
        <w:tc>
          <w:tcPr>
            <w:tcW w:w="1166" w:type="dxa"/>
            <w:tcBorders>
              <w:tl2br w:val="nil"/>
              <w:tr2bl w:val="nil"/>
            </w:tcBorders>
            <w:shd w:val="clear" w:color="auto" w:fill="auto"/>
            <w:vAlign w:val="center"/>
          </w:tcPr>
          <w:p w14:paraId="11FCC83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仪器车</w:t>
            </w:r>
          </w:p>
        </w:tc>
        <w:tc>
          <w:tcPr>
            <w:tcW w:w="8573" w:type="dxa"/>
            <w:tcBorders>
              <w:tl2br w:val="nil"/>
              <w:tr2bl w:val="nil"/>
            </w:tcBorders>
            <w:shd w:val="clear" w:color="auto" w:fill="auto"/>
            <w:vAlign w:val="center"/>
          </w:tcPr>
          <w:p w14:paraId="024FE2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整体规格尺寸≥950×500×900mm，净重≥13kg，车体由不锈钢盆、不锈钢管、车轮组成；不锈钢盆，分上下两层，每层盆面尺寸≥900×450mm，盆边缘倒角处理，防止刮伤，盆背面带有防震垫装置，单层盆额定载重量50kg，所有连接配件均由不锈钢制作；车架主体采用≥25×25mm的不锈钢方管制成，高≥800mm；车轮为四个φ100mm的万向脚轮，脚轮可360°任意转动，其中有两只脚轮带刹车装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2、为保证产品质量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(1)为了保证小件物品在运输过程中不掉落，上层盆深≥100mm；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(2)所用紧固件不应有脱扣、劈头、断裂和歪斜。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(3)为了方便搬运大件的仪器或物件，下层留一长边以方便装卸仪器或物件，另外三边带围栏，围栏由φ12mm的钢管组成，两层围栏间隔≥100mm。</w:t>
            </w:r>
          </w:p>
        </w:tc>
        <w:tc>
          <w:tcPr>
            <w:tcW w:w="816" w:type="dxa"/>
            <w:tcBorders>
              <w:tl2br w:val="nil"/>
              <w:tr2bl w:val="nil"/>
            </w:tcBorders>
            <w:shd w:val="clear" w:color="auto" w:fill="auto"/>
            <w:vAlign w:val="center"/>
          </w:tcPr>
          <w:p w14:paraId="74801B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D8F0C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辆</w:t>
            </w:r>
          </w:p>
        </w:tc>
        <w:tc>
          <w:tcPr>
            <w:tcW w:w="2796" w:type="dxa"/>
            <w:tcBorders>
              <w:tl2br w:val="nil"/>
              <w:tr2bl w:val="nil"/>
            </w:tcBorders>
            <w:shd w:val="clear" w:color="auto" w:fill="auto"/>
            <w:vAlign w:val="center"/>
          </w:tcPr>
          <w:p w14:paraId="61C8706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79AE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D48F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 </w:t>
            </w:r>
          </w:p>
        </w:tc>
        <w:tc>
          <w:tcPr>
            <w:tcW w:w="1166" w:type="dxa"/>
            <w:tcBorders>
              <w:tl2br w:val="nil"/>
              <w:tr2bl w:val="nil"/>
            </w:tcBorders>
            <w:shd w:val="clear" w:color="auto" w:fill="auto"/>
            <w:vAlign w:val="center"/>
          </w:tcPr>
          <w:p w14:paraId="5DACBB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小托盘</w:t>
            </w:r>
          </w:p>
        </w:tc>
        <w:tc>
          <w:tcPr>
            <w:tcW w:w="8573" w:type="dxa"/>
            <w:tcBorders>
              <w:tl2br w:val="nil"/>
              <w:tr2bl w:val="nil"/>
            </w:tcBorders>
            <w:shd w:val="clear" w:color="auto" w:fill="auto"/>
            <w:vAlign w:val="center"/>
          </w:tcPr>
          <w:p w14:paraId="74B180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外形规格≥360 mm×240 mm×60 mm,采用环保熟料材质一次成形，底部设有格子加强筋加固，耐磨耐摔 ，不变形；侧面长变跟短边均设有加强柱，起到支撑及稳固定型的作用.</w:t>
            </w:r>
          </w:p>
        </w:tc>
        <w:tc>
          <w:tcPr>
            <w:tcW w:w="816" w:type="dxa"/>
            <w:tcBorders>
              <w:tl2br w:val="nil"/>
              <w:tr2bl w:val="nil"/>
            </w:tcBorders>
            <w:shd w:val="clear" w:color="auto" w:fill="auto"/>
            <w:vAlign w:val="center"/>
          </w:tcPr>
          <w:p w14:paraId="5BBB68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B2363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E3173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B6E13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20EF2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 </w:t>
            </w:r>
          </w:p>
        </w:tc>
        <w:tc>
          <w:tcPr>
            <w:tcW w:w="1166" w:type="dxa"/>
            <w:tcBorders>
              <w:tl2br w:val="nil"/>
              <w:tr2bl w:val="nil"/>
            </w:tcBorders>
            <w:shd w:val="clear" w:color="auto" w:fill="auto"/>
            <w:vAlign w:val="center"/>
          </w:tcPr>
          <w:p w14:paraId="35F6467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提盒</w:t>
            </w:r>
          </w:p>
        </w:tc>
        <w:tc>
          <w:tcPr>
            <w:tcW w:w="8573" w:type="dxa"/>
            <w:tcBorders>
              <w:tl2br w:val="nil"/>
              <w:tr2bl w:val="nil"/>
            </w:tcBorders>
            <w:shd w:val="clear" w:color="auto" w:fill="auto"/>
            <w:vAlign w:val="center"/>
          </w:tcPr>
          <w:p w14:paraId="6A27CB0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承重大于 3 kg ，不锈钢制</w:t>
            </w:r>
          </w:p>
        </w:tc>
        <w:tc>
          <w:tcPr>
            <w:tcW w:w="816" w:type="dxa"/>
            <w:tcBorders>
              <w:tl2br w:val="nil"/>
              <w:tr2bl w:val="nil"/>
            </w:tcBorders>
            <w:shd w:val="clear" w:color="auto" w:fill="auto"/>
            <w:vAlign w:val="center"/>
          </w:tcPr>
          <w:p w14:paraId="5E19E1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92A6E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9D6AA1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94154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CB3C8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 </w:t>
            </w:r>
          </w:p>
        </w:tc>
        <w:tc>
          <w:tcPr>
            <w:tcW w:w="1166" w:type="dxa"/>
            <w:tcBorders>
              <w:tl2br w:val="nil"/>
              <w:tr2bl w:val="nil"/>
            </w:tcBorders>
            <w:shd w:val="clear" w:color="auto" w:fill="auto"/>
            <w:vAlign w:val="center"/>
          </w:tcPr>
          <w:p w14:paraId="6548E2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一字螺丝刀</w:t>
            </w:r>
          </w:p>
        </w:tc>
        <w:tc>
          <w:tcPr>
            <w:tcW w:w="8573" w:type="dxa"/>
            <w:tcBorders>
              <w:tl2br w:val="nil"/>
              <w:tr2bl w:val="nil"/>
            </w:tcBorders>
            <w:shd w:val="clear" w:color="auto" w:fill="auto"/>
            <w:vAlign w:val="center"/>
          </w:tcPr>
          <w:p w14:paraId="44664B9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实验室维修工具，用于拧转螺丝钉以迫使其就位，φ3mm或φ6mm，长度不小于150mm，塑料手柄，刀身为优质金属制，强度高，表面做防锈处理，头部带磁。</w:t>
            </w:r>
          </w:p>
        </w:tc>
        <w:tc>
          <w:tcPr>
            <w:tcW w:w="816" w:type="dxa"/>
            <w:tcBorders>
              <w:tl2br w:val="nil"/>
              <w:tr2bl w:val="nil"/>
            </w:tcBorders>
            <w:shd w:val="clear" w:color="auto" w:fill="auto"/>
            <w:vAlign w:val="center"/>
          </w:tcPr>
          <w:p w14:paraId="17551D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A27659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D908E7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37531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F1C6E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 </w:t>
            </w:r>
          </w:p>
        </w:tc>
        <w:tc>
          <w:tcPr>
            <w:tcW w:w="1166" w:type="dxa"/>
            <w:tcBorders>
              <w:tl2br w:val="nil"/>
              <w:tr2bl w:val="nil"/>
            </w:tcBorders>
            <w:shd w:val="clear" w:color="auto" w:fill="auto"/>
            <w:vAlign w:val="center"/>
          </w:tcPr>
          <w:p w14:paraId="270E93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十字螺丝刀</w:t>
            </w:r>
          </w:p>
        </w:tc>
        <w:tc>
          <w:tcPr>
            <w:tcW w:w="8573" w:type="dxa"/>
            <w:tcBorders>
              <w:tl2br w:val="nil"/>
              <w:tr2bl w:val="nil"/>
            </w:tcBorders>
            <w:shd w:val="clear" w:color="auto" w:fill="auto"/>
            <w:vAlign w:val="center"/>
          </w:tcPr>
          <w:p w14:paraId="0BBB9E2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实验室维修工具，用于拧转螺丝钉以迫使其就位，φ3mm或φ6mm，长度不小于150mm，塑料手柄，刀身为优质金属制，强度高，表面做防锈处理，头部带磁。</w:t>
            </w:r>
          </w:p>
        </w:tc>
        <w:tc>
          <w:tcPr>
            <w:tcW w:w="816" w:type="dxa"/>
            <w:tcBorders>
              <w:tl2br w:val="nil"/>
              <w:tr2bl w:val="nil"/>
            </w:tcBorders>
            <w:shd w:val="clear" w:color="auto" w:fill="auto"/>
            <w:vAlign w:val="center"/>
          </w:tcPr>
          <w:p w14:paraId="7786A2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BA4F2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EE764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1CB0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630D8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 </w:t>
            </w:r>
          </w:p>
        </w:tc>
        <w:tc>
          <w:tcPr>
            <w:tcW w:w="1166" w:type="dxa"/>
            <w:tcBorders>
              <w:tl2br w:val="nil"/>
              <w:tr2bl w:val="nil"/>
            </w:tcBorders>
            <w:shd w:val="clear" w:color="auto" w:fill="auto"/>
            <w:vAlign w:val="center"/>
          </w:tcPr>
          <w:p w14:paraId="661256F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剥线钳</w:t>
            </w:r>
          </w:p>
        </w:tc>
        <w:tc>
          <w:tcPr>
            <w:tcW w:w="8573" w:type="dxa"/>
            <w:tcBorders>
              <w:tl2br w:val="nil"/>
              <w:tr2bl w:val="nil"/>
            </w:tcBorders>
            <w:shd w:val="clear" w:color="auto" w:fill="auto"/>
            <w:vAlign w:val="center"/>
          </w:tcPr>
          <w:p w14:paraId="23CE09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实验室维修工具，用于剥除电线头部的表面绝缘层，钳体采用Q235号钢，柄上套有额定工作电压500V的绝缘套管，可以防止触电，长度不小于150mm。</w:t>
            </w:r>
          </w:p>
        </w:tc>
        <w:tc>
          <w:tcPr>
            <w:tcW w:w="816" w:type="dxa"/>
            <w:tcBorders>
              <w:tl2br w:val="nil"/>
              <w:tr2bl w:val="nil"/>
            </w:tcBorders>
            <w:shd w:val="clear" w:color="auto" w:fill="auto"/>
            <w:vAlign w:val="center"/>
          </w:tcPr>
          <w:p w14:paraId="283C73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6DDB3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4F63B5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0E7B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9901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 </w:t>
            </w:r>
          </w:p>
        </w:tc>
        <w:tc>
          <w:tcPr>
            <w:tcW w:w="1166" w:type="dxa"/>
            <w:tcBorders>
              <w:tl2br w:val="nil"/>
              <w:tr2bl w:val="nil"/>
            </w:tcBorders>
            <w:shd w:val="clear" w:color="auto" w:fill="auto"/>
            <w:vAlign w:val="center"/>
          </w:tcPr>
          <w:p w14:paraId="53C685E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钢丝钳</w:t>
            </w:r>
          </w:p>
        </w:tc>
        <w:tc>
          <w:tcPr>
            <w:tcW w:w="8573" w:type="dxa"/>
            <w:tcBorders>
              <w:tl2br w:val="nil"/>
              <w:tr2bl w:val="nil"/>
            </w:tcBorders>
            <w:shd w:val="clear" w:color="auto" w:fill="auto"/>
            <w:vAlign w:val="center"/>
          </w:tcPr>
          <w:p w14:paraId="60EFA5B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中号，长度不小于180mm，高碳钢精工锻造，镀镍处理，刃口感应淬火，剪切力强，防滑手柄。</w:t>
            </w:r>
          </w:p>
        </w:tc>
        <w:tc>
          <w:tcPr>
            <w:tcW w:w="816" w:type="dxa"/>
            <w:tcBorders>
              <w:tl2br w:val="nil"/>
              <w:tr2bl w:val="nil"/>
            </w:tcBorders>
            <w:shd w:val="clear" w:color="auto" w:fill="auto"/>
            <w:vAlign w:val="center"/>
          </w:tcPr>
          <w:p w14:paraId="052B29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10D93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39844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875F7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59EA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 </w:t>
            </w:r>
          </w:p>
        </w:tc>
        <w:tc>
          <w:tcPr>
            <w:tcW w:w="1166" w:type="dxa"/>
            <w:tcBorders>
              <w:tl2br w:val="nil"/>
              <w:tr2bl w:val="nil"/>
            </w:tcBorders>
            <w:shd w:val="clear" w:color="auto" w:fill="auto"/>
            <w:vAlign w:val="center"/>
          </w:tcPr>
          <w:p w14:paraId="4820D2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尖嘴钳</w:t>
            </w:r>
          </w:p>
        </w:tc>
        <w:tc>
          <w:tcPr>
            <w:tcW w:w="8573" w:type="dxa"/>
            <w:tcBorders>
              <w:tl2br w:val="nil"/>
              <w:tr2bl w:val="nil"/>
            </w:tcBorders>
            <w:shd w:val="clear" w:color="auto" w:fill="auto"/>
            <w:vAlign w:val="center"/>
          </w:tcPr>
          <w:p w14:paraId="263EB5D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长度不小于150mm，钢材精工锻造，镀镍处理，加装有回力弹簧，防滑塑料手柄。</w:t>
            </w:r>
          </w:p>
        </w:tc>
        <w:tc>
          <w:tcPr>
            <w:tcW w:w="816" w:type="dxa"/>
            <w:tcBorders>
              <w:tl2br w:val="nil"/>
              <w:tr2bl w:val="nil"/>
            </w:tcBorders>
            <w:shd w:val="clear" w:color="auto" w:fill="auto"/>
            <w:vAlign w:val="center"/>
          </w:tcPr>
          <w:p w14:paraId="37D3E7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6CDC5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5118FC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A3BB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86C50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14 </w:t>
            </w:r>
          </w:p>
        </w:tc>
        <w:tc>
          <w:tcPr>
            <w:tcW w:w="1166" w:type="dxa"/>
            <w:tcBorders>
              <w:tl2br w:val="nil"/>
              <w:tr2bl w:val="nil"/>
            </w:tcBorders>
            <w:shd w:val="clear" w:color="auto" w:fill="auto"/>
            <w:vAlign w:val="center"/>
          </w:tcPr>
          <w:p w14:paraId="118D75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平口钳</w:t>
            </w:r>
          </w:p>
        </w:tc>
        <w:tc>
          <w:tcPr>
            <w:tcW w:w="8573" w:type="dxa"/>
            <w:tcBorders>
              <w:tl2br w:val="nil"/>
              <w:tr2bl w:val="nil"/>
            </w:tcBorders>
            <w:shd w:val="clear" w:color="auto" w:fill="auto"/>
            <w:vAlign w:val="center"/>
          </w:tcPr>
          <w:p w14:paraId="379780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通用夹具，用来台钻上夹持工件进行切削加工，不短于80mm。</w:t>
            </w:r>
          </w:p>
        </w:tc>
        <w:tc>
          <w:tcPr>
            <w:tcW w:w="816" w:type="dxa"/>
            <w:tcBorders>
              <w:tl2br w:val="nil"/>
              <w:tr2bl w:val="nil"/>
            </w:tcBorders>
            <w:shd w:val="clear" w:color="auto" w:fill="auto"/>
            <w:vAlign w:val="center"/>
          </w:tcPr>
          <w:p w14:paraId="5701BA6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A899F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17579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348BF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3B322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15 </w:t>
            </w:r>
          </w:p>
        </w:tc>
        <w:tc>
          <w:tcPr>
            <w:tcW w:w="1166" w:type="dxa"/>
            <w:tcBorders>
              <w:tl2br w:val="nil"/>
              <w:tr2bl w:val="nil"/>
            </w:tcBorders>
            <w:shd w:val="clear" w:color="auto" w:fill="auto"/>
            <w:vAlign w:val="center"/>
          </w:tcPr>
          <w:p w14:paraId="187ABC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斜口钳</w:t>
            </w:r>
          </w:p>
        </w:tc>
        <w:tc>
          <w:tcPr>
            <w:tcW w:w="8573" w:type="dxa"/>
            <w:tcBorders>
              <w:tl2br w:val="nil"/>
              <w:tr2bl w:val="nil"/>
            </w:tcBorders>
            <w:shd w:val="clear" w:color="auto" w:fill="auto"/>
            <w:vAlign w:val="center"/>
          </w:tcPr>
          <w:p w14:paraId="093B72F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吸塑盒包装，6寸，总长度为2160mm，钳头长度为40mm，钳口采用铬钒合金钢锻造，刃口真空热处理，手柄采用PP环保材料制成，可抗静电、防滑、绝缘500V。两手柄间装有回力弹簧。</w:t>
            </w:r>
          </w:p>
        </w:tc>
        <w:tc>
          <w:tcPr>
            <w:tcW w:w="816" w:type="dxa"/>
            <w:tcBorders>
              <w:tl2br w:val="nil"/>
              <w:tr2bl w:val="nil"/>
            </w:tcBorders>
            <w:shd w:val="clear" w:color="auto" w:fill="auto"/>
            <w:vAlign w:val="center"/>
          </w:tcPr>
          <w:p w14:paraId="509EC2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A1029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512DB4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40D35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787B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16 </w:t>
            </w:r>
          </w:p>
        </w:tc>
        <w:tc>
          <w:tcPr>
            <w:tcW w:w="1166" w:type="dxa"/>
            <w:tcBorders>
              <w:tl2br w:val="nil"/>
              <w:tr2bl w:val="nil"/>
            </w:tcBorders>
            <w:shd w:val="clear" w:color="auto" w:fill="auto"/>
            <w:vAlign w:val="center"/>
          </w:tcPr>
          <w:p w14:paraId="4DAE9E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砂纸</w:t>
            </w:r>
          </w:p>
        </w:tc>
        <w:tc>
          <w:tcPr>
            <w:tcW w:w="8573" w:type="dxa"/>
            <w:tcBorders>
              <w:tl2br w:val="nil"/>
              <w:tr2bl w:val="nil"/>
            </w:tcBorders>
            <w:shd w:val="clear" w:color="auto" w:fill="auto"/>
            <w:vAlign w:val="center"/>
          </w:tcPr>
          <w:p w14:paraId="0B63FF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干磨砂纸，P50、P150、P2000各一张</w:t>
            </w:r>
          </w:p>
        </w:tc>
        <w:tc>
          <w:tcPr>
            <w:tcW w:w="816" w:type="dxa"/>
            <w:tcBorders>
              <w:tl2br w:val="nil"/>
              <w:tr2bl w:val="nil"/>
            </w:tcBorders>
            <w:shd w:val="clear" w:color="auto" w:fill="auto"/>
            <w:vAlign w:val="center"/>
          </w:tcPr>
          <w:p w14:paraId="1FE18A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52E234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5A6CD1B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0726E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53EC3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17 </w:t>
            </w:r>
          </w:p>
        </w:tc>
        <w:tc>
          <w:tcPr>
            <w:tcW w:w="1166" w:type="dxa"/>
            <w:tcBorders>
              <w:tl2br w:val="nil"/>
              <w:tr2bl w:val="nil"/>
            </w:tcBorders>
            <w:shd w:val="clear" w:color="auto" w:fill="auto"/>
            <w:vAlign w:val="center"/>
          </w:tcPr>
          <w:p w14:paraId="12308F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民用剪刀</w:t>
            </w:r>
          </w:p>
        </w:tc>
        <w:tc>
          <w:tcPr>
            <w:tcW w:w="8573" w:type="dxa"/>
            <w:tcBorders>
              <w:tl2br w:val="nil"/>
              <w:tr2bl w:val="nil"/>
            </w:tcBorders>
            <w:shd w:val="clear" w:color="auto" w:fill="auto"/>
            <w:vAlign w:val="center"/>
          </w:tcPr>
          <w:p w14:paraId="3C799B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不锈钢制，长度不小于200mm，耐腐蚀，刀口结合度好，刃口锋利，手柄上带有杏仁闸、夹核桃、罐头抽、开瓶器功能。</w:t>
            </w:r>
          </w:p>
        </w:tc>
        <w:tc>
          <w:tcPr>
            <w:tcW w:w="816" w:type="dxa"/>
            <w:tcBorders>
              <w:tl2br w:val="nil"/>
              <w:tr2bl w:val="nil"/>
            </w:tcBorders>
            <w:shd w:val="clear" w:color="auto" w:fill="auto"/>
            <w:vAlign w:val="center"/>
          </w:tcPr>
          <w:p w14:paraId="0CE42D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0D5F3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C0406C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B6C3B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D82D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18 </w:t>
            </w:r>
          </w:p>
        </w:tc>
        <w:tc>
          <w:tcPr>
            <w:tcW w:w="1166" w:type="dxa"/>
            <w:tcBorders>
              <w:tl2br w:val="nil"/>
              <w:tr2bl w:val="nil"/>
            </w:tcBorders>
            <w:shd w:val="clear" w:color="auto" w:fill="auto"/>
            <w:vAlign w:val="center"/>
          </w:tcPr>
          <w:p w14:paraId="551E0A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电烙铁套装</w:t>
            </w:r>
          </w:p>
        </w:tc>
        <w:tc>
          <w:tcPr>
            <w:tcW w:w="8573" w:type="dxa"/>
            <w:tcBorders>
              <w:tl2br w:val="nil"/>
              <w:tr2bl w:val="nil"/>
            </w:tcBorders>
            <w:shd w:val="clear" w:color="auto" w:fill="auto"/>
            <w:vAlign w:val="center"/>
          </w:tcPr>
          <w:p w14:paraId="6F54612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80 W，内热式， 橡胶线， 含烙铁架</w:t>
            </w:r>
          </w:p>
        </w:tc>
        <w:tc>
          <w:tcPr>
            <w:tcW w:w="816" w:type="dxa"/>
            <w:tcBorders>
              <w:tl2br w:val="nil"/>
              <w:tr2bl w:val="nil"/>
            </w:tcBorders>
            <w:shd w:val="clear" w:color="auto" w:fill="auto"/>
            <w:vAlign w:val="center"/>
          </w:tcPr>
          <w:p w14:paraId="67746A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C0C67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2E50C8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87B2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5232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19 </w:t>
            </w:r>
          </w:p>
        </w:tc>
        <w:tc>
          <w:tcPr>
            <w:tcW w:w="1166" w:type="dxa"/>
            <w:tcBorders>
              <w:tl2br w:val="nil"/>
              <w:tr2bl w:val="nil"/>
            </w:tcBorders>
            <w:shd w:val="clear" w:color="auto" w:fill="auto"/>
            <w:vAlign w:val="center"/>
          </w:tcPr>
          <w:p w14:paraId="4D782B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焊锡膏</w:t>
            </w:r>
          </w:p>
        </w:tc>
        <w:tc>
          <w:tcPr>
            <w:tcW w:w="8573" w:type="dxa"/>
            <w:tcBorders>
              <w:tl2br w:val="nil"/>
              <w:tr2bl w:val="nil"/>
            </w:tcBorders>
            <w:shd w:val="clear" w:color="auto" w:fill="auto"/>
            <w:vAlign w:val="center"/>
          </w:tcPr>
          <w:p w14:paraId="14965B7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中性 ，100g/盒</w:t>
            </w:r>
          </w:p>
        </w:tc>
        <w:tc>
          <w:tcPr>
            <w:tcW w:w="816" w:type="dxa"/>
            <w:tcBorders>
              <w:tl2br w:val="nil"/>
              <w:tr2bl w:val="nil"/>
            </w:tcBorders>
            <w:shd w:val="clear" w:color="auto" w:fill="auto"/>
            <w:vAlign w:val="center"/>
          </w:tcPr>
          <w:p w14:paraId="7376407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65724C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441939E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E59CC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CE1B7E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20 </w:t>
            </w:r>
          </w:p>
        </w:tc>
        <w:tc>
          <w:tcPr>
            <w:tcW w:w="1166" w:type="dxa"/>
            <w:tcBorders>
              <w:tl2br w:val="nil"/>
              <w:tr2bl w:val="nil"/>
            </w:tcBorders>
            <w:shd w:val="clear" w:color="auto" w:fill="auto"/>
            <w:vAlign w:val="center"/>
          </w:tcPr>
          <w:p w14:paraId="77CECB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焊锡丝</w:t>
            </w:r>
          </w:p>
        </w:tc>
        <w:tc>
          <w:tcPr>
            <w:tcW w:w="8573" w:type="dxa"/>
            <w:tcBorders>
              <w:tl2br w:val="nil"/>
              <w:tr2bl w:val="nil"/>
            </w:tcBorders>
            <w:shd w:val="clear" w:color="auto" w:fill="auto"/>
            <w:vAlign w:val="center"/>
          </w:tcPr>
          <w:p w14:paraId="2D9F9E4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无铅 ，450g/捆</w:t>
            </w:r>
          </w:p>
        </w:tc>
        <w:tc>
          <w:tcPr>
            <w:tcW w:w="816" w:type="dxa"/>
            <w:tcBorders>
              <w:tl2br w:val="nil"/>
              <w:tr2bl w:val="nil"/>
            </w:tcBorders>
            <w:shd w:val="clear" w:color="auto" w:fill="auto"/>
            <w:vAlign w:val="center"/>
          </w:tcPr>
          <w:p w14:paraId="3BD310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E3938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捆</w:t>
            </w:r>
          </w:p>
        </w:tc>
        <w:tc>
          <w:tcPr>
            <w:tcW w:w="2796" w:type="dxa"/>
            <w:tcBorders>
              <w:tl2br w:val="nil"/>
              <w:tr2bl w:val="nil"/>
            </w:tcBorders>
            <w:shd w:val="clear" w:color="auto" w:fill="auto"/>
            <w:vAlign w:val="center"/>
          </w:tcPr>
          <w:p w14:paraId="0C38A6E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E90A4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68D5A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21 </w:t>
            </w:r>
          </w:p>
        </w:tc>
        <w:tc>
          <w:tcPr>
            <w:tcW w:w="1166" w:type="dxa"/>
            <w:tcBorders>
              <w:tl2br w:val="nil"/>
              <w:tr2bl w:val="nil"/>
            </w:tcBorders>
            <w:shd w:val="clear" w:color="auto" w:fill="auto"/>
            <w:vAlign w:val="center"/>
          </w:tcPr>
          <w:p w14:paraId="5E7E21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锥子</w:t>
            </w:r>
          </w:p>
        </w:tc>
        <w:tc>
          <w:tcPr>
            <w:tcW w:w="8573" w:type="dxa"/>
            <w:tcBorders>
              <w:tl2br w:val="nil"/>
              <w:tr2bl w:val="nil"/>
            </w:tcBorders>
            <w:shd w:val="clear" w:color="auto" w:fill="auto"/>
            <w:vAlign w:val="center"/>
          </w:tcPr>
          <w:p w14:paraId="7DF5C4F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锥头长 77 mm， 锥杆直径渐变 ，木质手柄，不锈钢锥头。可用于打气眼或铆钉，要多大孔，就扎多深；解线结时可以用来挑线头；扎入缝线孔，防止其自动收缩；还可以做记号、画线迹等其他用处。</w:t>
            </w:r>
          </w:p>
        </w:tc>
        <w:tc>
          <w:tcPr>
            <w:tcW w:w="816" w:type="dxa"/>
            <w:tcBorders>
              <w:tl2br w:val="nil"/>
              <w:tr2bl w:val="nil"/>
            </w:tcBorders>
            <w:shd w:val="clear" w:color="auto" w:fill="auto"/>
            <w:vAlign w:val="center"/>
          </w:tcPr>
          <w:p w14:paraId="1DB65C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204E9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FDC365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99D3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A780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22 </w:t>
            </w:r>
          </w:p>
        </w:tc>
        <w:tc>
          <w:tcPr>
            <w:tcW w:w="1166" w:type="dxa"/>
            <w:tcBorders>
              <w:tl2br w:val="nil"/>
              <w:tr2bl w:val="nil"/>
            </w:tcBorders>
            <w:shd w:val="clear" w:color="auto" w:fill="auto"/>
            <w:vAlign w:val="center"/>
          </w:tcPr>
          <w:p w14:paraId="73F408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镊子</w:t>
            </w:r>
          </w:p>
        </w:tc>
        <w:tc>
          <w:tcPr>
            <w:tcW w:w="8573" w:type="dxa"/>
            <w:tcBorders>
              <w:tl2br w:val="nil"/>
              <w:tr2bl w:val="nil"/>
            </w:tcBorders>
            <w:shd w:val="clear" w:color="auto" w:fill="auto"/>
            <w:vAlign w:val="center"/>
          </w:tcPr>
          <w:p w14:paraId="097DA4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夹取块状药品、金属颗粒、毛发、细刺及其他细小东西，由不锈钢制成，长度不短于125mm。</w:t>
            </w:r>
          </w:p>
        </w:tc>
        <w:tc>
          <w:tcPr>
            <w:tcW w:w="816" w:type="dxa"/>
            <w:tcBorders>
              <w:tl2br w:val="nil"/>
              <w:tr2bl w:val="nil"/>
            </w:tcBorders>
            <w:shd w:val="clear" w:color="auto" w:fill="auto"/>
            <w:vAlign w:val="center"/>
          </w:tcPr>
          <w:p w14:paraId="16ED7F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5076C7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AE7B4C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5CC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8BE4B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23 </w:t>
            </w:r>
          </w:p>
        </w:tc>
        <w:tc>
          <w:tcPr>
            <w:tcW w:w="1166" w:type="dxa"/>
            <w:tcBorders>
              <w:tl2br w:val="nil"/>
              <w:tr2bl w:val="nil"/>
            </w:tcBorders>
            <w:shd w:val="clear" w:color="auto" w:fill="auto"/>
            <w:vAlign w:val="center"/>
          </w:tcPr>
          <w:p w14:paraId="50215C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湿度计</w:t>
            </w:r>
          </w:p>
        </w:tc>
        <w:tc>
          <w:tcPr>
            <w:tcW w:w="8573" w:type="dxa"/>
            <w:tcBorders>
              <w:tl2br w:val="nil"/>
              <w:tr2bl w:val="nil"/>
            </w:tcBorders>
            <w:shd w:val="clear" w:color="auto" w:fill="auto"/>
            <w:vAlign w:val="center"/>
          </w:tcPr>
          <w:p w14:paraId="02B20A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实验室常见测量工具，用于测量当前温度下的相对湿度，指针式，温度量程为-10℃～+50℃。</w:t>
            </w:r>
          </w:p>
        </w:tc>
        <w:tc>
          <w:tcPr>
            <w:tcW w:w="816" w:type="dxa"/>
            <w:tcBorders>
              <w:tl2br w:val="nil"/>
              <w:tr2bl w:val="nil"/>
            </w:tcBorders>
            <w:shd w:val="clear" w:color="auto" w:fill="auto"/>
            <w:vAlign w:val="center"/>
          </w:tcPr>
          <w:p w14:paraId="58B014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F9CB9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D8AF50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99C0E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3FE01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24 </w:t>
            </w:r>
          </w:p>
        </w:tc>
        <w:tc>
          <w:tcPr>
            <w:tcW w:w="1166" w:type="dxa"/>
            <w:tcBorders>
              <w:tl2br w:val="nil"/>
              <w:tr2bl w:val="nil"/>
            </w:tcBorders>
            <w:shd w:val="clear" w:color="auto" w:fill="auto"/>
            <w:vAlign w:val="center"/>
          </w:tcPr>
          <w:p w14:paraId="31641B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w:t>
            </w:r>
          </w:p>
        </w:tc>
        <w:tc>
          <w:tcPr>
            <w:tcW w:w="8573" w:type="dxa"/>
            <w:tcBorders>
              <w:tl2br w:val="nil"/>
              <w:tr2bl w:val="nil"/>
            </w:tcBorders>
            <w:shd w:val="clear" w:color="auto" w:fill="auto"/>
            <w:vAlign w:val="center"/>
          </w:tcPr>
          <w:p w14:paraId="74B8E8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用的玻璃器皿，用于化学试剂的加热、溶解、混合、煮沸、熔融、蒸发浓缩、稀释及沉淀澄清等，由玻璃或耐热玻璃制成，该器皿重量应符合质量标准，且要求晶莹剔透、质地均匀、无气泡、夹杂物、划伤、线道、雾斑、表面无翘曲、缺口、毛刺等质量缺陷，角度要方正，圆底长颈，500mL</w:t>
            </w:r>
          </w:p>
        </w:tc>
        <w:tc>
          <w:tcPr>
            <w:tcW w:w="816" w:type="dxa"/>
            <w:tcBorders>
              <w:tl2br w:val="nil"/>
              <w:tr2bl w:val="nil"/>
            </w:tcBorders>
            <w:shd w:val="clear" w:color="auto" w:fill="auto"/>
            <w:vAlign w:val="center"/>
          </w:tcPr>
          <w:p w14:paraId="1773D3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20B082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F5ACF3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EB2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73B302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25 </w:t>
            </w:r>
          </w:p>
        </w:tc>
        <w:tc>
          <w:tcPr>
            <w:tcW w:w="1166" w:type="dxa"/>
            <w:tcBorders>
              <w:tl2br w:val="nil"/>
              <w:tr2bl w:val="nil"/>
            </w:tcBorders>
            <w:shd w:val="clear" w:color="auto" w:fill="auto"/>
            <w:vAlign w:val="center"/>
          </w:tcPr>
          <w:p w14:paraId="04F8EC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w:t>
            </w:r>
          </w:p>
        </w:tc>
        <w:tc>
          <w:tcPr>
            <w:tcW w:w="8573" w:type="dxa"/>
            <w:tcBorders>
              <w:tl2br w:val="nil"/>
              <w:tr2bl w:val="nil"/>
            </w:tcBorders>
            <w:shd w:val="clear" w:color="auto" w:fill="auto"/>
            <w:vAlign w:val="center"/>
          </w:tcPr>
          <w:p w14:paraId="3322B5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用的玻璃器皿，用于化学试剂的加热、溶解、混合、煮沸、熔融、蒸发浓缩、稀释及沉淀澄清等，由玻璃或耐热玻璃制成，该器皿重量应符合质量标准，且要求晶莹剔透、质地均匀、无气泡、夹杂物、划伤、线道、雾斑、表面无翘曲、缺口、毛刺等质量缺陷，角度要方正，平底长颈，250mL</w:t>
            </w:r>
          </w:p>
        </w:tc>
        <w:tc>
          <w:tcPr>
            <w:tcW w:w="816" w:type="dxa"/>
            <w:tcBorders>
              <w:tl2br w:val="nil"/>
              <w:tr2bl w:val="nil"/>
            </w:tcBorders>
            <w:shd w:val="clear" w:color="auto" w:fill="auto"/>
            <w:vAlign w:val="center"/>
          </w:tcPr>
          <w:p w14:paraId="2854F6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73273D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774804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9EEBA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DB4C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26 </w:t>
            </w:r>
          </w:p>
        </w:tc>
        <w:tc>
          <w:tcPr>
            <w:tcW w:w="1166" w:type="dxa"/>
            <w:tcBorders>
              <w:tl2br w:val="nil"/>
              <w:tr2bl w:val="nil"/>
            </w:tcBorders>
            <w:shd w:val="clear" w:color="auto" w:fill="auto"/>
            <w:vAlign w:val="center"/>
          </w:tcPr>
          <w:p w14:paraId="2E3905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292A46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用的玻璃器皿，用于化学试剂的加热、溶解、混合、煮沸、熔融、蒸发浓缩、稀释及沉淀澄清等，由玻璃或耐热玻璃制成，呈圆柱形，顶部的一侧开有一个槽口，便于倾倒液体。该器皿重量应符合质量标准，且要求无气泡、夹杂物、划伤、线道、雾斑、表面无翘曲、缺口、毛刺等质量缺陷，角度要方正，100mL</w:t>
            </w:r>
          </w:p>
        </w:tc>
        <w:tc>
          <w:tcPr>
            <w:tcW w:w="816" w:type="dxa"/>
            <w:tcBorders>
              <w:tl2br w:val="nil"/>
              <w:tr2bl w:val="nil"/>
            </w:tcBorders>
            <w:shd w:val="clear" w:color="auto" w:fill="auto"/>
            <w:vAlign w:val="center"/>
          </w:tcPr>
          <w:p w14:paraId="374572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0C5A64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A98C92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34E38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131B2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27 </w:t>
            </w:r>
          </w:p>
        </w:tc>
        <w:tc>
          <w:tcPr>
            <w:tcW w:w="1166" w:type="dxa"/>
            <w:tcBorders>
              <w:tl2br w:val="nil"/>
              <w:tr2bl w:val="nil"/>
            </w:tcBorders>
            <w:shd w:val="clear" w:color="auto" w:fill="auto"/>
            <w:vAlign w:val="center"/>
          </w:tcPr>
          <w:p w14:paraId="5F546D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酒精灯</w:t>
            </w:r>
          </w:p>
        </w:tc>
        <w:tc>
          <w:tcPr>
            <w:tcW w:w="8573" w:type="dxa"/>
            <w:tcBorders>
              <w:tl2br w:val="nil"/>
              <w:tr2bl w:val="nil"/>
            </w:tcBorders>
            <w:shd w:val="clear" w:color="auto" w:fill="auto"/>
            <w:vAlign w:val="center"/>
          </w:tcPr>
          <w:p w14:paraId="7D4B00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mL，采用透明钠钙玻璃制造，无明显黄绿色，灯口应平整，瓷灯头与灯口平面间隙不应超过1.5mm，玻璃灯罩应磨口，瓷灯头应为白色，表面无气泡，无疵点，无裂纹，无碰损缺口，酒精灯应配置与灯口孔径相适应的整齐完整的棉线灯芯</w:t>
            </w:r>
          </w:p>
        </w:tc>
        <w:tc>
          <w:tcPr>
            <w:tcW w:w="816" w:type="dxa"/>
            <w:tcBorders>
              <w:tl2br w:val="nil"/>
              <w:tr2bl w:val="nil"/>
            </w:tcBorders>
            <w:shd w:val="clear" w:color="auto" w:fill="auto"/>
            <w:vAlign w:val="center"/>
          </w:tcPr>
          <w:p w14:paraId="7938F0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51D184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C2E53D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6F0F4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F03F8C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28 </w:t>
            </w:r>
          </w:p>
        </w:tc>
        <w:tc>
          <w:tcPr>
            <w:tcW w:w="1166" w:type="dxa"/>
            <w:tcBorders>
              <w:tl2br w:val="nil"/>
              <w:tr2bl w:val="nil"/>
            </w:tcBorders>
            <w:shd w:val="clear" w:color="auto" w:fill="auto"/>
            <w:vAlign w:val="center"/>
          </w:tcPr>
          <w:p w14:paraId="0173EC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漏斗</w:t>
            </w:r>
          </w:p>
        </w:tc>
        <w:tc>
          <w:tcPr>
            <w:tcW w:w="8573" w:type="dxa"/>
            <w:tcBorders>
              <w:tl2br w:val="nil"/>
              <w:tr2bl w:val="nil"/>
            </w:tcBorders>
            <w:shd w:val="clear" w:color="auto" w:fill="auto"/>
            <w:vAlign w:val="center"/>
          </w:tcPr>
          <w:p w14:paraId="55297D9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常用仪器，用于把液体及幼粉状物体注入入口较细小的容器，最常用于过滤实验，是过滤实验中必不可少的仪器。塑制或玻璃制作而成，上部似圆锥，下部似导管。该仪器重量应符合质量标准，且要求质地均匀、无气泡、夹杂物、划伤、线道、雾斑、表面无翘曲、缺口、毛刺等质量缺陷，角度要方正，90mm。</w:t>
            </w:r>
          </w:p>
        </w:tc>
        <w:tc>
          <w:tcPr>
            <w:tcW w:w="816" w:type="dxa"/>
            <w:tcBorders>
              <w:tl2br w:val="nil"/>
              <w:tr2bl w:val="nil"/>
            </w:tcBorders>
            <w:shd w:val="clear" w:color="auto" w:fill="auto"/>
            <w:vAlign w:val="center"/>
          </w:tcPr>
          <w:p w14:paraId="5A28AE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481E55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9000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A86E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DBDE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29 </w:t>
            </w:r>
          </w:p>
        </w:tc>
        <w:tc>
          <w:tcPr>
            <w:tcW w:w="1166" w:type="dxa"/>
            <w:tcBorders>
              <w:tl2br w:val="nil"/>
              <w:tr2bl w:val="nil"/>
            </w:tcBorders>
            <w:shd w:val="clear" w:color="auto" w:fill="auto"/>
            <w:vAlign w:val="center"/>
          </w:tcPr>
          <w:p w14:paraId="1509F5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烧杯用电加热器</w:t>
            </w:r>
          </w:p>
        </w:tc>
        <w:tc>
          <w:tcPr>
            <w:tcW w:w="8573" w:type="dxa"/>
            <w:tcBorders>
              <w:tl2br w:val="nil"/>
              <w:tr2bl w:val="nil"/>
            </w:tcBorders>
            <w:shd w:val="clear" w:color="auto" w:fill="auto"/>
            <w:vAlign w:val="center"/>
          </w:tcPr>
          <w:p w14:paraId="40B5D3C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加热仪器，恒温可调密封式，由电源线、发热盘、调节开关、指示灯组成，底盘带有四角防滑橡胶垫，额定电压AC220V，工作频率50HZ，额定功率100W～1000W，分为5个档级，发热盘规格尺寸约为φ150mm×5mm，外形规格尺寸不小于200mm×200mm×30mm。</w:t>
            </w:r>
          </w:p>
        </w:tc>
        <w:tc>
          <w:tcPr>
            <w:tcW w:w="816" w:type="dxa"/>
            <w:tcBorders>
              <w:tl2br w:val="nil"/>
              <w:tr2bl w:val="nil"/>
            </w:tcBorders>
            <w:shd w:val="clear" w:color="auto" w:fill="auto"/>
            <w:vAlign w:val="center"/>
          </w:tcPr>
          <w:p w14:paraId="7836D3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66C5D1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F6C5A4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D9DF4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701A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30 </w:t>
            </w:r>
          </w:p>
        </w:tc>
        <w:tc>
          <w:tcPr>
            <w:tcW w:w="1166" w:type="dxa"/>
            <w:tcBorders>
              <w:tl2br w:val="nil"/>
              <w:tr2bl w:val="nil"/>
            </w:tcBorders>
            <w:shd w:val="clear" w:color="auto" w:fill="auto"/>
            <w:vAlign w:val="center"/>
          </w:tcPr>
          <w:p w14:paraId="768310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陶土网</w:t>
            </w:r>
          </w:p>
        </w:tc>
        <w:tc>
          <w:tcPr>
            <w:tcW w:w="8573" w:type="dxa"/>
            <w:tcBorders>
              <w:tl2br w:val="nil"/>
              <w:tr2bl w:val="nil"/>
            </w:tcBorders>
            <w:shd w:val="clear" w:color="auto" w:fill="auto"/>
            <w:vAlign w:val="center"/>
          </w:tcPr>
          <w:p w14:paraId="65CFD6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用防护垫，用于液体加热时，隔绝加热源和被加热源，使被加热源能够均匀受热，防止其因受热不均匀而破裂，由金属网和附在网上的石棉组成，整体应平整、美观、不翘角。金属网为边长125mm的正方形，由φ0.1mm左右的钢丝编织而成，密度均匀，织网密度间距2mm，边缘应作卷边处理，不散网，不翘丝。金属网上所附石棉圈为双面附着的φ80mm正圆形，厚度为3mm左右，要求不散、不裂、不脱落。</w:t>
            </w:r>
          </w:p>
        </w:tc>
        <w:tc>
          <w:tcPr>
            <w:tcW w:w="816" w:type="dxa"/>
            <w:tcBorders>
              <w:tl2br w:val="nil"/>
              <w:tr2bl w:val="nil"/>
            </w:tcBorders>
            <w:shd w:val="clear" w:color="auto" w:fill="auto"/>
            <w:vAlign w:val="center"/>
          </w:tcPr>
          <w:p w14:paraId="7595696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5AAD3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14117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9A8B9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2E3C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31 </w:t>
            </w:r>
          </w:p>
        </w:tc>
        <w:tc>
          <w:tcPr>
            <w:tcW w:w="1166" w:type="dxa"/>
            <w:tcBorders>
              <w:tl2br w:val="nil"/>
              <w:tr2bl w:val="nil"/>
            </w:tcBorders>
            <w:shd w:val="clear" w:color="auto" w:fill="auto"/>
            <w:vAlign w:val="center"/>
          </w:tcPr>
          <w:p w14:paraId="1398A82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两用气筒</w:t>
            </w:r>
          </w:p>
        </w:tc>
        <w:tc>
          <w:tcPr>
            <w:tcW w:w="8573" w:type="dxa"/>
            <w:tcBorders>
              <w:tl2br w:val="nil"/>
              <w:tr2bl w:val="nil"/>
            </w:tcBorders>
            <w:shd w:val="clear" w:color="auto" w:fill="auto"/>
            <w:vAlign w:val="center"/>
          </w:tcPr>
          <w:p w14:paraId="691325D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中学实验室通用仪器，供实验时作抽气和打气之用，手持式，筒身全金属，筒身长200毫米，木质手柄。抽气压可达到6.7KPa，打气压力可达到290KPa。</w:t>
            </w:r>
          </w:p>
        </w:tc>
        <w:tc>
          <w:tcPr>
            <w:tcW w:w="816" w:type="dxa"/>
            <w:tcBorders>
              <w:tl2br w:val="nil"/>
              <w:tr2bl w:val="nil"/>
            </w:tcBorders>
            <w:shd w:val="clear" w:color="auto" w:fill="auto"/>
            <w:vAlign w:val="center"/>
          </w:tcPr>
          <w:p w14:paraId="5132E2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42A5A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161380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D92DE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9C14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32 </w:t>
            </w:r>
          </w:p>
        </w:tc>
        <w:tc>
          <w:tcPr>
            <w:tcW w:w="1166" w:type="dxa"/>
            <w:tcBorders>
              <w:tl2br w:val="nil"/>
              <w:tr2bl w:val="nil"/>
            </w:tcBorders>
            <w:shd w:val="clear" w:color="auto" w:fill="auto"/>
            <w:vAlign w:val="center"/>
          </w:tcPr>
          <w:p w14:paraId="302301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方座支架</w:t>
            </w:r>
          </w:p>
        </w:tc>
        <w:tc>
          <w:tcPr>
            <w:tcW w:w="8573" w:type="dxa"/>
            <w:tcBorders>
              <w:tl2br w:val="nil"/>
              <w:tr2bl w:val="nil"/>
            </w:tcBorders>
            <w:shd w:val="clear" w:color="auto" w:fill="auto"/>
            <w:vAlign w:val="center"/>
          </w:tcPr>
          <w:p w14:paraId="17F01F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用于固定实验仪器的夹持装置，技术性能要求如下：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1.由底座、立杆、复夹(垂直夹2只、平行夹1只)、烧杯夹、铁环(大、小各1只)组成。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底座规格≥215×145×30mm，重量约为≥1.5Kg，采用环氧树脂台面板制作，模具底座和四个支撑脚一次成型，底座面上带有规则条纹起到防滑作用，整个底座具有防水、防火、防酸、防碱、防有机溶剂、表面光亮、美观大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3.立杆的直径≥11.5mm，杆长≥630mm，一端为螺纹，立杆由优质铁制成，外层电镀。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4.复夹都为金属制品，不易生锈，烧杯夹为铁制品电镀，烧瓶夹夹身中部由旋转螺丝、回力弹簧、V形螺帽组成，可随意调整夹口直径，夹口内侧带有防滑垫片。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5.大小架框直径分别为：大环直径≥95mm，小环直径≥60mm，铁制外层喷防锈、耐热强化漆。</w:t>
            </w:r>
          </w:p>
        </w:tc>
        <w:tc>
          <w:tcPr>
            <w:tcW w:w="816" w:type="dxa"/>
            <w:tcBorders>
              <w:tl2br w:val="nil"/>
              <w:tr2bl w:val="nil"/>
            </w:tcBorders>
            <w:shd w:val="clear" w:color="auto" w:fill="auto"/>
            <w:vAlign w:val="center"/>
          </w:tcPr>
          <w:p w14:paraId="5754A2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35CF5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212BA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763BB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396D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33 </w:t>
            </w:r>
          </w:p>
        </w:tc>
        <w:tc>
          <w:tcPr>
            <w:tcW w:w="1166" w:type="dxa"/>
            <w:tcBorders>
              <w:tl2br w:val="nil"/>
              <w:tr2bl w:val="nil"/>
            </w:tcBorders>
            <w:shd w:val="clear" w:color="auto" w:fill="auto"/>
            <w:vAlign w:val="center"/>
          </w:tcPr>
          <w:p w14:paraId="6A008E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碘升华凝华管</w:t>
            </w:r>
          </w:p>
        </w:tc>
        <w:tc>
          <w:tcPr>
            <w:tcW w:w="8573" w:type="dxa"/>
            <w:tcBorders>
              <w:tl2br w:val="nil"/>
              <w:tr2bl w:val="nil"/>
            </w:tcBorders>
            <w:shd w:val="clear" w:color="auto" w:fill="auto"/>
            <w:vAlign w:val="center"/>
          </w:tcPr>
          <w:p w14:paraId="1032BE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理化生实验器具，用于让学生了解碘升华的原理与现象，该器具采用密封式，用硬质玻璃经过部分抽真空，管内盛有固态碘，两端密封不漏气。要求管内的碘在一端因受热由固态直接开始变成气态，在另外一端遇冷而又被凝结成固态，实验效果明显。</w:t>
            </w:r>
          </w:p>
        </w:tc>
        <w:tc>
          <w:tcPr>
            <w:tcW w:w="816" w:type="dxa"/>
            <w:tcBorders>
              <w:tl2br w:val="nil"/>
              <w:tr2bl w:val="nil"/>
            </w:tcBorders>
            <w:shd w:val="clear" w:color="auto" w:fill="auto"/>
            <w:vAlign w:val="center"/>
          </w:tcPr>
          <w:p w14:paraId="0214B29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20CDDA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8CEB9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61FF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710AFB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34 </w:t>
            </w:r>
          </w:p>
        </w:tc>
        <w:tc>
          <w:tcPr>
            <w:tcW w:w="1166" w:type="dxa"/>
            <w:tcBorders>
              <w:tl2br w:val="nil"/>
              <w:tr2bl w:val="nil"/>
            </w:tcBorders>
            <w:shd w:val="clear" w:color="auto" w:fill="auto"/>
            <w:vAlign w:val="center"/>
          </w:tcPr>
          <w:p w14:paraId="13F3E3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托盘天平</w:t>
            </w:r>
          </w:p>
        </w:tc>
        <w:tc>
          <w:tcPr>
            <w:tcW w:w="8573" w:type="dxa"/>
            <w:tcBorders>
              <w:tl2br w:val="nil"/>
              <w:tr2bl w:val="nil"/>
            </w:tcBorders>
            <w:shd w:val="clear" w:color="auto" w:fill="auto"/>
            <w:vAlign w:val="center"/>
          </w:tcPr>
          <w:p w14:paraId="34C0ED6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室必备称量仪器，用于称量物体质量，双盘、单杠杆、等臂、非封闭式铝合金横梁结构，由支架、托盘、游码装置、砝码盒等组成，仪器构件及其性能要求如下：1、横梁材料必须为铝合金制品，刀子由钢或玛瑙制成，制动机构应保证横梁升降平稳。2、秤盘直径不小于80mm，外形规格不小于200mm×70mm×135mm。3、最大称量200g，标尺称量0～5g，分度值0.2g。4、标尺光洁平直，连接部位固紧，分度线均匀，游码起点对准零线，移动时松紧适宜，当杠杆受到轻微冲击时，游码不移位。5、砝码均采用金属制，表面电镀，用塑料盒定位包装，砝码分别为200g一个、100g两个、50g一个、20g两个、10g一个。</w:t>
            </w:r>
          </w:p>
        </w:tc>
        <w:tc>
          <w:tcPr>
            <w:tcW w:w="816" w:type="dxa"/>
            <w:tcBorders>
              <w:tl2br w:val="nil"/>
              <w:tr2bl w:val="nil"/>
            </w:tcBorders>
            <w:shd w:val="clear" w:color="auto" w:fill="auto"/>
            <w:vAlign w:val="center"/>
          </w:tcPr>
          <w:p w14:paraId="3E8B6EB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83CE6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5CB2E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B5CE3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5E13A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35 </w:t>
            </w:r>
          </w:p>
        </w:tc>
        <w:tc>
          <w:tcPr>
            <w:tcW w:w="1166" w:type="dxa"/>
            <w:tcBorders>
              <w:tl2br w:val="nil"/>
              <w:tr2bl w:val="nil"/>
            </w:tcBorders>
            <w:shd w:val="clear" w:color="auto" w:fill="auto"/>
            <w:vAlign w:val="center"/>
          </w:tcPr>
          <w:p w14:paraId="23B2D3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圆柱体组</w:t>
            </w:r>
          </w:p>
        </w:tc>
        <w:tc>
          <w:tcPr>
            <w:tcW w:w="8573" w:type="dxa"/>
            <w:tcBorders>
              <w:tl2br w:val="nil"/>
              <w:tr2bl w:val="nil"/>
            </w:tcBorders>
            <w:shd w:val="clear" w:color="auto" w:fill="auto"/>
            <w:vAlign w:val="center"/>
          </w:tcPr>
          <w:p w14:paraId="4B76EA9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常用工具，用于中学物理学生分组实验测定物体的密度体积比，由铜、铁、铝三种不同金属材料组成，每种规格直径不小于18mm，长度不小于30mm，其中铜的质量约为85g，铁的质量约为80g，铝的质量约为30g。</w:t>
            </w:r>
          </w:p>
        </w:tc>
        <w:tc>
          <w:tcPr>
            <w:tcW w:w="816" w:type="dxa"/>
            <w:tcBorders>
              <w:tl2br w:val="nil"/>
              <w:tr2bl w:val="nil"/>
            </w:tcBorders>
            <w:shd w:val="clear" w:color="auto" w:fill="auto"/>
            <w:vAlign w:val="center"/>
          </w:tcPr>
          <w:p w14:paraId="78A3C3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0C5EE8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61B81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2F1B0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4A062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36 </w:t>
            </w:r>
          </w:p>
        </w:tc>
        <w:tc>
          <w:tcPr>
            <w:tcW w:w="1166" w:type="dxa"/>
            <w:tcBorders>
              <w:tl2br w:val="nil"/>
              <w:tr2bl w:val="nil"/>
            </w:tcBorders>
            <w:shd w:val="clear" w:color="auto" w:fill="auto"/>
            <w:vAlign w:val="center"/>
          </w:tcPr>
          <w:p w14:paraId="1DE87C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立方体组</w:t>
            </w:r>
          </w:p>
        </w:tc>
        <w:tc>
          <w:tcPr>
            <w:tcW w:w="8573" w:type="dxa"/>
            <w:tcBorders>
              <w:tl2br w:val="nil"/>
              <w:tr2bl w:val="nil"/>
            </w:tcBorders>
            <w:shd w:val="clear" w:color="auto" w:fill="auto"/>
            <w:vAlign w:val="center"/>
          </w:tcPr>
          <w:p w14:paraId="6E6312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包括黄铜、铁、铝、木4种材料的5个立方体，其中铝材2个，黄铜（边长20mm）、铁（边长20mm）、铝（边长25mm）、铝（边长30mm）、木材（边长50mm）各1个，带不锈钢挂钩，带塑料盒定位盒外包装。</w:t>
            </w:r>
          </w:p>
        </w:tc>
        <w:tc>
          <w:tcPr>
            <w:tcW w:w="816" w:type="dxa"/>
            <w:tcBorders>
              <w:tl2br w:val="nil"/>
              <w:tr2bl w:val="nil"/>
            </w:tcBorders>
            <w:shd w:val="clear" w:color="auto" w:fill="auto"/>
            <w:vAlign w:val="center"/>
          </w:tcPr>
          <w:p w14:paraId="181D75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D62D0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2676DB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108DC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E44D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37 </w:t>
            </w:r>
          </w:p>
        </w:tc>
        <w:tc>
          <w:tcPr>
            <w:tcW w:w="1166" w:type="dxa"/>
            <w:tcBorders>
              <w:tl2br w:val="nil"/>
              <w:tr2bl w:val="nil"/>
            </w:tcBorders>
            <w:shd w:val="clear" w:color="auto" w:fill="auto"/>
            <w:vAlign w:val="center"/>
          </w:tcPr>
          <w:p w14:paraId="0194B4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527CFF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用的玻璃器皿，用于化学试剂的量取、溶解、混合、稀释、沉淀澄清等，由玻璃或耐热玻璃制成，呈圆柱形，顶部的一侧开有一个槽口，便于倾倒液体。该器皿重量应符合质量标准，且要求晶莹剔透、质地均匀、无气泡、夹杂物、划伤、线道、雾斑、表面无翘曲、缺口、毛刺等质量缺陷，角度要方正，100mL</w:t>
            </w:r>
          </w:p>
        </w:tc>
        <w:tc>
          <w:tcPr>
            <w:tcW w:w="816" w:type="dxa"/>
            <w:tcBorders>
              <w:tl2br w:val="nil"/>
              <w:tr2bl w:val="nil"/>
            </w:tcBorders>
            <w:shd w:val="clear" w:color="auto" w:fill="auto"/>
            <w:vAlign w:val="center"/>
          </w:tcPr>
          <w:p w14:paraId="7317FF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D48C1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C6953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6C22D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45BA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38 </w:t>
            </w:r>
          </w:p>
        </w:tc>
        <w:tc>
          <w:tcPr>
            <w:tcW w:w="1166" w:type="dxa"/>
            <w:tcBorders>
              <w:tl2br w:val="nil"/>
              <w:tr2bl w:val="nil"/>
            </w:tcBorders>
            <w:shd w:val="clear" w:color="auto" w:fill="auto"/>
            <w:vAlign w:val="center"/>
          </w:tcPr>
          <w:p w14:paraId="3B0677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内聚力演示器</w:t>
            </w:r>
          </w:p>
        </w:tc>
        <w:tc>
          <w:tcPr>
            <w:tcW w:w="8573" w:type="dxa"/>
            <w:tcBorders>
              <w:tl2br w:val="nil"/>
              <w:tr2bl w:val="nil"/>
            </w:tcBorders>
            <w:shd w:val="clear" w:color="auto" w:fill="auto"/>
            <w:vAlign w:val="center"/>
          </w:tcPr>
          <w:p w14:paraId="6F5A6C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 2 个铅圆柱体、 旋转式刮削器、 挤压器和2 根扳杆组成；圆柱体尺寸约Φ20 mm×50 mm，铅柱镶铁部分长度约为铅圆柱长度的 1/2，挤压架应采用铁质结构， 2 个铅圆柱体应能装入挤压器中， 通过螺旋实现挤压； 挤压器螺旋挤压的最大和最小距离差应≥35 mm， 挤压器装入铅圆柱挤压至人力不能继续挤压时， 在挤压方向的形变应≤0.25 mm； 刮削器由转柄、 刀片和刀轴组成， 削平的两铅圆柱体端面压在一起后， 承受轴向拉力应≥60 N</w:t>
            </w:r>
          </w:p>
        </w:tc>
        <w:tc>
          <w:tcPr>
            <w:tcW w:w="816" w:type="dxa"/>
            <w:tcBorders>
              <w:tl2br w:val="nil"/>
              <w:tr2bl w:val="nil"/>
            </w:tcBorders>
            <w:shd w:val="clear" w:color="auto" w:fill="auto"/>
            <w:vAlign w:val="center"/>
          </w:tcPr>
          <w:p w14:paraId="42F3B9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B3B9B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B2DE01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585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6865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39 </w:t>
            </w:r>
          </w:p>
        </w:tc>
        <w:tc>
          <w:tcPr>
            <w:tcW w:w="1166" w:type="dxa"/>
            <w:tcBorders>
              <w:tl2br w:val="nil"/>
              <w:tr2bl w:val="nil"/>
            </w:tcBorders>
            <w:shd w:val="clear" w:color="auto" w:fill="auto"/>
            <w:vAlign w:val="center"/>
          </w:tcPr>
          <w:p w14:paraId="045012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食用色素</w:t>
            </w:r>
          </w:p>
        </w:tc>
        <w:tc>
          <w:tcPr>
            <w:tcW w:w="8573" w:type="dxa"/>
            <w:tcBorders>
              <w:tl2br w:val="nil"/>
              <w:tr2bl w:val="nil"/>
            </w:tcBorders>
            <w:shd w:val="clear" w:color="auto" w:fill="auto"/>
            <w:vAlign w:val="center"/>
          </w:tcPr>
          <w:p w14:paraId="3E19192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红色 ,30ml/瓶</w:t>
            </w:r>
          </w:p>
        </w:tc>
        <w:tc>
          <w:tcPr>
            <w:tcW w:w="816" w:type="dxa"/>
            <w:tcBorders>
              <w:tl2br w:val="nil"/>
              <w:tr2bl w:val="nil"/>
            </w:tcBorders>
            <w:shd w:val="clear" w:color="auto" w:fill="auto"/>
            <w:vAlign w:val="center"/>
          </w:tcPr>
          <w:p w14:paraId="35D4C4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78514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瓶</w:t>
            </w:r>
          </w:p>
        </w:tc>
        <w:tc>
          <w:tcPr>
            <w:tcW w:w="2796" w:type="dxa"/>
            <w:tcBorders>
              <w:tl2br w:val="nil"/>
              <w:tr2bl w:val="nil"/>
            </w:tcBorders>
            <w:shd w:val="clear" w:color="auto" w:fill="auto"/>
            <w:vAlign w:val="center"/>
          </w:tcPr>
          <w:p w14:paraId="46D1A5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5AA94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3D0BA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40 </w:t>
            </w:r>
          </w:p>
        </w:tc>
        <w:tc>
          <w:tcPr>
            <w:tcW w:w="1166" w:type="dxa"/>
            <w:tcBorders>
              <w:tl2br w:val="nil"/>
              <w:tr2bl w:val="nil"/>
            </w:tcBorders>
            <w:shd w:val="clear" w:color="auto" w:fill="auto"/>
            <w:vAlign w:val="center"/>
          </w:tcPr>
          <w:p w14:paraId="11441A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钢直尺</w:t>
            </w:r>
          </w:p>
        </w:tc>
        <w:tc>
          <w:tcPr>
            <w:tcW w:w="8573" w:type="dxa"/>
            <w:tcBorders>
              <w:tl2br w:val="nil"/>
              <w:tr2bl w:val="nil"/>
            </w:tcBorders>
            <w:shd w:val="clear" w:color="auto" w:fill="auto"/>
            <w:vAlign w:val="center"/>
          </w:tcPr>
          <w:p w14:paraId="17C26E6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实验室常备工具，用于测量长度、画线，尺面上有刻度以量度长度，不锈钢制，有效量程1000mm，分度值1mm，要求刻度值精准，刻度线不能有刮花、模糊等质量缺陷。</w:t>
            </w:r>
          </w:p>
        </w:tc>
        <w:tc>
          <w:tcPr>
            <w:tcW w:w="816" w:type="dxa"/>
            <w:tcBorders>
              <w:tl2br w:val="nil"/>
              <w:tr2bl w:val="nil"/>
            </w:tcBorders>
            <w:shd w:val="clear" w:color="auto" w:fill="auto"/>
            <w:vAlign w:val="center"/>
          </w:tcPr>
          <w:p w14:paraId="42D227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3EA5079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58839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3FD4E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2757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41 </w:t>
            </w:r>
          </w:p>
        </w:tc>
        <w:tc>
          <w:tcPr>
            <w:tcW w:w="1166" w:type="dxa"/>
            <w:tcBorders>
              <w:tl2br w:val="nil"/>
              <w:tr2bl w:val="nil"/>
            </w:tcBorders>
            <w:shd w:val="clear" w:color="auto" w:fill="auto"/>
            <w:vAlign w:val="center"/>
          </w:tcPr>
          <w:p w14:paraId="6044E1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电子秒表</w:t>
            </w:r>
          </w:p>
        </w:tc>
        <w:tc>
          <w:tcPr>
            <w:tcW w:w="8573" w:type="dxa"/>
            <w:tcBorders>
              <w:tl2br w:val="nil"/>
              <w:tr2bl w:val="nil"/>
            </w:tcBorders>
            <w:shd w:val="clear" w:color="auto" w:fill="auto"/>
            <w:vAlign w:val="center"/>
          </w:tcPr>
          <w:p w14:paraId="795C0A1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通用计时工具，采用电子芯片，数据显示精度为0.01s。电子停表的读秒面板不小于30mm×15mm，整体尺寸不小于60mm×75mm×20mm。秒表计时应带有简易计时、分段计时，带暂停按钮，具有日历、星期、防水，防震结构等功能。秒表具有每小时报时，每日定时响闹及自动重响功能，可切换12小时制式和24小时制式显示时间。外包装应采用防潮、防尘的硬纸盒包装，盒面与盒体采用吸附式纽扣联接。</w:t>
            </w:r>
          </w:p>
        </w:tc>
        <w:tc>
          <w:tcPr>
            <w:tcW w:w="816" w:type="dxa"/>
            <w:tcBorders>
              <w:tl2br w:val="nil"/>
              <w:tr2bl w:val="nil"/>
            </w:tcBorders>
            <w:shd w:val="clear" w:color="auto" w:fill="auto"/>
            <w:vAlign w:val="center"/>
          </w:tcPr>
          <w:p w14:paraId="791FB2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66F14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块</w:t>
            </w:r>
          </w:p>
        </w:tc>
        <w:tc>
          <w:tcPr>
            <w:tcW w:w="2796" w:type="dxa"/>
            <w:tcBorders>
              <w:tl2br w:val="nil"/>
              <w:tr2bl w:val="nil"/>
            </w:tcBorders>
            <w:shd w:val="clear" w:color="auto" w:fill="auto"/>
            <w:vAlign w:val="center"/>
          </w:tcPr>
          <w:p w14:paraId="37EDF32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FFB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6F69E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42 </w:t>
            </w:r>
          </w:p>
        </w:tc>
        <w:tc>
          <w:tcPr>
            <w:tcW w:w="1166" w:type="dxa"/>
            <w:tcBorders>
              <w:tl2br w:val="nil"/>
              <w:tr2bl w:val="nil"/>
            </w:tcBorders>
            <w:shd w:val="clear" w:color="auto" w:fill="auto"/>
            <w:vAlign w:val="center"/>
          </w:tcPr>
          <w:p w14:paraId="050810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斜面小车</w:t>
            </w:r>
          </w:p>
        </w:tc>
        <w:tc>
          <w:tcPr>
            <w:tcW w:w="8573" w:type="dxa"/>
            <w:tcBorders>
              <w:tl2br w:val="nil"/>
              <w:tr2bl w:val="nil"/>
            </w:tcBorders>
            <w:shd w:val="clear" w:color="auto" w:fill="auto"/>
            <w:vAlign w:val="center"/>
          </w:tcPr>
          <w:p w14:paraId="3923029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实验，可完成摩擦定律实验、斜面实验、物体稳度实验。仪器由斜面、小车、摩擦块、砝码桶组成。斜面外形尺寸约为815mm×100mm×20mm，斜面一侧有刻度尺，一端有活动的滑轮，滑轮高低可调，斜面与水平的夹角可调；小车尺寸约为100mm×80mm×40mm，车重约为200g，车面有圆柱形槽安放砝码，车前端有一挂钩，车轮转动顺畅，能量损耗小；摩擦块由木块制成，正面、侧面有圆柱形槽安放砝码，摩擦块能配重100～200g砝码；砝码桶作平衡摩擦块和小车之用。</w:t>
            </w:r>
          </w:p>
        </w:tc>
        <w:tc>
          <w:tcPr>
            <w:tcW w:w="816" w:type="dxa"/>
            <w:tcBorders>
              <w:tl2br w:val="nil"/>
              <w:tr2bl w:val="nil"/>
            </w:tcBorders>
            <w:shd w:val="clear" w:color="auto" w:fill="auto"/>
            <w:vAlign w:val="center"/>
          </w:tcPr>
          <w:p w14:paraId="472D08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37601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75256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FE5BF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01E4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43 </w:t>
            </w:r>
          </w:p>
        </w:tc>
        <w:tc>
          <w:tcPr>
            <w:tcW w:w="1166" w:type="dxa"/>
            <w:tcBorders>
              <w:tl2br w:val="nil"/>
              <w:tr2bl w:val="nil"/>
            </w:tcBorders>
            <w:shd w:val="clear" w:color="auto" w:fill="auto"/>
            <w:vAlign w:val="center"/>
          </w:tcPr>
          <w:p w14:paraId="065F3D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螺旋弹簧组</w:t>
            </w:r>
          </w:p>
        </w:tc>
        <w:tc>
          <w:tcPr>
            <w:tcW w:w="8573" w:type="dxa"/>
            <w:tcBorders>
              <w:tl2br w:val="nil"/>
              <w:tr2bl w:val="nil"/>
            </w:tcBorders>
            <w:shd w:val="clear" w:color="auto" w:fill="auto"/>
            <w:vAlign w:val="center"/>
          </w:tcPr>
          <w:p w14:paraId="07E2D74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用于中学物理教学学生分组实验，由钢丝绕成的螺旋弹簧5种组成一组，螺旋弹簧拉力限量分别为5N、3N、2N、1N、0.5N。弹簧表面镀镍防护，上端为园环，下端有三角片，杆勾，指针。</w:t>
            </w:r>
          </w:p>
        </w:tc>
        <w:tc>
          <w:tcPr>
            <w:tcW w:w="816" w:type="dxa"/>
            <w:tcBorders>
              <w:tl2br w:val="nil"/>
              <w:tr2bl w:val="nil"/>
            </w:tcBorders>
            <w:shd w:val="clear" w:color="auto" w:fill="auto"/>
            <w:vAlign w:val="center"/>
          </w:tcPr>
          <w:p w14:paraId="64558D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B75F2D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094BF62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A00F9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5B4F6F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44 </w:t>
            </w:r>
          </w:p>
        </w:tc>
        <w:tc>
          <w:tcPr>
            <w:tcW w:w="1166" w:type="dxa"/>
            <w:tcBorders>
              <w:tl2br w:val="nil"/>
              <w:tr2bl w:val="nil"/>
            </w:tcBorders>
            <w:shd w:val="clear" w:color="auto" w:fill="auto"/>
            <w:vAlign w:val="center"/>
          </w:tcPr>
          <w:p w14:paraId="623B9B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演示测力计</w:t>
            </w:r>
          </w:p>
        </w:tc>
        <w:tc>
          <w:tcPr>
            <w:tcW w:w="8573" w:type="dxa"/>
            <w:tcBorders>
              <w:tl2br w:val="nil"/>
              <w:tr2bl w:val="nil"/>
            </w:tcBorders>
            <w:shd w:val="clear" w:color="auto" w:fill="auto"/>
            <w:vAlign w:val="center"/>
          </w:tcPr>
          <w:p w14:paraId="301658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用于中学物理演示测力计的使用方法，由弹簧、指针、刻度板、拉杆、悬挂装置等组成，刻度板为金属制品，刻度值为0N～2N（0g～200g）。</w:t>
            </w:r>
          </w:p>
        </w:tc>
        <w:tc>
          <w:tcPr>
            <w:tcW w:w="816" w:type="dxa"/>
            <w:tcBorders>
              <w:tl2br w:val="nil"/>
              <w:tr2bl w:val="nil"/>
            </w:tcBorders>
            <w:shd w:val="clear" w:color="auto" w:fill="auto"/>
            <w:vAlign w:val="center"/>
          </w:tcPr>
          <w:p w14:paraId="05B9FF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61709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84189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0E8C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1A428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45 </w:t>
            </w:r>
          </w:p>
        </w:tc>
        <w:tc>
          <w:tcPr>
            <w:tcW w:w="1166" w:type="dxa"/>
            <w:tcBorders>
              <w:tl2br w:val="nil"/>
              <w:tr2bl w:val="nil"/>
            </w:tcBorders>
            <w:shd w:val="clear" w:color="auto" w:fill="auto"/>
            <w:vAlign w:val="center"/>
          </w:tcPr>
          <w:p w14:paraId="0C9C52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条形盒测力计</w:t>
            </w:r>
          </w:p>
        </w:tc>
        <w:tc>
          <w:tcPr>
            <w:tcW w:w="8573" w:type="dxa"/>
            <w:tcBorders>
              <w:tl2br w:val="nil"/>
              <w:tr2bl w:val="nil"/>
            </w:tcBorders>
            <w:shd w:val="clear" w:color="auto" w:fill="auto"/>
            <w:vAlign w:val="center"/>
          </w:tcPr>
          <w:p w14:paraId="01E48CE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小学教学实验中测量力的大小、物体的重量等。测力计由塑料外壳、弹簧、拉杆指环、提环、挂钩以及铝金属刻度面板等组成。弹簧盒为优质塑料一次成型，具有一定的抗摔能力。挂钩、提环为金属制，拉杆、刻度板均为铝制，厚1mm。面板可作调整，使指针能调至零刻度。量程为1N，最小刻度值0.02N。刻板左侧标有单位“N”，右侧标有单位“g”。</w:t>
            </w:r>
          </w:p>
        </w:tc>
        <w:tc>
          <w:tcPr>
            <w:tcW w:w="816" w:type="dxa"/>
            <w:tcBorders>
              <w:tl2br w:val="nil"/>
              <w:tr2bl w:val="nil"/>
            </w:tcBorders>
            <w:shd w:val="clear" w:color="auto" w:fill="auto"/>
            <w:vAlign w:val="center"/>
          </w:tcPr>
          <w:p w14:paraId="7DE33B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339A7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83D04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B26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D85D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46 </w:t>
            </w:r>
          </w:p>
        </w:tc>
        <w:tc>
          <w:tcPr>
            <w:tcW w:w="1166" w:type="dxa"/>
            <w:tcBorders>
              <w:tl2br w:val="nil"/>
              <w:tr2bl w:val="nil"/>
            </w:tcBorders>
            <w:shd w:val="clear" w:color="auto" w:fill="auto"/>
            <w:vAlign w:val="center"/>
          </w:tcPr>
          <w:p w14:paraId="3BC3AC7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条形盒测力计</w:t>
            </w:r>
          </w:p>
        </w:tc>
        <w:tc>
          <w:tcPr>
            <w:tcW w:w="8573" w:type="dxa"/>
            <w:tcBorders>
              <w:tl2br w:val="nil"/>
              <w:tr2bl w:val="nil"/>
            </w:tcBorders>
            <w:shd w:val="clear" w:color="auto" w:fill="auto"/>
            <w:vAlign w:val="center"/>
          </w:tcPr>
          <w:p w14:paraId="7FB6B6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小学教学实验中测量力的大小、物体的重量等。测力计由塑料外壳、弹簧、拉杆指环、提环、挂钩以及铝金属刻度面板等组成。弹簧盒为优质塑料一次成型，具有一定的抗摔能力。挂钩、提环为金属制，拉杆、刻度板均为铝制，厚1mm。面板可作调整，使指针能调至零刻度。量程为2.5N，最小刻度值0.05N。刻板左侧标有单位“N”，右侧标有单位“g”。</w:t>
            </w:r>
          </w:p>
        </w:tc>
        <w:tc>
          <w:tcPr>
            <w:tcW w:w="816" w:type="dxa"/>
            <w:tcBorders>
              <w:tl2br w:val="nil"/>
              <w:tr2bl w:val="nil"/>
            </w:tcBorders>
            <w:shd w:val="clear" w:color="auto" w:fill="auto"/>
            <w:vAlign w:val="center"/>
          </w:tcPr>
          <w:p w14:paraId="7DD8E6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5A5A1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68BFA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CF9D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86025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47 </w:t>
            </w:r>
          </w:p>
        </w:tc>
        <w:tc>
          <w:tcPr>
            <w:tcW w:w="1166" w:type="dxa"/>
            <w:tcBorders>
              <w:tl2br w:val="nil"/>
              <w:tr2bl w:val="nil"/>
            </w:tcBorders>
            <w:shd w:val="clear" w:color="auto" w:fill="auto"/>
            <w:vAlign w:val="center"/>
          </w:tcPr>
          <w:p w14:paraId="01A49B4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条形盒测力计</w:t>
            </w:r>
          </w:p>
        </w:tc>
        <w:tc>
          <w:tcPr>
            <w:tcW w:w="8573" w:type="dxa"/>
            <w:tcBorders>
              <w:tl2br w:val="nil"/>
              <w:tr2bl w:val="nil"/>
            </w:tcBorders>
            <w:shd w:val="clear" w:color="auto" w:fill="auto"/>
            <w:vAlign w:val="center"/>
          </w:tcPr>
          <w:p w14:paraId="122BC4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小学教学实验中测量力的大小、物体的重量等。测力计由塑料外壳、弹簧、拉杆指环、提环、挂钩以及铝金属刻度面板等组成。弹簧盒为优质塑料一次成型，具有一定的抗摔能力。挂钩、提环为金属制，拉杆、刻度板均为铝制，厚1mm。面板可作调整，使指针能调至零刻度。量程为5N，最小刻度值0.1N。刻板左侧标有单位“N”，右侧标有单位“g”。</w:t>
            </w:r>
          </w:p>
        </w:tc>
        <w:tc>
          <w:tcPr>
            <w:tcW w:w="816" w:type="dxa"/>
            <w:tcBorders>
              <w:tl2br w:val="nil"/>
              <w:tr2bl w:val="nil"/>
            </w:tcBorders>
            <w:shd w:val="clear" w:color="auto" w:fill="auto"/>
            <w:vAlign w:val="center"/>
          </w:tcPr>
          <w:p w14:paraId="64107B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C5C38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78B66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CF76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036E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48 </w:t>
            </w:r>
          </w:p>
        </w:tc>
        <w:tc>
          <w:tcPr>
            <w:tcW w:w="1166" w:type="dxa"/>
            <w:tcBorders>
              <w:tl2br w:val="nil"/>
              <w:tr2bl w:val="nil"/>
            </w:tcBorders>
            <w:shd w:val="clear" w:color="auto" w:fill="auto"/>
            <w:vAlign w:val="center"/>
          </w:tcPr>
          <w:p w14:paraId="5CC142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条形盒测力计</w:t>
            </w:r>
          </w:p>
        </w:tc>
        <w:tc>
          <w:tcPr>
            <w:tcW w:w="8573" w:type="dxa"/>
            <w:tcBorders>
              <w:tl2br w:val="nil"/>
              <w:tr2bl w:val="nil"/>
            </w:tcBorders>
            <w:shd w:val="clear" w:color="auto" w:fill="auto"/>
            <w:vAlign w:val="center"/>
          </w:tcPr>
          <w:p w14:paraId="0DF129F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小学教学实验中测量力的大小、物体的重量等。测力计由塑料外壳、弹簧、拉杆指环、提环、挂钩以及铝金属刻度面板等组成。弹簧盒为优质塑料一次成型，具有一定的抗摔能力。挂钩、提环为金属制，拉杆、刻度板均为铝制，厚1mm。面板可作调整，使指针能调至零刻度。量程为10N，最小刻度值0.2N。刻板左侧标有单位“N”，右侧标有单位“g”。</w:t>
            </w:r>
          </w:p>
        </w:tc>
        <w:tc>
          <w:tcPr>
            <w:tcW w:w="816" w:type="dxa"/>
            <w:tcBorders>
              <w:tl2br w:val="nil"/>
              <w:tr2bl w:val="nil"/>
            </w:tcBorders>
            <w:shd w:val="clear" w:color="auto" w:fill="auto"/>
            <w:vAlign w:val="center"/>
          </w:tcPr>
          <w:p w14:paraId="07789E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1DD77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78B777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09C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69BEF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49 </w:t>
            </w:r>
          </w:p>
        </w:tc>
        <w:tc>
          <w:tcPr>
            <w:tcW w:w="1166" w:type="dxa"/>
            <w:tcBorders>
              <w:tl2br w:val="nil"/>
              <w:tr2bl w:val="nil"/>
            </w:tcBorders>
            <w:shd w:val="clear" w:color="auto" w:fill="auto"/>
            <w:vAlign w:val="center"/>
          </w:tcPr>
          <w:p w14:paraId="2FF636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数字测力计</w:t>
            </w:r>
          </w:p>
        </w:tc>
        <w:tc>
          <w:tcPr>
            <w:tcW w:w="8573" w:type="dxa"/>
            <w:tcBorders>
              <w:tl2br w:val="nil"/>
              <w:tr2bl w:val="nil"/>
            </w:tcBorders>
            <w:shd w:val="clear" w:color="auto" w:fill="auto"/>
            <w:vAlign w:val="center"/>
          </w:tcPr>
          <w:p w14:paraId="4CA566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教学实验，采用高精度感应器和进口芯片，具有高精度，操作简单等特点。量程2N，分辨率0.001N，误差≤0.2%，超过最大量程（3N）会报警，带有调零按钮、内置校准、记忆(能显示稳定值)功能，测量单位N/G转换，数字尺寸≥2.5cm×4cm。</w:t>
            </w:r>
          </w:p>
        </w:tc>
        <w:tc>
          <w:tcPr>
            <w:tcW w:w="816" w:type="dxa"/>
            <w:tcBorders>
              <w:tl2br w:val="nil"/>
              <w:tr2bl w:val="nil"/>
            </w:tcBorders>
            <w:shd w:val="clear" w:color="auto" w:fill="auto"/>
            <w:vAlign w:val="center"/>
          </w:tcPr>
          <w:p w14:paraId="582CAA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A73C2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97EA2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662E2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36CD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50 </w:t>
            </w:r>
          </w:p>
        </w:tc>
        <w:tc>
          <w:tcPr>
            <w:tcW w:w="1166" w:type="dxa"/>
            <w:tcBorders>
              <w:tl2br w:val="nil"/>
              <w:tr2bl w:val="nil"/>
            </w:tcBorders>
            <w:shd w:val="clear" w:color="auto" w:fill="auto"/>
            <w:vAlign w:val="center"/>
          </w:tcPr>
          <w:p w14:paraId="1877FB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重锤</w:t>
            </w:r>
          </w:p>
        </w:tc>
        <w:tc>
          <w:tcPr>
            <w:tcW w:w="8573" w:type="dxa"/>
            <w:tcBorders>
              <w:tl2br w:val="nil"/>
              <w:tr2bl w:val="nil"/>
            </w:tcBorders>
            <w:shd w:val="clear" w:color="auto" w:fill="auto"/>
            <w:vAlign w:val="center"/>
          </w:tcPr>
          <w:p w14:paraId="6CF4800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钢制，重300 g ，用于做重锤线或匀加速运动实验的配件。</w:t>
            </w:r>
          </w:p>
        </w:tc>
        <w:tc>
          <w:tcPr>
            <w:tcW w:w="816" w:type="dxa"/>
            <w:tcBorders>
              <w:tl2br w:val="nil"/>
              <w:tr2bl w:val="nil"/>
            </w:tcBorders>
            <w:shd w:val="clear" w:color="auto" w:fill="auto"/>
            <w:vAlign w:val="center"/>
          </w:tcPr>
          <w:p w14:paraId="1DD6EB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C0497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E24A6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F234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82C4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51 </w:t>
            </w:r>
          </w:p>
        </w:tc>
        <w:tc>
          <w:tcPr>
            <w:tcW w:w="1166" w:type="dxa"/>
            <w:tcBorders>
              <w:tl2br w:val="nil"/>
              <w:tr2bl w:val="nil"/>
            </w:tcBorders>
            <w:shd w:val="clear" w:color="auto" w:fill="auto"/>
            <w:vAlign w:val="center"/>
          </w:tcPr>
          <w:p w14:paraId="58C371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金属钩码</w:t>
            </w:r>
          </w:p>
        </w:tc>
        <w:tc>
          <w:tcPr>
            <w:tcW w:w="8573" w:type="dxa"/>
            <w:tcBorders>
              <w:tl2br w:val="nil"/>
              <w:tr2bl w:val="nil"/>
            </w:tcBorders>
            <w:shd w:val="clear" w:color="auto" w:fill="auto"/>
            <w:vAlign w:val="center"/>
          </w:tcPr>
          <w:p w14:paraId="0815E8B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中学物理实验室常用工具，用于力学演示和学生分组实验，金属制，至少包含10g钩码一个、20g钩码两个、50g钩码两个、200g钩码两个。</w:t>
            </w:r>
          </w:p>
        </w:tc>
        <w:tc>
          <w:tcPr>
            <w:tcW w:w="816" w:type="dxa"/>
            <w:tcBorders>
              <w:tl2br w:val="nil"/>
              <w:tr2bl w:val="nil"/>
            </w:tcBorders>
            <w:shd w:val="clear" w:color="auto" w:fill="auto"/>
            <w:vAlign w:val="center"/>
          </w:tcPr>
          <w:p w14:paraId="17CFEF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BCF972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C1CDB8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50A4D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BDDA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52 </w:t>
            </w:r>
          </w:p>
        </w:tc>
        <w:tc>
          <w:tcPr>
            <w:tcW w:w="1166" w:type="dxa"/>
            <w:tcBorders>
              <w:tl2br w:val="nil"/>
              <w:tr2bl w:val="nil"/>
            </w:tcBorders>
            <w:shd w:val="clear" w:color="auto" w:fill="auto"/>
            <w:vAlign w:val="center"/>
          </w:tcPr>
          <w:p w14:paraId="525424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运动和力实验器</w:t>
            </w:r>
          </w:p>
        </w:tc>
        <w:tc>
          <w:tcPr>
            <w:tcW w:w="8573" w:type="dxa"/>
            <w:tcBorders>
              <w:tl2br w:val="nil"/>
              <w:tr2bl w:val="nil"/>
            </w:tcBorders>
            <w:shd w:val="clear" w:color="auto" w:fill="auto"/>
            <w:vAlign w:val="center"/>
          </w:tcPr>
          <w:p w14:paraId="5AD7CFF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初中物理力学实验器材，用于探究运动和力的实验，由水平板、斜面板、小车、过渡塑料片、毛巾、布、瓦楞纸、小球2个（金属球、塑料球）、硬盒、小球滑槽等组成，水平板和斜面板用合页连接，宽度和厚度规格要一致，宽度不小于120mm，厚度不小于12mm。水平板（带刻度标尺）长度不小于500mm，斜面板（带刻度标尺）长不小于200mm，小车为塑料制品，规格不小于100×60×40mm，两小球直径不小于15mm。</w:t>
            </w:r>
          </w:p>
        </w:tc>
        <w:tc>
          <w:tcPr>
            <w:tcW w:w="816" w:type="dxa"/>
            <w:tcBorders>
              <w:tl2br w:val="nil"/>
              <w:tr2bl w:val="nil"/>
            </w:tcBorders>
            <w:shd w:val="clear" w:color="auto" w:fill="auto"/>
            <w:vAlign w:val="center"/>
          </w:tcPr>
          <w:p w14:paraId="1D60DE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16793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B1E737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51FA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AE12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53 </w:t>
            </w:r>
          </w:p>
        </w:tc>
        <w:tc>
          <w:tcPr>
            <w:tcW w:w="1166" w:type="dxa"/>
            <w:tcBorders>
              <w:tl2br w:val="nil"/>
              <w:tr2bl w:val="nil"/>
            </w:tcBorders>
            <w:shd w:val="clear" w:color="auto" w:fill="auto"/>
            <w:vAlign w:val="center"/>
          </w:tcPr>
          <w:p w14:paraId="72588C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惯性演示器</w:t>
            </w:r>
          </w:p>
        </w:tc>
        <w:tc>
          <w:tcPr>
            <w:tcW w:w="8573" w:type="dxa"/>
            <w:tcBorders>
              <w:tl2br w:val="nil"/>
              <w:tr2bl w:val="nil"/>
            </w:tcBorders>
            <w:shd w:val="clear" w:color="auto" w:fill="auto"/>
            <w:vAlign w:val="center"/>
          </w:tcPr>
          <w:p w14:paraId="075341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力学仪器，供中学演示说明惯性定律。由主体、开关、弹簧、绳线、挡片、金属球等组成，主体采用工程塑料冲压一次成型，弹簧一边扣于主体一端小孔中，另一端连接挡片。</w:t>
            </w:r>
          </w:p>
        </w:tc>
        <w:tc>
          <w:tcPr>
            <w:tcW w:w="816" w:type="dxa"/>
            <w:tcBorders>
              <w:tl2br w:val="nil"/>
              <w:tr2bl w:val="nil"/>
            </w:tcBorders>
            <w:shd w:val="clear" w:color="auto" w:fill="auto"/>
            <w:vAlign w:val="center"/>
          </w:tcPr>
          <w:p w14:paraId="27C546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C89A8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3AA93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5F1AE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32F40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54 </w:t>
            </w:r>
          </w:p>
        </w:tc>
        <w:tc>
          <w:tcPr>
            <w:tcW w:w="1166" w:type="dxa"/>
            <w:tcBorders>
              <w:tl2br w:val="nil"/>
              <w:tr2bl w:val="nil"/>
            </w:tcBorders>
            <w:shd w:val="clear" w:color="auto" w:fill="auto"/>
            <w:vAlign w:val="center"/>
          </w:tcPr>
          <w:p w14:paraId="3C6408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阿基米德原理实验器</w:t>
            </w:r>
          </w:p>
        </w:tc>
        <w:tc>
          <w:tcPr>
            <w:tcW w:w="8573" w:type="dxa"/>
            <w:tcBorders>
              <w:tl2br w:val="nil"/>
              <w:tr2bl w:val="nil"/>
            </w:tcBorders>
            <w:shd w:val="clear" w:color="auto" w:fill="auto"/>
            <w:vAlign w:val="center"/>
          </w:tcPr>
          <w:p w14:paraId="52859D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验证阿基米德原理和测量物体密度。仪器由测力计、塑料吊桶、塑料圆柱体、溢液杯组成，必须配2N演示测力计。测力计面板应有0g、50g、100g、150g、200g和0N、0.5N、1.0N、1.5N、2.0N两种对应刻度，量程的示值误差≤1%，测力计上端要有零调装置。塑料圆柱的体积为1000立 方毫米，有等分刻度线，质量≥120g，塑料吊桶透明，容积为100立 方毫米有等分刻度线。</w:t>
            </w:r>
          </w:p>
        </w:tc>
        <w:tc>
          <w:tcPr>
            <w:tcW w:w="816" w:type="dxa"/>
            <w:tcBorders>
              <w:tl2br w:val="nil"/>
              <w:tr2bl w:val="nil"/>
            </w:tcBorders>
            <w:shd w:val="clear" w:color="auto" w:fill="auto"/>
            <w:vAlign w:val="center"/>
          </w:tcPr>
          <w:p w14:paraId="6FE0FB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89B71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E4E96F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9A453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37B5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55 </w:t>
            </w:r>
          </w:p>
        </w:tc>
        <w:tc>
          <w:tcPr>
            <w:tcW w:w="1166" w:type="dxa"/>
            <w:tcBorders>
              <w:tl2br w:val="nil"/>
              <w:tr2bl w:val="nil"/>
            </w:tcBorders>
            <w:shd w:val="clear" w:color="auto" w:fill="auto"/>
            <w:vAlign w:val="center"/>
          </w:tcPr>
          <w:p w14:paraId="3A6987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浮力原理演示器</w:t>
            </w:r>
          </w:p>
        </w:tc>
        <w:tc>
          <w:tcPr>
            <w:tcW w:w="8573" w:type="dxa"/>
            <w:tcBorders>
              <w:tl2br w:val="nil"/>
              <w:tr2bl w:val="nil"/>
            </w:tcBorders>
            <w:shd w:val="clear" w:color="auto" w:fill="auto"/>
            <w:vAlign w:val="center"/>
          </w:tcPr>
          <w:p w14:paraId="62678B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用于中学物理教学演示浮力原理，演示器由双层水箱、浮子、连通管、排管管、接头等组成，双层水箱采用透明塑料制成，内层水箱连接连通管，浮子上面配有调节螺杆，用于微调浮子的体积。</w:t>
            </w:r>
          </w:p>
        </w:tc>
        <w:tc>
          <w:tcPr>
            <w:tcW w:w="816" w:type="dxa"/>
            <w:tcBorders>
              <w:tl2br w:val="nil"/>
              <w:tr2bl w:val="nil"/>
            </w:tcBorders>
            <w:shd w:val="clear" w:color="auto" w:fill="auto"/>
            <w:vAlign w:val="center"/>
          </w:tcPr>
          <w:p w14:paraId="6092B9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93C147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020A8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8C1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5EEC2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56 </w:t>
            </w:r>
          </w:p>
        </w:tc>
        <w:tc>
          <w:tcPr>
            <w:tcW w:w="1166" w:type="dxa"/>
            <w:tcBorders>
              <w:tl2br w:val="nil"/>
              <w:tr2bl w:val="nil"/>
            </w:tcBorders>
            <w:shd w:val="clear" w:color="auto" w:fill="auto"/>
            <w:vAlign w:val="center"/>
          </w:tcPr>
          <w:p w14:paraId="2924BD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气体浮力演示器</w:t>
            </w:r>
          </w:p>
        </w:tc>
        <w:tc>
          <w:tcPr>
            <w:tcW w:w="8573" w:type="dxa"/>
            <w:tcBorders>
              <w:tl2br w:val="nil"/>
              <w:tr2bl w:val="nil"/>
            </w:tcBorders>
            <w:shd w:val="clear" w:color="auto" w:fill="auto"/>
            <w:vAlign w:val="center"/>
          </w:tcPr>
          <w:p w14:paraId="510A7C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用于中学物理教学演示气体浮力的存在。演示器由鼓风机、鼓风机长套嘴、大气泡、底板、细线等组成。</w:t>
            </w:r>
          </w:p>
        </w:tc>
        <w:tc>
          <w:tcPr>
            <w:tcW w:w="816" w:type="dxa"/>
            <w:tcBorders>
              <w:tl2br w:val="nil"/>
              <w:tr2bl w:val="nil"/>
            </w:tcBorders>
            <w:shd w:val="clear" w:color="auto" w:fill="auto"/>
            <w:vAlign w:val="center"/>
          </w:tcPr>
          <w:p w14:paraId="0A75D1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FF63B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EA40E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45110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8B9EF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57 </w:t>
            </w:r>
          </w:p>
        </w:tc>
        <w:tc>
          <w:tcPr>
            <w:tcW w:w="1166" w:type="dxa"/>
            <w:tcBorders>
              <w:tl2br w:val="nil"/>
              <w:tr2bl w:val="nil"/>
            </w:tcBorders>
            <w:shd w:val="clear" w:color="auto" w:fill="auto"/>
            <w:vAlign w:val="center"/>
          </w:tcPr>
          <w:p w14:paraId="4ADA40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物体浮沉条件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621AB6E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用于中学物理演示物体沉浮条件，由透明盛液桶、浮筒、配重体、吸耳球、皮管夹等组成。浮筒上标有深度刻度，配重体由四只等重的砝码组成，可拆装，配有潜水艇模型，可模拟潜水艇的沉浮原理。</w:t>
            </w:r>
          </w:p>
        </w:tc>
        <w:tc>
          <w:tcPr>
            <w:tcW w:w="816" w:type="dxa"/>
            <w:tcBorders>
              <w:tl2br w:val="nil"/>
              <w:tr2bl w:val="nil"/>
            </w:tcBorders>
            <w:shd w:val="clear" w:color="auto" w:fill="auto"/>
            <w:vAlign w:val="center"/>
          </w:tcPr>
          <w:p w14:paraId="57334D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2D271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96E9D9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FC16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6C8FA7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58 </w:t>
            </w:r>
          </w:p>
        </w:tc>
        <w:tc>
          <w:tcPr>
            <w:tcW w:w="1166" w:type="dxa"/>
            <w:tcBorders>
              <w:tl2br w:val="nil"/>
              <w:tr2bl w:val="nil"/>
            </w:tcBorders>
            <w:shd w:val="clear" w:color="auto" w:fill="auto"/>
            <w:vAlign w:val="center"/>
          </w:tcPr>
          <w:p w14:paraId="37EFBE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潜水艇浮沉演示器</w:t>
            </w:r>
          </w:p>
        </w:tc>
        <w:tc>
          <w:tcPr>
            <w:tcW w:w="8573" w:type="dxa"/>
            <w:tcBorders>
              <w:tl2br w:val="nil"/>
              <w:tr2bl w:val="nil"/>
            </w:tcBorders>
            <w:shd w:val="clear" w:color="auto" w:fill="auto"/>
            <w:vAlign w:val="center"/>
          </w:tcPr>
          <w:p w14:paraId="0D29564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由潜水艇模型、 注射器、 软乳胶管组成； 潜水艇模型中间为透明气室， 顶部有吸排气孔下端有进水孔， 用注射器控制沉浮； 能连续完成下沉、 上浮交替动作不小于 2 次， 悬浮时倾斜不超过 10°</w:t>
            </w:r>
          </w:p>
        </w:tc>
        <w:tc>
          <w:tcPr>
            <w:tcW w:w="816" w:type="dxa"/>
            <w:tcBorders>
              <w:tl2br w:val="nil"/>
              <w:tr2bl w:val="nil"/>
            </w:tcBorders>
            <w:shd w:val="clear" w:color="auto" w:fill="auto"/>
            <w:vAlign w:val="center"/>
          </w:tcPr>
          <w:p w14:paraId="343827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67A03D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011C49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1D9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D945EC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59 </w:t>
            </w:r>
          </w:p>
        </w:tc>
        <w:tc>
          <w:tcPr>
            <w:tcW w:w="1166" w:type="dxa"/>
            <w:tcBorders>
              <w:tl2br w:val="nil"/>
              <w:tr2bl w:val="nil"/>
            </w:tcBorders>
            <w:shd w:val="clear" w:color="auto" w:fill="auto"/>
            <w:vAlign w:val="center"/>
          </w:tcPr>
          <w:p w14:paraId="22DAE3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压力和压强演示器</w:t>
            </w:r>
          </w:p>
        </w:tc>
        <w:tc>
          <w:tcPr>
            <w:tcW w:w="8573" w:type="dxa"/>
            <w:tcBorders>
              <w:tl2br w:val="nil"/>
              <w:tr2bl w:val="nil"/>
            </w:tcBorders>
            <w:shd w:val="clear" w:color="auto" w:fill="auto"/>
            <w:vAlign w:val="center"/>
          </w:tcPr>
          <w:p w14:paraId="18D73C7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压强小桌， 尺寸≥200 mm×100 mm×100 mm，配套多种弹性材料， 尺寸≥220 mm×120 mm×50 mm</w:t>
            </w:r>
          </w:p>
        </w:tc>
        <w:tc>
          <w:tcPr>
            <w:tcW w:w="816" w:type="dxa"/>
            <w:tcBorders>
              <w:tl2br w:val="nil"/>
              <w:tr2bl w:val="nil"/>
            </w:tcBorders>
            <w:shd w:val="clear" w:color="auto" w:fill="auto"/>
            <w:vAlign w:val="center"/>
          </w:tcPr>
          <w:p w14:paraId="46D525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B7473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6F9BA4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8CD5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3E667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60 </w:t>
            </w:r>
          </w:p>
        </w:tc>
        <w:tc>
          <w:tcPr>
            <w:tcW w:w="1166" w:type="dxa"/>
            <w:tcBorders>
              <w:tl2br w:val="nil"/>
              <w:tr2bl w:val="nil"/>
            </w:tcBorders>
            <w:shd w:val="clear" w:color="auto" w:fill="auto"/>
            <w:vAlign w:val="center"/>
          </w:tcPr>
          <w:p w14:paraId="7602B7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压力作用效果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31EC1C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用于初中物理教学演示压力和压强，演示器由压强小桌、海绵块组成。压强小桌为铁制品，桌面规格不小于100×100mm，小桌腿长约45mm。海绵块规格不小于115×115×35mm。</w:t>
            </w:r>
          </w:p>
        </w:tc>
        <w:tc>
          <w:tcPr>
            <w:tcW w:w="816" w:type="dxa"/>
            <w:tcBorders>
              <w:tl2br w:val="nil"/>
              <w:tr2bl w:val="nil"/>
            </w:tcBorders>
            <w:shd w:val="clear" w:color="auto" w:fill="auto"/>
            <w:vAlign w:val="center"/>
          </w:tcPr>
          <w:p w14:paraId="437E9E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AD3F9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50FB76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DCE28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8AD6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61 </w:t>
            </w:r>
          </w:p>
        </w:tc>
        <w:tc>
          <w:tcPr>
            <w:tcW w:w="1166" w:type="dxa"/>
            <w:tcBorders>
              <w:tl2br w:val="nil"/>
              <w:tr2bl w:val="nil"/>
            </w:tcBorders>
            <w:shd w:val="clear" w:color="auto" w:fill="auto"/>
            <w:vAlign w:val="center"/>
          </w:tcPr>
          <w:p w14:paraId="1DD433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液体内部压强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实验器</w:t>
            </w:r>
          </w:p>
        </w:tc>
        <w:tc>
          <w:tcPr>
            <w:tcW w:w="8573" w:type="dxa"/>
            <w:tcBorders>
              <w:tl2br w:val="nil"/>
              <w:tr2bl w:val="nil"/>
            </w:tcBorders>
            <w:shd w:val="clear" w:color="auto" w:fill="auto"/>
            <w:vAlign w:val="center"/>
          </w:tcPr>
          <w:p w14:paraId="117409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由带刻度铝合金杆、膜腔、方向旋钮组成。带刻度铝合金杆:方便于比较不同深度下水压的变化。官腔内有传动齿轮，可用来改变膜腔的方向。</w:t>
            </w:r>
          </w:p>
        </w:tc>
        <w:tc>
          <w:tcPr>
            <w:tcW w:w="816" w:type="dxa"/>
            <w:tcBorders>
              <w:tl2br w:val="nil"/>
              <w:tr2bl w:val="nil"/>
            </w:tcBorders>
            <w:shd w:val="clear" w:color="auto" w:fill="auto"/>
            <w:vAlign w:val="center"/>
          </w:tcPr>
          <w:p w14:paraId="49EFCF3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0DD93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20B90D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9B391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BA0FF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62 </w:t>
            </w:r>
          </w:p>
        </w:tc>
        <w:tc>
          <w:tcPr>
            <w:tcW w:w="1166" w:type="dxa"/>
            <w:tcBorders>
              <w:tl2br w:val="nil"/>
              <w:tr2bl w:val="nil"/>
            </w:tcBorders>
            <w:shd w:val="clear" w:color="auto" w:fill="auto"/>
            <w:vAlign w:val="center"/>
          </w:tcPr>
          <w:p w14:paraId="2C1586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微小压强计</w:t>
            </w:r>
          </w:p>
        </w:tc>
        <w:tc>
          <w:tcPr>
            <w:tcW w:w="8573" w:type="dxa"/>
            <w:tcBorders>
              <w:tl2br w:val="nil"/>
              <w:tr2bl w:val="nil"/>
            </w:tcBorders>
            <w:shd w:val="clear" w:color="auto" w:fill="auto"/>
            <w:vAlign w:val="center"/>
          </w:tcPr>
          <w:p w14:paraId="2D6CAD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初中物理测量微小压强，由U型玻璃管、铝合金刻度板、乳胶管、T型三通管、把手组成。U型管高不小于3330mm，直径5mm，一端非卷口。铝合金刻度板规格不小于300mm×35mm×6mm，刻度范围-15Pa～15Pa，最小刻度值1Pa。</w:t>
            </w:r>
          </w:p>
        </w:tc>
        <w:tc>
          <w:tcPr>
            <w:tcW w:w="816" w:type="dxa"/>
            <w:tcBorders>
              <w:tl2br w:val="nil"/>
              <w:tr2bl w:val="nil"/>
            </w:tcBorders>
            <w:shd w:val="clear" w:color="auto" w:fill="auto"/>
            <w:vAlign w:val="center"/>
          </w:tcPr>
          <w:p w14:paraId="602889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0770A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0FF2DC6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4E21A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378DE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63 </w:t>
            </w:r>
          </w:p>
        </w:tc>
        <w:tc>
          <w:tcPr>
            <w:tcW w:w="1166" w:type="dxa"/>
            <w:tcBorders>
              <w:tl2br w:val="nil"/>
              <w:tr2bl w:val="nil"/>
            </w:tcBorders>
            <w:shd w:val="clear" w:color="auto" w:fill="auto"/>
            <w:vAlign w:val="center"/>
          </w:tcPr>
          <w:p w14:paraId="40CE03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透明盛液筒</w:t>
            </w:r>
          </w:p>
        </w:tc>
        <w:tc>
          <w:tcPr>
            <w:tcW w:w="8573" w:type="dxa"/>
            <w:tcBorders>
              <w:tl2br w:val="nil"/>
              <w:tr2bl w:val="nil"/>
            </w:tcBorders>
            <w:shd w:val="clear" w:color="auto" w:fill="auto"/>
            <w:vAlign w:val="center"/>
          </w:tcPr>
          <w:p w14:paraId="0D79BDF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物理实验室通用的实验辅助器材，主要用于在水中所作一系列物理实验时(如液体内部压强实验、物体沉浮实验、液体压强与深度关系实验等)作为容器用，由透明聚苯乙烯塑料制成，形似圆筒，上径100mm、筒深300mm，要求器壁薄厚均匀，透明度好。 </w:t>
            </w:r>
          </w:p>
        </w:tc>
        <w:tc>
          <w:tcPr>
            <w:tcW w:w="816" w:type="dxa"/>
            <w:tcBorders>
              <w:tl2br w:val="nil"/>
              <w:tr2bl w:val="nil"/>
            </w:tcBorders>
            <w:shd w:val="clear" w:color="auto" w:fill="auto"/>
            <w:vAlign w:val="center"/>
          </w:tcPr>
          <w:p w14:paraId="2A7B13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A3BEC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7AA02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6639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DAE1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64 </w:t>
            </w:r>
          </w:p>
        </w:tc>
        <w:tc>
          <w:tcPr>
            <w:tcW w:w="1166" w:type="dxa"/>
            <w:tcBorders>
              <w:tl2br w:val="nil"/>
              <w:tr2bl w:val="nil"/>
            </w:tcBorders>
            <w:shd w:val="clear" w:color="auto" w:fill="auto"/>
            <w:vAlign w:val="center"/>
          </w:tcPr>
          <w:p w14:paraId="0B0052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液体对器壁压强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744D480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中学物理流体力学仪器，用于演示液体对器壁压强的实验，由圆柱形透明玻璃圆管、胶膜以及橡胶绳组成，圆管侧面另与两个凸出玻璃圆管连通。</w:t>
            </w:r>
          </w:p>
        </w:tc>
        <w:tc>
          <w:tcPr>
            <w:tcW w:w="816" w:type="dxa"/>
            <w:tcBorders>
              <w:tl2br w:val="nil"/>
              <w:tr2bl w:val="nil"/>
            </w:tcBorders>
            <w:shd w:val="clear" w:color="auto" w:fill="auto"/>
            <w:vAlign w:val="center"/>
          </w:tcPr>
          <w:p w14:paraId="5578486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45DD4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796BA1A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6C8A9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FA19F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65 </w:t>
            </w:r>
          </w:p>
        </w:tc>
        <w:tc>
          <w:tcPr>
            <w:tcW w:w="1166" w:type="dxa"/>
            <w:tcBorders>
              <w:tl2br w:val="nil"/>
              <w:tr2bl w:val="nil"/>
            </w:tcBorders>
            <w:shd w:val="clear" w:color="auto" w:fill="auto"/>
            <w:vAlign w:val="center"/>
          </w:tcPr>
          <w:p w14:paraId="28CF72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连通器</w:t>
            </w:r>
          </w:p>
        </w:tc>
        <w:tc>
          <w:tcPr>
            <w:tcW w:w="8573" w:type="dxa"/>
            <w:tcBorders>
              <w:tl2br w:val="nil"/>
              <w:tr2bl w:val="nil"/>
            </w:tcBorders>
            <w:shd w:val="clear" w:color="auto" w:fill="auto"/>
            <w:vAlign w:val="center"/>
          </w:tcPr>
          <w:p w14:paraId="7FB22E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实验仪器，由玻璃连通器和塑料底座组成。玻璃件选用钠钙玻璃或硼硅玻璃制成，玻璃件壁厚约为1mm，四连通玻管细管外径约为7mm，粗管约为20mm。连通器必须经过退火处理，消除应力。底座平稳，表面光滑无划痕。</w:t>
            </w:r>
          </w:p>
        </w:tc>
        <w:tc>
          <w:tcPr>
            <w:tcW w:w="816" w:type="dxa"/>
            <w:tcBorders>
              <w:tl2br w:val="nil"/>
              <w:tr2bl w:val="nil"/>
            </w:tcBorders>
            <w:shd w:val="clear" w:color="auto" w:fill="auto"/>
            <w:vAlign w:val="center"/>
          </w:tcPr>
          <w:p w14:paraId="6D117D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F6D27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BDA52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A6018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0EB1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66 </w:t>
            </w:r>
          </w:p>
        </w:tc>
        <w:tc>
          <w:tcPr>
            <w:tcW w:w="1166" w:type="dxa"/>
            <w:tcBorders>
              <w:tl2br w:val="nil"/>
              <w:tr2bl w:val="nil"/>
            </w:tcBorders>
            <w:shd w:val="clear" w:color="auto" w:fill="auto"/>
            <w:vAlign w:val="center"/>
          </w:tcPr>
          <w:p w14:paraId="425416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乳胶管</w:t>
            </w:r>
          </w:p>
        </w:tc>
        <w:tc>
          <w:tcPr>
            <w:tcW w:w="8573" w:type="dxa"/>
            <w:tcBorders>
              <w:tl2br w:val="nil"/>
              <w:tr2bl w:val="nil"/>
            </w:tcBorders>
            <w:shd w:val="clear" w:color="auto" w:fill="auto"/>
            <w:vAlign w:val="center"/>
          </w:tcPr>
          <w:p w14:paraId="537210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实验室常备配件，多用于气体的导出和不同仪器之间的衔接，乳胶制品，要求弹性好。外径 9 mm，内径 6 mm</w:t>
            </w:r>
          </w:p>
        </w:tc>
        <w:tc>
          <w:tcPr>
            <w:tcW w:w="816" w:type="dxa"/>
            <w:tcBorders>
              <w:tl2br w:val="nil"/>
              <w:tr2bl w:val="nil"/>
            </w:tcBorders>
            <w:shd w:val="clear" w:color="auto" w:fill="auto"/>
            <w:vAlign w:val="center"/>
          </w:tcPr>
          <w:p w14:paraId="1E0776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68CFBE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7E32363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B4DFE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431C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67 </w:t>
            </w:r>
          </w:p>
        </w:tc>
        <w:tc>
          <w:tcPr>
            <w:tcW w:w="1166" w:type="dxa"/>
            <w:tcBorders>
              <w:tl2br w:val="nil"/>
              <w:tr2bl w:val="nil"/>
            </w:tcBorders>
            <w:shd w:val="clear" w:color="auto" w:fill="auto"/>
            <w:vAlign w:val="center"/>
          </w:tcPr>
          <w:p w14:paraId="0E20A4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乳胶管</w:t>
            </w:r>
          </w:p>
        </w:tc>
        <w:tc>
          <w:tcPr>
            <w:tcW w:w="8573" w:type="dxa"/>
            <w:tcBorders>
              <w:tl2br w:val="nil"/>
              <w:tr2bl w:val="nil"/>
            </w:tcBorders>
            <w:shd w:val="clear" w:color="auto" w:fill="auto"/>
            <w:vAlign w:val="center"/>
          </w:tcPr>
          <w:p w14:paraId="5FA01E9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实验室常备配件，多用于气体的导出和不同仪器之间的衔接，乳胶制品，要求弹性好。外径 6 mm，内径 4 m</w:t>
            </w:r>
          </w:p>
        </w:tc>
        <w:tc>
          <w:tcPr>
            <w:tcW w:w="816" w:type="dxa"/>
            <w:tcBorders>
              <w:tl2br w:val="nil"/>
              <w:tr2bl w:val="nil"/>
            </w:tcBorders>
            <w:shd w:val="clear" w:color="auto" w:fill="auto"/>
            <w:vAlign w:val="center"/>
          </w:tcPr>
          <w:p w14:paraId="4A1049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100743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51784A7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415F3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5D9F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68 </w:t>
            </w:r>
          </w:p>
        </w:tc>
        <w:tc>
          <w:tcPr>
            <w:tcW w:w="1166" w:type="dxa"/>
            <w:tcBorders>
              <w:tl2br w:val="nil"/>
              <w:tr2bl w:val="nil"/>
            </w:tcBorders>
            <w:shd w:val="clear" w:color="auto" w:fill="auto"/>
            <w:vAlign w:val="center"/>
          </w:tcPr>
          <w:p w14:paraId="386BF82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马德堡半球</w:t>
            </w:r>
          </w:p>
        </w:tc>
        <w:tc>
          <w:tcPr>
            <w:tcW w:w="8573" w:type="dxa"/>
            <w:tcBorders>
              <w:tl2br w:val="nil"/>
              <w:tr2bl w:val="nil"/>
            </w:tcBorders>
            <w:shd w:val="clear" w:color="auto" w:fill="auto"/>
            <w:vAlign w:val="center"/>
          </w:tcPr>
          <w:p w14:paraId="68F66E3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中学物理教学演示仪器，用于中学物理讲解大气压强时做马德堡半球实验证明大气压强存在并且很大，由两个附有拉手同样大的空心铸铁半球组成，装有铜质阀门。</w:t>
            </w:r>
          </w:p>
        </w:tc>
        <w:tc>
          <w:tcPr>
            <w:tcW w:w="816" w:type="dxa"/>
            <w:tcBorders>
              <w:tl2br w:val="nil"/>
              <w:tr2bl w:val="nil"/>
            </w:tcBorders>
            <w:shd w:val="clear" w:color="auto" w:fill="auto"/>
            <w:vAlign w:val="center"/>
          </w:tcPr>
          <w:p w14:paraId="4B1E93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D8D24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B215C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FC6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DD2B87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69 </w:t>
            </w:r>
          </w:p>
        </w:tc>
        <w:tc>
          <w:tcPr>
            <w:tcW w:w="1166" w:type="dxa"/>
            <w:tcBorders>
              <w:tl2br w:val="nil"/>
              <w:tr2bl w:val="nil"/>
            </w:tcBorders>
            <w:shd w:val="clear" w:color="auto" w:fill="auto"/>
            <w:vAlign w:val="center"/>
          </w:tcPr>
          <w:p w14:paraId="7C88B12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空盒气压计</w:t>
            </w:r>
          </w:p>
        </w:tc>
        <w:tc>
          <w:tcPr>
            <w:tcW w:w="8573" w:type="dxa"/>
            <w:tcBorders>
              <w:tl2br w:val="nil"/>
              <w:tr2bl w:val="nil"/>
            </w:tcBorders>
            <w:shd w:val="clear" w:color="auto" w:fill="auto"/>
            <w:vAlign w:val="center"/>
          </w:tcPr>
          <w:p w14:paraId="362C47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常见测量工具，用于中学物理教学、气象测量大气压力。仪表为多膜盒，由真空膜盒、连接拉杆、调节螺丝、调节器、指针、刻度盘等组成。气温在-10℃～40℃时，测量范围为80～106Kpa，分度值0.1Kpa，测量误差不大于0.25Kpa。</w:t>
            </w:r>
          </w:p>
        </w:tc>
        <w:tc>
          <w:tcPr>
            <w:tcW w:w="816" w:type="dxa"/>
            <w:tcBorders>
              <w:tl2br w:val="nil"/>
              <w:tr2bl w:val="nil"/>
            </w:tcBorders>
            <w:shd w:val="clear" w:color="auto" w:fill="auto"/>
            <w:vAlign w:val="center"/>
          </w:tcPr>
          <w:p w14:paraId="4E17998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3816C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5428F17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01CE1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D8E29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70 </w:t>
            </w:r>
          </w:p>
        </w:tc>
        <w:tc>
          <w:tcPr>
            <w:tcW w:w="1166" w:type="dxa"/>
            <w:tcBorders>
              <w:tl2br w:val="nil"/>
              <w:tr2bl w:val="nil"/>
            </w:tcBorders>
            <w:shd w:val="clear" w:color="auto" w:fill="auto"/>
            <w:vAlign w:val="center"/>
          </w:tcPr>
          <w:p w14:paraId="47FF9F3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流体压强与流速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关系演示器</w:t>
            </w:r>
          </w:p>
        </w:tc>
        <w:tc>
          <w:tcPr>
            <w:tcW w:w="8573" w:type="dxa"/>
            <w:tcBorders>
              <w:tl2br w:val="nil"/>
              <w:tr2bl w:val="nil"/>
            </w:tcBorders>
            <w:shd w:val="clear" w:color="auto" w:fill="auto"/>
            <w:vAlign w:val="center"/>
          </w:tcPr>
          <w:p w14:paraId="13073AC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中学物理流体力学仪器，用于中学物理演示研究流体流速与压强关系，演示器由快慢流速管一支、U形管两个、滴管一支、铁制演示板一块、乳胶管若干组成。</w:t>
            </w:r>
          </w:p>
        </w:tc>
        <w:tc>
          <w:tcPr>
            <w:tcW w:w="816" w:type="dxa"/>
            <w:tcBorders>
              <w:tl2br w:val="nil"/>
              <w:tr2bl w:val="nil"/>
            </w:tcBorders>
            <w:shd w:val="clear" w:color="auto" w:fill="auto"/>
            <w:vAlign w:val="center"/>
          </w:tcPr>
          <w:p w14:paraId="4905D67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ADFA4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E1FEC7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6B7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7C72A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71 </w:t>
            </w:r>
          </w:p>
        </w:tc>
        <w:tc>
          <w:tcPr>
            <w:tcW w:w="1166" w:type="dxa"/>
            <w:tcBorders>
              <w:tl2br w:val="nil"/>
              <w:tr2bl w:val="nil"/>
            </w:tcBorders>
            <w:shd w:val="clear" w:color="auto" w:fill="auto"/>
            <w:vAlign w:val="center"/>
          </w:tcPr>
          <w:p w14:paraId="25F43C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飞机升力原理演示器</w:t>
            </w:r>
          </w:p>
        </w:tc>
        <w:tc>
          <w:tcPr>
            <w:tcW w:w="8573" w:type="dxa"/>
            <w:tcBorders>
              <w:tl2br w:val="nil"/>
              <w:tr2bl w:val="nil"/>
            </w:tcBorders>
            <w:shd w:val="clear" w:color="auto" w:fill="auto"/>
            <w:vAlign w:val="center"/>
          </w:tcPr>
          <w:p w14:paraId="4B9E9CF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演示并验证飞机在大气层中飞行时机翼产生升力的原理，要求操作简便、效果明显。仪器由机翼模型、滑杆、底座、风机等组成。机翼采用轻质材料制成，其形状仿飞机机翼模形。风机部分都用塑料外壳，有良好的绝缘性，底座由优质胶合板制成。底座规格不小于550mm×180mm×290mm，使用电源：AC220±22V。</w:t>
            </w:r>
          </w:p>
        </w:tc>
        <w:tc>
          <w:tcPr>
            <w:tcW w:w="816" w:type="dxa"/>
            <w:tcBorders>
              <w:tl2br w:val="nil"/>
              <w:tr2bl w:val="nil"/>
            </w:tcBorders>
            <w:shd w:val="clear" w:color="auto" w:fill="auto"/>
            <w:vAlign w:val="center"/>
          </w:tcPr>
          <w:p w14:paraId="52C76B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4D34E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D1C81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1226F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59A9A9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72 </w:t>
            </w:r>
          </w:p>
        </w:tc>
        <w:tc>
          <w:tcPr>
            <w:tcW w:w="1166" w:type="dxa"/>
            <w:tcBorders>
              <w:tl2br w:val="nil"/>
              <w:tr2bl w:val="nil"/>
            </w:tcBorders>
            <w:shd w:val="clear" w:color="auto" w:fill="auto"/>
            <w:vAlign w:val="center"/>
          </w:tcPr>
          <w:p w14:paraId="0B6438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杠杆</w:t>
            </w:r>
          </w:p>
        </w:tc>
        <w:tc>
          <w:tcPr>
            <w:tcW w:w="8573" w:type="dxa"/>
            <w:tcBorders>
              <w:tl2br w:val="nil"/>
              <w:tr2bl w:val="nil"/>
            </w:tcBorders>
            <w:shd w:val="clear" w:color="auto" w:fill="auto"/>
            <w:vAlign w:val="center"/>
          </w:tcPr>
          <w:p w14:paraId="575EA4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杠杆尺为铝合金杠杆，长50cm；支架底座由不锈钢制成；杠杆尺上带6个挂环。</w:t>
            </w:r>
          </w:p>
        </w:tc>
        <w:tc>
          <w:tcPr>
            <w:tcW w:w="816" w:type="dxa"/>
            <w:tcBorders>
              <w:tl2br w:val="nil"/>
              <w:tr2bl w:val="nil"/>
            </w:tcBorders>
            <w:shd w:val="clear" w:color="auto" w:fill="auto"/>
            <w:vAlign w:val="center"/>
          </w:tcPr>
          <w:p w14:paraId="5B0DA1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12856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A96FDF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294AA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CB72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73 </w:t>
            </w:r>
          </w:p>
        </w:tc>
        <w:tc>
          <w:tcPr>
            <w:tcW w:w="1166" w:type="dxa"/>
            <w:tcBorders>
              <w:tl2br w:val="nil"/>
              <w:tr2bl w:val="nil"/>
            </w:tcBorders>
            <w:shd w:val="clear" w:color="auto" w:fill="auto"/>
            <w:vAlign w:val="center"/>
          </w:tcPr>
          <w:p w14:paraId="3EA1BB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演示滑轮组</w:t>
            </w:r>
          </w:p>
        </w:tc>
        <w:tc>
          <w:tcPr>
            <w:tcW w:w="8573" w:type="dxa"/>
            <w:tcBorders>
              <w:tl2br w:val="nil"/>
              <w:tr2bl w:val="nil"/>
            </w:tcBorders>
            <w:shd w:val="clear" w:color="auto" w:fill="auto"/>
            <w:vAlign w:val="center"/>
          </w:tcPr>
          <w:p w14:paraId="493D375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课堂教学演示仪器，用于中学课堂教学中供教师演示滑轮结构作用、功的原理及机械效率等实验用。仪器由单滑轮、三并滑轮、三串滑轮组成。滑轮组轮盘用ABS工程塑料制成，轮轴用铜质，框架、结构框架用碳钢冷轧板制成，表面镀铬。滑轮悬挂后，加或不加负荷，其框架侧边都应保持竖直方向，偏差不大于1.5mm。各轮盘平面与框架的平行度公差不大于1mm。一对单滑轮组合为滑轮组时，当负荷为5N，机械效率应不低于90%。一对三并滑轮或三串滑轮组合为滑轮组时，当负荷为15N时，机械效率应不低于60%。</w:t>
            </w:r>
          </w:p>
        </w:tc>
        <w:tc>
          <w:tcPr>
            <w:tcW w:w="816" w:type="dxa"/>
            <w:tcBorders>
              <w:tl2br w:val="nil"/>
              <w:tr2bl w:val="nil"/>
            </w:tcBorders>
            <w:shd w:val="clear" w:color="auto" w:fill="auto"/>
            <w:vAlign w:val="center"/>
          </w:tcPr>
          <w:p w14:paraId="76047B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C354D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6F247F1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C223F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2A6F2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74 </w:t>
            </w:r>
          </w:p>
        </w:tc>
        <w:tc>
          <w:tcPr>
            <w:tcW w:w="1166" w:type="dxa"/>
            <w:tcBorders>
              <w:tl2br w:val="nil"/>
              <w:tr2bl w:val="nil"/>
            </w:tcBorders>
            <w:shd w:val="clear" w:color="auto" w:fill="auto"/>
            <w:vAlign w:val="center"/>
          </w:tcPr>
          <w:p w14:paraId="77BCF7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滑轮组</w:t>
            </w:r>
          </w:p>
        </w:tc>
        <w:tc>
          <w:tcPr>
            <w:tcW w:w="8573" w:type="dxa"/>
            <w:tcBorders>
              <w:tl2br w:val="nil"/>
              <w:tr2bl w:val="nil"/>
            </w:tcBorders>
            <w:shd w:val="clear" w:color="auto" w:fill="auto"/>
            <w:vAlign w:val="center"/>
          </w:tcPr>
          <w:p w14:paraId="564F6BA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物理实验室通用的实验辅助器材，用于中学课堂教学中分组实验中，供学生分组作“机械效率”等实验。滑轮组由两个单滑轮、两个二并滑轮组成。滑轮组轮盘用ABS工程塑料制成，轮轴用铜质，框架、结构框架用碳钢冷轧板制成，表面镀铬。一对单滑轮组合为滑轮组时，当负荷为5N，机械效率应不低于90%。一对三并滑轮或三串滑轮组合为滑轮组时，当负荷为15N时，机械效率应不低于60%。</w:t>
            </w:r>
          </w:p>
        </w:tc>
        <w:tc>
          <w:tcPr>
            <w:tcW w:w="816" w:type="dxa"/>
            <w:tcBorders>
              <w:tl2br w:val="nil"/>
              <w:tr2bl w:val="nil"/>
            </w:tcBorders>
            <w:shd w:val="clear" w:color="auto" w:fill="auto"/>
            <w:vAlign w:val="center"/>
          </w:tcPr>
          <w:p w14:paraId="5372003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372BC0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2AA1E8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1124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E15A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75 </w:t>
            </w:r>
          </w:p>
        </w:tc>
        <w:tc>
          <w:tcPr>
            <w:tcW w:w="1166" w:type="dxa"/>
            <w:tcBorders>
              <w:tl2br w:val="nil"/>
              <w:tr2bl w:val="nil"/>
            </w:tcBorders>
            <w:shd w:val="clear" w:color="auto" w:fill="auto"/>
            <w:vAlign w:val="center"/>
          </w:tcPr>
          <w:p w14:paraId="4F0E739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音叉</w:t>
            </w:r>
          </w:p>
        </w:tc>
        <w:tc>
          <w:tcPr>
            <w:tcW w:w="8573" w:type="dxa"/>
            <w:tcBorders>
              <w:tl2br w:val="nil"/>
              <w:tr2bl w:val="nil"/>
            </w:tcBorders>
            <w:shd w:val="clear" w:color="auto" w:fill="auto"/>
            <w:vAlign w:val="center"/>
          </w:tcPr>
          <w:p w14:paraId="61ECF43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声学实验仪器，用于中学声学教学中演示声音的发生、声音的干涉、测定声速、验证声波的传导等各种声学实验，由音叉、橡皮槌、共鸣箱组成。音叉应为45#碳钢制成，表面镀铬，四面平直棱角应整齐，以钢印载明频率256Hz，槌头为橡胶。共鸣箱应采用实木制成，空心，木材经脱脂干燥处理，带音叉插孔，插座与音叉柄配合紧密，音叉柄插入后无摇晃现象，底部四端均带有防滑橡胶，立于水平面时，无滑动、无倾斜、无晃动现象。</w:t>
            </w:r>
          </w:p>
        </w:tc>
        <w:tc>
          <w:tcPr>
            <w:tcW w:w="816" w:type="dxa"/>
            <w:tcBorders>
              <w:tl2br w:val="nil"/>
              <w:tr2bl w:val="nil"/>
            </w:tcBorders>
            <w:shd w:val="clear" w:color="auto" w:fill="auto"/>
            <w:vAlign w:val="center"/>
          </w:tcPr>
          <w:p w14:paraId="607CDC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07A599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D6A3F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88B0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8A2CC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76 </w:t>
            </w:r>
          </w:p>
        </w:tc>
        <w:tc>
          <w:tcPr>
            <w:tcW w:w="1166" w:type="dxa"/>
            <w:tcBorders>
              <w:tl2br w:val="nil"/>
              <w:tr2bl w:val="nil"/>
            </w:tcBorders>
            <w:shd w:val="clear" w:color="auto" w:fill="auto"/>
            <w:vAlign w:val="center"/>
          </w:tcPr>
          <w:p w14:paraId="602783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音叉</w:t>
            </w:r>
          </w:p>
        </w:tc>
        <w:tc>
          <w:tcPr>
            <w:tcW w:w="8573" w:type="dxa"/>
            <w:tcBorders>
              <w:tl2br w:val="nil"/>
              <w:tr2bl w:val="nil"/>
            </w:tcBorders>
            <w:shd w:val="clear" w:color="auto" w:fill="auto"/>
            <w:vAlign w:val="center"/>
          </w:tcPr>
          <w:p w14:paraId="566A26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声学实验仪器，用于中学声学教学中演示声音的发生、声音的干涉、测定声速、验证声波的传导等各种声学实验，由音叉、橡皮槌、共鸣箱组成。音叉应为45#碳钢制成，表面镀铬，四面平直棱角应整齐，以钢印载明频率512Hz，槌头为橡胶。共鸣箱应采用实木制成，空心，木材经脱脂干燥处理，带音叉插孔，插座与音叉柄配合紧密，音叉柄插入后无摇晃现象，底部四端均带有防滑橡胶，立于水平面时，无滑动、无倾斜、无晃动现象。</w:t>
            </w:r>
          </w:p>
        </w:tc>
        <w:tc>
          <w:tcPr>
            <w:tcW w:w="816" w:type="dxa"/>
            <w:tcBorders>
              <w:tl2br w:val="nil"/>
              <w:tr2bl w:val="nil"/>
            </w:tcBorders>
            <w:shd w:val="clear" w:color="auto" w:fill="auto"/>
            <w:vAlign w:val="center"/>
          </w:tcPr>
          <w:p w14:paraId="0C38C5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ADC9C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B787B3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E11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0072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77 </w:t>
            </w:r>
          </w:p>
        </w:tc>
        <w:tc>
          <w:tcPr>
            <w:tcW w:w="1166" w:type="dxa"/>
            <w:tcBorders>
              <w:tl2br w:val="nil"/>
              <w:tr2bl w:val="nil"/>
            </w:tcBorders>
            <w:shd w:val="clear" w:color="auto" w:fill="auto"/>
            <w:vAlign w:val="center"/>
          </w:tcPr>
          <w:p w14:paraId="638DA5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电铃</w:t>
            </w:r>
          </w:p>
        </w:tc>
        <w:tc>
          <w:tcPr>
            <w:tcW w:w="8573" w:type="dxa"/>
            <w:tcBorders>
              <w:tl2br w:val="nil"/>
              <w:tr2bl w:val="nil"/>
            </w:tcBorders>
            <w:shd w:val="clear" w:color="auto" w:fill="auto"/>
            <w:vAlign w:val="center"/>
          </w:tcPr>
          <w:p w14:paraId="088E133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用于初中物理教学演示实验，主要由底座、电磁铁、簧片及触点、小锤、铃盘以及接线柱等组成。</w:t>
            </w:r>
          </w:p>
        </w:tc>
        <w:tc>
          <w:tcPr>
            <w:tcW w:w="816" w:type="dxa"/>
            <w:tcBorders>
              <w:tl2br w:val="nil"/>
              <w:tr2bl w:val="nil"/>
            </w:tcBorders>
            <w:shd w:val="clear" w:color="auto" w:fill="auto"/>
            <w:vAlign w:val="center"/>
          </w:tcPr>
          <w:p w14:paraId="5DB3087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9755E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715226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31A6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6C08F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78 </w:t>
            </w:r>
          </w:p>
        </w:tc>
        <w:tc>
          <w:tcPr>
            <w:tcW w:w="1166" w:type="dxa"/>
            <w:tcBorders>
              <w:tl2br w:val="nil"/>
              <w:tr2bl w:val="nil"/>
            </w:tcBorders>
            <w:shd w:val="clear" w:color="auto" w:fill="auto"/>
            <w:vAlign w:val="center"/>
          </w:tcPr>
          <w:p w14:paraId="26F016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声传播演示器</w:t>
            </w:r>
          </w:p>
        </w:tc>
        <w:tc>
          <w:tcPr>
            <w:tcW w:w="8573" w:type="dxa"/>
            <w:tcBorders>
              <w:tl2br w:val="nil"/>
              <w:tr2bl w:val="nil"/>
            </w:tcBorders>
            <w:shd w:val="clear" w:color="auto" w:fill="auto"/>
            <w:vAlign w:val="center"/>
          </w:tcPr>
          <w:p w14:paraId="365C52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声学演示仪器，用于演示声音在空气、液体和固体等不同介质中传播，由仪器屏、透明声传播筒、仪器脚架板等组成。仪器屏上有扬声器、外接直流电源接线柱和接收音量调节电位器，尺寸不小于300mm×240mm×20mm</w:t>
            </w:r>
          </w:p>
        </w:tc>
        <w:tc>
          <w:tcPr>
            <w:tcW w:w="816" w:type="dxa"/>
            <w:tcBorders>
              <w:tl2br w:val="nil"/>
              <w:tr2bl w:val="nil"/>
            </w:tcBorders>
            <w:shd w:val="clear" w:color="auto" w:fill="auto"/>
            <w:vAlign w:val="center"/>
          </w:tcPr>
          <w:p w14:paraId="127F1C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2E2FB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48615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89F5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409B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79 </w:t>
            </w:r>
          </w:p>
        </w:tc>
        <w:tc>
          <w:tcPr>
            <w:tcW w:w="1166" w:type="dxa"/>
            <w:tcBorders>
              <w:tl2br w:val="nil"/>
              <w:tr2bl w:val="nil"/>
            </w:tcBorders>
            <w:shd w:val="clear" w:color="auto" w:fill="auto"/>
            <w:vAlign w:val="center"/>
          </w:tcPr>
          <w:p w14:paraId="50D6E8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旋片真空泵</w:t>
            </w:r>
          </w:p>
        </w:tc>
        <w:tc>
          <w:tcPr>
            <w:tcW w:w="8573" w:type="dxa"/>
            <w:tcBorders>
              <w:tl2br w:val="nil"/>
              <w:tr2bl w:val="nil"/>
            </w:tcBorders>
            <w:shd w:val="clear" w:color="auto" w:fill="auto"/>
            <w:vAlign w:val="center"/>
          </w:tcPr>
          <w:p w14:paraId="30069B7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物理实验室常备工具，用于中学物理教学实验中，作为获得真空的基本设备。泵主体采用铝质金属材质，为旋片式油封单级真空泵，抽气速率不低于50L/min，极限压力不高于20Pa，电机功率不低于120W，用油量不高于250mI，外形规格不小于250mm×170mm×90mm。</w:t>
            </w:r>
          </w:p>
        </w:tc>
        <w:tc>
          <w:tcPr>
            <w:tcW w:w="816" w:type="dxa"/>
            <w:tcBorders>
              <w:tl2br w:val="nil"/>
              <w:tr2bl w:val="nil"/>
            </w:tcBorders>
            <w:shd w:val="clear" w:color="auto" w:fill="auto"/>
            <w:vAlign w:val="center"/>
          </w:tcPr>
          <w:p w14:paraId="05A93E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512C0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6E11E12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347B7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14968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80 </w:t>
            </w:r>
          </w:p>
        </w:tc>
        <w:tc>
          <w:tcPr>
            <w:tcW w:w="1166" w:type="dxa"/>
            <w:tcBorders>
              <w:tl2br w:val="nil"/>
              <w:tr2bl w:val="nil"/>
            </w:tcBorders>
            <w:shd w:val="clear" w:color="auto" w:fill="auto"/>
            <w:vAlign w:val="center"/>
          </w:tcPr>
          <w:p w14:paraId="3D857E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抽气盘</w:t>
            </w:r>
          </w:p>
        </w:tc>
        <w:tc>
          <w:tcPr>
            <w:tcW w:w="8573" w:type="dxa"/>
            <w:tcBorders>
              <w:tl2br w:val="nil"/>
              <w:tr2bl w:val="nil"/>
            </w:tcBorders>
            <w:shd w:val="clear" w:color="auto" w:fill="auto"/>
            <w:vAlign w:val="center"/>
          </w:tcPr>
          <w:p w14:paraId="082DFCF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仪器，用于各种涉及真空（稀薄空气）方面的演示实验，抽气盘由胶目底盘、钟罩、声音发生器、阀门等组成。钟罩的外径不小于150mm，高不小于150mm，且透明度良好，钟罩与底盘的接触面气密性好。</w:t>
            </w:r>
          </w:p>
        </w:tc>
        <w:tc>
          <w:tcPr>
            <w:tcW w:w="816" w:type="dxa"/>
            <w:tcBorders>
              <w:tl2br w:val="nil"/>
              <w:tr2bl w:val="nil"/>
            </w:tcBorders>
            <w:shd w:val="clear" w:color="auto" w:fill="auto"/>
            <w:vAlign w:val="center"/>
          </w:tcPr>
          <w:p w14:paraId="3B15098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D120A4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A0A8C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0693B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1980E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81 </w:t>
            </w:r>
          </w:p>
        </w:tc>
        <w:tc>
          <w:tcPr>
            <w:tcW w:w="1166" w:type="dxa"/>
            <w:tcBorders>
              <w:tl2br w:val="nil"/>
              <w:tr2bl w:val="nil"/>
            </w:tcBorders>
            <w:shd w:val="clear" w:color="auto" w:fill="auto"/>
            <w:vAlign w:val="center"/>
          </w:tcPr>
          <w:p w14:paraId="5B35E4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发音齿轮</w:t>
            </w:r>
          </w:p>
        </w:tc>
        <w:tc>
          <w:tcPr>
            <w:tcW w:w="8573" w:type="dxa"/>
            <w:tcBorders>
              <w:tl2br w:val="nil"/>
              <w:tr2bl w:val="nil"/>
            </w:tcBorders>
            <w:shd w:val="clear" w:color="auto" w:fill="auto"/>
            <w:vAlign w:val="center"/>
          </w:tcPr>
          <w:p w14:paraId="49CACF3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中学物理教学演示仪器，用于中学物理课堂演示实验中与手摇离心转台配合演示声音的音调高低和声源振动频率的关系，由三个钢制薄齿轮及支轴组成。</w:t>
            </w:r>
          </w:p>
        </w:tc>
        <w:tc>
          <w:tcPr>
            <w:tcW w:w="816" w:type="dxa"/>
            <w:tcBorders>
              <w:tl2br w:val="nil"/>
              <w:tr2bl w:val="nil"/>
            </w:tcBorders>
            <w:shd w:val="clear" w:color="auto" w:fill="auto"/>
            <w:vAlign w:val="center"/>
          </w:tcPr>
          <w:p w14:paraId="257590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8C2B0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56323B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2BD9B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2F6A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82 </w:t>
            </w:r>
          </w:p>
        </w:tc>
        <w:tc>
          <w:tcPr>
            <w:tcW w:w="1166" w:type="dxa"/>
            <w:tcBorders>
              <w:tl2br w:val="nil"/>
              <w:tr2bl w:val="nil"/>
            </w:tcBorders>
            <w:shd w:val="clear" w:color="auto" w:fill="auto"/>
            <w:vAlign w:val="center"/>
          </w:tcPr>
          <w:p w14:paraId="34C4DC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手摇离心转台</w:t>
            </w:r>
          </w:p>
        </w:tc>
        <w:tc>
          <w:tcPr>
            <w:tcW w:w="8573" w:type="dxa"/>
            <w:tcBorders>
              <w:tl2br w:val="nil"/>
              <w:tr2bl w:val="nil"/>
            </w:tcBorders>
            <w:shd w:val="clear" w:color="auto" w:fill="auto"/>
            <w:vAlign w:val="center"/>
          </w:tcPr>
          <w:p w14:paraId="1C03EB0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常用工具，作为简单的手动动力机械。竖立时，可用来带动小型交、直流发电机；横卧时，可作离心节速器、离心球、离心环、离心分液器、发音齿轮等实验。转台由机座、主动轮（附摇柄）和从动轮等组成，机座配有橡胶脚，各部件均作防锈处理。</w:t>
            </w:r>
          </w:p>
        </w:tc>
        <w:tc>
          <w:tcPr>
            <w:tcW w:w="816" w:type="dxa"/>
            <w:tcBorders>
              <w:tl2br w:val="nil"/>
              <w:tr2bl w:val="nil"/>
            </w:tcBorders>
            <w:shd w:val="clear" w:color="auto" w:fill="auto"/>
            <w:vAlign w:val="center"/>
          </w:tcPr>
          <w:p w14:paraId="6E8CE0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9E97B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29C6BB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4F43B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24F21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83 </w:t>
            </w:r>
          </w:p>
        </w:tc>
        <w:tc>
          <w:tcPr>
            <w:tcW w:w="1166" w:type="dxa"/>
            <w:tcBorders>
              <w:tl2br w:val="nil"/>
              <w:tr2bl w:val="nil"/>
            </w:tcBorders>
            <w:shd w:val="clear" w:color="auto" w:fill="auto"/>
            <w:vAlign w:val="center"/>
          </w:tcPr>
          <w:p w14:paraId="495025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凹面镜</w:t>
            </w:r>
          </w:p>
        </w:tc>
        <w:tc>
          <w:tcPr>
            <w:tcW w:w="8573" w:type="dxa"/>
            <w:tcBorders>
              <w:tl2br w:val="nil"/>
              <w:tr2bl w:val="nil"/>
            </w:tcBorders>
            <w:shd w:val="clear" w:color="auto" w:fill="auto"/>
            <w:vAlign w:val="center"/>
          </w:tcPr>
          <w:p w14:paraId="14FAD0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几何光学演示实验仪器，用于中学物理课程光学部分实验，由凹面镜体，托架、支柱、底座组成，托架、支柱、底座均为铁制品。仪器构件及其性能要求：1、底座直径不小于100mm，厚度1mm，表面涂油漆。2、支柱直径8mm，表面电镀。3、托架呈半圆形，厚度2mm，半圆Φ110mm。4、凹面镜体直径不小于Φ95mm，焦距约为100mm，外部镶嵌塑料外框。</w:t>
            </w:r>
          </w:p>
        </w:tc>
        <w:tc>
          <w:tcPr>
            <w:tcW w:w="816" w:type="dxa"/>
            <w:tcBorders>
              <w:tl2br w:val="nil"/>
              <w:tr2bl w:val="nil"/>
            </w:tcBorders>
            <w:shd w:val="clear" w:color="auto" w:fill="auto"/>
            <w:vAlign w:val="center"/>
          </w:tcPr>
          <w:p w14:paraId="219513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DEEDD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块</w:t>
            </w:r>
          </w:p>
        </w:tc>
        <w:tc>
          <w:tcPr>
            <w:tcW w:w="2796" w:type="dxa"/>
            <w:tcBorders>
              <w:tl2br w:val="nil"/>
              <w:tr2bl w:val="nil"/>
            </w:tcBorders>
            <w:shd w:val="clear" w:color="auto" w:fill="auto"/>
            <w:vAlign w:val="center"/>
          </w:tcPr>
          <w:p w14:paraId="2C543D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03D23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02668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84 </w:t>
            </w:r>
          </w:p>
        </w:tc>
        <w:tc>
          <w:tcPr>
            <w:tcW w:w="1166" w:type="dxa"/>
            <w:tcBorders>
              <w:tl2br w:val="nil"/>
              <w:tr2bl w:val="nil"/>
            </w:tcBorders>
            <w:shd w:val="clear" w:color="auto" w:fill="auto"/>
            <w:vAlign w:val="center"/>
          </w:tcPr>
          <w:p w14:paraId="19CE14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凸面镜</w:t>
            </w:r>
          </w:p>
        </w:tc>
        <w:tc>
          <w:tcPr>
            <w:tcW w:w="8573" w:type="dxa"/>
            <w:tcBorders>
              <w:tl2br w:val="nil"/>
              <w:tr2bl w:val="nil"/>
            </w:tcBorders>
            <w:shd w:val="clear" w:color="auto" w:fill="auto"/>
            <w:vAlign w:val="center"/>
          </w:tcPr>
          <w:p w14:paraId="31EED55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几何光学演示实验仪器，用于中学物理课程光学部分实验，由凸面镜体，托架、支柱、底座组成，托架、支柱、底座均为铁制品。仪器构件及其性能要求：1、底座直径不小于100mm，厚度1mm，表面涂油漆。2、支柱直径8mm，表面电镀。3、托架呈半圆形，厚度2mm，半圆Φ110mm。4、凸面镜体直径不小于Φ95mm，焦距约为100mm，外部镶嵌塑料外框。</w:t>
            </w:r>
          </w:p>
        </w:tc>
        <w:tc>
          <w:tcPr>
            <w:tcW w:w="816" w:type="dxa"/>
            <w:tcBorders>
              <w:tl2br w:val="nil"/>
              <w:tr2bl w:val="nil"/>
            </w:tcBorders>
            <w:shd w:val="clear" w:color="auto" w:fill="auto"/>
            <w:vAlign w:val="center"/>
          </w:tcPr>
          <w:p w14:paraId="09B689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82F8D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块</w:t>
            </w:r>
          </w:p>
        </w:tc>
        <w:tc>
          <w:tcPr>
            <w:tcW w:w="2796" w:type="dxa"/>
            <w:tcBorders>
              <w:tl2br w:val="nil"/>
              <w:tr2bl w:val="nil"/>
            </w:tcBorders>
            <w:shd w:val="clear" w:color="auto" w:fill="auto"/>
            <w:vAlign w:val="center"/>
          </w:tcPr>
          <w:p w14:paraId="3DA5D3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2FD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BF2A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85 </w:t>
            </w:r>
          </w:p>
        </w:tc>
        <w:tc>
          <w:tcPr>
            <w:tcW w:w="1166" w:type="dxa"/>
            <w:tcBorders>
              <w:tl2br w:val="nil"/>
              <w:tr2bl w:val="nil"/>
            </w:tcBorders>
            <w:shd w:val="clear" w:color="auto" w:fill="auto"/>
            <w:vAlign w:val="center"/>
          </w:tcPr>
          <w:p w14:paraId="29D826A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0"/>
                <w:szCs w:val="20"/>
                <w:u w:val="none"/>
                <w:lang w:val="en-US" w:eastAsia="zh-CN" w:bidi="ar"/>
              </w:rPr>
              <w:t>数字</w:t>
            </w:r>
            <w:r>
              <w:rPr>
                <w:rFonts w:hint="eastAsia" w:ascii="宋体" w:hAnsi="宋体" w:eastAsia="宋体" w:cs="宋体"/>
                <w:b/>
                <w:bCs/>
                <w:i w:val="0"/>
                <w:iCs w:val="0"/>
                <w:color w:val="000000"/>
                <w:kern w:val="0"/>
                <w:sz w:val="21"/>
                <w:szCs w:val="21"/>
                <w:u w:val="none"/>
                <w:lang w:val="en-US" w:eastAsia="zh-CN" w:bidi="ar"/>
              </w:rPr>
              <w:t>双缝干</w:t>
            </w: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涉实验观测仪</w:t>
            </w:r>
            <w:r>
              <w:rPr>
                <w:rFonts w:hint="eastAsia" w:ascii="宋体" w:hAnsi="宋体" w:cs="宋体"/>
                <w:b/>
                <w:bCs/>
                <w:i w:val="0"/>
                <w:iCs w:val="0"/>
                <w:color w:val="000000" w:themeColor="text1"/>
                <w:kern w:val="0"/>
                <w:sz w:val="21"/>
                <w:szCs w:val="21"/>
                <w:u w:val="none"/>
                <w:lang w:val="en-US" w:eastAsia="zh-CN" w:bidi="ar"/>
                <w14:textFill>
                  <w14:solidFill>
                    <w14:schemeClr w14:val="tx1"/>
                  </w14:solidFill>
                </w14:textFill>
              </w:rPr>
              <w:t>（演示）</w:t>
            </w:r>
          </w:p>
        </w:tc>
        <w:tc>
          <w:tcPr>
            <w:tcW w:w="8573" w:type="dxa"/>
            <w:tcBorders>
              <w:tl2br w:val="nil"/>
              <w:tr2bl w:val="nil"/>
            </w:tcBorders>
            <w:shd w:val="clear" w:color="auto" w:fill="auto"/>
            <w:vAlign w:val="center"/>
          </w:tcPr>
          <w:p w14:paraId="0D399F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主要结构组成：灯泡、照明透镜、遮光板、滤色片及片座、单狭缝及缝座、单缝管、拨杆、遮光管（铁质，表面喷漆，规格：φ32×600mm，管壁厚2mm）、接长管、测量头、游标尺、滑块、手轮、目镜、数据采集装置、半圆形支架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1、双缝及光源、单缝均采用真空镀铬工艺制在玻璃片上。</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双缝中心距d及缝宽a分别为：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=0.200±0.003mm,0.029mm≤≤0.04mm；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=0.250±0.003mm,0.036mm≤≤0.050mm。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光源单缝宽a=mm。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2、双缝至光屏（即分划板）之间的距离：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=600±2mm(不接长管), =700±2mm(接长管)。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3、滤色片为2mm厚的光学玻璃片。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4、测量头滑块的移动范围为0-20mm，游标尺最小读数为0.02mm。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5、单色光通过双缝所产生的干涉亮条纹不少于7条。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6、白光干涉零级亮条纹所产生的中心与光轴的偏离：当=600mm时不大于2mm，当=700mm不大于3mm。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7、测定钠光波长，相对误差≤4%。</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8、光具座座：双轨型导轨，刻度清晰，导轨和滑块均为金属件，滑块在导轨上应滑行自如，无阻滞偏位现象。金属标尺刻度800 mm，分度值 1 mm。 附件包括由双凸透镜（焦距50）、双凸透镜（焦距100）、平凸透镜（焦距300）、双凹透镜（焦距-75）各一个，透镜均为玻璃材质，通光孔不小于40mm；“1”字屏1 个；“F”型LED光源1 个，附电池4节；白光屏1块，材质为铁板涂白漆，尺寸不小于130mm×100m；插杆5根。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9、数字采集装置由摄像头、光学透镜模组、双向式标准C型接口、测量头、移动游标尺组成，可自由组装拆卸。摄像头采用1/3英寸高保真芯片，500万物理像素，可通过数据线或无线连接多媒体设备，实现动态数据采集，延迟低于0.3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10、数据采集系统软件：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w:t>
            </w:r>
            <w:r>
              <w:rPr>
                <w:rFonts w:hint="eastAsia" w:ascii="宋体" w:hAnsi="宋体" w:eastAsia="宋体" w:cs="宋体"/>
                <w:i w:val="0"/>
                <w:iCs w:val="0"/>
                <w:color w:val="000000"/>
                <w:kern w:val="0"/>
                <w:sz w:val="20"/>
                <w:szCs w:val="20"/>
                <w:u w:val="none"/>
                <w:lang w:val="en-US" w:eastAsia="zh-CN" w:bidi="ar"/>
              </w:rPr>
              <w:t>1.软件具有拍照录像功能。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w:t>
            </w:r>
            <w:r>
              <w:rPr>
                <w:rFonts w:hint="eastAsia" w:ascii="宋体" w:hAnsi="宋体" w:eastAsia="宋体" w:cs="宋体"/>
                <w:i w:val="0"/>
                <w:iCs w:val="0"/>
                <w:color w:val="000000"/>
                <w:kern w:val="0"/>
                <w:sz w:val="20"/>
                <w:szCs w:val="20"/>
                <w:u w:val="none"/>
                <w:lang w:val="en-US" w:eastAsia="zh-CN" w:bidi="ar"/>
              </w:rPr>
              <w:t>2.可选自动曝光和曝光可调。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10.3</w:t>
            </w:r>
            <w:r>
              <w:rPr>
                <w:rFonts w:hint="eastAsia" w:ascii="宋体" w:hAnsi="宋体" w:eastAsia="宋体" w:cs="宋体"/>
                <w:i w:val="0"/>
                <w:iCs w:val="0"/>
                <w:color w:val="000000"/>
                <w:kern w:val="0"/>
                <w:sz w:val="20"/>
                <w:szCs w:val="20"/>
                <w:u w:val="none"/>
                <w:lang w:val="en-US" w:eastAsia="zh-CN" w:bidi="ar"/>
              </w:rPr>
              <w:t>.支持白平衡、色温、色相调节，帧率显示。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10.4</w:t>
            </w:r>
            <w:r>
              <w:rPr>
                <w:rFonts w:hint="eastAsia" w:ascii="宋体" w:hAnsi="宋体" w:eastAsia="宋体" w:cs="宋体"/>
                <w:i w:val="0"/>
                <w:iCs w:val="0"/>
                <w:color w:val="000000"/>
                <w:kern w:val="0"/>
                <w:sz w:val="20"/>
                <w:szCs w:val="20"/>
                <w:u w:val="none"/>
                <w:lang w:val="en-US" w:eastAsia="zh-CN" w:bidi="ar"/>
              </w:rPr>
              <w:t>.图像处理：支持图像镜像、裁剪、旋转。</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w:t>
            </w:r>
            <w:r>
              <w:rPr>
                <w:rFonts w:hint="eastAsia" w:ascii="宋体" w:hAnsi="宋体" w:eastAsia="宋体" w:cs="宋体"/>
                <w:i w:val="0"/>
                <w:iCs w:val="0"/>
                <w:color w:val="000000"/>
                <w:kern w:val="0"/>
                <w:sz w:val="20"/>
                <w:szCs w:val="20"/>
                <w:u w:val="none"/>
                <w:lang w:val="en-US" w:eastAsia="zh-CN" w:bidi="ar"/>
              </w:rPr>
              <w:t>5.软件可浏览本图像数据，采集的数据可本地化保存，浏览模式支持单屏、双屏、四屏及适应窗口浏览。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cs="宋体"/>
                <w:i w:val="0"/>
                <w:iCs w:val="0"/>
                <w:color w:val="000000"/>
                <w:kern w:val="0"/>
                <w:sz w:val="20"/>
                <w:szCs w:val="20"/>
                <w:u w:val="none"/>
                <w:lang w:val="en-US" w:eastAsia="zh-CN" w:bidi="ar"/>
              </w:rPr>
              <w:t>10.</w:t>
            </w:r>
            <w:r>
              <w:rPr>
                <w:rFonts w:hint="eastAsia" w:ascii="宋体" w:hAnsi="宋体" w:eastAsia="宋体" w:cs="宋体"/>
                <w:i w:val="0"/>
                <w:iCs w:val="0"/>
                <w:color w:val="000000"/>
                <w:kern w:val="0"/>
                <w:sz w:val="20"/>
                <w:szCs w:val="20"/>
                <w:u w:val="none"/>
                <w:lang w:val="en-US" w:eastAsia="zh-CN" w:bidi="ar"/>
              </w:rPr>
              <w:t>6、测量方式：手动测量，测量结果：自动计算：输入测量数值可自动计算光的波长。</w:t>
            </w:r>
          </w:p>
        </w:tc>
        <w:tc>
          <w:tcPr>
            <w:tcW w:w="816" w:type="dxa"/>
            <w:tcBorders>
              <w:tl2br w:val="nil"/>
              <w:tr2bl w:val="nil"/>
            </w:tcBorders>
            <w:shd w:val="clear" w:color="auto" w:fill="auto"/>
            <w:vAlign w:val="center"/>
          </w:tcPr>
          <w:p w14:paraId="6D170E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8DDA4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53109D6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16D6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48BF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86 </w:t>
            </w:r>
          </w:p>
        </w:tc>
        <w:tc>
          <w:tcPr>
            <w:tcW w:w="1166" w:type="dxa"/>
            <w:tcBorders>
              <w:tl2br w:val="nil"/>
              <w:tr2bl w:val="nil"/>
            </w:tcBorders>
            <w:shd w:val="clear" w:color="auto" w:fill="auto"/>
            <w:vAlign w:val="center"/>
          </w:tcPr>
          <w:p w14:paraId="234ACF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平面镜成像实验器</w:t>
            </w:r>
          </w:p>
        </w:tc>
        <w:tc>
          <w:tcPr>
            <w:tcW w:w="8573" w:type="dxa"/>
            <w:tcBorders>
              <w:tl2br w:val="nil"/>
              <w:tr2bl w:val="nil"/>
            </w:tcBorders>
            <w:shd w:val="clear" w:color="auto" w:fill="auto"/>
            <w:vAlign w:val="center"/>
          </w:tcPr>
          <w:p w14:paraId="33C333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初中物理实验室教学仪器，用于学生分组做平面镜成像实验，由带刻度金属底板、左右大脚支架各一个、物像各一个、半反射平面镜、平面镜一个等组成。</w:t>
            </w:r>
          </w:p>
        </w:tc>
        <w:tc>
          <w:tcPr>
            <w:tcW w:w="816" w:type="dxa"/>
            <w:tcBorders>
              <w:tl2br w:val="nil"/>
              <w:tr2bl w:val="nil"/>
            </w:tcBorders>
            <w:shd w:val="clear" w:color="auto" w:fill="auto"/>
            <w:vAlign w:val="center"/>
          </w:tcPr>
          <w:p w14:paraId="3C2D52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D361E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42536B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8CF0B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285C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87 </w:t>
            </w:r>
          </w:p>
        </w:tc>
        <w:tc>
          <w:tcPr>
            <w:tcW w:w="1166" w:type="dxa"/>
            <w:tcBorders>
              <w:tl2br w:val="nil"/>
              <w:tr2bl w:val="nil"/>
            </w:tcBorders>
            <w:shd w:val="clear" w:color="auto" w:fill="auto"/>
            <w:vAlign w:val="center"/>
          </w:tcPr>
          <w:p w14:paraId="6288E36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透明水槽</w:t>
            </w:r>
          </w:p>
        </w:tc>
        <w:tc>
          <w:tcPr>
            <w:tcW w:w="8573" w:type="dxa"/>
            <w:tcBorders>
              <w:tl2br w:val="nil"/>
              <w:tr2bl w:val="nil"/>
            </w:tcBorders>
            <w:shd w:val="clear" w:color="auto" w:fill="auto"/>
            <w:vAlign w:val="center"/>
          </w:tcPr>
          <w:p w14:paraId="567D5E3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Φ200 mm×100 mm， 透明塑料制， 透光率≥85％， 壁厚≥2 mm</w:t>
            </w:r>
          </w:p>
        </w:tc>
        <w:tc>
          <w:tcPr>
            <w:tcW w:w="816" w:type="dxa"/>
            <w:tcBorders>
              <w:tl2br w:val="nil"/>
              <w:tr2bl w:val="nil"/>
            </w:tcBorders>
            <w:shd w:val="clear" w:color="auto" w:fill="auto"/>
            <w:vAlign w:val="center"/>
          </w:tcPr>
          <w:p w14:paraId="0595BC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94021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C3A39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9881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0714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88 </w:t>
            </w:r>
          </w:p>
        </w:tc>
        <w:tc>
          <w:tcPr>
            <w:tcW w:w="1166" w:type="dxa"/>
            <w:tcBorders>
              <w:tl2br w:val="nil"/>
              <w:tr2bl w:val="nil"/>
            </w:tcBorders>
            <w:shd w:val="clear" w:color="auto" w:fill="auto"/>
            <w:vAlign w:val="center"/>
          </w:tcPr>
          <w:p w14:paraId="7E5B31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透镜及其应用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实验器</w:t>
            </w:r>
          </w:p>
        </w:tc>
        <w:tc>
          <w:tcPr>
            <w:tcW w:w="8573" w:type="dxa"/>
            <w:tcBorders>
              <w:tl2br w:val="nil"/>
              <w:tr2bl w:val="nil"/>
            </w:tcBorders>
            <w:shd w:val="clear" w:color="auto" w:fill="auto"/>
            <w:vAlign w:val="center"/>
          </w:tcPr>
          <w:p w14:paraId="0E4F96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用于物理教学中了解透镜（凸透镜、凹透镜）的作用及其应用的实验。仪器由凸透镜、凹透镜、光具座、铜柄、毛玻璃、光屏、小手电等组成。</w:t>
            </w:r>
          </w:p>
        </w:tc>
        <w:tc>
          <w:tcPr>
            <w:tcW w:w="816" w:type="dxa"/>
            <w:tcBorders>
              <w:tl2br w:val="nil"/>
              <w:tr2bl w:val="nil"/>
            </w:tcBorders>
            <w:shd w:val="clear" w:color="auto" w:fill="auto"/>
            <w:vAlign w:val="center"/>
          </w:tcPr>
          <w:p w14:paraId="195238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C0BAA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0AAE0E9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7FDE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90D1F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89 </w:t>
            </w:r>
          </w:p>
        </w:tc>
        <w:tc>
          <w:tcPr>
            <w:tcW w:w="1166" w:type="dxa"/>
            <w:tcBorders>
              <w:tl2br w:val="nil"/>
              <w:tr2bl w:val="nil"/>
            </w:tcBorders>
            <w:shd w:val="clear" w:color="auto" w:fill="auto"/>
            <w:vAlign w:val="center"/>
          </w:tcPr>
          <w:p w14:paraId="7C9887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白光的色散与合成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4A7A386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用于中学演示白光的色散和七种色光合成白光的现象。仪器由棱镜、棱镜台、白屏和光源等组成。棱镜为重量火石玻璃，顶角为60°，折射率约为1.67，狭缝宽度为1.5mm。光源额定电压为6-8V。</w:t>
            </w:r>
          </w:p>
        </w:tc>
        <w:tc>
          <w:tcPr>
            <w:tcW w:w="816" w:type="dxa"/>
            <w:tcBorders>
              <w:tl2br w:val="nil"/>
              <w:tr2bl w:val="nil"/>
            </w:tcBorders>
            <w:shd w:val="clear" w:color="auto" w:fill="auto"/>
            <w:vAlign w:val="center"/>
          </w:tcPr>
          <w:p w14:paraId="660AA5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9543A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736D4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33A2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9C8A0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90 </w:t>
            </w:r>
          </w:p>
        </w:tc>
        <w:tc>
          <w:tcPr>
            <w:tcW w:w="1166" w:type="dxa"/>
            <w:tcBorders>
              <w:tl2br w:val="nil"/>
              <w:tr2bl w:val="nil"/>
            </w:tcBorders>
            <w:shd w:val="clear" w:color="auto" w:fill="auto"/>
            <w:vAlign w:val="center"/>
          </w:tcPr>
          <w:p w14:paraId="282E7B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光的三原色合成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实验器</w:t>
            </w:r>
          </w:p>
        </w:tc>
        <w:tc>
          <w:tcPr>
            <w:tcW w:w="8573" w:type="dxa"/>
            <w:tcBorders>
              <w:tl2br w:val="nil"/>
              <w:tr2bl w:val="nil"/>
            </w:tcBorders>
            <w:shd w:val="clear" w:color="auto" w:fill="auto"/>
            <w:vAlign w:val="center"/>
          </w:tcPr>
          <w:p w14:paraId="7236A35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几何光学演示实验仪器，用于中学物理课程中有关光的三原色合成教学实验中，供学生实验用。该仪器可以使学生直观了解三原色以及彩色电视机画面上的丰富色彩的来源，,使用方便,各色光亮度可以自行调节,可使用三节 AA电池或使用外接电源DC6V。三原色合成实验器的实验内容:1、红、绿、蓝三色光按不同比例混合可以产生各种色彩,因此我们把红、绿、蓝三种色光叫做色光的三原色。2、三原色合成实验器可以单独显示红、绿、蓝三原色;也可以分别显示红绿、红蓝、绿蓝二色光的混合色;还可以显示红、绿、蓝三色光的混合色。</w:t>
            </w:r>
          </w:p>
        </w:tc>
        <w:tc>
          <w:tcPr>
            <w:tcW w:w="816" w:type="dxa"/>
            <w:tcBorders>
              <w:tl2br w:val="nil"/>
              <w:tr2bl w:val="nil"/>
            </w:tcBorders>
            <w:shd w:val="clear" w:color="auto" w:fill="auto"/>
            <w:vAlign w:val="center"/>
          </w:tcPr>
          <w:p w14:paraId="3997A1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1821C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3428FBD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519E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03F7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91 </w:t>
            </w:r>
          </w:p>
        </w:tc>
        <w:tc>
          <w:tcPr>
            <w:tcW w:w="1166" w:type="dxa"/>
            <w:tcBorders>
              <w:tl2br w:val="nil"/>
              <w:tr2bl w:val="nil"/>
            </w:tcBorders>
            <w:shd w:val="clear" w:color="auto" w:fill="auto"/>
            <w:vAlign w:val="center"/>
          </w:tcPr>
          <w:p w14:paraId="23E543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光具盘</w:t>
            </w:r>
          </w:p>
        </w:tc>
        <w:tc>
          <w:tcPr>
            <w:tcW w:w="8573" w:type="dxa"/>
            <w:tcBorders>
              <w:tl2br w:val="nil"/>
              <w:tr2bl w:val="nil"/>
            </w:tcBorders>
            <w:shd w:val="clear" w:color="auto" w:fill="auto"/>
            <w:vAlign w:val="center"/>
          </w:tcPr>
          <w:p w14:paraId="524E7CE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几何光学演示实验仪器，用于中学物理课程中做几何光学的各种演示实验和学生分组实验，磁吸附式，由演示板、演示盘、光源、光栏及附件等组成。仪器构件及其性能要求：1、演示板：铝合金板正面喷白色无光漆，尺寸不小于660mm×240mm，附带五枚强磁力吸座。2、演示盘：直径不小于250mm的铝合金圆形板，正面喷白色无光漆，四个象限，每象限分别印制1度格值的刻度（0～90度）和10度格位的黑白间隔。3、光源：独立激光光源三只（外接6V稳压恒电源电压或电池），电压6～8V白炽光源一只（供白光的色散与合成和透镜成像用）。4、附件：梯形玻璃砖（85mm×25mm×15mm，含60°、45°角）、等腰直角棱透镜（边长50mm，厚15mm）、半圆柱透镜（半径35mm，厚15mm）、凹凸柱面镜（85mm×15mm×2mm，焦距为100mm、-100mm）、大双凸柱透镜（长110mm，焦距150mm）、小双凸柱透镜（长60mm，焦距100mm）、小双凹柱透镜（长60mm，焦距-100mm）、平面反射和漫反射镜（70mm×25mm×5mm）、正三棱镜（边长25mm，厚40mm）一对、双凸透镜（直径40mm，焦距100mm）、潜望模型镜、90°平面反射镜等。</w:t>
            </w:r>
          </w:p>
        </w:tc>
        <w:tc>
          <w:tcPr>
            <w:tcW w:w="816" w:type="dxa"/>
            <w:tcBorders>
              <w:tl2br w:val="nil"/>
              <w:tr2bl w:val="nil"/>
            </w:tcBorders>
            <w:shd w:val="clear" w:color="auto" w:fill="auto"/>
            <w:vAlign w:val="center"/>
          </w:tcPr>
          <w:p w14:paraId="060A9F6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FE268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A30F0E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00FB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1A35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92 </w:t>
            </w:r>
          </w:p>
        </w:tc>
        <w:tc>
          <w:tcPr>
            <w:tcW w:w="1166" w:type="dxa"/>
            <w:tcBorders>
              <w:tl2br w:val="nil"/>
              <w:tr2bl w:val="nil"/>
            </w:tcBorders>
            <w:shd w:val="clear" w:color="auto" w:fill="auto"/>
            <w:vAlign w:val="center"/>
          </w:tcPr>
          <w:p w14:paraId="309574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光具座</w:t>
            </w:r>
          </w:p>
        </w:tc>
        <w:tc>
          <w:tcPr>
            <w:tcW w:w="8573" w:type="dxa"/>
            <w:tcBorders>
              <w:tl2br w:val="nil"/>
              <w:tr2bl w:val="nil"/>
            </w:tcBorders>
            <w:shd w:val="clear" w:color="auto" w:fill="auto"/>
            <w:vAlign w:val="center"/>
          </w:tcPr>
          <w:p w14:paraId="3ED5451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光学实验仪器，用于物理光学实验中支承各种光学元件，可做研究透镜成像规律、焦距测定，适合学生分组实验用。仪器构件及其性能要求：1、导轨采用铝合金的单轨结构，表面经氧化处理，其上装有5个滑块，用于支承光学元件，要求可在滑杆上自由滑动或固定在任意位置上，附带刻度标尺，有效刻度不小于960mm。2、附件：光源筒（6V、3W），双凸透镜（φ40mm、f=100mm和φ30mm、f=50mm），平凸透镜（φ50mm、f=300mm），双凹透镜（φ30mm、f=-75mm），一字屏（不小于90mm×70mm），白色光屏（不小于100mm×80mm），毛玻璃（不小于120mm×80mm），烛台，插杆。</w:t>
            </w:r>
          </w:p>
        </w:tc>
        <w:tc>
          <w:tcPr>
            <w:tcW w:w="816" w:type="dxa"/>
            <w:tcBorders>
              <w:tl2br w:val="nil"/>
              <w:tr2bl w:val="nil"/>
            </w:tcBorders>
            <w:shd w:val="clear" w:color="auto" w:fill="auto"/>
            <w:vAlign w:val="center"/>
          </w:tcPr>
          <w:p w14:paraId="0B543A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F9597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3E8AAA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2B663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2354C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93 </w:t>
            </w:r>
          </w:p>
        </w:tc>
        <w:tc>
          <w:tcPr>
            <w:tcW w:w="1166" w:type="dxa"/>
            <w:tcBorders>
              <w:tl2br w:val="nil"/>
              <w:tr2bl w:val="nil"/>
            </w:tcBorders>
            <w:shd w:val="clear" w:color="auto" w:fill="auto"/>
            <w:vAlign w:val="center"/>
          </w:tcPr>
          <w:p w14:paraId="4260C5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擦镜纸</w:t>
            </w:r>
          </w:p>
        </w:tc>
        <w:tc>
          <w:tcPr>
            <w:tcW w:w="8573" w:type="dxa"/>
            <w:tcBorders>
              <w:tl2br w:val="nil"/>
              <w:tr2bl w:val="nil"/>
            </w:tcBorders>
            <w:shd w:val="clear" w:color="auto" w:fill="auto"/>
            <w:vAlign w:val="center"/>
          </w:tcPr>
          <w:p w14:paraId="58D9331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≥10cm×15 cm， 100张/本</w:t>
            </w:r>
          </w:p>
        </w:tc>
        <w:tc>
          <w:tcPr>
            <w:tcW w:w="816" w:type="dxa"/>
            <w:tcBorders>
              <w:tl2br w:val="nil"/>
              <w:tr2bl w:val="nil"/>
            </w:tcBorders>
            <w:shd w:val="clear" w:color="auto" w:fill="auto"/>
            <w:vAlign w:val="center"/>
          </w:tcPr>
          <w:p w14:paraId="6ECBCA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6EF6EE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46C5DF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73C00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9E70C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94 </w:t>
            </w:r>
          </w:p>
        </w:tc>
        <w:tc>
          <w:tcPr>
            <w:tcW w:w="1166" w:type="dxa"/>
            <w:tcBorders>
              <w:tl2br w:val="nil"/>
              <w:tr2bl w:val="nil"/>
            </w:tcBorders>
            <w:shd w:val="clear" w:color="auto" w:fill="auto"/>
            <w:vAlign w:val="center"/>
          </w:tcPr>
          <w:p w14:paraId="28F68C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玻棒(附丝绸)</w:t>
            </w:r>
          </w:p>
        </w:tc>
        <w:tc>
          <w:tcPr>
            <w:tcW w:w="8573" w:type="dxa"/>
            <w:tcBorders>
              <w:tl2br w:val="nil"/>
              <w:tr2bl w:val="nil"/>
            </w:tcBorders>
            <w:shd w:val="clear" w:color="auto" w:fill="auto"/>
            <w:vAlign w:val="center"/>
          </w:tcPr>
          <w:p w14:paraId="17445D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用于摩擦起电实验中，二支为一对，采用亲水性差的有机玻璃棒，附丝绸一块，玻棒手持端较细（直径≥6mm），起电端较粗（直径≥10mm），玻棒整体长≥295mm。</w:t>
            </w:r>
          </w:p>
        </w:tc>
        <w:tc>
          <w:tcPr>
            <w:tcW w:w="816" w:type="dxa"/>
            <w:tcBorders>
              <w:tl2br w:val="nil"/>
              <w:tr2bl w:val="nil"/>
            </w:tcBorders>
            <w:shd w:val="clear" w:color="auto" w:fill="auto"/>
            <w:vAlign w:val="center"/>
          </w:tcPr>
          <w:p w14:paraId="692E99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3A7B4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41E946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24A53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3AC53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95 </w:t>
            </w:r>
          </w:p>
        </w:tc>
        <w:tc>
          <w:tcPr>
            <w:tcW w:w="1166" w:type="dxa"/>
            <w:tcBorders>
              <w:tl2br w:val="nil"/>
              <w:tr2bl w:val="nil"/>
            </w:tcBorders>
            <w:shd w:val="clear" w:color="auto" w:fill="auto"/>
            <w:vAlign w:val="center"/>
          </w:tcPr>
          <w:p w14:paraId="5B56F2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胶棒(附毛皮)</w:t>
            </w:r>
          </w:p>
        </w:tc>
        <w:tc>
          <w:tcPr>
            <w:tcW w:w="8573" w:type="dxa"/>
            <w:tcBorders>
              <w:tl2br w:val="nil"/>
              <w:tr2bl w:val="nil"/>
            </w:tcBorders>
            <w:shd w:val="clear" w:color="auto" w:fill="auto"/>
            <w:vAlign w:val="center"/>
          </w:tcPr>
          <w:p w14:paraId="3B5C9C2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用于摩擦起电实验中，二支为一对，采用亲水性差的聚氯乙烯棒，附尼龙绸一块，胶棒手持端较细（直径≥6mm），起电端较粗（直径≥10mm），玻棒整体长≥295mm。</w:t>
            </w:r>
          </w:p>
        </w:tc>
        <w:tc>
          <w:tcPr>
            <w:tcW w:w="816" w:type="dxa"/>
            <w:tcBorders>
              <w:tl2br w:val="nil"/>
              <w:tr2bl w:val="nil"/>
            </w:tcBorders>
            <w:shd w:val="clear" w:color="auto" w:fill="auto"/>
            <w:vAlign w:val="center"/>
          </w:tcPr>
          <w:p w14:paraId="2A4B4A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72290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772A981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48EDC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64E1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96 </w:t>
            </w:r>
          </w:p>
        </w:tc>
        <w:tc>
          <w:tcPr>
            <w:tcW w:w="1166" w:type="dxa"/>
            <w:tcBorders>
              <w:tl2br w:val="nil"/>
              <w:tr2bl w:val="nil"/>
            </w:tcBorders>
            <w:shd w:val="clear" w:color="auto" w:fill="auto"/>
            <w:vAlign w:val="center"/>
          </w:tcPr>
          <w:p w14:paraId="3375C16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电磁实验用旋转架</w:t>
            </w:r>
          </w:p>
        </w:tc>
        <w:tc>
          <w:tcPr>
            <w:tcW w:w="8573" w:type="dxa"/>
            <w:tcBorders>
              <w:tl2br w:val="nil"/>
              <w:tr2bl w:val="nil"/>
            </w:tcBorders>
            <w:shd w:val="clear" w:color="auto" w:fill="auto"/>
            <w:vAlign w:val="center"/>
          </w:tcPr>
          <w:p w14:paraId="5AAD03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由底座、 转轴和转台等组成。 转台应采用静电绝缘材料制成， 转台内应有一凹槽； 凹槽宽度应≥15 mm， 凹槽深度应≥8 mm， 凹槽长度应≥35 mm； 转台应能作 360° 旋转</w:t>
            </w:r>
          </w:p>
        </w:tc>
        <w:tc>
          <w:tcPr>
            <w:tcW w:w="816" w:type="dxa"/>
            <w:tcBorders>
              <w:tl2br w:val="nil"/>
              <w:tr2bl w:val="nil"/>
            </w:tcBorders>
            <w:shd w:val="clear" w:color="auto" w:fill="auto"/>
            <w:vAlign w:val="center"/>
          </w:tcPr>
          <w:p w14:paraId="2EEC70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4ECAF3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6B6C68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CC40F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59FA2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97 </w:t>
            </w:r>
          </w:p>
        </w:tc>
        <w:tc>
          <w:tcPr>
            <w:tcW w:w="1166" w:type="dxa"/>
            <w:tcBorders>
              <w:tl2br w:val="nil"/>
              <w:tr2bl w:val="nil"/>
            </w:tcBorders>
            <w:shd w:val="clear" w:color="auto" w:fill="auto"/>
            <w:vAlign w:val="center"/>
          </w:tcPr>
          <w:p w14:paraId="1B3F3E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验电器连接杆</w:t>
            </w:r>
          </w:p>
        </w:tc>
        <w:tc>
          <w:tcPr>
            <w:tcW w:w="8573" w:type="dxa"/>
            <w:tcBorders>
              <w:tl2br w:val="nil"/>
              <w:tr2bl w:val="nil"/>
            </w:tcBorders>
            <w:shd w:val="clear" w:color="auto" w:fill="auto"/>
            <w:vAlign w:val="center"/>
          </w:tcPr>
          <w:p w14:paraId="7A557F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含导电杆、 绝缘手柄等。 导电杆直径≥2 mm长度≥250 mm； 绝缘柄直径≥10 mm， 长度≥150 mm</w:t>
            </w:r>
          </w:p>
        </w:tc>
        <w:tc>
          <w:tcPr>
            <w:tcW w:w="816" w:type="dxa"/>
            <w:tcBorders>
              <w:tl2br w:val="nil"/>
              <w:tr2bl w:val="nil"/>
            </w:tcBorders>
            <w:shd w:val="clear" w:color="auto" w:fill="auto"/>
            <w:vAlign w:val="center"/>
          </w:tcPr>
          <w:p w14:paraId="4B5A3B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509BF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86DB1C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7273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40D50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98 </w:t>
            </w:r>
          </w:p>
        </w:tc>
        <w:tc>
          <w:tcPr>
            <w:tcW w:w="1166" w:type="dxa"/>
            <w:tcBorders>
              <w:tl2br w:val="nil"/>
              <w:tr2bl w:val="nil"/>
            </w:tcBorders>
            <w:shd w:val="clear" w:color="auto" w:fill="auto"/>
            <w:vAlign w:val="center"/>
          </w:tcPr>
          <w:p w14:paraId="46A308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箔片验电器</w:t>
            </w:r>
          </w:p>
        </w:tc>
        <w:tc>
          <w:tcPr>
            <w:tcW w:w="8573" w:type="dxa"/>
            <w:tcBorders>
              <w:tl2br w:val="nil"/>
              <w:tr2bl w:val="nil"/>
            </w:tcBorders>
            <w:shd w:val="clear" w:color="auto" w:fill="auto"/>
            <w:vAlign w:val="center"/>
          </w:tcPr>
          <w:p w14:paraId="754408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学仪器，用于物理教学实验中检验物体是否带电，带正电还是带负电。该仪器由长方形金属筒、铁板底座、透明玻璃（前）、毛玻璃（后）、绝缘子、镀铬金属杆。镀铬金属杆穿过绝缘子中心插进矩形筒中，金属杆上端装有金属球，下端两片金属箔，金属筒规格不小于150mm×120mm×60mm。</w:t>
            </w:r>
          </w:p>
        </w:tc>
        <w:tc>
          <w:tcPr>
            <w:tcW w:w="816" w:type="dxa"/>
            <w:tcBorders>
              <w:tl2br w:val="nil"/>
              <w:tr2bl w:val="nil"/>
            </w:tcBorders>
            <w:shd w:val="clear" w:color="auto" w:fill="auto"/>
            <w:vAlign w:val="center"/>
          </w:tcPr>
          <w:p w14:paraId="7F4C24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078F8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16D26D0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821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A0B7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99 </w:t>
            </w:r>
          </w:p>
        </w:tc>
        <w:tc>
          <w:tcPr>
            <w:tcW w:w="1166" w:type="dxa"/>
            <w:tcBorders>
              <w:tl2br w:val="nil"/>
              <w:tr2bl w:val="nil"/>
            </w:tcBorders>
            <w:shd w:val="clear" w:color="auto" w:fill="auto"/>
            <w:vAlign w:val="center"/>
          </w:tcPr>
          <w:p w14:paraId="0DFDFD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指针验电器</w:t>
            </w:r>
          </w:p>
        </w:tc>
        <w:tc>
          <w:tcPr>
            <w:tcW w:w="8573" w:type="dxa"/>
            <w:tcBorders>
              <w:tl2br w:val="nil"/>
              <w:tr2bl w:val="nil"/>
            </w:tcBorders>
            <w:shd w:val="clear" w:color="auto" w:fill="auto"/>
            <w:vAlign w:val="center"/>
          </w:tcPr>
          <w:p w14:paraId="3133B15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学实验器材，用于物理教学实验中检验物体是否带电，带正电还是带负电，由底座、金属圆筒、绝缘套、金属杆、指针架、指针和接地接线柱组成。金属直筒直径不小于170mm，底座由直径5mm的钢条锻压成“M”形结构。仪器结构为在圆底座上装着一个金属圆筒，圆筒的前面装有透明玻璃，后面装有附标线的毛玻璃，上壁装有绝缘套筒，一根金属杆穿过套筒，插入圆筒内，金属杆下部装有竖直的指针架，一根指针装在指针架的水平轴上，并可绕轴灵活转动，圆筒下壁一侧装有一个接线柱，用来外壳接地。</w:t>
            </w:r>
          </w:p>
        </w:tc>
        <w:tc>
          <w:tcPr>
            <w:tcW w:w="816" w:type="dxa"/>
            <w:tcBorders>
              <w:tl2br w:val="nil"/>
              <w:tr2bl w:val="nil"/>
            </w:tcBorders>
            <w:shd w:val="clear" w:color="auto" w:fill="auto"/>
            <w:vAlign w:val="center"/>
          </w:tcPr>
          <w:p w14:paraId="0CA0E1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A8E1AB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17122B5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D268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C3A04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 </w:t>
            </w:r>
          </w:p>
        </w:tc>
        <w:tc>
          <w:tcPr>
            <w:tcW w:w="1166" w:type="dxa"/>
            <w:tcBorders>
              <w:tl2br w:val="nil"/>
              <w:tr2bl w:val="nil"/>
            </w:tcBorders>
            <w:shd w:val="clear" w:color="auto" w:fill="auto"/>
            <w:vAlign w:val="center"/>
          </w:tcPr>
          <w:p w14:paraId="6A5B533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条形磁铁</w:t>
            </w:r>
          </w:p>
        </w:tc>
        <w:tc>
          <w:tcPr>
            <w:tcW w:w="8573" w:type="dxa"/>
            <w:tcBorders>
              <w:tl2br w:val="nil"/>
              <w:tr2bl w:val="nil"/>
            </w:tcBorders>
            <w:shd w:val="clear" w:color="auto" w:fill="auto"/>
            <w:vAlign w:val="center"/>
          </w:tcPr>
          <w:p w14:paraId="18B1285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仪器，在电磁学里作为磁场源使用，铝镍钴磁铁材质，北极（N）为红色、南极（S）标注为蓝色或白色，D-CG-LT-180，每套两个，尺寸规格不小于175mm×25mm×13mm，要求其磁感应强度（表面）≥0.06T，矫顽力≥50KA/m，重约1kg，符合教育部标准JY0057-94《教学磁钢》的要求。</w:t>
            </w:r>
          </w:p>
        </w:tc>
        <w:tc>
          <w:tcPr>
            <w:tcW w:w="816" w:type="dxa"/>
            <w:tcBorders>
              <w:tl2br w:val="nil"/>
              <w:tr2bl w:val="nil"/>
            </w:tcBorders>
            <w:shd w:val="clear" w:color="auto" w:fill="auto"/>
            <w:vAlign w:val="center"/>
          </w:tcPr>
          <w:p w14:paraId="3D2F1F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6AFF8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对</w:t>
            </w:r>
          </w:p>
        </w:tc>
        <w:tc>
          <w:tcPr>
            <w:tcW w:w="2796" w:type="dxa"/>
            <w:tcBorders>
              <w:tl2br w:val="nil"/>
              <w:tr2bl w:val="nil"/>
            </w:tcBorders>
            <w:shd w:val="clear" w:color="auto" w:fill="auto"/>
            <w:vAlign w:val="center"/>
          </w:tcPr>
          <w:p w14:paraId="14B5B6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182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3002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101 </w:t>
            </w:r>
          </w:p>
        </w:tc>
        <w:tc>
          <w:tcPr>
            <w:tcW w:w="1166" w:type="dxa"/>
            <w:tcBorders>
              <w:tl2br w:val="nil"/>
              <w:tr2bl w:val="nil"/>
            </w:tcBorders>
            <w:shd w:val="clear" w:color="auto" w:fill="auto"/>
            <w:vAlign w:val="center"/>
          </w:tcPr>
          <w:p w14:paraId="15A02F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蹄形磁铁</w:t>
            </w:r>
          </w:p>
        </w:tc>
        <w:tc>
          <w:tcPr>
            <w:tcW w:w="8573" w:type="dxa"/>
            <w:tcBorders>
              <w:tl2br w:val="nil"/>
              <w:tr2bl w:val="nil"/>
            </w:tcBorders>
            <w:shd w:val="clear" w:color="auto" w:fill="auto"/>
            <w:vAlign w:val="center"/>
          </w:tcPr>
          <w:p w14:paraId="22574C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仪器，在电磁学里作为磁场源使用，铝镍钴磁铁材质，配有铁制衔铁，北极（N）为红色、南极（S）标注为蓝色或白色，D-CG-LU-100，尺寸规格不小于75mm×55mm×13mm，横截面积不小于200平方毫米，磁感应强度（表面）≥0.055T，矫顽力≥50KA/m，重约0.25kg</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33A0C2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3A827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718452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2C0B6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8E62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102 </w:t>
            </w:r>
          </w:p>
        </w:tc>
        <w:tc>
          <w:tcPr>
            <w:tcW w:w="1166" w:type="dxa"/>
            <w:tcBorders>
              <w:tl2br w:val="nil"/>
              <w:tr2bl w:val="nil"/>
            </w:tcBorders>
            <w:shd w:val="clear" w:color="auto" w:fill="auto"/>
            <w:vAlign w:val="center"/>
          </w:tcPr>
          <w:p w14:paraId="59C7D9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翼形磁针</w:t>
            </w:r>
          </w:p>
        </w:tc>
        <w:tc>
          <w:tcPr>
            <w:tcW w:w="8573" w:type="dxa"/>
            <w:tcBorders>
              <w:tl2br w:val="nil"/>
              <w:tr2bl w:val="nil"/>
            </w:tcBorders>
            <w:shd w:val="clear" w:color="auto" w:fill="auto"/>
            <w:vAlign w:val="center"/>
          </w:tcPr>
          <w:p w14:paraId="49C0851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磁学仪器，用于演示磁体的指向性和磁极的相互作用，由翼形针体和支座两部分，即在圆形底座（不小于￠70mm）的中心立一支杆（不小于90mm），柱顶装有针尖以支持磁针（不小于140mm），磁针可绕竖直支柱自由转动。翼型针为金属制，经磁化，北极为红色、南极为蓝色或白色。</w:t>
            </w:r>
          </w:p>
        </w:tc>
        <w:tc>
          <w:tcPr>
            <w:tcW w:w="816" w:type="dxa"/>
            <w:tcBorders>
              <w:tl2br w:val="nil"/>
              <w:tr2bl w:val="nil"/>
            </w:tcBorders>
            <w:shd w:val="clear" w:color="auto" w:fill="auto"/>
            <w:vAlign w:val="center"/>
          </w:tcPr>
          <w:p w14:paraId="598F53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283697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7C8560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37A6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F9408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103 </w:t>
            </w:r>
          </w:p>
        </w:tc>
        <w:tc>
          <w:tcPr>
            <w:tcW w:w="1166" w:type="dxa"/>
            <w:tcBorders>
              <w:tl2br w:val="nil"/>
              <w:tr2bl w:val="nil"/>
            </w:tcBorders>
            <w:shd w:val="clear" w:color="auto" w:fill="auto"/>
            <w:vAlign w:val="center"/>
          </w:tcPr>
          <w:p w14:paraId="3D36DC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菱形小磁针</w:t>
            </w:r>
          </w:p>
        </w:tc>
        <w:tc>
          <w:tcPr>
            <w:tcW w:w="8573" w:type="dxa"/>
            <w:tcBorders>
              <w:tl2br w:val="nil"/>
              <w:tr2bl w:val="nil"/>
            </w:tcBorders>
            <w:shd w:val="clear" w:color="auto" w:fill="auto"/>
            <w:vAlign w:val="center"/>
          </w:tcPr>
          <w:p w14:paraId="3A39EDF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磁学仪器，用于演示磁体的指向性和磁极的相互作用。每套16个，带底座。</w:t>
            </w:r>
          </w:p>
        </w:tc>
        <w:tc>
          <w:tcPr>
            <w:tcW w:w="816" w:type="dxa"/>
            <w:tcBorders>
              <w:tl2br w:val="nil"/>
              <w:tr2bl w:val="nil"/>
            </w:tcBorders>
            <w:shd w:val="clear" w:color="auto" w:fill="auto"/>
            <w:vAlign w:val="center"/>
          </w:tcPr>
          <w:p w14:paraId="61F778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8BABC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477E1FE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1307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7AA7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104 </w:t>
            </w:r>
          </w:p>
        </w:tc>
        <w:tc>
          <w:tcPr>
            <w:tcW w:w="1166" w:type="dxa"/>
            <w:tcBorders>
              <w:tl2br w:val="nil"/>
              <w:tr2bl w:val="nil"/>
            </w:tcBorders>
            <w:shd w:val="clear" w:color="auto" w:fill="auto"/>
            <w:vAlign w:val="center"/>
          </w:tcPr>
          <w:p w14:paraId="28221D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磁感线演示器</w:t>
            </w:r>
          </w:p>
        </w:tc>
        <w:tc>
          <w:tcPr>
            <w:tcW w:w="8573" w:type="dxa"/>
            <w:tcBorders>
              <w:tl2br w:val="nil"/>
              <w:tr2bl w:val="nil"/>
            </w:tcBorders>
            <w:shd w:val="clear" w:color="auto" w:fill="auto"/>
            <w:vAlign w:val="center"/>
          </w:tcPr>
          <w:p w14:paraId="443A373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磁学教学演示器，用于中学物理磁场教学，演示磁场周围空间各个点的磁场方向及磁感线方向和磁感线的形成。仪器由数片互为60°夹角竖立的透明塑料片组成，每片铆有软铁小指针两端固定，配备蹄型和条型磁铁，装上磁铁后，轻击塑料片，小指针受磁场影响被磁化，显示磁感线分布立体空间形状。</w:t>
            </w:r>
          </w:p>
        </w:tc>
        <w:tc>
          <w:tcPr>
            <w:tcW w:w="816" w:type="dxa"/>
            <w:tcBorders>
              <w:tl2br w:val="nil"/>
              <w:tr2bl w:val="nil"/>
            </w:tcBorders>
            <w:shd w:val="clear" w:color="auto" w:fill="auto"/>
            <w:vAlign w:val="center"/>
          </w:tcPr>
          <w:p w14:paraId="08EC0DA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FA10E3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439A53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D0E40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0EA2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105 </w:t>
            </w:r>
          </w:p>
        </w:tc>
        <w:tc>
          <w:tcPr>
            <w:tcW w:w="1166" w:type="dxa"/>
            <w:tcBorders>
              <w:tl2br w:val="nil"/>
              <w:tr2bl w:val="nil"/>
            </w:tcBorders>
            <w:shd w:val="clear" w:color="auto" w:fill="auto"/>
            <w:vAlign w:val="center"/>
          </w:tcPr>
          <w:p w14:paraId="5F2F82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立体磁感线演示器</w:t>
            </w:r>
          </w:p>
        </w:tc>
        <w:tc>
          <w:tcPr>
            <w:tcW w:w="8573" w:type="dxa"/>
            <w:tcBorders>
              <w:tl2br w:val="nil"/>
              <w:tr2bl w:val="nil"/>
            </w:tcBorders>
            <w:shd w:val="clear" w:color="auto" w:fill="auto"/>
            <w:vAlign w:val="center"/>
          </w:tcPr>
          <w:p w14:paraId="01574FD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中学物理磁学仪器，用于中学物理磁场教学，演示磁场周围空间各个点磁场和磁感线的形成，由有机玻璃外壳、圆柱形磁铁和铁粉等组成。有机玻璃外壳可折叠，。</w:t>
            </w:r>
          </w:p>
        </w:tc>
        <w:tc>
          <w:tcPr>
            <w:tcW w:w="816" w:type="dxa"/>
            <w:tcBorders>
              <w:tl2br w:val="nil"/>
              <w:tr2bl w:val="nil"/>
            </w:tcBorders>
            <w:shd w:val="clear" w:color="auto" w:fill="auto"/>
            <w:vAlign w:val="center"/>
          </w:tcPr>
          <w:p w14:paraId="52F9C6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5B739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FBC88A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EED1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A91F2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106 </w:t>
            </w:r>
          </w:p>
        </w:tc>
        <w:tc>
          <w:tcPr>
            <w:tcW w:w="1166" w:type="dxa"/>
            <w:tcBorders>
              <w:tl2br w:val="nil"/>
              <w:tr2bl w:val="nil"/>
            </w:tcBorders>
            <w:shd w:val="clear" w:color="auto" w:fill="auto"/>
            <w:vAlign w:val="center"/>
          </w:tcPr>
          <w:p w14:paraId="65A19E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磁感线演示板</w:t>
            </w:r>
          </w:p>
        </w:tc>
        <w:tc>
          <w:tcPr>
            <w:tcW w:w="8573" w:type="dxa"/>
            <w:tcBorders>
              <w:tl2br w:val="nil"/>
              <w:tr2bl w:val="nil"/>
            </w:tcBorders>
            <w:shd w:val="clear" w:color="auto" w:fill="auto"/>
            <w:vAlign w:val="center"/>
          </w:tcPr>
          <w:p w14:paraId="405048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磁学仪器，用于中学物理教学中观察永磁体与电流磁场的磁感线的形状、方向及学习右手定则，要求使用方便、通用性强、效果明显，可以与投影仪配合使用。演示板由透明穴板、投影方架、方线圈、圆线圈、螺线管、亥姆霍兹线圈、铁芯板、投影磁针、透明字标等构成。透明穴板共三块，可拼接在注塑成形的方形框架上面，上面带有按一定方式排列的圆穴，穴中封有经过处理的小铁棒。方线圈、圆线圈的额定电流为3A，螺线管的工作电流为2.5A。投影磁针标有N极（红色）。</w:t>
            </w:r>
          </w:p>
        </w:tc>
        <w:tc>
          <w:tcPr>
            <w:tcW w:w="816" w:type="dxa"/>
            <w:tcBorders>
              <w:tl2br w:val="nil"/>
              <w:tr2bl w:val="nil"/>
            </w:tcBorders>
            <w:shd w:val="clear" w:color="auto" w:fill="auto"/>
            <w:vAlign w:val="center"/>
          </w:tcPr>
          <w:p w14:paraId="4E823CF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069AB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DC9CB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29361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E45A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107 </w:t>
            </w:r>
          </w:p>
        </w:tc>
        <w:tc>
          <w:tcPr>
            <w:tcW w:w="1166" w:type="dxa"/>
            <w:tcBorders>
              <w:tl2br w:val="nil"/>
              <w:tr2bl w:val="nil"/>
            </w:tcBorders>
            <w:shd w:val="clear" w:color="auto" w:fill="auto"/>
            <w:vAlign w:val="center"/>
          </w:tcPr>
          <w:p w14:paraId="1902DA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电流磁场演示器</w:t>
            </w:r>
          </w:p>
        </w:tc>
        <w:tc>
          <w:tcPr>
            <w:tcW w:w="8573" w:type="dxa"/>
            <w:tcBorders>
              <w:tl2br w:val="nil"/>
              <w:tr2bl w:val="nil"/>
            </w:tcBorders>
            <w:shd w:val="clear" w:color="auto" w:fill="auto"/>
            <w:vAlign w:val="center"/>
          </w:tcPr>
          <w:p w14:paraId="6FD969D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磁学演示仪器，用于中学物理教学中观察电流磁场的磁场方向、磁场分布状况及学习右手定则，要求使用方便、演示直观，可以配合投影仪做演示效果。仪器由透明底座、方线圈、圆线圈、螺线管等组成，底座规格不小于170×130×40mm、方线圈规格约为60×60mm、圆线圈规格约为直径不小于45mm、螺线管规格约为直径不小于45mm，均采用优质铜线缠绕而成。</w:t>
            </w:r>
          </w:p>
        </w:tc>
        <w:tc>
          <w:tcPr>
            <w:tcW w:w="816" w:type="dxa"/>
            <w:tcBorders>
              <w:tl2br w:val="nil"/>
              <w:tr2bl w:val="nil"/>
            </w:tcBorders>
            <w:shd w:val="clear" w:color="auto" w:fill="auto"/>
            <w:vAlign w:val="center"/>
          </w:tcPr>
          <w:p w14:paraId="1780E7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E11AC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EF452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6AA84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B73FA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108 </w:t>
            </w:r>
          </w:p>
        </w:tc>
        <w:tc>
          <w:tcPr>
            <w:tcW w:w="1166" w:type="dxa"/>
            <w:tcBorders>
              <w:tl2br w:val="nil"/>
              <w:tr2bl w:val="nil"/>
            </w:tcBorders>
            <w:shd w:val="clear" w:color="auto" w:fill="auto"/>
            <w:vAlign w:val="center"/>
          </w:tcPr>
          <w:p w14:paraId="2A9FA2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蹄形电磁铁</w:t>
            </w:r>
          </w:p>
        </w:tc>
        <w:tc>
          <w:tcPr>
            <w:tcW w:w="8573" w:type="dxa"/>
            <w:tcBorders>
              <w:tl2br w:val="nil"/>
              <w:tr2bl w:val="nil"/>
            </w:tcBorders>
            <w:shd w:val="clear" w:color="auto" w:fill="auto"/>
            <w:vAlign w:val="center"/>
          </w:tcPr>
          <w:p w14:paraId="681CC9A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中学物理电磁学教学演示仪器，用于演示电磁铁的原理和应用，带挂钩的铁芯、铜芯线圈、带挂钩的衔铁等组成。</w:t>
            </w:r>
          </w:p>
        </w:tc>
        <w:tc>
          <w:tcPr>
            <w:tcW w:w="816" w:type="dxa"/>
            <w:tcBorders>
              <w:tl2br w:val="nil"/>
              <w:tr2bl w:val="nil"/>
            </w:tcBorders>
            <w:shd w:val="clear" w:color="auto" w:fill="auto"/>
            <w:vAlign w:val="center"/>
          </w:tcPr>
          <w:p w14:paraId="440C17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5C571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9E7B7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53F9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A5357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109 </w:t>
            </w:r>
          </w:p>
        </w:tc>
        <w:tc>
          <w:tcPr>
            <w:tcW w:w="1166" w:type="dxa"/>
            <w:tcBorders>
              <w:tl2br w:val="nil"/>
              <w:tr2bl w:val="nil"/>
            </w:tcBorders>
            <w:shd w:val="clear" w:color="auto" w:fill="auto"/>
            <w:vAlign w:val="center"/>
          </w:tcPr>
          <w:p w14:paraId="7CBE15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原副线圈</w:t>
            </w:r>
          </w:p>
        </w:tc>
        <w:tc>
          <w:tcPr>
            <w:tcW w:w="8573" w:type="dxa"/>
            <w:tcBorders>
              <w:tl2br w:val="nil"/>
              <w:tr2bl w:val="nil"/>
            </w:tcBorders>
            <w:shd w:val="clear" w:color="auto" w:fill="auto"/>
            <w:vAlign w:val="center"/>
          </w:tcPr>
          <w:p w14:paraId="12E7A3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中学物理电磁学实验仪器，用于中学物理电磁感应和验证楞次定律的学生分组实验，可做螺线管实验，由原线圈（内径11mm，外径15mm，不少于200匝）、副线圈（内径24mm，外径30mm，不少于370匝）、软铁蕊组成。</w:t>
            </w:r>
          </w:p>
        </w:tc>
        <w:tc>
          <w:tcPr>
            <w:tcW w:w="816" w:type="dxa"/>
            <w:tcBorders>
              <w:tl2br w:val="nil"/>
              <w:tr2bl w:val="nil"/>
            </w:tcBorders>
            <w:shd w:val="clear" w:color="auto" w:fill="auto"/>
            <w:vAlign w:val="center"/>
          </w:tcPr>
          <w:p w14:paraId="5880F45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D2A2B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1453D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2DC00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6C00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110 </w:t>
            </w:r>
          </w:p>
        </w:tc>
        <w:tc>
          <w:tcPr>
            <w:tcW w:w="1166" w:type="dxa"/>
            <w:tcBorders>
              <w:tl2br w:val="nil"/>
              <w:tr2bl w:val="nil"/>
            </w:tcBorders>
            <w:shd w:val="clear" w:color="auto" w:fill="auto"/>
            <w:vAlign w:val="center"/>
          </w:tcPr>
          <w:p w14:paraId="609648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充磁器</w:t>
            </w:r>
          </w:p>
        </w:tc>
        <w:tc>
          <w:tcPr>
            <w:tcW w:w="8573" w:type="dxa"/>
            <w:tcBorders>
              <w:tl2br w:val="nil"/>
              <w:tr2bl w:val="nil"/>
            </w:tcBorders>
            <w:shd w:val="clear" w:color="auto" w:fill="auto"/>
            <w:vAlign w:val="center"/>
          </w:tcPr>
          <w:p w14:paraId="2BBA1F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中学物理实验室常备工具，用于实验室中对磁性物体进行充磁和退磁，由电磁铁、多种形状的铁块加上激磁电流装置构成，要求可实现一键快速充磁或消磁。</w:t>
            </w:r>
          </w:p>
        </w:tc>
        <w:tc>
          <w:tcPr>
            <w:tcW w:w="816" w:type="dxa"/>
            <w:tcBorders>
              <w:tl2br w:val="nil"/>
              <w:tr2bl w:val="nil"/>
            </w:tcBorders>
            <w:shd w:val="clear" w:color="auto" w:fill="auto"/>
            <w:vAlign w:val="center"/>
          </w:tcPr>
          <w:p w14:paraId="7BAD94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B05869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7E59714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79EF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5F22F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111 </w:t>
            </w:r>
          </w:p>
        </w:tc>
        <w:tc>
          <w:tcPr>
            <w:tcW w:w="1166" w:type="dxa"/>
            <w:tcBorders>
              <w:tl2br w:val="nil"/>
              <w:tr2bl w:val="nil"/>
            </w:tcBorders>
            <w:shd w:val="clear" w:color="auto" w:fill="auto"/>
            <w:vAlign w:val="center"/>
          </w:tcPr>
          <w:p w14:paraId="0BE5A3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演示电磁继电器</w:t>
            </w:r>
          </w:p>
        </w:tc>
        <w:tc>
          <w:tcPr>
            <w:tcW w:w="8573" w:type="dxa"/>
            <w:tcBorders>
              <w:tl2br w:val="nil"/>
              <w:tr2bl w:val="nil"/>
            </w:tcBorders>
            <w:shd w:val="clear" w:color="auto" w:fill="auto"/>
            <w:vAlign w:val="center"/>
          </w:tcPr>
          <w:p w14:paraId="0693864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教学中研究电磁继电器基本结构及工作原理。仪器主要由电磁系统和触点系统两部分组成，电磁系统包括：电磁线圈、铁芯、轭铁、衔铁，触点系统包括：常开、常闭触点各一对。外接工作电压DC9V，工作电流60±10mA，吸合电流不大于48mA，释放电流不小于10mA，外型尺寸约为200mm×90mm×230mm，重约1kg。</w:t>
            </w:r>
          </w:p>
        </w:tc>
        <w:tc>
          <w:tcPr>
            <w:tcW w:w="816" w:type="dxa"/>
            <w:tcBorders>
              <w:tl2br w:val="nil"/>
              <w:tr2bl w:val="nil"/>
            </w:tcBorders>
            <w:shd w:val="clear" w:color="auto" w:fill="auto"/>
            <w:vAlign w:val="center"/>
          </w:tcPr>
          <w:p w14:paraId="4343DE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8219E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83E058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48CA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7E88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112 </w:t>
            </w:r>
          </w:p>
        </w:tc>
        <w:tc>
          <w:tcPr>
            <w:tcW w:w="1166" w:type="dxa"/>
            <w:tcBorders>
              <w:tl2br w:val="nil"/>
              <w:tr2bl w:val="nil"/>
            </w:tcBorders>
            <w:shd w:val="clear" w:color="auto" w:fill="auto"/>
            <w:vAlign w:val="center"/>
          </w:tcPr>
          <w:p w14:paraId="0800A3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方形线圈</w:t>
            </w:r>
          </w:p>
        </w:tc>
        <w:tc>
          <w:tcPr>
            <w:tcW w:w="8573" w:type="dxa"/>
            <w:tcBorders>
              <w:tl2br w:val="nil"/>
              <w:tr2bl w:val="nil"/>
            </w:tcBorders>
            <w:shd w:val="clear" w:color="auto" w:fill="auto"/>
            <w:vAlign w:val="center"/>
          </w:tcPr>
          <w:p w14:paraId="2E040EB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非金属材料正方形框架； 线圈应由直径Φ0.41 mmQZ 型漆包线绕 150 匝以上制成， 线圈边长为 63 mm±3 mm； 线圈引线为截面积为 0.20 mm2～0.25 mm2、 长 320 mm 的多股软线， 线端接线叉； 接线棒由绝缘材料制成，长度 150 mm～160 mm， 安装红、 黑接插两用接线柱， 两接线柱的间距等于线圈宽度； 接线棒固定端外径 10 mm， 能固定在方座支架的垂直夹上</w:t>
            </w:r>
          </w:p>
        </w:tc>
        <w:tc>
          <w:tcPr>
            <w:tcW w:w="816" w:type="dxa"/>
            <w:tcBorders>
              <w:tl2br w:val="nil"/>
              <w:tr2bl w:val="nil"/>
            </w:tcBorders>
            <w:shd w:val="clear" w:color="auto" w:fill="auto"/>
            <w:vAlign w:val="center"/>
          </w:tcPr>
          <w:p w14:paraId="03DA805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7A406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276072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2D102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4F8C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113 </w:t>
            </w:r>
          </w:p>
        </w:tc>
        <w:tc>
          <w:tcPr>
            <w:tcW w:w="1166" w:type="dxa"/>
            <w:tcBorders>
              <w:tl2br w:val="nil"/>
              <w:tr2bl w:val="nil"/>
            </w:tcBorders>
            <w:shd w:val="clear" w:color="auto" w:fill="auto"/>
            <w:vAlign w:val="center"/>
          </w:tcPr>
          <w:p w14:paraId="3EB7E8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手摇交直流发电机</w:t>
            </w:r>
          </w:p>
        </w:tc>
        <w:tc>
          <w:tcPr>
            <w:tcW w:w="8573" w:type="dxa"/>
            <w:tcBorders>
              <w:tl2br w:val="nil"/>
              <w:tr2bl w:val="nil"/>
            </w:tcBorders>
            <w:shd w:val="clear" w:color="auto" w:fill="auto"/>
            <w:vAlign w:val="center"/>
          </w:tcPr>
          <w:p w14:paraId="5A402D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磁学器材，用于中学物理演示交直流发电机的结构和工作原理，可兼作小功率电源，由定子、转子、电刷、转动机构、集流环（或换向器）、小灯座、底板、接线柱等组成。要求当转子速度达到1600转/分时，输出空载电压不小于8V，若串入4.8V的小灯泡时负载电压不小于5V。</w:t>
            </w:r>
          </w:p>
        </w:tc>
        <w:tc>
          <w:tcPr>
            <w:tcW w:w="816" w:type="dxa"/>
            <w:tcBorders>
              <w:tl2br w:val="nil"/>
              <w:tr2bl w:val="nil"/>
            </w:tcBorders>
            <w:shd w:val="clear" w:color="auto" w:fill="auto"/>
            <w:vAlign w:val="center"/>
          </w:tcPr>
          <w:p w14:paraId="1A5C59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B0099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EB2886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EEE1F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5828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114 </w:t>
            </w:r>
          </w:p>
        </w:tc>
        <w:tc>
          <w:tcPr>
            <w:tcW w:w="1166" w:type="dxa"/>
            <w:tcBorders>
              <w:tl2br w:val="nil"/>
              <w:tr2bl w:val="nil"/>
            </w:tcBorders>
            <w:shd w:val="clear" w:color="auto" w:fill="auto"/>
            <w:vAlign w:val="center"/>
          </w:tcPr>
          <w:p w14:paraId="0D89EA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滚摆</w:t>
            </w:r>
          </w:p>
        </w:tc>
        <w:tc>
          <w:tcPr>
            <w:tcW w:w="8573" w:type="dxa"/>
            <w:tcBorders>
              <w:tl2br w:val="nil"/>
              <w:tr2bl w:val="nil"/>
            </w:tcBorders>
            <w:shd w:val="clear" w:color="auto" w:fill="auto"/>
            <w:vAlign w:val="center"/>
          </w:tcPr>
          <w:p w14:paraId="58C3645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物理演示动势能转换和机械能守恒实验用。滚摆由摆体（摆轮和摆轴）、悬线、支架和底座组成。摆轮直径不小于100mm。摆轮以角度分成数等分，并相间涂有红、白油漆；摆轴直径φ10mm，长180mm，表面镀铬；支柱采用两根直径φ10mm的金属杆制作，高度约400mm，横梁长约270mm，支柱与横梁表面镀铬；底座采用厚度不小于15mm的高密板制作，外形尺寸280×125×30mm，PVC封边处理，悬线长约1000mm。</w:t>
            </w:r>
          </w:p>
        </w:tc>
        <w:tc>
          <w:tcPr>
            <w:tcW w:w="816" w:type="dxa"/>
            <w:tcBorders>
              <w:tl2br w:val="nil"/>
              <w:tr2bl w:val="nil"/>
            </w:tcBorders>
            <w:shd w:val="clear" w:color="auto" w:fill="auto"/>
            <w:vAlign w:val="center"/>
          </w:tcPr>
          <w:p w14:paraId="42E8F9A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20027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C729D8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26F7E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FD9E4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115 </w:t>
            </w:r>
          </w:p>
        </w:tc>
        <w:tc>
          <w:tcPr>
            <w:tcW w:w="1166" w:type="dxa"/>
            <w:tcBorders>
              <w:tl2br w:val="nil"/>
              <w:tr2bl w:val="nil"/>
            </w:tcBorders>
            <w:shd w:val="clear" w:color="auto" w:fill="auto"/>
            <w:vAlign w:val="center"/>
          </w:tcPr>
          <w:p w14:paraId="61E9AA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气体做功内能减少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37F3E8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物理教学演示实验中教师用于演示气体做功内能减少的实验，用热敏电阻演示测量气体的温度，仪器由热敏电阻、塑料气室、底座、橡胶塞等组成。</w:t>
            </w:r>
          </w:p>
        </w:tc>
        <w:tc>
          <w:tcPr>
            <w:tcW w:w="816" w:type="dxa"/>
            <w:tcBorders>
              <w:tl2br w:val="nil"/>
              <w:tr2bl w:val="nil"/>
            </w:tcBorders>
            <w:shd w:val="clear" w:color="auto" w:fill="auto"/>
            <w:vAlign w:val="center"/>
          </w:tcPr>
          <w:p w14:paraId="5CFF8D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764A2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ACB77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44AE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8FCB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116 </w:t>
            </w:r>
          </w:p>
        </w:tc>
        <w:tc>
          <w:tcPr>
            <w:tcW w:w="1166" w:type="dxa"/>
            <w:tcBorders>
              <w:tl2br w:val="nil"/>
              <w:tr2bl w:val="nil"/>
            </w:tcBorders>
            <w:shd w:val="clear" w:color="auto" w:fill="auto"/>
            <w:vAlign w:val="center"/>
          </w:tcPr>
          <w:p w14:paraId="511348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空气压缩引火仪</w:t>
            </w:r>
          </w:p>
        </w:tc>
        <w:tc>
          <w:tcPr>
            <w:tcW w:w="8573" w:type="dxa"/>
            <w:tcBorders>
              <w:tl2br w:val="nil"/>
              <w:tr2bl w:val="nil"/>
            </w:tcBorders>
            <w:shd w:val="clear" w:color="auto" w:fill="auto"/>
            <w:vAlign w:val="center"/>
          </w:tcPr>
          <w:p w14:paraId="770640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中学物理实验室器材，用于演示讲解“气体被很快压缩时，温度升高，使易燃物着火燃烧”，由手柄、连杆、耐油橡皮圈、气缸体、底座等组成。</w:t>
            </w:r>
          </w:p>
        </w:tc>
        <w:tc>
          <w:tcPr>
            <w:tcW w:w="816" w:type="dxa"/>
            <w:tcBorders>
              <w:tl2br w:val="nil"/>
              <w:tr2bl w:val="nil"/>
            </w:tcBorders>
            <w:shd w:val="clear" w:color="auto" w:fill="auto"/>
            <w:vAlign w:val="center"/>
          </w:tcPr>
          <w:p w14:paraId="350B8B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6292E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9F1D3F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9848E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4B5BC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117 </w:t>
            </w:r>
          </w:p>
        </w:tc>
        <w:tc>
          <w:tcPr>
            <w:tcW w:w="1166" w:type="dxa"/>
            <w:tcBorders>
              <w:tl2br w:val="nil"/>
              <w:tr2bl w:val="nil"/>
            </w:tcBorders>
            <w:shd w:val="clear" w:color="auto" w:fill="auto"/>
            <w:vAlign w:val="center"/>
          </w:tcPr>
          <w:p w14:paraId="4B15D2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汽油机模型</w:t>
            </w:r>
          </w:p>
        </w:tc>
        <w:tc>
          <w:tcPr>
            <w:tcW w:w="8573" w:type="dxa"/>
            <w:tcBorders>
              <w:tl2br w:val="nil"/>
              <w:tr2bl w:val="nil"/>
            </w:tcBorders>
            <w:shd w:val="clear" w:color="auto" w:fill="auto"/>
            <w:vAlign w:val="center"/>
          </w:tcPr>
          <w:p w14:paraId="685A29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四冲程， 单缸， 示结构原理。 由进气管、 进气阀、 排气管、 排气阀、 气缸、 活塞、 连杆曲轴、 火花塞、 齿轮凸轮总成、 飞轮、 挺杆等组成。 手动转动， 活塞运动压缩比 6:1～8:1， 整体高不小于 300 mm</w:t>
            </w:r>
          </w:p>
        </w:tc>
        <w:tc>
          <w:tcPr>
            <w:tcW w:w="816" w:type="dxa"/>
            <w:tcBorders>
              <w:tl2br w:val="nil"/>
              <w:tr2bl w:val="nil"/>
            </w:tcBorders>
            <w:shd w:val="clear" w:color="auto" w:fill="auto"/>
            <w:vAlign w:val="center"/>
          </w:tcPr>
          <w:p w14:paraId="2BCA45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0D518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533FC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4E49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15245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118 </w:t>
            </w:r>
          </w:p>
        </w:tc>
        <w:tc>
          <w:tcPr>
            <w:tcW w:w="1166" w:type="dxa"/>
            <w:tcBorders>
              <w:tl2br w:val="nil"/>
              <w:tr2bl w:val="nil"/>
            </w:tcBorders>
            <w:shd w:val="clear" w:color="auto" w:fill="auto"/>
            <w:vAlign w:val="center"/>
          </w:tcPr>
          <w:p w14:paraId="2273B9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柴油机模型</w:t>
            </w:r>
          </w:p>
        </w:tc>
        <w:tc>
          <w:tcPr>
            <w:tcW w:w="8573" w:type="dxa"/>
            <w:tcBorders>
              <w:tl2br w:val="nil"/>
              <w:tr2bl w:val="nil"/>
            </w:tcBorders>
            <w:shd w:val="clear" w:color="auto" w:fill="auto"/>
            <w:vAlign w:val="center"/>
          </w:tcPr>
          <w:p w14:paraId="7034AA8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四冲程， 单缸， 示结构原理。 由进气管、 进气阀、 排气管、 排气阀、 气缸、 活塞、 连杆曲轴、 喷油嘴、 齿轮凸轮总成、 飞轮、 挺杆组成。 手动转动， 活塞运动压缩比 14∶1～16∶1， 整体高不小于 300 mm</w:t>
            </w:r>
          </w:p>
        </w:tc>
        <w:tc>
          <w:tcPr>
            <w:tcW w:w="816" w:type="dxa"/>
            <w:tcBorders>
              <w:tl2br w:val="nil"/>
              <w:tr2bl w:val="nil"/>
            </w:tcBorders>
            <w:shd w:val="clear" w:color="auto" w:fill="auto"/>
            <w:vAlign w:val="center"/>
          </w:tcPr>
          <w:p w14:paraId="1A40EF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49154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4DB6F0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0716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CB547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119 </w:t>
            </w:r>
          </w:p>
        </w:tc>
        <w:tc>
          <w:tcPr>
            <w:tcW w:w="1166" w:type="dxa"/>
            <w:tcBorders>
              <w:tl2br w:val="nil"/>
              <w:tr2bl w:val="nil"/>
            </w:tcBorders>
            <w:shd w:val="clear" w:color="auto" w:fill="auto"/>
            <w:vAlign w:val="center"/>
          </w:tcPr>
          <w:p w14:paraId="6D0F886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演示电表</w:t>
            </w:r>
          </w:p>
        </w:tc>
        <w:tc>
          <w:tcPr>
            <w:tcW w:w="8573" w:type="dxa"/>
            <w:tcBorders>
              <w:tl2br w:val="nil"/>
              <w:tr2bl w:val="nil"/>
            </w:tcBorders>
            <w:shd w:val="clear" w:color="auto" w:fill="auto"/>
            <w:vAlign w:val="center"/>
          </w:tcPr>
          <w:p w14:paraId="29F46B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教学演示仪器，用于教学演示实验中测量直流电流、直流电压，也可作检流计，采用优质磁钢的内磁结构、硅二极管保护电路，要求直观性良好、可见度高、操作方便。该仪表为磁电系结构，主要有表头和测量电路两部分组成，后部装有机械调零旋钮。表头由优质磁钢的内磁式支架、磁轭圈、动圈、游丝、轴尖座和轴承等组成。技术性能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1、测量范围：-100μA～0～+100μA（G）；0～200μA（DCA），0～0.5A（DCA），0～2.5A（DCA），压降95mA；0～2.5V（DCV），0～10V（DCV），电压灵敏度5KΩ/V。</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2、测量精度不低于2.5级，防外磁场不低于Ⅳ级，阻尼时间不大于6S。</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3、常温下工作温度（湿度为不大于85%）可连续工作八小时。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4、外型尺寸不小于250mm×250mm×110mm，重量不低于1kg。</w:t>
            </w:r>
          </w:p>
        </w:tc>
        <w:tc>
          <w:tcPr>
            <w:tcW w:w="816" w:type="dxa"/>
            <w:tcBorders>
              <w:tl2br w:val="nil"/>
              <w:tr2bl w:val="nil"/>
            </w:tcBorders>
            <w:shd w:val="clear" w:color="auto" w:fill="auto"/>
            <w:vAlign w:val="center"/>
          </w:tcPr>
          <w:p w14:paraId="0689F9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493714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676EF2E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17AB3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2143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120 </w:t>
            </w:r>
          </w:p>
        </w:tc>
        <w:tc>
          <w:tcPr>
            <w:tcW w:w="1166" w:type="dxa"/>
            <w:tcBorders>
              <w:tl2br w:val="nil"/>
              <w:tr2bl w:val="nil"/>
            </w:tcBorders>
            <w:shd w:val="clear" w:color="auto" w:fill="auto"/>
            <w:vAlign w:val="center"/>
          </w:tcPr>
          <w:p w14:paraId="668C77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直流电流表</w:t>
            </w:r>
          </w:p>
        </w:tc>
        <w:tc>
          <w:tcPr>
            <w:tcW w:w="8573" w:type="dxa"/>
            <w:tcBorders>
              <w:tl2br w:val="nil"/>
              <w:tr2bl w:val="nil"/>
            </w:tcBorders>
            <w:shd w:val="clear" w:color="auto" w:fill="auto"/>
            <w:vAlign w:val="center"/>
          </w:tcPr>
          <w:p w14:paraId="50145E8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教学实验中测量直流电路中的电流的通用仪器。仪表由测量结构、测量路线、外壳等组成。测量结构采用磁电系仪表结构，标度盘，机械零位调节臂均固定在支架上。准确度等级2.5级，最大误差不超过满刻度值的±2.5%，量程-0.2～0.6A和-1～3A，压降75±7.5mV，防外磁场标称范围极限值397.89A/m，绝缘强度能够通过经受500V正弦交流电压历时1min的实验。仪表的外形规格约135mm×110mm×95mm，重量约200g。</w:t>
            </w:r>
          </w:p>
        </w:tc>
        <w:tc>
          <w:tcPr>
            <w:tcW w:w="816" w:type="dxa"/>
            <w:tcBorders>
              <w:tl2br w:val="nil"/>
              <w:tr2bl w:val="nil"/>
            </w:tcBorders>
            <w:shd w:val="clear" w:color="auto" w:fill="auto"/>
            <w:vAlign w:val="center"/>
          </w:tcPr>
          <w:p w14:paraId="4DCB3F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55AF12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1A9DD11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9478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12E1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121 </w:t>
            </w:r>
          </w:p>
        </w:tc>
        <w:tc>
          <w:tcPr>
            <w:tcW w:w="1166" w:type="dxa"/>
            <w:tcBorders>
              <w:tl2br w:val="nil"/>
              <w:tr2bl w:val="nil"/>
            </w:tcBorders>
            <w:shd w:val="clear" w:color="auto" w:fill="auto"/>
            <w:vAlign w:val="center"/>
          </w:tcPr>
          <w:p w14:paraId="734155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直流电压表</w:t>
            </w:r>
          </w:p>
        </w:tc>
        <w:tc>
          <w:tcPr>
            <w:tcW w:w="8573" w:type="dxa"/>
            <w:tcBorders>
              <w:tl2br w:val="nil"/>
              <w:tr2bl w:val="nil"/>
            </w:tcBorders>
            <w:shd w:val="clear" w:color="auto" w:fill="auto"/>
            <w:vAlign w:val="center"/>
          </w:tcPr>
          <w:p w14:paraId="01EDE51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理化生实验室通用工具，用于中学教学实验中测量电压的通用仪器，采用磁电系仪表结构，由永久磁铁、磁轭、软铁芯组成的均匀辐射永久磁场，罩框、表壳采用质量优质的塑料注塑制成。技术性能要求如下：1、准确度等级不低于2.5级，最大误差不超过满刻度值的±2.5%。2、量程有两档，-1～0～3V和-5～0～15V，满电流度1±0.025mA，防外磁场标称范围极限值397.89A/m，阻尼时间小于4s。3、绝缘强度能够通过经受500V正弦交流电压历时一分钟的实验。4、仪表的外形规格不小于130mm×110mm×90mm，重量不少于200g。</w:t>
            </w:r>
          </w:p>
        </w:tc>
        <w:tc>
          <w:tcPr>
            <w:tcW w:w="816" w:type="dxa"/>
            <w:tcBorders>
              <w:tl2br w:val="nil"/>
              <w:tr2bl w:val="nil"/>
            </w:tcBorders>
            <w:shd w:val="clear" w:color="auto" w:fill="auto"/>
            <w:vAlign w:val="center"/>
          </w:tcPr>
          <w:p w14:paraId="0127A2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4C1F1F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1E55C5E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DDC4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24A3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122 </w:t>
            </w:r>
          </w:p>
        </w:tc>
        <w:tc>
          <w:tcPr>
            <w:tcW w:w="1166" w:type="dxa"/>
            <w:tcBorders>
              <w:tl2br w:val="nil"/>
              <w:tr2bl w:val="nil"/>
            </w:tcBorders>
            <w:shd w:val="clear" w:color="auto" w:fill="auto"/>
            <w:vAlign w:val="center"/>
          </w:tcPr>
          <w:p w14:paraId="51267F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多用电表</w:t>
            </w:r>
          </w:p>
        </w:tc>
        <w:tc>
          <w:tcPr>
            <w:tcW w:w="8573" w:type="dxa"/>
            <w:tcBorders>
              <w:tl2br w:val="nil"/>
              <w:tr2bl w:val="nil"/>
            </w:tcBorders>
            <w:shd w:val="clear" w:color="auto" w:fill="auto"/>
            <w:vAlign w:val="center"/>
          </w:tcPr>
          <w:p w14:paraId="2865F6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数字式，4-1/2位，电压、电流、电阻、电 容、二极管、温度、频率测试</w:t>
            </w:r>
          </w:p>
        </w:tc>
        <w:tc>
          <w:tcPr>
            <w:tcW w:w="816" w:type="dxa"/>
            <w:tcBorders>
              <w:tl2br w:val="nil"/>
              <w:tr2bl w:val="nil"/>
            </w:tcBorders>
            <w:shd w:val="clear" w:color="auto" w:fill="auto"/>
            <w:vAlign w:val="center"/>
          </w:tcPr>
          <w:p w14:paraId="02162FC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682EC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640287D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00223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BE2C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123 </w:t>
            </w:r>
          </w:p>
        </w:tc>
        <w:tc>
          <w:tcPr>
            <w:tcW w:w="1166" w:type="dxa"/>
            <w:tcBorders>
              <w:tl2br w:val="nil"/>
              <w:tr2bl w:val="nil"/>
            </w:tcBorders>
            <w:shd w:val="clear" w:color="auto" w:fill="auto"/>
            <w:vAlign w:val="center"/>
          </w:tcPr>
          <w:p w14:paraId="41576F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灵敏电流计</w:t>
            </w:r>
          </w:p>
        </w:tc>
        <w:tc>
          <w:tcPr>
            <w:tcW w:w="8573" w:type="dxa"/>
            <w:tcBorders>
              <w:tl2br w:val="nil"/>
              <w:tr2bl w:val="nil"/>
            </w:tcBorders>
            <w:shd w:val="clear" w:color="auto" w:fill="auto"/>
            <w:vAlign w:val="center"/>
          </w:tcPr>
          <w:p w14:paraId="474FCD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理化生实验室通用工具，用于中学教学实验中检查判定直流电路中是否存在微弱电流或电势，采用磁电系仪表结构，由永久磁铁、磁轭、软铁芯组成的均匀辐射永久磁场，罩框、表壳采用质量优质的塑料注塑制成。技术性能要求如下：1、准确度等级不低于2.5级，最大误差不超过满刻度值的±2.5%。2、灵敏度-300μA～300μA，内阻80～125Ω（G0）和2.4～3KΩ（G1），防外磁场标称范围极限值397.89A/m，阻尼时间小于4s。3、绝缘强度能够通过经受500V正弦交流电压历时一分钟的实验。4、仪表的外形规格不小于130mm×110mm×90mm，重量不少于200g。</w:t>
            </w:r>
          </w:p>
        </w:tc>
        <w:tc>
          <w:tcPr>
            <w:tcW w:w="816" w:type="dxa"/>
            <w:tcBorders>
              <w:tl2br w:val="nil"/>
              <w:tr2bl w:val="nil"/>
            </w:tcBorders>
            <w:shd w:val="clear" w:color="auto" w:fill="auto"/>
            <w:vAlign w:val="center"/>
          </w:tcPr>
          <w:p w14:paraId="180B21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F2912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5EB027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0345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CF1B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124 </w:t>
            </w:r>
          </w:p>
        </w:tc>
        <w:tc>
          <w:tcPr>
            <w:tcW w:w="1166" w:type="dxa"/>
            <w:tcBorders>
              <w:tl2br w:val="nil"/>
              <w:tr2bl w:val="nil"/>
            </w:tcBorders>
            <w:shd w:val="clear" w:color="auto" w:fill="auto"/>
            <w:vAlign w:val="center"/>
          </w:tcPr>
          <w:p w14:paraId="4B0285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教学用E10螺口</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灯座</w:t>
            </w:r>
          </w:p>
        </w:tc>
        <w:tc>
          <w:tcPr>
            <w:tcW w:w="8573" w:type="dxa"/>
            <w:tcBorders>
              <w:tl2br w:val="nil"/>
              <w:tr2bl w:val="nil"/>
            </w:tcBorders>
            <w:shd w:val="clear" w:color="auto" w:fill="auto"/>
            <w:vAlign w:val="center"/>
          </w:tcPr>
          <w:p w14:paraId="462A234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由底座、接线柱和灯座等组成。底座应采用硬质绝缘材料制成，最高工作电压应为 36 V最大工作电流应为 2.5 A。灯座口圈应采用厚 0.4 mm～0.5 mm 的黄铜材料制作，中心触点应采用厚 0.3 mm～0.4 mm 的磷铜材料制作。两接线柱之间绝缘电阻应≥2 MΩ</w:t>
            </w:r>
          </w:p>
        </w:tc>
        <w:tc>
          <w:tcPr>
            <w:tcW w:w="816" w:type="dxa"/>
            <w:tcBorders>
              <w:tl2br w:val="nil"/>
              <w:tr2bl w:val="nil"/>
            </w:tcBorders>
            <w:shd w:val="clear" w:color="auto" w:fill="auto"/>
            <w:vAlign w:val="center"/>
          </w:tcPr>
          <w:p w14:paraId="26A8D5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7453CE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F5B0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25542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ED7F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125 </w:t>
            </w:r>
          </w:p>
        </w:tc>
        <w:tc>
          <w:tcPr>
            <w:tcW w:w="1166" w:type="dxa"/>
            <w:tcBorders>
              <w:tl2br w:val="nil"/>
              <w:tr2bl w:val="nil"/>
            </w:tcBorders>
            <w:shd w:val="clear" w:color="auto" w:fill="auto"/>
            <w:vAlign w:val="center"/>
          </w:tcPr>
          <w:p w14:paraId="290FDD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电珠(小灯泡)</w:t>
            </w:r>
          </w:p>
        </w:tc>
        <w:tc>
          <w:tcPr>
            <w:tcW w:w="8573" w:type="dxa"/>
            <w:tcBorders>
              <w:tl2br w:val="nil"/>
              <w:tr2bl w:val="nil"/>
            </w:tcBorders>
            <w:shd w:val="clear" w:color="auto" w:fill="auto"/>
            <w:vAlign w:val="center"/>
          </w:tcPr>
          <w:p w14:paraId="286B850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 V、0.3 A</w:t>
            </w:r>
          </w:p>
        </w:tc>
        <w:tc>
          <w:tcPr>
            <w:tcW w:w="816" w:type="dxa"/>
            <w:tcBorders>
              <w:tl2br w:val="nil"/>
              <w:tr2bl w:val="nil"/>
            </w:tcBorders>
            <w:shd w:val="clear" w:color="auto" w:fill="auto"/>
            <w:vAlign w:val="center"/>
          </w:tcPr>
          <w:p w14:paraId="5ECDA0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w:t>
            </w:r>
          </w:p>
        </w:tc>
        <w:tc>
          <w:tcPr>
            <w:tcW w:w="498" w:type="dxa"/>
            <w:tcBorders>
              <w:tl2br w:val="nil"/>
              <w:tr2bl w:val="nil"/>
            </w:tcBorders>
            <w:shd w:val="clear" w:color="auto" w:fill="auto"/>
            <w:vAlign w:val="center"/>
          </w:tcPr>
          <w:p w14:paraId="4B0531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B12D4F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43F9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0BF459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126 </w:t>
            </w:r>
          </w:p>
        </w:tc>
        <w:tc>
          <w:tcPr>
            <w:tcW w:w="1166" w:type="dxa"/>
            <w:tcBorders>
              <w:tl2br w:val="nil"/>
              <w:tr2bl w:val="nil"/>
            </w:tcBorders>
            <w:shd w:val="clear" w:color="auto" w:fill="auto"/>
            <w:vAlign w:val="center"/>
          </w:tcPr>
          <w:p w14:paraId="3A631A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电珠(小灯泡)</w:t>
            </w:r>
          </w:p>
        </w:tc>
        <w:tc>
          <w:tcPr>
            <w:tcW w:w="8573" w:type="dxa"/>
            <w:tcBorders>
              <w:tl2br w:val="nil"/>
              <w:tr2bl w:val="nil"/>
            </w:tcBorders>
            <w:shd w:val="clear" w:color="auto" w:fill="auto"/>
            <w:vAlign w:val="center"/>
          </w:tcPr>
          <w:p w14:paraId="4A58077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 V、0.3 A</w:t>
            </w:r>
          </w:p>
        </w:tc>
        <w:tc>
          <w:tcPr>
            <w:tcW w:w="816" w:type="dxa"/>
            <w:tcBorders>
              <w:tl2br w:val="nil"/>
              <w:tr2bl w:val="nil"/>
            </w:tcBorders>
            <w:shd w:val="clear" w:color="auto" w:fill="auto"/>
            <w:vAlign w:val="center"/>
          </w:tcPr>
          <w:p w14:paraId="17CB96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w:t>
            </w:r>
          </w:p>
        </w:tc>
        <w:tc>
          <w:tcPr>
            <w:tcW w:w="498" w:type="dxa"/>
            <w:tcBorders>
              <w:tl2br w:val="nil"/>
              <w:tr2bl w:val="nil"/>
            </w:tcBorders>
            <w:shd w:val="clear" w:color="auto" w:fill="auto"/>
            <w:vAlign w:val="center"/>
          </w:tcPr>
          <w:p w14:paraId="568DB5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2EB15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BCF49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80E9A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127 </w:t>
            </w:r>
          </w:p>
        </w:tc>
        <w:tc>
          <w:tcPr>
            <w:tcW w:w="1166" w:type="dxa"/>
            <w:tcBorders>
              <w:tl2br w:val="nil"/>
              <w:tr2bl w:val="nil"/>
            </w:tcBorders>
            <w:shd w:val="clear" w:color="auto" w:fill="auto"/>
            <w:vAlign w:val="center"/>
          </w:tcPr>
          <w:p w14:paraId="1C9F40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电珠(小灯泡)</w:t>
            </w:r>
          </w:p>
        </w:tc>
        <w:tc>
          <w:tcPr>
            <w:tcW w:w="8573" w:type="dxa"/>
            <w:tcBorders>
              <w:tl2br w:val="nil"/>
              <w:tr2bl w:val="nil"/>
            </w:tcBorders>
            <w:shd w:val="clear" w:color="auto" w:fill="auto"/>
            <w:vAlign w:val="center"/>
          </w:tcPr>
          <w:p w14:paraId="5078C9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3.8 V、0.3 A</w:t>
            </w:r>
          </w:p>
        </w:tc>
        <w:tc>
          <w:tcPr>
            <w:tcW w:w="816" w:type="dxa"/>
            <w:tcBorders>
              <w:tl2br w:val="nil"/>
              <w:tr2bl w:val="nil"/>
            </w:tcBorders>
            <w:shd w:val="clear" w:color="auto" w:fill="auto"/>
            <w:vAlign w:val="center"/>
          </w:tcPr>
          <w:p w14:paraId="50024F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w:t>
            </w:r>
          </w:p>
        </w:tc>
        <w:tc>
          <w:tcPr>
            <w:tcW w:w="498" w:type="dxa"/>
            <w:tcBorders>
              <w:tl2br w:val="nil"/>
              <w:tr2bl w:val="nil"/>
            </w:tcBorders>
            <w:shd w:val="clear" w:color="auto" w:fill="auto"/>
            <w:vAlign w:val="center"/>
          </w:tcPr>
          <w:p w14:paraId="419CF5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F8F249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E351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D6DE5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128 </w:t>
            </w:r>
          </w:p>
        </w:tc>
        <w:tc>
          <w:tcPr>
            <w:tcW w:w="1166" w:type="dxa"/>
            <w:tcBorders>
              <w:tl2br w:val="nil"/>
              <w:tr2bl w:val="nil"/>
            </w:tcBorders>
            <w:shd w:val="clear" w:color="auto" w:fill="auto"/>
            <w:vAlign w:val="center"/>
          </w:tcPr>
          <w:p w14:paraId="66112D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单刀开关</w:t>
            </w:r>
          </w:p>
        </w:tc>
        <w:tc>
          <w:tcPr>
            <w:tcW w:w="8573" w:type="dxa"/>
            <w:tcBorders>
              <w:tl2br w:val="nil"/>
              <w:tr2bl w:val="nil"/>
            </w:tcBorders>
            <w:shd w:val="clear" w:color="auto" w:fill="auto"/>
            <w:vAlign w:val="center"/>
          </w:tcPr>
          <w:p w14:paraId="5DF673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最高工作电压 36 V， 额定工作电流 6 A。 开关闸刀、 接线柱、 垫片均为铜质。 闸刀宽度≥7 mm， 闸刀厚度≥0.7 mm。 接线柱直径为4 mm， 有效行程≥4 mm。 通额定电流， 导电部分允许温升≤35 ℃， 操作手柄允许温升≤25 ℃。 开关的绝缘强度应能承受 1200 V在额定直流电流工作条件下， 接线两端直流电压降≤100 mV</w:t>
            </w:r>
          </w:p>
        </w:tc>
        <w:tc>
          <w:tcPr>
            <w:tcW w:w="816" w:type="dxa"/>
            <w:tcBorders>
              <w:tl2br w:val="nil"/>
              <w:tr2bl w:val="nil"/>
            </w:tcBorders>
            <w:shd w:val="clear" w:color="auto" w:fill="auto"/>
            <w:vAlign w:val="center"/>
          </w:tcPr>
          <w:p w14:paraId="10A4E7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w:t>
            </w:r>
          </w:p>
        </w:tc>
        <w:tc>
          <w:tcPr>
            <w:tcW w:w="498" w:type="dxa"/>
            <w:tcBorders>
              <w:tl2br w:val="nil"/>
              <w:tr2bl w:val="nil"/>
            </w:tcBorders>
            <w:shd w:val="clear" w:color="auto" w:fill="auto"/>
            <w:vAlign w:val="center"/>
          </w:tcPr>
          <w:p w14:paraId="754BDC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80334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86D66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0FCBA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129 </w:t>
            </w:r>
          </w:p>
        </w:tc>
        <w:tc>
          <w:tcPr>
            <w:tcW w:w="1166" w:type="dxa"/>
            <w:tcBorders>
              <w:tl2br w:val="nil"/>
              <w:tr2bl w:val="nil"/>
            </w:tcBorders>
            <w:shd w:val="clear" w:color="auto" w:fill="auto"/>
            <w:vAlign w:val="center"/>
          </w:tcPr>
          <w:p w14:paraId="0E498E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滑动变阻器</w:t>
            </w:r>
          </w:p>
        </w:tc>
        <w:tc>
          <w:tcPr>
            <w:tcW w:w="8573" w:type="dxa"/>
            <w:tcBorders>
              <w:tl2br w:val="nil"/>
              <w:tr2bl w:val="nil"/>
            </w:tcBorders>
            <w:shd w:val="clear" w:color="auto" w:fill="auto"/>
            <w:vAlign w:val="center"/>
          </w:tcPr>
          <w:p w14:paraId="1813F9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学实验仪器，用于演示滑动变阻器的构造和原理，在电学实验中通过来改变自身的电阻来调节电流强度和电压，从而起到控制电路的作用。该仪器由电阻管、康铜丝、接线柱、滑杆、滑动头、触头、支架等组成。技术性能要求如下：1、电阻5Ω，额定电流3A，电阻值误差应小于5％，功率80W。2、采用标准线径的康铜丝，优质合金铝支架。</w:t>
            </w:r>
          </w:p>
        </w:tc>
        <w:tc>
          <w:tcPr>
            <w:tcW w:w="816" w:type="dxa"/>
            <w:tcBorders>
              <w:tl2br w:val="nil"/>
              <w:tr2bl w:val="nil"/>
            </w:tcBorders>
            <w:shd w:val="clear" w:color="auto" w:fill="auto"/>
            <w:vAlign w:val="center"/>
          </w:tcPr>
          <w:p w14:paraId="2EAADB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22DBD3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3BAF62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0D4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716FC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130 </w:t>
            </w:r>
          </w:p>
        </w:tc>
        <w:tc>
          <w:tcPr>
            <w:tcW w:w="1166" w:type="dxa"/>
            <w:tcBorders>
              <w:tl2br w:val="nil"/>
              <w:tr2bl w:val="nil"/>
            </w:tcBorders>
            <w:shd w:val="clear" w:color="auto" w:fill="auto"/>
            <w:vAlign w:val="center"/>
          </w:tcPr>
          <w:p w14:paraId="4A2116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滑动变阻器</w:t>
            </w:r>
          </w:p>
        </w:tc>
        <w:tc>
          <w:tcPr>
            <w:tcW w:w="8573" w:type="dxa"/>
            <w:tcBorders>
              <w:tl2br w:val="nil"/>
              <w:tr2bl w:val="nil"/>
            </w:tcBorders>
            <w:shd w:val="clear" w:color="auto" w:fill="auto"/>
            <w:vAlign w:val="center"/>
          </w:tcPr>
          <w:p w14:paraId="2E4D5E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学物理电学实验仪器，用于演示滑动变阻器的构造和原理，在电学实验中通过来改变自身的电阻来调节电流强度和电压，从而起到控制电路的作用。该仪器由电阻管、康铜丝、接线柱、滑杆、滑动头、触头、支架等组成。技术性能要求如下：1、电阻20Ω，额定电流2A，电阻值误差应小于5％，功率80W。2、采用标准线径的康铜丝，优质合金铝支架，规格不小于230mm×85mm×50mm，电阻管直径约为30mm，质量不小于0.4Kg。</w:t>
            </w:r>
          </w:p>
        </w:tc>
        <w:tc>
          <w:tcPr>
            <w:tcW w:w="816" w:type="dxa"/>
            <w:tcBorders>
              <w:tl2br w:val="nil"/>
              <w:tr2bl w:val="nil"/>
            </w:tcBorders>
            <w:shd w:val="clear" w:color="auto" w:fill="auto"/>
            <w:vAlign w:val="center"/>
          </w:tcPr>
          <w:p w14:paraId="09EFF1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322CC75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C6F46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3923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54BC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131 </w:t>
            </w:r>
          </w:p>
        </w:tc>
        <w:tc>
          <w:tcPr>
            <w:tcW w:w="1166" w:type="dxa"/>
            <w:tcBorders>
              <w:tl2br w:val="nil"/>
              <w:tr2bl w:val="nil"/>
            </w:tcBorders>
            <w:shd w:val="clear" w:color="auto" w:fill="auto"/>
            <w:vAlign w:val="center"/>
          </w:tcPr>
          <w:p w14:paraId="05E5B80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电阻定律演示器</w:t>
            </w:r>
          </w:p>
        </w:tc>
        <w:tc>
          <w:tcPr>
            <w:tcW w:w="8573" w:type="dxa"/>
            <w:tcBorders>
              <w:tl2br w:val="nil"/>
              <w:tr2bl w:val="nil"/>
            </w:tcBorders>
            <w:shd w:val="clear" w:color="auto" w:fill="auto"/>
            <w:vAlign w:val="center"/>
          </w:tcPr>
          <w:p w14:paraId="0B93F72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底板（喷塑钢板）、三种金属导线分别为：康铜（1条）、碳钢丝（1条）、镍铬丝（5条）、14个接线柱组成。可作导电材料电阻率与导电材料的材料、横截面积、长度的关系。导线长度不小于30cm，不同的导电材料不少于3种、同种导电材料的不同横截面积不少于3种情况且学生可以直接测量出来、同种导电材料的不同长度不少于3种情况且学生可以直接测量出来，导电材料的不同横截面积及不同长度无须通过电学上的串并联关系来推导，使学生在实验室更直观并提高实验效率。</w:t>
            </w:r>
          </w:p>
        </w:tc>
        <w:tc>
          <w:tcPr>
            <w:tcW w:w="816" w:type="dxa"/>
            <w:tcBorders>
              <w:tl2br w:val="nil"/>
              <w:tr2bl w:val="nil"/>
            </w:tcBorders>
            <w:shd w:val="clear" w:color="auto" w:fill="auto"/>
            <w:vAlign w:val="center"/>
          </w:tcPr>
          <w:p w14:paraId="539D625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292E7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6E2B30E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FDC9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6D6A5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132 </w:t>
            </w:r>
          </w:p>
        </w:tc>
        <w:tc>
          <w:tcPr>
            <w:tcW w:w="1166" w:type="dxa"/>
            <w:tcBorders>
              <w:tl2br w:val="nil"/>
              <w:tr2bl w:val="nil"/>
            </w:tcBorders>
            <w:shd w:val="clear" w:color="auto" w:fill="auto"/>
            <w:vAlign w:val="center"/>
          </w:tcPr>
          <w:p w14:paraId="74F2D7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插头导线</w:t>
            </w:r>
          </w:p>
        </w:tc>
        <w:tc>
          <w:tcPr>
            <w:tcW w:w="8573" w:type="dxa"/>
            <w:tcBorders>
              <w:tl2br w:val="nil"/>
              <w:tr2bl w:val="nil"/>
            </w:tcBorders>
            <w:shd w:val="clear" w:color="auto" w:fill="auto"/>
            <w:vAlign w:val="center"/>
          </w:tcPr>
          <w:p w14:paraId="12D6CD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长度分别为 200 mm、 300 mm、 400 mm各1条；采用两个纯铜插头（香蕉头）与截面积为1平方毫米的多股纯铜电线经螺母旋紧而成，分红黑两种颜色。</w:t>
            </w:r>
          </w:p>
        </w:tc>
        <w:tc>
          <w:tcPr>
            <w:tcW w:w="816" w:type="dxa"/>
            <w:tcBorders>
              <w:tl2br w:val="nil"/>
              <w:tr2bl w:val="nil"/>
            </w:tcBorders>
            <w:shd w:val="clear" w:color="auto" w:fill="auto"/>
            <w:vAlign w:val="center"/>
          </w:tcPr>
          <w:p w14:paraId="08FF1A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2ED701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FAE866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EE23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3CF84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133 </w:t>
            </w:r>
          </w:p>
        </w:tc>
        <w:tc>
          <w:tcPr>
            <w:tcW w:w="1166" w:type="dxa"/>
            <w:tcBorders>
              <w:tl2br w:val="nil"/>
              <w:tr2bl w:val="nil"/>
            </w:tcBorders>
            <w:shd w:val="clear" w:color="auto" w:fill="auto"/>
            <w:vAlign w:val="center"/>
          </w:tcPr>
          <w:p w14:paraId="4CB450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接线夹导线</w:t>
            </w:r>
          </w:p>
        </w:tc>
        <w:tc>
          <w:tcPr>
            <w:tcW w:w="8573" w:type="dxa"/>
            <w:tcBorders>
              <w:tl2br w:val="nil"/>
              <w:tr2bl w:val="nil"/>
            </w:tcBorders>
            <w:shd w:val="clear" w:color="auto" w:fill="auto"/>
            <w:vAlign w:val="center"/>
          </w:tcPr>
          <w:p w14:paraId="081D1A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长度分别为 200 mm、 300 mm、 400 mm各1条；采用两个纯铜接线夹（鳄鱼夹）与截面积为1平方毫米的多股纯铜电线经焊锡焊接而成，分红黑两种颜色。</w:t>
            </w:r>
          </w:p>
        </w:tc>
        <w:tc>
          <w:tcPr>
            <w:tcW w:w="816" w:type="dxa"/>
            <w:tcBorders>
              <w:tl2br w:val="nil"/>
              <w:tr2bl w:val="nil"/>
            </w:tcBorders>
            <w:shd w:val="clear" w:color="auto" w:fill="auto"/>
            <w:vAlign w:val="center"/>
          </w:tcPr>
          <w:p w14:paraId="230C8C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02D31D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59FB9C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6C4CF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7F1A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134 </w:t>
            </w:r>
          </w:p>
        </w:tc>
        <w:tc>
          <w:tcPr>
            <w:tcW w:w="1166" w:type="dxa"/>
            <w:tcBorders>
              <w:tl2br w:val="nil"/>
              <w:tr2bl w:val="nil"/>
            </w:tcBorders>
            <w:shd w:val="clear" w:color="auto" w:fill="auto"/>
            <w:vAlign w:val="center"/>
          </w:tcPr>
          <w:p w14:paraId="42D996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接线叉导线</w:t>
            </w:r>
          </w:p>
        </w:tc>
        <w:tc>
          <w:tcPr>
            <w:tcW w:w="8573" w:type="dxa"/>
            <w:tcBorders>
              <w:tl2br w:val="nil"/>
              <w:tr2bl w:val="nil"/>
            </w:tcBorders>
            <w:shd w:val="clear" w:color="auto" w:fill="auto"/>
            <w:vAlign w:val="center"/>
          </w:tcPr>
          <w:p w14:paraId="32D9B30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长度分别为200mm、300mm、400mm各1条；采用两个纯铜接线叉（线叉开口5.9mm）与截面积为1平方毫米的多股纯铜电线经焊锡焊接而成，分红黑两种颜色。</w:t>
            </w:r>
          </w:p>
        </w:tc>
        <w:tc>
          <w:tcPr>
            <w:tcW w:w="816" w:type="dxa"/>
            <w:tcBorders>
              <w:tl2br w:val="nil"/>
              <w:tr2bl w:val="nil"/>
            </w:tcBorders>
            <w:shd w:val="clear" w:color="auto" w:fill="auto"/>
            <w:vAlign w:val="center"/>
          </w:tcPr>
          <w:p w14:paraId="39EDFC8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4976A1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DCB50E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F0BCA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C026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135 </w:t>
            </w:r>
          </w:p>
        </w:tc>
        <w:tc>
          <w:tcPr>
            <w:tcW w:w="1166" w:type="dxa"/>
            <w:tcBorders>
              <w:tl2br w:val="nil"/>
              <w:tr2bl w:val="nil"/>
            </w:tcBorders>
            <w:shd w:val="clear" w:color="auto" w:fill="auto"/>
            <w:vAlign w:val="center"/>
          </w:tcPr>
          <w:p w14:paraId="28A623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组合接头导线</w:t>
            </w:r>
          </w:p>
        </w:tc>
        <w:tc>
          <w:tcPr>
            <w:tcW w:w="8573" w:type="dxa"/>
            <w:tcBorders>
              <w:tl2br w:val="nil"/>
              <w:tr2bl w:val="nil"/>
            </w:tcBorders>
            <w:shd w:val="clear" w:color="auto" w:fill="auto"/>
            <w:vAlign w:val="center"/>
          </w:tcPr>
          <w:p w14:paraId="2138123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长度分别为 200 mm、 300 mm、 400 mm； 采用一个纯铜接线叉（接线叉开口 5.9 mm）、一头为接线夹（鳄鱼夹），与截面积为1平方毫米的多股纯铜电线经焊锡焊接而成，分红黑两种颜色。</w:t>
            </w:r>
          </w:p>
        </w:tc>
        <w:tc>
          <w:tcPr>
            <w:tcW w:w="816" w:type="dxa"/>
            <w:tcBorders>
              <w:tl2br w:val="nil"/>
              <w:tr2bl w:val="nil"/>
            </w:tcBorders>
            <w:shd w:val="clear" w:color="auto" w:fill="auto"/>
            <w:vAlign w:val="center"/>
          </w:tcPr>
          <w:p w14:paraId="6AD512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1D757E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D02A9F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F5EAA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1497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136 </w:t>
            </w:r>
          </w:p>
        </w:tc>
        <w:tc>
          <w:tcPr>
            <w:tcW w:w="1166" w:type="dxa"/>
            <w:tcBorders>
              <w:tl2br w:val="nil"/>
              <w:tr2bl w:val="nil"/>
            </w:tcBorders>
            <w:shd w:val="clear" w:color="auto" w:fill="auto"/>
            <w:vAlign w:val="center"/>
          </w:tcPr>
          <w:p w14:paraId="43B6DE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焦耳定律演示器</w:t>
            </w:r>
          </w:p>
        </w:tc>
        <w:tc>
          <w:tcPr>
            <w:tcW w:w="8573" w:type="dxa"/>
            <w:tcBorders>
              <w:tl2br w:val="nil"/>
              <w:tr2bl w:val="nil"/>
            </w:tcBorders>
            <w:shd w:val="clear" w:color="auto" w:fill="auto"/>
            <w:vAlign w:val="center"/>
          </w:tcPr>
          <w:p w14:paraId="20C1F67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分组用，供中学物理演示焦耳定律，研究电流的热效应。产品由演示板、数显直流电流表、贮气盒两只，电阻：5欧姆线绕电阻3只、玻璃管2根等组成。1、电源电压：直流稳压4V-8V。2、演示板采用塑料注塑成型，颜色为白色，外形尺寸290mm*245mm*4mm；演示板上印刷有刻度线，每5mm为一刻线、10mm为一大刻线，并标有数字，刻线数量不小于13条。3、数显直流电流表的数码管为0.56吋，三位数码管，电流量程为3A，工作电压：DC4V-28V。4、贮气盒采用透明塑料制，尺寸：80mm*80mm*30mm。</w:t>
            </w:r>
          </w:p>
        </w:tc>
        <w:tc>
          <w:tcPr>
            <w:tcW w:w="816" w:type="dxa"/>
            <w:tcBorders>
              <w:tl2br w:val="nil"/>
              <w:tr2bl w:val="nil"/>
            </w:tcBorders>
            <w:shd w:val="clear" w:color="auto" w:fill="auto"/>
            <w:vAlign w:val="center"/>
          </w:tcPr>
          <w:p w14:paraId="02848B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C6F6F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92496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5419C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04A1B0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137 </w:t>
            </w:r>
          </w:p>
        </w:tc>
        <w:tc>
          <w:tcPr>
            <w:tcW w:w="1166" w:type="dxa"/>
            <w:tcBorders>
              <w:tl2br w:val="nil"/>
              <w:tr2bl w:val="nil"/>
            </w:tcBorders>
            <w:shd w:val="clear" w:color="auto" w:fill="auto"/>
            <w:vAlign w:val="center"/>
          </w:tcPr>
          <w:p w14:paraId="7061FB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家庭电路示教板</w:t>
            </w:r>
          </w:p>
        </w:tc>
        <w:tc>
          <w:tcPr>
            <w:tcW w:w="8573" w:type="dxa"/>
            <w:tcBorders>
              <w:tl2br w:val="nil"/>
              <w:tr2bl w:val="nil"/>
            </w:tcBorders>
            <w:shd w:val="clear" w:color="auto" w:fill="auto"/>
            <w:vAlign w:val="center"/>
          </w:tcPr>
          <w:p w14:paraId="497FEA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配电部分： 三线 10 A 插头与电网连接， 带剩余电流保护器的过电流保护器（空气开关） 单相静止式有功电能表（2.0 级， 5 A） 。 负荷部分： 三极和二极插座、 三极和二极插头螺口灯座（E27） 1 个、 插口灯座（E27） 1 个E27LED 螺口灯泡、 卡口－螺口转换器（有卡口灯座时配） 、 倒扳开关、 拉线开关、 宜有声控开关和光控开关。 火线用红色， 零线用蓝色， 保护地线用黄绿双色。 示教板应能竖立在桌上。 开关电极应为左面是零线， 右面是火线， 三极插座上面是保护接地线。 底板可用木板或塑料板</w:t>
            </w:r>
          </w:p>
        </w:tc>
        <w:tc>
          <w:tcPr>
            <w:tcW w:w="816" w:type="dxa"/>
            <w:tcBorders>
              <w:tl2br w:val="nil"/>
              <w:tr2bl w:val="nil"/>
            </w:tcBorders>
            <w:shd w:val="clear" w:color="auto" w:fill="auto"/>
            <w:vAlign w:val="center"/>
          </w:tcPr>
          <w:p w14:paraId="3E0323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3C3200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3EA9E86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7E6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BC3ED3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138 </w:t>
            </w:r>
          </w:p>
        </w:tc>
        <w:tc>
          <w:tcPr>
            <w:tcW w:w="1166" w:type="dxa"/>
            <w:tcBorders>
              <w:tl2br w:val="nil"/>
              <w:tr2bl w:val="nil"/>
            </w:tcBorders>
            <w:shd w:val="clear" w:color="auto" w:fill="auto"/>
            <w:vAlign w:val="center"/>
          </w:tcPr>
          <w:p w14:paraId="5EECE7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安全用电示教板</w:t>
            </w:r>
          </w:p>
        </w:tc>
        <w:tc>
          <w:tcPr>
            <w:tcW w:w="8573" w:type="dxa"/>
            <w:tcBorders>
              <w:tl2br w:val="nil"/>
              <w:tr2bl w:val="nil"/>
            </w:tcBorders>
            <w:shd w:val="clear" w:color="auto" w:fill="auto"/>
            <w:vAlign w:val="center"/>
          </w:tcPr>
          <w:p w14:paraId="403F300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 V 供电， 能演示以下模式： 一手接触火线经脚和大地触电； 一手接触火线， 不经脚和大地安全（脚下绝缘） ； 二手分别接触火线和零线触电（脚站在地面或绝缘） ； 一手接触漏电（连接火线） 的设备（例如电动机） 经脚和大地触电； 跨步电压触电</w:t>
            </w:r>
          </w:p>
        </w:tc>
        <w:tc>
          <w:tcPr>
            <w:tcW w:w="816" w:type="dxa"/>
            <w:tcBorders>
              <w:tl2br w:val="nil"/>
              <w:tr2bl w:val="nil"/>
            </w:tcBorders>
            <w:shd w:val="clear" w:color="auto" w:fill="auto"/>
            <w:vAlign w:val="center"/>
          </w:tcPr>
          <w:p w14:paraId="6B2275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4C4B6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341AD8C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CB0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3A0AF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139 </w:t>
            </w:r>
          </w:p>
        </w:tc>
        <w:tc>
          <w:tcPr>
            <w:tcW w:w="1166" w:type="dxa"/>
            <w:tcBorders>
              <w:tl2br w:val="nil"/>
              <w:tr2bl w:val="nil"/>
            </w:tcBorders>
            <w:shd w:val="clear" w:color="auto" w:fill="auto"/>
            <w:vAlign w:val="center"/>
          </w:tcPr>
          <w:p w14:paraId="6472FE0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保险丝作用演示器</w:t>
            </w:r>
          </w:p>
        </w:tc>
        <w:tc>
          <w:tcPr>
            <w:tcW w:w="8573" w:type="dxa"/>
            <w:tcBorders>
              <w:tl2br w:val="nil"/>
              <w:tr2bl w:val="nil"/>
            </w:tcBorders>
            <w:shd w:val="clear" w:color="auto" w:fill="auto"/>
            <w:vAlign w:val="center"/>
          </w:tcPr>
          <w:p w14:paraId="3DF849F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1、外观结构：整机为全金属结构，铝合金框架，全数码显示面板，免维护、内置式、全稳压、节能型多功能综合演示仪。</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2、工作原理：仪器采用二进制数字电路，可预设10W、20W、40W、80W内置功率并可任意编组，实现0-150W之间的10进位预置和电功率的加、减组合，仪器演示无需拆卸与安装外在功率器件。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3、仪器特点：演示功率、实验电流、导体压降，保险丝作用演示数据均为全数字化数码显示，演示的量化过程，直观明了，一目了然。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4、仪器性能：</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4.1工作电压：AC150V～250V，50Hz～60Hz。</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4.2工作环境：-20～＋40℃。相对湿度：≤90%(40℃)。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4.3演示功率：0～150W，步进功率值10W。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4.4实验电流：0～10A，短路电流≥12A。</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4.5安全标准：仪器各实验端子对机箱外壳绝缘电阻≥20兆欧。</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5、实验项目：</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5.1保险丝的作用实验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5.2保险丝的选择实验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5.3导线的最大电流强度实验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5.4线路电压降与功率损失实验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5.5导体温升与电阻率的观察实验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5.6导体过流与热膨胀特性观察实验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5.7导线替代保险丝的危险性实验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5.8电路短路时的危险性观察实验</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5.9导体与绝缘体实验</w:t>
            </w:r>
          </w:p>
        </w:tc>
        <w:tc>
          <w:tcPr>
            <w:tcW w:w="816" w:type="dxa"/>
            <w:tcBorders>
              <w:tl2br w:val="nil"/>
              <w:tr2bl w:val="nil"/>
            </w:tcBorders>
            <w:shd w:val="clear" w:color="auto" w:fill="auto"/>
            <w:vAlign w:val="center"/>
          </w:tcPr>
          <w:p w14:paraId="684882A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69C8098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53451BE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p>
        </w:tc>
      </w:tr>
      <w:tr w14:paraId="3933FE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714FA6D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3.化学实验室</w:t>
            </w:r>
          </w:p>
        </w:tc>
      </w:tr>
      <w:tr w14:paraId="217833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6AABB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614852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学生凳</w:t>
            </w:r>
          </w:p>
        </w:tc>
        <w:tc>
          <w:tcPr>
            <w:tcW w:w="8573" w:type="dxa"/>
            <w:tcBorders>
              <w:tl2br w:val="nil"/>
              <w:tr2bl w:val="nil"/>
            </w:tcBorders>
            <w:shd w:val="clear" w:color="auto" w:fill="auto"/>
            <w:vAlign w:val="center"/>
          </w:tcPr>
          <w:p w14:paraId="0A9CB8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优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816" w:type="dxa"/>
            <w:tcBorders>
              <w:tl2br w:val="nil"/>
              <w:tr2bl w:val="nil"/>
            </w:tcBorders>
            <w:shd w:val="clear" w:color="auto" w:fill="auto"/>
            <w:vAlign w:val="center"/>
          </w:tcPr>
          <w:p w14:paraId="362CFB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96</w:t>
            </w:r>
          </w:p>
        </w:tc>
        <w:tc>
          <w:tcPr>
            <w:tcW w:w="498" w:type="dxa"/>
            <w:tcBorders>
              <w:tl2br w:val="nil"/>
              <w:tr2bl w:val="nil"/>
            </w:tcBorders>
            <w:shd w:val="clear" w:color="auto" w:fill="auto"/>
            <w:vAlign w:val="center"/>
          </w:tcPr>
          <w:p w14:paraId="798E45A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0C604E9">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19200" cy="1466850"/>
                  <wp:effectExtent l="0" t="0" r="0" b="0"/>
                  <wp:docPr id="1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IMG_256"/>
                          <pic:cNvPicPr>
                            <a:picLocks noChangeAspect="1"/>
                          </pic:cNvPicPr>
                        </pic:nvPicPr>
                        <pic:blipFill>
                          <a:blip r:embed="rId15"/>
                          <a:stretch>
                            <a:fillRect/>
                          </a:stretch>
                        </pic:blipFill>
                        <pic:spPr>
                          <a:xfrm>
                            <a:off x="0" y="0"/>
                            <a:ext cx="1219200" cy="1466850"/>
                          </a:xfrm>
                          <a:prstGeom prst="rect">
                            <a:avLst/>
                          </a:prstGeom>
                          <a:noFill/>
                          <a:ln w="9525">
                            <a:noFill/>
                          </a:ln>
                        </pic:spPr>
                      </pic:pic>
                    </a:graphicData>
                  </a:graphic>
                </wp:inline>
              </w:drawing>
            </w:r>
          </w:p>
        </w:tc>
      </w:tr>
      <w:tr w14:paraId="754634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160121B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4.化学仪器室</w:t>
            </w:r>
          </w:p>
        </w:tc>
      </w:tr>
      <w:tr w14:paraId="76CDC5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02E79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0AD83E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★仪器柜</w:t>
            </w:r>
          </w:p>
        </w:tc>
        <w:tc>
          <w:tcPr>
            <w:tcW w:w="8573" w:type="dxa"/>
            <w:tcBorders>
              <w:tl2br w:val="nil"/>
              <w:tr2bl w:val="nil"/>
            </w:tcBorders>
            <w:shd w:val="clear" w:color="auto" w:fill="auto"/>
            <w:vAlign w:val="center"/>
          </w:tcPr>
          <w:p w14:paraId="33F165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1.规格：≥1000*500*2000mm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2.柜体：侧板、顶底板采用PP材料模具一次成型，表面沙面和光面相结合处理，保证柜体之坚固及密封性，耐腐蚀性强，顶板、底板可预留模具成型排风孔。底部镶嵌≥15mm*30*1.2mm钢制横梁，承重力强。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3.上柜柜门：内框采用PP材质模具一次成型，外嵌</w:t>
            </w:r>
            <w:r>
              <w:rPr>
                <w:rFonts w:hint="eastAsia" w:ascii="宋体" w:hAnsi="宋体" w:eastAsia="宋体" w:cs="宋体"/>
                <w:i w:val="0"/>
                <w:iCs w:val="0"/>
                <w:color w:val="FF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5mm厚钢化烤漆玻璃，中间烤漆镂空制作。上下拉手及三角对称五点固定，防止玻璃的松动或开合。伸缩式PP旋转门轴，四角圆弧倒角，内侧弧形圆边。颜色可选配。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4.下柜柜门：内框采用PP材质模具一次成型，外嵌≥5mm厚钢化烤漆玻璃。上下拉手及三角对称五点固定，防止玻璃的松动或开合。伸缩式ABS旋转门轴，四角圆弧倒角，内侧弧形圆边。颜色可选配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层板：上柜配置两块活动层板，下柜配置一块活动层板，层板全部采用PP材料模具一次成型，表面沙面和光面相结合处理，四周有阻水边，底部镶嵌两根≥15mm*30*1.2mm钢制横梁，承重力强。整体设计为活动式，可随意抽取放在合适的隔层，自由组合各层空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6.拉手：采用ABS材料模具一次成型，直角梯形四周倒圆与柜门平行，开启方便。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7.铰链：采用ABS材料模具一次成型，伸缩式PP旋转门轴</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2C352A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6E68BF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3904FFE">
            <w:pPr>
              <w:keepNext w:val="0"/>
              <w:keepLines w:val="0"/>
              <w:widowControl/>
              <w:suppressLineNumbers w:val="0"/>
              <w:jc w:val="left"/>
              <w:textAlignment w:val="center"/>
              <w:rPr>
                <w:rFonts w:hint="eastAsia" w:ascii="楷体" w:hAnsi="楷体" w:eastAsia="楷体" w:cs="楷体"/>
                <w:i w:val="0"/>
                <w:iCs w:val="0"/>
                <w:color w:val="FF0000"/>
                <w:kern w:val="2"/>
                <w:sz w:val="20"/>
                <w:szCs w:val="20"/>
                <w:u w:val="none"/>
                <w:lang w:val="en-US" w:eastAsia="zh-CN" w:bidi="ar-SA"/>
              </w:rPr>
            </w:pPr>
            <w:r>
              <w:rPr>
                <w:rFonts w:hint="eastAsia" w:ascii="楷体" w:hAnsi="楷体" w:eastAsia="楷体" w:cs="楷体"/>
                <w:i w:val="0"/>
                <w:iCs w:val="0"/>
                <w:color w:val="FF0000"/>
                <w:kern w:val="0"/>
                <w:sz w:val="20"/>
                <w:szCs w:val="20"/>
                <w:u w:val="none"/>
                <w:lang w:val="en-US" w:eastAsia="zh-CN" w:bidi="ar"/>
              </w:rPr>
              <w:drawing>
                <wp:inline distT="0" distB="0" distL="114300" distR="114300">
                  <wp:extent cx="581025" cy="1028700"/>
                  <wp:effectExtent l="0" t="0" r="9525" b="0"/>
                  <wp:docPr id="2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IMG_256"/>
                          <pic:cNvPicPr>
                            <a:picLocks noChangeAspect="1"/>
                          </pic:cNvPicPr>
                        </pic:nvPicPr>
                        <pic:blipFill>
                          <a:blip r:embed="rId16"/>
                          <a:stretch>
                            <a:fillRect/>
                          </a:stretch>
                        </pic:blipFill>
                        <pic:spPr>
                          <a:xfrm>
                            <a:off x="0" y="0"/>
                            <a:ext cx="581025" cy="1028700"/>
                          </a:xfrm>
                          <a:prstGeom prst="rect">
                            <a:avLst/>
                          </a:prstGeom>
                          <a:noFill/>
                          <a:ln w="9525">
                            <a:noFill/>
                          </a:ln>
                        </pic:spPr>
                      </pic:pic>
                    </a:graphicData>
                  </a:graphic>
                </wp:inline>
              </w:drawing>
            </w:r>
          </w:p>
        </w:tc>
      </w:tr>
      <w:tr w14:paraId="49956B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70A255F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5.化学药品室</w:t>
            </w:r>
          </w:p>
        </w:tc>
      </w:tr>
      <w:tr w14:paraId="3D45B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E99A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202E8F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危化品柜</w:t>
            </w:r>
          </w:p>
        </w:tc>
        <w:tc>
          <w:tcPr>
            <w:tcW w:w="8573" w:type="dxa"/>
            <w:tcBorders>
              <w:tl2br w:val="nil"/>
              <w:tr2bl w:val="nil"/>
            </w:tcBorders>
            <w:shd w:val="clear" w:color="auto" w:fill="auto"/>
            <w:vAlign w:val="center"/>
          </w:tcPr>
          <w:p w14:paraId="566A468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1.规格：≥900*515*1850mm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(1)柜体采用≥1.0mm优质冷轧钢板，底座采用≥2.0mm的冷轧钢板制作，经酸洗磷化后静电喷涂，高温固化处理。保持高光洁度并最大限度的降低腐蚀和湿气及紫外线的影响。</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(2)顶板有直径≥110mm出风口，风口内置一个AC2200V、50HZ、0.22A大风扇，最大风量大于300m³/h、转速2550转/min,控制开关置于柜体顶部右上角（当风机开机前要把柜门下方中间的进风口推置打开状态）。</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内部（上、下、左、右）采用5mm抗强酸碱耐冲击的瓷白色PP板做内胆，隔层防火棉填充，采用PP螺丝与柜体连接.突破传统铁板易腐，易锈的诟病。同时还配置3块三层阶梯的PP活动层板，层板设有5MM的通气孔。柜体底部设置进风口及可调风阀，控制风量大小。内部最下层还留有可以存放不少于120mm厚黄沙的填充腔（漏液槽），用于存放金属钠、黄磷（白磷）等易燃物品；挡板应与柜体连为一体.底部加装4个16寸活动轮，便于储存柜的移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柜门采用连续平滑钢琴式铰链，确保门能开180度，配置锌合金拉手。柜门与柜体之间安装防火膨胀密封件，当温度为150℃-180℃时密封条局部膨胀，温度达到750℃时密封条全部膨胀，膨胀比例1：5，以确保储存药品的安全性。</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(5)温湿度控制面板位于柜体右上角：柜体顶部配置温湿度传感器，对柜内相对温湿度实时监控，数字显示设定和测量值，如超过设定的测量值即时报警提示。电源AC220V 50HZ,温度启控0～99.9℃（用户设定），湿度启控0～99.9﹪（用户设定）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(6)报警功能:VOC、温湿度超过设定值，报警提示，报警方式采用声光报警。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3.智能控制：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通    风：可自主设置每日的排气换气时间（可设≥6个时间）</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，400mmPVC管从室内连通室外。</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报警提示：当柜内温度，湿度和VOC浓度超标时，储存柜自身会发出强烈的声光报警提醒管理员，直至报警消除。</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自主排风：当储存柜内部监测值（温/湿度，VOC浓度）超标时，储存柜</w:t>
            </w:r>
            <w:r>
              <w:rPr>
                <w:rFonts w:hint="eastAsia" w:ascii="宋体" w:hAnsi="宋体" w:eastAsia="宋体" w:cs="宋体"/>
                <w:i w:val="0"/>
                <w:iCs w:val="0"/>
                <w:color w:val="000000"/>
                <w:kern w:val="0"/>
                <w:sz w:val="20"/>
                <w:szCs w:val="20"/>
                <w:u w:val="none"/>
                <w:lang w:val="en-US" w:eastAsia="zh-CN" w:bidi="ar"/>
              </w:rPr>
              <w:t>会自主发出报警并启动排风装置，及时降低内部温度，湿度和VOC浓度。</w:t>
            </w:r>
          </w:p>
        </w:tc>
        <w:tc>
          <w:tcPr>
            <w:tcW w:w="816" w:type="dxa"/>
            <w:tcBorders>
              <w:tl2br w:val="nil"/>
              <w:tr2bl w:val="nil"/>
            </w:tcBorders>
            <w:shd w:val="clear" w:color="auto" w:fill="auto"/>
            <w:vAlign w:val="center"/>
          </w:tcPr>
          <w:p w14:paraId="207A62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6D34D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bottom"/>
          </w:tcPr>
          <w:p w14:paraId="0880C6A5">
            <w:pPr>
              <w:keepNext w:val="0"/>
              <w:keepLines w:val="0"/>
              <w:widowControl/>
              <w:suppressLineNumbers w:val="0"/>
              <w:jc w:val="left"/>
              <w:textAlignment w:val="bottom"/>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28650" cy="1266825"/>
                  <wp:effectExtent l="0" t="0" r="0" b="9525"/>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17"/>
                          <a:stretch>
                            <a:fillRect/>
                          </a:stretch>
                        </pic:blipFill>
                        <pic:spPr>
                          <a:xfrm>
                            <a:off x="0" y="0"/>
                            <a:ext cx="628650" cy="1266825"/>
                          </a:xfrm>
                          <a:prstGeom prst="rect">
                            <a:avLst/>
                          </a:prstGeom>
                          <a:noFill/>
                          <a:ln w="9525">
                            <a:noFill/>
                          </a:ln>
                        </pic:spPr>
                      </pic:pic>
                    </a:graphicData>
                  </a:graphic>
                </wp:inline>
              </w:drawing>
            </w:r>
          </w:p>
        </w:tc>
      </w:tr>
      <w:tr w14:paraId="06E23F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DD252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 </w:t>
            </w:r>
          </w:p>
        </w:tc>
        <w:tc>
          <w:tcPr>
            <w:tcW w:w="1166" w:type="dxa"/>
            <w:tcBorders>
              <w:tl2br w:val="nil"/>
              <w:tr2bl w:val="nil"/>
            </w:tcBorders>
            <w:shd w:val="clear" w:color="auto" w:fill="auto"/>
            <w:vAlign w:val="center"/>
          </w:tcPr>
          <w:p w14:paraId="7759F8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灭火毯</w:t>
            </w:r>
          </w:p>
        </w:tc>
        <w:tc>
          <w:tcPr>
            <w:tcW w:w="8573" w:type="dxa"/>
            <w:tcBorders>
              <w:tl2br w:val="nil"/>
              <w:tr2bl w:val="nil"/>
            </w:tcBorders>
            <w:shd w:val="clear" w:color="auto" w:fill="auto"/>
            <w:vAlign w:val="center"/>
          </w:tcPr>
          <w:p w14:paraId="4361B14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玻璃纤维材质，</w:t>
            </w:r>
            <w:r>
              <w:rPr>
                <w:rFonts w:hint="eastAsia" w:ascii="宋体" w:hAnsi="宋体" w:eastAsia="宋体" w:cs="宋体"/>
                <w:i w:val="0"/>
                <w:iCs w:val="0"/>
                <w:color w:val="FF0000"/>
                <w:kern w:val="0"/>
                <w:sz w:val="20"/>
                <w:szCs w:val="20"/>
                <w:u w:val="none"/>
                <w:lang w:val="en-US" w:eastAsia="zh-CN" w:bidi="ar"/>
              </w:rPr>
              <w:t>≥</w:t>
            </w:r>
            <w:r>
              <w:rPr>
                <w:rFonts w:hint="eastAsia" w:ascii="宋体" w:hAnsi="宋体" w:eastAsia="宋体" w:cs="宋体"/>
                <w:i w:val="0"/>
                <w:iCs w:val="0"/>
                <w:color w:val="000000"/>
                <w:kern w:val="0"/>
                <w:sz w:val="20"/>
                <w:szCs w:val="20"/>
                <w:u w:val="none"/>
                <w:lang w:val="en-US" w:eastAsia="zh-CN" w:bidi="ar"/>
              </w:rPr>
              <w:t>1200 mm×1800 mm 。在500℃~1000℃内，产品无变化，耐热性强。经过特殊处理的玻璃纤维锻纹织物如丝绸一样光滑、柔软紧密，快速阻燃，有效灭火。</w:t>
            </w:r>
          </w:p>
        </w:tc>
        <w:tc>
          <w:tcPr>
            <w:tcW w:w="816" w:type="dxa"/>
            <w:tcBorders>
              <w:tl2br w:val="nil"/>
              <w:tr2bl w:val="nil"/>
            </w:tcBorders>
            <w:shd w:val="clear" w:color="auto" w:fill="auto"/>
            <w:vAlign w:val="center"/>
          </w:tcPr>
          <w:p w14:paraId="479F0D7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6A3EB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6900E83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EBA0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CDA8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 </w:t>
            </w:r>
          </w:p>
        </w:tc>
        <w:tc>
          <w:tcPr>
            <w:tcW w:w="1166" w:type="dxa"/>
            <w:tcBorders>
              <w:tl2br w:val="nil"/>
              <w:tr2bl w:val="nil"/>
            </w:tcBorders>
            <w:shd w:val="clear" w:color="auto" w:fill="auto"/>
            <w:vAlign w:val="center"/>
          </w:tcPr>
          <w:p w14:paraId="26CDD1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简易急救箱</w:t>
            </w:r>
          </w:p>
        </w:tc>
        <w:tc>
          <w:tcPr>
            <w:tcW w:w="8573" w:type="dxa"/>
            <w:tcBorders>
              <w:tl2br w:val="nil"/>
              <w:tr2bl w:val="nil"/>
            </w:tcBorders>
            <w:shd w:val="clear" w:color="auto" w:fill="auto"/>
            <w:vAlign w:val="center"/>
          </w:tcPr>
          <w:p w14:paraId="62673C5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箱内至少包括：医用酒精、饱和碳酸氢钠溶液、饱和硼酸溶液、创可贴、灭菌结晶磺胺、碘伏、胶布、医用纱布、药棉、手术剪、镊子、止血带（长度≥30 cm）、烫伤膏、甘油等。箱体采用中号铝合金材质</w:t>
            </w:r>
          </w:p>
        </w:tc>
        <w:tc>
          <w:tcPr>
            <w:tcW w:w="816" w:type="dxa"/>
            <w:tcBorders>
              <w:tl2br w:val="nil"/>
              <w:tr2bl w:val="nil"/>
            </w:tcBorders>
            <w:shd w:val="clear" w:color="auto" w:fill="auto"/>
            <w:vAlign w:val="center"/>
          </w:tcPr>
          <w:p w14:paraId="7836EA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9D819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6543FC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F544B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3D2F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 </w:t>
            </w:r>
          </w:p>
        </w:tc>
        <w:tc>
          <w:tcPr>
            <w:tcW w:w="1166" w:type="dxa"/>
            <w:tcBorders>
              <w:tl2br w:val="nil"/>
              <w:tr2bl w:val="nil"/>
            </w:tcBorders>
            <w:shd w:val="clear" w:color="auto" w:fill="auto"/>
            <w:vAlign w:val="center"/>
          </w:tcPr>
          <w:p w14:paraId="603E13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防护面罩</w:t>
            </w:r>
          </w:p>
        </w:tc>
        <w:tc>
          <w:tcPr>
            <w:tcW w:w="8573" w:type="dxa"/>
            <w:tcBorders>
              <w:tl2br w:val="nil"/>
              <w:tr2bl w:val="nil"/>
            </w:tcBorders>
            <w:shd w:val="clear" w:color="auto" w:fill="auto"/>
            <w:vAlign w:val="center"/>
          </w:tcPr>
          <w:p w14:paraId="3A3A3C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防冲击面屏， 聚碳酸酯材质，耐45m/s粒子冲击，通过弹簧箍与安全帽相连，面屏可更换，起到头部与面部双重保护作用，光洁，透明度高</w:t>
            </w:r>
          </w:p>
        </w:tc>
        <w:tc>
          <w:tcPr>
            <w:tcW w:w="816" w:type="dxa"/>
            <w:tcBorders>
              <w:tl2br w:val="nil"/>
              <w:tr2bl w:val="nil"/>
            </w:tcBorders>
            <w:shd w:val="clear" w:color="auto" w:fill="auto"/>
            <w:vAlign w:val="center"/>
          </w:tcPr>
          <w:p w14:paraId="7D0F07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45316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E0651D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7551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6E74D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 </w:t>
            </w:r>
          </w:p>
        </w:tc>
        <w:tc>
          <w:tcPr>
            <w:tcW w:w="1166" w:type="dxa"/>
            <w:tcBorders>
              <w:tl2br w:val="nil"/>
              <w:tr2bl w:val="nil"/>
            </w:tcBorders>
            <w:shd w:val="clear" w:color="auto" w:fill="auto"/>
            <w:vAlign w:val="center"/>
          </w:tcPr>
          <w:p w14:paraId="5E05D8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防毒口罩</w:t>
            </w:r>
          </w:p>
        </w:tc>
        <w:tc>
          <w:tcPr>
            <w:tcW w:w="8573" w:type="dxa"/>
            <w:tcBorders>
              <w:tl2br w:val="nil"/>
              <w:tr2bl w:val="nil"/>
            </w:tcBorders>
            <w:shd w:val="clear" w:color="auto" w:fill="auto"/>
            <w:vAlign w:val="center"/>
          </w:tcPr>
          <w:p w14:paraId="3CF3B4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E 型（标色：黄）， 防止吸入酸性气体或蒸气 </w:t>
            </w:r>
          </w:p>
        </w:tc>
        <w:tc>
          <w:tcPr>
            <w:tcW w:w="816" w:type="dxa"/>
            <w:tcBorders>
              <w:tl2br w:val="nil"/>
              <w:tr2bl w:val="nil"/>
            </w:tcBorders>
            <w:shd w:val="clear" w:color="auto" w:fill="auto"/>
            <w:vAlign w:val="center"/>
          </w:tcPr>
          <w:p w14:paraId="1472C2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0182D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86B82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B8BA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05E3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 </w:t>
            </w:r>
          </w:p>
        </w:tc>
        <w:tc>
          <w:tcPr>
            <w:tcW w:w="1166" w:type="dxa"/>
            <w:tcBorders>
              <w:tl2br w:val="nil"/>
              <w:tr2bl w:val="nil"/>
            </w:tcBorders>
            <w:shd w:val="clear" w:color="auto" w:fill="auto"/>
            <w:vAlign w:val="center"/>
          </w:tcPr>
          <w:p w14:paraId="08F4C5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防毒口罩</w:t>
            </w:r>
          </w:p>
        </w:tc>
        <w:tc>
          <w:tcPr>
            <w:tcW w:w="8573" w:type="dxa"/>
            <w:tcBorders>
              <w:tl2br w:val="nil"/>
              <w:tr2bl w:val="nil"/>
            </w:tcBorders>
            <w:shd w:val="clear" w:color="auto" w:fill="auto"/>
            <w:vAlign w:val="center"/>
          </w:tcPr>
          <w:p w14:paraId="4ABB26C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CO型（标色：白）， 防止吸入一氧化碳气体 </w:t>
            </w:r>
          </w:p>
        </w:tc>
        <w:tc>
          <w:tcPr>
            <w:tcW w:w="816" w:type="dxa"/>
            <w:tcBorders>
              <w:tl2br w:val="nil"/>
              <w:tr2bl w:val="nil"/>
            </w:tcBorders>
            <w:shd w:val="clear" w:color="auto" w:fill="auto"/>
            <w:vAlign w:val="center"/>
          </w:tcPr>
          <w:p w14:paraId="1BE5D8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9EEDC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785A2F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6769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0456A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 </w:t>
            </w:r>
          </w:p>
        </w:tc>
        <w:tc>
          <w:tcPr>
            <w:tcW w:w="1166" w:type="dxa"/>
            <w:tcBorders>
              <w:tl2br w:val="nil"/>
              <w:tr2bl w:val="nil"/>
            </w:tcBorders>
            <w:shd w:val="clear" w:color="auto" w:fill="auto"/>
            <w:vAlign w:val="center"/>
          </w:tcPr>
          <w:p w14:paraId="6BC6E7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耐酸手套</w:t>
            </w:r>
          </w:p>
        </w:tc>
        <w:tc>
          <w:tcPr>
            <w:tcW w:w="8573" w:type="dxa"/>
            <w:tcBorders>
              <w:tl2br w:val="nil"/>
              <w:tr2bl w:val="nil"/>
            </w:tcBorders>
            <w:shd w:val="clear" w:color="auto" w:fill="auto"/>
            <w:vAlign w:val="center"/>
          </w:tcPr>
          <w:p w14:paraId="72854C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机械性能不低于 3 级，无破损，手套应有长度≥15 cm 的套袖</w:t>
            </w:r>
          </w:p>
        </w:tc>
        <w:tc>
          <w:tcPr>
            <w:tcW w:w="816" w:type="dxa"/>
            <w:tcBorders>
              <w:tl2br w:val="nil"/>
              <w:tr2bl w:val="nil"/>
            </w:tcBorders>
            <w:shd w:val="clear" w:color="auto" w:fill="auto"/>
            <w:vAlign w:val="center"/>
          </w:tcPr>
          <w:p w14:paraId="7489DC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4985C2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w:t>
            </w:r>
          </w:p>
        </w:tc>
        <w:tc>
          <w:tcPr>
            <w:tcW w:w="2796" w:type="dxa"/>
            <w:tcBorders>
              <w:tl2br w:val="nil"/>
              <w:tr2bl w:val="nil"/>
            </w:tcBorders>
            <w:shd w:val="clear" w:color="auto" w:fill="auto"/>
            <w:vAlign w:val="center"/>
          </w:tcPr>
          <w:p w14:paraId="17F1AD3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B71E1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E7E9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 </w:t>
            </w:r>
          </w:p>
        </w:tc>
        <w:tc>
          <w:tcPr>
            <w:tcW w:w="1166" w:type="dxa"/>
            <w:tcBorders>
              <w:tl2br w:val="nil"/>
              <w:tr2bl w:val="nil"/>
            </w:tcBorders>
            <w:shd w:val="clear" w:color="auto" w:fill="auto"/>
            <w:vAlign w:val="center"/>
          </w:tcPr>
          <w:p w14:paraId="0207F4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化学实验废水处理装置</w:t>
            </w:r>
          </w:p>
        </w:tc>
        <w:tc>
          <w:tcPr>
            <w:tcW w:w="8573" w:type="dxa"/>
            <w:tcBorders>
              <w:tl2br w:val="nil"/>
              <w:tr2bl w:val="nil"/>
            </w:tcBorders>
            <w:shd w:val="clear" w:color="auto" w:fill="auto"/>
            <w:vAlign w:val="center"/>
          </w:tcPr>
          <w:p w14:paraId="0A37EDC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主体透明，能进行 pH 测试、酸碱废液中和、重金属凝聚和过滤，兼作教学使用，能处理中学常见无机化学废液，同时可以通过仪器内的活性炭吸附少量混入的有机物。应配备适量的凝聚剂和助凝剂，至少应配备更换用活性炭包 1 个。处理量≥6 L/次</w:t>
            </w:r>
          </w:p>
        </w:tc>
        <w:tc>
          <w:tcPr>
            <w:tcW w:w="816" w:type="dxa"/>
            <w:tcBorders>
              <w:tl2br w:val="nil"/>
              <w:tr2bl w:val="nil"/>
            </w:tcBorders>
            <w:shd w:val="clear" w:color="auto" w:fill="auto"/>
            <w:vAlign w:val="center"/>
          </w:tcPr>
          <w:p w14:paraId="3AF30C8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242638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746D7C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2E77E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386B38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 </w:t>
            </w:r>
          </w:p>
        </w:tc>
        <w:tc>
          <w:tcPr>
            <w:tcW w:w="1166" w:type="dxa"/>
            <w:tcBorders>
              <w:tl2br w:val="nil"/>
              <w:tr2bl w:val="nil"/>
            </w:tcBorders>
            <w:shd w:val="clear" w:color="auto" w:fill="auto"/>
            <w:vAlign w:val="center"/>
          </w:tcPr>
          <w:p w14:paraId="7EF0BE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废液分类回收桶</w:t>
            </w:r>
          </w:p>
        </w:tc>
        <w:tc>
          <w:tcPr>
            <w:tcW w:w="8573" w:type="dxa"/>
            <w:tcBorders>
              <w:tl2br w:val="nil"/>
              <w:tr2bl w:val="nil"/>
            </w:tcBorders>
            <w:shd w:val="clear" w:color="auto" w:fill="auto"/>
            <w:vAlign w:val="center"/>
          </w:tcPr>
          <w:p w14:paraId="343C903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塑料制， 25 L </w:t>
            </w:r>
          </w:p>
        </w:tc>
        <w:tc>
          <w:tcPr>
            <w:tcW w:w="816" w:type="dxa"/>
            <w:tcBorders>
              <w:tl2br w:val="nil"/>
              <w:tr2bl w:val="nil"/>
            </w:tcBorders>
            <w:shd w:val="clear" w:color="auto" w:fill="auto"/>
            <w:vAlign w:val="center"/>
          </w:tcPr>
          <w:p w14:paraId="76AFBE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5C9E96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0FD8E5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D5A5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0927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 </w:t>
            </w:r>
          </w:p>
        </w:tc>
        <w:tc>
          <w:tcPr>
            <w:tcW w:w="1166" w:type="dxa"/>
            <w:tcBorders>
              <w:tl2br w:val="nil"/>
              <w:tr2bl w:val="nil"/>
            </w:tcBorders>
            <w:shd w:val="clear" w:color="auto" w:fill="auto"/>
            <w:vAlign w:val="center"/>
          </w:tcPr>
          <w:p w14:paraId="28AE331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电加热器</w:t>
            </w:r>
          </w:p>
        </w:tc>
        <w:tc>
          <w:tcPr>
            <w:tcW w:w="8573" w:type="dxa"/>
            <w:tcBorders>
              <w:tl2br w:val="nil"/>
              <w:tr2bl w:val="nil"/>
            </w:tcBorders>
            <w:shd w:val="clear" w:color="auto" w:fill="auto"/>
            <w:vAlign w:val="center"/>
          </w:tcPr>
          <w:p w14:paraId="0277724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密封式 </w:t>
            </w:r>
          </w:p>
        </w:tc>
        <w:tc>
          <w:tcPr>
            <w:tcW w:w="816" w:type="dxa"/>
            <w:tcBorders>
              <w:tl2br w:val="nil"/>
              <w:tr2bl w:val="nil"/>
            </w:tcBorders>
            <w:shd w:val="clear" w:color="auto" w:fill="auto"/>
            <w:vAlign w:val="center"/>
          </w:tcPr>
          <w:p w14:paraId="3B5594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2C52C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A91699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E1218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F6A1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 </w:t>
            </w:r>
          </w:p>
        </w:tc>
        <w:tc>
          <w:tcPr>
            <w:tcW w:w="1166" w:type="dxa"/>
            <w:tcBorders>
              <w:tl2br w:val="nil"/>
              <w:tr2bl w:val="nil"/>
            </w:tcBorders>
            <w:shd w:val="clear" w:color="auto" w:fill="auto"/>
            <w:vAlign w:val="center"/>
          </w:tcPr>
          <w:p w14:paraId="1C1170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列管式烘干器</w:t>
            </w:r>
          </w:p>
        </w:tc>
        <w:tc>
          <w:tcPr>
            <w:tcW w:w="8573" w:type="dxa"/>
            <w:tcBorders>
              <w:tl2br w:val="nil"/>
              <w:tr2bl w:val="nil"/>
            </w:tcBorders>
            <w:shd w:val="clear" w:color="auto" w:fill="auto"/>
            <w:vAlign w:val="center"/>
          </w:tcPr>
          <w:p w14:paraId="263EF23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由外壳不少于 13 支通风管、电源线、发热器、风扇等组成。通风管用外径 12 mm 的金属管制作，管壁厚≥2 mm，长度 185 mm，每支通风管上均布10 个直径 5 mm 的通气孔。功率≥250 W，绝缘电阻大于 100 MΩ</w:t>
            </w:r>
          </w:p>
        </w:tc>
        <w:tc>
          <w:tcPr>
            <w:tcW w:w="816" w:type="dxa"/>
            <w:tcBorders>
              <w:tl2br w:val="nil"/>
              <w:tr2bl w:val="nil"/>
            </w:tcBorders>
            <w:shd w:val="clear" w:color="auto" w:fill="auto"/>
            <w:vAlign w:val="center"/>
          </w:tcPr>
          <w:p w14:paraId="791F81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F3C6A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D6727A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8D2E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9B4CB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 </w:t>
            </w:r>
          </w:p>
        </w:tc>
        <w:tc>
          <w:tcPr>
            <w:tcW w:w="1166" w:type="dxa"/>
            <w:tcBorders>
              <w:tl2br w:val="nil"/>
              <w:tr2bl w:val="nil"/>
            </w:tcBorders>
            <w:shd w:val="clear" w:color="auto" w:fill="auto"/>
            <w:vAlign w:val="center"/>
          </w:tcPr>
          <w:p w14:paraId="2A2F6C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烘干箱</w:t>
            </w:r>
          </w:p>
        </w:tc>
        <w:tc>
          <w:tcPr>
            <w:tcW w:w="8573" w:type="dxa"/>
            <w:tcBorders>
              <w:tl2br w:val="nil"/>
              <w:tr2bl w:val="nil"/>
            </w:tcBorders>
            <w:shd w:val="clear" w:color="auto" w:fill="auto"/>
            <w:vAlign w:val="center"/>
          </w:tcPr>
          <w:p w14:paraId="4CC2E0A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电热鼓风型，功率≥600 W， 1.5 级（温度均匀性为±0.03 ℃，温度波动性为 1.5 ℃），烘干温度250 ℃以下，箱体内有隔板，内部容积≥350 mm×350 mm×350 mm</w:t>
            </w:r>
          </w:p>
        </w:tc>
        <w:tc>
          <w:tcPr>
            <w:tcW w:w="816" w:type="dxa"/>
            <w:tcBorders>
              <w:tl2br w:val="nil"/>
              <w:tr2bl w:val="nil"/>
            </w:tcBorders>
            <w:shd w:val="clear" w:color="auto" w:fill="auto"/>
            <w:vAlign w:val="center"/>
          </w:tcPr>
          <w:p w14:paraId="59FC0B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13D9F9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38C697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558A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CEC1F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w:t>
            </w:r>
          </w:p>
        </w:tc>
        <w:tc>
          <w:tcPr>
            <w:tcW w:w="1166" w:type="dxa"/>
            <w:tcBorders>
              <w:tl2br w:val="nil"/>
              <w:tr2bl w:val="nil"/>
            </w:tcBorders>
            <w:shd w:val="clear" w:color="auto" w:fill="auto"/>
            <w:vAlign w:val="center"/>
          </w:tcPr>
          <w:p w14:paraId="719C15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仪器车</w:t>
            </w:r>
          </w:p>
        </w:tc>
        <w:tc>
          <w:tcPr>
            <w:tcW w:w="8573" w:type="dxa"/>
            <w:tcBorders>
              <w:tl2br w:val="nil"/>
              <w:tr2bl w:val="nil"/>
            </w:tcBorders>
            <w:shd w:val="clear" w:color="auto" w:fill="auto"/>
            <w:vAlign w:val="center"/>
          </w:tcPr>
          <w:p w14:paraId="200D1C2C">
            <w:pPr>
              <w:keepNext w:val="0"/>
              <w:keepLines w:val="0"/>
              <w:widowControl/>
              <w:numPr>
                <w:ilvl w:val="0"/>
                <w:numId w:val="5"/>
              </w:numPr>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整体规格尺寸≥950×500×900mm，净重≥13kg，车体由不锈钢盆、不锈钢管、车轮组成；不锈钢盆，分上下两层，每层盆面尺寸900×450mm，盆边缘倒角处理，防止刮伤，盆背面带有防震垫装置，单层盆额定载重量50kg，所有连接配件均由不锈钢制作；车架主体采用≥25×25mm的不锈钢方管制成，形似“∩”，高≥800mm；车轮为四个φ100mm的万向脚轮，脚轮可360°任意转动，其中有两只脚轮带刹车装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2、为保证产品质量</w:t>
            </w:r>
            <w:r>
              <w:rPr>
                <w:rFonts w:hint="eastAsia" w:ascii="宋体" w:hAnsi="宋体" w:cs="宋体"/>
                <w:i w:val="0"/>
                <w:iCs w:val="0"/>
                <w:color w:val="000000"/>
                <w:kern w:val="0"/>
                <w:sz w:val="20"/>
                <w:szCs w:val="20"/>
                <w:u w:val="none"/>
                <w:lang w:val="en-US" w:eastAsia="zh-CN" w:bidi="ar"/>
              </w:rPr>
              <w:t>。</w:t>
            </w:r>
          </w:p>
          <w:p w14:paraId="6208B1CC">
            <w:pPr>
              <w:keepNext w:val="0"/>
              <w:keepLines w:val="0"/>
              <w:widowControl/>
              <w:numPr>
                <w:ilvl w:val="0"/>
                <w:numId w:val="0"/>
              </w:numPr>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(1)为了保证小件物品在运输过程中不掉落，上层盆深≥100mm；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(2)所用紧固件不应有脱扣、劈头、断裂和歪斜。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(3)为了方便搬运大件的仪器或物件，下层留一长边以方便装卸仪器或物件，另外三边带围栏，围栏由φ12mm的钢管组成，两层围栏间隔≥100mm。</w:t>
            </w:r>
          </w:p>
        </w:tc>
        <w:tc>
          <w:tcPr>
            <w:tcW w:w="816" w:type="dxa"/>
            <w:tcBorders>
              <w:tl2br w:val="nil"/>
              <w:tr2bl w:val="nil"/>
            </w:tcBorders>
            <w:shd w:val="clear" w:color="auto" w:fill="auto"/>
            <w:vAlign w:val="center"/>
          </w:tcPr>
          <w:p w14:paraId="12FC0F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68366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辆</w:t>
            </w:r>
          </w:p>
        </w:tc>
        <w:tc>
          <w:tcPr>
            <w:tcW w:w="2796" w:type="dxa"/>
            <w:tcBorders>
              <w:tl2br w:val="nil"/>
              <w:tr2bl w:val="nil"/>
            </w:tcBorders>
            <w:shd w:val="clear" w:color="auto" w:fill="auto"/>
            <w:vAlign w:val="center"/>
          </w:tcPr>
          <w:p w14:paraId="77944E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42AD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55C1A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w:t>
            </w:r>
          </w:p>
        </w:tc>
        <w:tc>
          <w:tcPr>
            <w:tcW w:w="1166" w:type="dxa"/>
            <w:tcBorders>
              <w:tl2br w:val="nil"/>
              <w:tr2bl w:val="nil"/>
            </w:tcBorders>
            <w:shd w:val="clear" w:color="auto" w:fill="auto"/>
            <w:vAlign w:val="center"/>
          </w:tcPr>
          <w:p w14:paraId="729845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试剂瓶托盘</w:t>
            </w:r>
          </w:p>
        </w:tc>
        <w:tc>
          <w:tcPr>
            <w:tcW w:w="8573" w:type="dxa"/>
            <w:tcBorders>
              <w:tl2br w:val="nil"/>
              <w:tr2bl w:val="nil"/>
            </w:tcBorders>
            <w:shd w:val="clear" w:color="auto" w:fill="auto"/>
            <w:vAlign w:val="center"/>
          </w:tcPr>
          <w:p w14:paraId="6630E5C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搪瓷材质， 内沿≥400 mm×290 mm×50 mm </w:t>
            </w:r>
          </w:p>
        </w:tc>
        <w:tc>
          <w:tcPr>
            <w:tcW w:w="816" w:type="dxa"/>
            <w:tcBorders>
              <w:tl2br w:val="nil"/>
              <w:tr2bl w:val="nil"/>
            </w:tcBorders>
            <w:shd w:val="clear" w:color="auto" w:fill="auto"/>
            <w:vAlign w:val="center"/>
          </w:tcPr>
          <w:p w14:paraId="1767A4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3BFB40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A4C65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BAA36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E82B5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1166" w:type="dxa"/>
            <w:tcBorders>
              <w:tl2br w:val="nil"/>
              <w:tr2bl w:val="nil"/>
            </w:tcBorders>
            <w:shd w:val="clear" w:color="auto" w:fill="auto"/>
            <w:vAlign w:val="center"/>
          </w:tcPr>
          <w:p w14:paraId="7F789C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实验用品提篮</w:t>
            </w:r>
          </w:p>
        </w:tc>
        <w:tc>
          <w:tcPr>
            <w:tcW w:w="8573" w:type="dxa"/>
            <w:tcBorders>
              <w:tl2br w:val="nil"/>
              <w:tr2bl w:val="nil"/>
            </w:tcBorders>
            <w:shd w:val="clear" w:color="auto" w:fill="auto"/>
            <w:vAlign w:val="center"/>
          </w:tcPr>
          <w:p w14:paraId="189F07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木制，配有提手，≥ 490 mm×360 mm×290 mm </w:t>
            </w:r>
          </w:p>
        </w:tc>
        <w:tc>
          <w:tcPr>
            <w:tcW w:w="816" w:type="dxa"/>
            <w:tcBorders>
              <w:tl2br w:val="nil"/>
              <w:tr2bl w:val="nil"/>
            </w:tcBorders>
            <w:shd w:val="clear" w:color="auto" w:fill="auto"/>
            <w:vAlign w:val="center"/>
          </w:tcPr>
          <w:p w14:paraId="436A45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8EFAF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D6D5CD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B88DD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81DBB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1166" w:type="dxa"/>
            <w:tcBorders>
              <w:tl2br w:val="nil"/>
              <w:tr2bl w:val="nil"/>
            </w:tcBorders>
            <w:shd w:val="clear" w:color="auto" w:fill="auto"/>
            <w:vAlign w:val="center"/>
          </w:tcPr>
          <w:p w14:paraId="77F2E7A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一字螺丝刀</w:t>
            </w:r>
          </w:p>
        </w:tc>
        <w:tc>
          <w:tcPr>
            <w:tcW w:w="8573" w:type="dxa"/>
            <w:tcBorders>
              <w:tl2br w:val="nil"/>
              <w:tr2bl w:val="nil"/>
            </w:tcBorders>
            <w:shd w:val="clear" w:color="auto" w:fill="auto"/>
            <w:vAlign w:val="center"/>
          </w:tcPr>
          <w:p w14:paraId="080A5EA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大号，φ3mm或φ6mm，长度不小于150mm，塑料手柄，刀身为优质金属制，强度高，表面做防锈处理，刀身头部带有磁性。</w:t>
            </w:r>
          </w:p>
        </w:tc>
        <w:tc>
          <w:tcPr>
            <w:tcW w:w="816" w:type="dxa"/>
            <w:tcBorders>
              <w:tl2br w:val="nil"/>
              <w:tr2bl w:val="nil"/>
            </w:tcBorders>
            <w:shd w:val="clear" w:color="auto" w:fill="auto"/>
            <w:vAlign w:val="center"/>
          </w:tcPr>
          <w:p w14:paraId="4DF08C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1C565A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70919E4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6EB8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CD35F5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w:t>
            </w:r>
          </w:p>
        </w:tc>
        <w:tc>
          <w:tcPr>
            <w:tcW w:w="1166" w:type="dxa"/>
            <w:tcBorders>
              <w:tl2br w:val="nil"/>
              <w:tr2bl w:val="nil"/>
            </w:tcBorders>
            <w:shd w:val="clear" w:color="auto" w:fill="auto"/>
            <w:vAlign w:val="center"/>
          </w:tcPr>
          <w:p w14:paraId="5EA96F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十字螺丝刀</w:t>
            </w:r>
          </w:p>
        </w:tc>
        <w:tc>
          <w:tcPr>
            <w:tcW w:w="8573" w:type="dxa"/>
            <w:tcBorders>
              <w:tl2br w:val="nil"/>
              <w:tr2bl w:val="nil"/>
            </w:tcBorders>
            <w:shd w:val="clear" w:color="auto" w:fill="auto"/>
            <w:vAlign w:val="center"/>
          </w:tcPr>
          <w:p w14:paraId="2D9C474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大号，φ3mm或φ6mm，长度不小于150mm，塑料手柄，刀身为优质金属制，强度高，表面做防锈处理，刀身头部带有磁性。</w:t>
            </w:r>
          </w:p>
        </w:tc>
        <w:tc>
          <w:tcPr>
            <w:tcW w:w="816" w:type="dxa"/>
            <w:tcBorders>
              <w:tl2br w:val="nil"/>
              <w:tr2bl w:val="nil"/>
            </w:tcBorders>
            <w:shd w:val="clear" w:color="auto" w:fill="auto"/>
            <w:vAlign w:val="center"/>
          </w:tcPr>
          <w:p w14:paraId="33ED5A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D07E3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3733EAC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2C1EC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5EDE0D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18</w:t>
            </w:r>
          </w:p>
        </w:tc>
        <w:tc>
          <w:tcPr>
            <w:tcW w:w="1166" w:type="dxa"/>
            <w:tcBorders>
              <w:tl2br w:val="nil"/>
              <w:tr2bl w:val="nil"/>
            </w:tcBorders>
            <w:shd w:val="clear" w:color="auto" w:fill="auto"/>
            <w:vAlign w:val="center"/>
          </w:tcPr>
          <w:p w14:paraId="44FB40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钢丝钳</w:t>
            </w:r>
          </w:p>
        </w:tc>
        <w:tc>
          <w:tcPr>
            <w:tcW w:w="8573" w:type="dxa"/>
            <w:tcBorders>
              <w:tl2br w:val="nil"/>
              <w:tr2bl w:val="nil"/>
            </w:tcBorders>
            <w:shd w:val="clear" w:color="auto" w:fill="auto"/>
            <w:vAlign w:val="center"/>
          </w:tcPr>
          <w:p w14:paraId="13376E4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≥160 mm </w:t>
            </w:r>
          </w:p>
        </w:tc>
        <w:tc>
          <w:tcPr>
            <w:tcW w:w="816" w:type="dxa"/>
            <w:tcBorders>
              <w:tl2br w:val="nil"/>
              <w:tr2bl w:val="nil"/>
            </w:tcBorders>
            <w:shd w:val="clear" w:color="auto" w:fill="auto"/>
            <w:vAlign w:val="center"/>
          </w:tcPr>
          <w:p w14:paraId="45DFF6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9D31C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1EA0D25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3C51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09574C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19</w:t>
            </w:r>
          </w:p>
        </w:tc>
        <w:tc>
          <w:tcPr>
            <w:tcW w:w="1166" w:type="dxa"/>
            <w:tcBorders>
              <w:tl2br w:val="nil"/>
              <w:tr2bl w:val="nil"/>
            </w:tcBorders>
            <w:shd w:val="clear" w:color="auto" w:fill="auto"/>
            <w:vAlign w:val="center"/>
          </w:tcPr>
          <w:p w14:paraId="4F2AF4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钢锤</w:t>
            </w:r>
          </w:p>
        </w:tc>
        <w:tc>
          <w:tcPr>
            <w:tcW w:w="8573" w:type="dxa"/>
            <w:tcBorders>
              <w:tl2br w:val="nil"/>
              <w:tr2bl w:val="nil"/>
            </w:tcBorders>
            <w:shd w:val="clear" w:color="auto" w:fill="auto"/>
            <w:vAlign w:val="center"/>
          </w:tcPr>
          <w:p w14:paraId="751357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≥0.25 kg， 羊角锤 </w:t>
            </w:r>
          </w:p>
        </w:tc>
        <w:tc>
          <w:tcPr>
            <w:tcW w:w="816" w:type="dxa"/>
            <w:tcBorders>
              <w:tl2br w:val="nil"/>
              <w:tr2bl w:val="nil"/>
            </w:tcBorders>
            <w:shd w:val="clear" w:color="auto" w:fill="auto"/>
            <w:vAlign w:val="center"/>
          </w:tcPr>
          <w:p w14:paraId="2F560E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AFDEE8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BA47F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7CA68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F63D4C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1166" w:type="dxa"/>
            <w:tcBorders>
              <w:tl2br w:val="nil"/>
              <w:tr2bl w:val="nil"/>
            </w:tcBorders>
            <w:shd w:val="clear" w:color="auto" w:fill="auto"/>
            <w:vAlign w:val="center"/>
          </w:tcPr>
          <w:p w14:paraId="4874A7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三角锉</w:t>
            </w:r>
          </w:p>
        </w:tc>
        <w:tc>
          <w:tcPr>
            <w:tcW w:w="8573" w:type="dxa"/>
            <w:tcBorders>
              <w:tl2br w:val="nil"/>
              <w:tr2bl w:val="nil"/>
            </w:tcBorders>
            <w:shd w:val="clear" w:color="auto" w:fill="auto"/>
            <w:vAlign w:val="center"/>
          </w:tcPr>
          <w:p w14:paraId="6D72242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≥50 mm，带柄 </w:t>
            </w:r>
          </w:p>
        </w:tc>
        <w:tc>
          <w:tcPr>
            <w:tcW w:w="816" w:type="dxa"/>
            <w:tcBorders>
              <w:tl2br w:val="nil"/>
              <w:tr2bl w:val="nil"/>
            </w:tcBorders>
            <w:shd w:val="clear" w:color="auto" w:fill="auto"/>
            <w:vAlign w:val="center"/>
          </w:tcPr>
          <w:p w14:paraId="43302B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DFCD7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20E13B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6589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B4713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21</w:t>
            </w:r>
          </w:p>
        </w:tc>
        <w:tc>
          <w:tcPr>
            <w:tcW w:w="1166" w:type="dxa"/>
            <w:tcBorders>
              <w:tl2br w:val="nil"/>
              <w:tr2bl w:val="nil"/>
            </w:tcBorders>
            <w:shd w:val="clear" w:color="auto" w:fill="auto"/>
            <w:vAlign w:val="center"/>
          </w:tcPr>
          <w:p w14:paraId="275B5B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民用剪刀</w:t>
            </w:r>
          </w:p>
        </w:tc>
        <w:tc>
          <w:tcPr>
            <w:tcW w:w="8573" w:type="dxa"/>
            <w:tcBorders>
              <w:tl2br w:val="nil"/>
              <w:tr2bl w:val="nil"/>
            </w:tcBorders>
            <w:shd w:val="clear" w:color="auto" w:fill="auto"/>
            <w:vAlign w:val="center"/>
          </w:tcPr>
          <w:p w14:paraId="41F56C1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 号， 150 mm， A 型 </w:t>
            </w:r>
          </w:p>
        </w:tc>
        <w:tc>
          <w:tcPr>
            <w:tcW w:w="816" w:type="dxa"/>
            <w:tcBorders>
              <w:tl2br w:val="nil"/>
              <w:tr2bl w:val="nil"/>
            </w:tcBorders>
            <w:shd w:val="clear" w:color="auto" w:fill="auto"/>
            <w:vAlign w:val="center"/>
          </w:tcPr>
          <w:p w14:paraId="3F9D3A1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6A9D67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04E82F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D8AA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1CA32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22</w:t>
            </w:r>
          </w:p>
        </w:tc>
        <w:tc>
          <w:tcPr>
            <w:tcW w:w="1166" w:type="dxa"/>
            <w:tcBorders>
              <w:tl2br w:val="nil"/>
              <w:tr2bl w:val="nil"/>
            </w:tcBorders>
            <w:shd w:val="clear" w:color="auto" w:fill="auto"/>
            <w:vAlign w:val="center"/>
          </w:tcPr>
          <w:p w14:paraId="151302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打孔器</w:t>
            </w:r>
          </w:p>
        </w:tc>
        <w:tc>
          <w:tcPr>
            <w:tcW w:w="8573" w:type="dxa"/>
            <w:tcBorders>
              <w:tl2br w:val="nil"/>
              <w:tr2bl w:val="nil"/>
            </w:tcBorders>
            <w:shd w:val="clear" w:color="auto" w:fill="auto"/>
            <w:vAlign w:val="center"/>
          </w:tcPr>
          <w:p w14:paraId="041B0FF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刀口式， 材质为不锈钢管、钢管或黄铜管，每组不少于 4 支，外径分别为 9 mm、 8 mm、 7 mm、 6 mm，并配一支带柄金属通扦</w:t>
            </w:r>
          </w:p>
        </w:tc>
        <w:tc>
          <w:tcPr>
            <w:tcW w:w="816" w:type="dxa"/>
            <w:tcBorders>
              <w:tl2br w:val="nil"/>
              <w:tr2bl w:val="nil"/>
            </w:tcBorders>
            <w:shd w:val="clear" w:color="auto" w:fill="auto"/>
            <w:vAlign w:val="center"/>
          </w:tcPr>
          <w:p w14:paraId="54CFC0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51C9C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8D5330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91FD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D73CD8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23</w:t>
            </w:r>
          </w:p>
        </w:tc>
        <w:tc>
          <w:tcPr>
            <w:tcW w:w="1166" w:type="dxa"/>
            <w:tcBorders>
              <w:tl2br w:val="nil"/>
              <w:tr2bl w:val="nil"/>
            </w:tcBorders>
            <w:shd w:val="clear" w:color="auto" w:fill="auto"/>
            <w:vAlign w:val="center"/>
          </w:tcPr>
          <w:p w14:paraId="2D8B77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打孔夹板</w:t>
            </w:r>
          </w:p>
        </w:tc>
        <w:tc>
          <w:tcPr>
            <w:tcW w:w="8573" w:type="dxa"/>
            <w:tcBorders>
              <w:tl2br w:val="nil"/>
              <w:tr2bl w:val="nil"/>
            </w:tcBorders>
            <w:shd w:val="clear" w:color="auto" w:fill="auto"/>
            <w:vAlign w:val="center"/>
          </w:tcPr>
          <w:p w14:paraId="66F32E9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硬木或硬塑料制 </w:t>
            </w:r>
          </w:p>
        </w:tc>
        <w:tc>
          <w:tcPr>
            <w:tcW w:w="816" w:type="dxa"/>
            <w:tcBorders>
              <w:tl2br w:val="nil"/>
              <w:tr2bl w:val="nil"/>
            </w:tcBorders>
            <w:shd w:val="clear" w:color="auto" w:fill="auto"/>
            <w:vAlign w:val="center"/>
          </w:tcPr>
          <w:p w14:paraId="3E012E2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4E98B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944DBD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4ADD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C4AB4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24</w:t>
            </w:r>
          </w:p>
        </w:tc>
        <w:tc>
          <w:tcPr>
            <w:tcW w:w="1166" w:type="dxa"/>
            <w:tcBorders>
              <w:tl2br w:val="nil"/>
              <w:tr2bl w:val="nil"/>
            </w:tcBorders>
            <w:shd w:val="clear" w:color="auto" w:fill="auto"/>
            <w:vAlign w:val="center"/>
          </w:tcPr>
          <w:p w14:paraId="6EFC93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打孔器刮刀</w:t>
            </w:r>
          </w:p>
        </w:tc>
        <w:tc>
          <w:tcPr>
            <w:tcW w:w="8573" w:type="dxa"/>
            <w:tcBorders>
              <w:tl2br w:val="nil"/>
              <w:tr2bl w:val="nil"/>
            </w:tcBorders>
            <w:shd w:val="clear" w:color="auto" w:fill="auto"/>
            <w:vAlign w:val="center"/>
          </w:tcPr>
          <w:p w14:paraId="49463E2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刮刀宜用65M 板制成，表面热处理，55 HRC～60 HRC，总长为 70 mm±0.5 mm，宽 14.5 mm±0.1 mm，厚1.8 mm±0.5 mm，刀口角度宜为 60° ±5° ，锋刃＜0.1 mm</w:t>
            </w:r>
          </w:p>
        </w:tc>
        <w:tc>
          <w:tcPr>
            <w:tcW w:w="816" w:type="dxa"/>
            <w:tcBorders>
              <w:tl2br w:val="nil"/>
              <w:tr2bl w:val="nil"/>
            </w:tcBorders>
            <w:shd w:val="clear" w:color="auto" w:fill="auto"/>
            <w:vAlign w:val="center"/>
          </w:tcPr>
          <w:p w14:paraId="1F4252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29C70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7F8C4A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6B88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035FCB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25</w:t>
            </w:r>
          </w:p>
        </w:tc>
        <w:tc>
          <w:tcPr>
            <w:tcW w:w="1166" w:type="dxa"/>
            <w:tcBorders>
              <w:tl2br w:val="nil"/>
              <w:tr2bl w:val="nil"/>
            </w:tcBorders>
            <w:shd w:val="clear" w:color="auto" w:fill="auto"/>
            <w:vAlign w:val="center"/>
          </w:tcPr>
          <w:p w14:paraId="308A54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电动钻孔器</w:t>
            </w:r>
          </w:p>
        </w:tc>
        <w:tc>
          <w:tcPr>
            <w:tcW w:w="8573" w:type="dxa"/>
            <w:tcBorders>
              <w:tl2br w:val="nil"/>
              <w:tr2bl w:val="nil"/>
            </w:tcBorders>
            <w:shd w:val="clear" w:color="auto" w:fill="auto"/>
            <w:vAlign w:val="center"/>
          </w:tcPr>
          <w:p w14:paraId="55E2B5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钻头可拆卸，应配有 2 个以上不同孔径的钻头 </w:t>
            </w:r>
          </w:p>
        </w:tc>
        <w:tc>
          <w:tcPr>
            <w:tcW w:w="816" w:type="dxa"/>
            <w:tcBorders>
              <w:tl2br w:val="nil"/>
              <w:tr2bl w:val="nil"/>
            </w:tcBorders>
            <w:shd w:val="clear" w:color="auto" w:fill="auto"/>
            <w:vAlign w:val="center"/>
          </w:tcPr>
          <w:p w14:paraId="1FEB9E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FB3BC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5A1A2A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1C15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E2905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26</w:t>
            </w:r>
          </w:p>
        </w:tc>
        <w:tc>
          <w:tcPr>
            <w:tcW w:w="1166" w:type="dxa"/>
            <w:tcBorders>
              <w:tl2br w:val="nil"/>
              <w:tr2bl w:val="nil"/>
            </w:tcBorders>
            <w:shd w:val="clear" w:color="auto" w:fill="auto"/>
            <w:vAlign w:val="center"/>
          </w:tcPr>
          <w:p w14:paraId="20E0B7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托盘天平</w:t>
            </w:r>
          </w:p>
        </w:tc>
        <w:tc>
          <w:tcPr>
            <w:tcW w:w="8573" w:type="dxa"/>
            <w:tcBorders>
              <w:tl2br w:val="nil"/>
              <w:tr2bl w:val="nil"/>
            </w:tcBorders>
            <w:shd w:val="clear" w:color="auto" w:fill="auto"/>
            <w:vAlign w:val="center"/>
          </w:tcPr>
          <w:p w14:paraId="550ECF4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称量用具，最大称量100g，分度值0.1g，标尺称量0～5g。仪器为双盘、单杠杆、等臂、非封闭式铝合金横梁结构。托盘天平的刀子由钢或玛瑙制成，秤盘直径不小于80mm，外形规格约为200mm×70mm×135mm。标尺光洁平直，连接部位固紧，分度线均匀，游码起点对准零线，移动时松紧适宜，当杠杆受到轻微冲击时，游码不移位。刀子垂直地紧固。砝码均采用金属制，表面电镀，用塑料盒定位包装，砝码分别为50g、20g×2、10g、5g。</w:t>
            </w:r>
          </w:p>
        </w:tc>
        <w:tc>
          <w:tcPr>
            <w:tcW w:w="816" w:type="dxa"/>
            <w:tcBorders>
              <w:tl2br w:val="nil"/>
              <w:tr2bl w:val="nil"/>
            </w:tcBorders>
            <w:shd w:val="clear" w:color="auto" w:fill="auto"/>
            <w:vAlign w:val="center"/>
          </w:tcPr>
          <w:p w14:paraId="551977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40EA7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6CCEA40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C7FB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0727E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27</w:t>
            </w:r>
          </w:p>
        </w:tc>
        <w:tc>
          <w:tcPr>
            <w:tcW w:w="1166" w:type="dxa"/>
            <w:tcBorders>
              <w:tl2br w:val="nil"/>
              <w:tr2bl w:val="nil"/>
            </w:tcBorders>
            <w:shd w:val="clear" w:color="auto" w:fill="auto"/>
            <w:vAlign w:val="center"/>
          </w:tcPr>
          <w:p w14:paraId="3272479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托盘天平</w:t>
            </w:r>
          </w:p>
        </w:tc>
        <w:tc>
          <w:tcPr>
            <w:tcW w:w="8573" w:type="dxa"/>
            <w:tcBorders>
              <w:tl2br w:val="nil"/>
              <w:tr2bl w:val="nil"/>
            </w:tcBorders>
            <w:shd w:val="clear" w:color="auto" w:fill="auto"/>
            <w:vAlign w:val="center"/>
          </w:tcPr>
          <w:p w14:paraId="6764E0E7">
            <w:pPr>
              <w:keepNext w:val="0"/>
              <w:keepLines w:val="0"/>
              <w:widowControl/>
              <w:numPr>
                <w:ilvl w:val="0"/>
                <w:numId w:val="6"/>
              </w:numPr>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双盘、单杠杆、等臂，非封闭式横梁由铝合金制成。</w:t>
            </w:r>
          </w:p>
          <w:p w14:paraId="65B63FBB">
            <w:pPr>
              <w:keepNext w:val="0"/>
              <w:keepLines w:val="0"/>
              <w:widowControl/>
              <w:numPr>
                <w:ilvl w:val="0"/>
                <w:numId w:val="6"/>
              </w:numPr>
              <w:suppressLineNumbers w:val="0"/>
              <w:ind w:left="0" w:leftChars="0" w:firstLine="0" w:firstLineChars="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刀子：钢或玛瑙制成。</w:t>
            </w:r>
          </w:p>
          <w:p w14:paraId="428ABFEB">
            <w:pPr>
              <w:keepNext w:val="0"/>
              <w:keepLines w:val="0"/>
              <w:widowControl/>
              <w:numPr>
                <w:ilvl w:val="0"/>
                <w:numId w:val="6"/>
              </w:numPr>
              <w:suppressLineNumbers w:val="0"/>
              <w:ind w:left="0" w:leftChars="0" w:firstLine="0" w:firstLineChars="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标尺最大称量500g，分度值0.5g。秤量允许误差为±0.5d(分度值)。</w:t>
            </w:r>
          </w:p>
          <w:p w14:paraId="23C710E4">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4、标尺应光洁平直，连接部位应固紧，分度线应均匀，游码起点应对准零线，移动时松紧适宜，当杠杆受到轻微冲击时，游码不应移位。刀子应垂直地紧固</w:t>
            </w:r>
          </w:p>
        </w:tc>
        <w:tc>
          <w:tcPr>
            <w:tcW w:w="816" w:type="dxa"/>
            <w:tcBorders>
              <w:tl2br w:val="nil"/>
              <w:tr2bl w:val="nil"/>
            </w:tcBorders>
            <w:shd w:val="clear" w:color="auto" w:fill="auto"/>
            <w:vAlign w:val="center"/>
          </w:tcPr>
          <w:p w14:paraId="78F1B6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9A5AA4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349398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D4E0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EA3C37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28</w:t>
            </w:r>
          </w:p>
        </w:tc>
        <w:tc>
          <w:tcPr>
            <w:tcW w:w="1166" w:type="dxa"/>
            <w:tcBorders>
              <w:tl2br w:val="nil"/>
              <w:tr2bl w:val="nil"/>
            </w:tcBorders>
            <w:shd w:val="clear" w:color="auto" w:fill="auto"/>
            <w:vAlign w:val="center"/>
          </w:tcPr>
          <w:p w14:paraId="0D1F92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电子天平</w:t>
            </w:r>
          </w:p>
        </w:tc>
        <w:tc>
          <w:tcPr>
            <w:tcW w:w="8573" w:type="dxa"/>
            <w:tcBorders>
              <w:tl2br w:val="nil"/>
              <w:tr2bl w:val="nil"/>
            </w:tcBorders>
            <w:shd w:val="clear" w:color="auto" w:fill="auto"/>
            <w:vAlign w:val="center"/>
          </w:tcPr>
          <w:p w14:paraId="0CE3D4F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1000 g， 0.1 g </w:t>
            </w:r>
          </w:p>
        </w:tc>
        <w:tc>
          <w:tcPr>
            <w:tcW w:w="816" w:type="dxa"/>
            <w:tcBorders>
              <w:tl2br w:val="nil"/>
              <w:tr2bl w:val="nil"/>
            </w:tcBorders>
            <w:shd w:val="clear" w:color="auto" w:fill="auto"/>
            <w:vAlign w:val="center"/>
          </w:tcPr>
          <w:p w14:paraId="1B6BE9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04CD1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1E44FA7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F865A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C046EF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29</w:t>
            </w:r>
          </w:p>
        </w:tc>
        <w:tc>
          <w:tcPr>
            <w:tcW w:w="1166" w:type="dxa"/>
            <w:tcBorders>
              <w:tl2br w:val="nil"/>
              <w:tr2bl w:val="nil"/>
            </w:tcBorders>
            <w:shd w:val="clear" w:color="auto" w:fill="auto"/>
            <w:vAlign w:val="center"/>
          </w:tcPr>
          <w:p w14:paraId="2C49C9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红液温度计</w:t>
            </w:r>
          </w:p>
        </w:tc>
        <w:tc>
          <w:tcPr>
            <w:tcW w:w="8573" w:type="dxa"/>
            <w:tcBorders>
              <w:tl2br w:val="nil"/>
              <w:tr2bl w:val="nil"/>
            </w:tcBorders>
            <w:shd w:val="clear" w:color="auto" w:fill="auto"/>
            <w:vAlign w:val="center"/>
          </w:tcPr>
          <w:p w14:paraId="5A7CD6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0 ℃～100 ℃，分度值 1 ℃，示值误差＜1.5 ℃ </w:t>
            </w:r>
          </w:p>
        </w:tc>
        <w:tc>
          <w:tcPr>
            <w:tcW w:w="816" w:type="dxa"/>
            <w:tcBorders>
              <w:tl2br w:val="nil"/>
              <w:tr2bl w:val="nil"/>
            </w:tcBorders>
            <w:shd w:val="clear" w:color="auto" w:fill="auto"/>
            <w:vAlign w:val="center"/>
          </w:tcPr>
          <w:p w14:paraId="69ECDE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6DBC2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4F97570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58BC2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498567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30</w:t>
            </w:r>
          </w:p>
        </w:tc>
        <w:tc>
          <w:tcPr>
            <w:tcW w:w="1166" w:type="dxa"/>
            <w:tcBorders>
              <w:tl2br w:val="nil"/>
              <w:tr2bl w:val="nil"/>
            </w:tcBorders>
            <w:shd w:val="clear" w:color="auto" w:fill="auto"/>
            <w:vAlign w:val="center"/>
          </w:tcPr>
          <w:p w14:paraId="6F6ED5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水银温度计</w:t>
            </w:r>
          </w:p>
        </w:tc>
        <w:tc>
          <w:tcPr>
            <w:tcW w:w="8573" w:type="dxa"/>
            <w:tcBorders>
              <w:tl2br w:val="nil"/>
              <w:tr2bl w:val="nil"/>
            </w:tcBorders>
            <w:shd w:val="clear" w:color="auto" w:fill="auto"/>
            <w:vAlign w:val="center"/>
          </w:tcPr>
          <w:p w14:paraId="69AFC3F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 ℃～200 ℃，分度值 1 ℃，示值误差＜0.5 ℃， 有保护套</w:t>
            </w:r>
          </w:p>
        </w:tc>
        <w:tc>
          <w:tcPr>
            <w:tcW w:w="816" w:type="dxa"/>
            <w:tcBorders>
              <w:tl2br w:val="nil"/>
              <w:tr2bl w:val="nil"/>
            </w:tcBorders>
            <w:shd w:val="clear" w:color="auto" w:fill="auto"/>
            <w:vAlign w:val="center"/>
          </w:tcPr>
          <w:p w14:paraId="66E693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45249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A75A2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F153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3D68C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31</w:t>
            </w:r>
          </w:p>
        </w:tc>
        <w:tc>
          <w:tcPr>
            <w:tcW w:w="1166" w:type="dxa"/>
            <w:tcBorders>
              <w:tl2br w:val="nil"/>
              <w:tr2bl w:val="nil"/>
            </w:tcBorders>
            <w:shd w:val="clear" w:color="auto" w:fill="auto"/>
            <w:vAlign w:val="center"/>
          </w:tcPr>
          <w:p w14:paraId="1B0B83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多用电表</w:t>
            </w:r>
          </w:p>
        </w:tc>
        <w:tc>
          <w:tcPr>
            <w:tcW w:w="8573" w:type="dxa"/>
            <w:tcBorders>
              <w:tl2br w:val="nil"/>
              <w:tr2bl w:val="nil"/>
            </w:tcBorders>
            <w:shd w:val="clear" w:color="auto" w:fill="auto"/>
            <w:vAlign w:val="center"/>
          </w:tcPr>
          <w:p w14:paraId="30F397B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直流电流、电压、电阻 2.5 级，交流电压 5 级 </w:t>
            </w:r>
          </w:p>
        </w:tc>
        <w:tc>
          <w:tcPr>
            <w:tcW w:w="816" w:type="dxa"/>
            <w:tcBorders>
              <w:tl2br w:val="nil"/>
              <w:tr2bl w:val="nil"/>
            </w:tcBorders>
            <w:shd w:val="clear" w:color="auto" w:fill="auto"/>
            <w:vAlign w:val="center"/>
          </w:tcPr>
          <w:p w14:paraId="4C979C0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DF7D97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ACE1AE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A5306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52BA0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32</w:t>
            </w:r>
          </w:p>
        </w:tc>
        <w:tc>
          <w:tcPr>
            <w:tcW w:w="1166" w:type="dxa"/>
            <w:tcBorders>
              <w:tl2br w:val="nil"/>
              <w:tr2bl w:val="nil"/>
            </w:tcBorders>
            <w:shd w:val="clear" w:color="auto" w:fill="auto"/>
            <w:vAlign w:val="center"/>
          </w:tcPr>
          <w:p w14:paraId="2D918A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酸度计</w:t>
            </w:r>
          </w:p>
        </w:tc>
        <w:tc>
          <w:tcPr>
            <w:tcW w:w="8573" w:type="dxa"/>
            <w:tcBorders>
              <w:tl2br w:val="nil"/>
              <w:tr2bl w:val="nil"/>
            </w:tcBorders>
            <w:shd w:val="clear" w:color="auto" w:fill="auto"/>
            <w:vAlign w:val="center"/>
          </w:tcPr>
          <w:p w14:paraId="2478FDD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笔式， pH 测量范围 0～14，分辨力 0.1，读数清晰，有自动关机节电模式，配校准试剂</w:t>
            </w:r>
          </w:p>
        </w:tc>
        <w:tc>
          <w:tcPr>
            <w:tcW w:w="816" w:type="dxa"/>
            <w:tcBorders>
              <w:tl2br w:val="nil"/>
              <w:tr2bl w:val="nil"/>
            </w:tcBorders>
            <w:shd w:val="clear" w:color="auto" w:fill="auto"/>
            <w:vAlign w:val="center"/>
          </w:tcPr>
          <w:p w14:paraId="19BE1F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E12C60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1FBFC3F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18FF3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C3B8F3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33</w:t>
            </w:r>
          </w:p>
        </w:tc>
        <w:tc>
          <w:tcPr>
            <w:tcW w:w="1166" w:type="dxa"/>
            <w:tcBorders>
              <w:tl2br w:val="nil"/>
              <w:tr2bl w:val="nil"/>
            </w:tcBorders>
            <w:shd w:val="clear" w:color="auto" w:fill="auto"/>
            <w:vAlign w:val="center"/>
          </w:tcPr>
          <w:p w14:paraId="1735ED3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教学支架</w:t>
            </w:r>
          </w:p>
        </w:tc>
        <w:tc>
          <w:tcPr>
            <w:tcW w:w="8573" w:type="dxa"/>
            <w:tcBorders>
              <w:tl2br w:val="nil"/>
              <w:tr2bl w:val="nil"/>
            </w:tcBorders>
            <w:shd w:val="clear" w:color="auto" w:fill="auto"/>
            <w:vAlign w:val="center"/>
          </w:tcPr>
          <w:p w14:paraId="796D462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用于固定实验仪器的夹持装置，技术性能要求如下：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1.由底座、立杆、复夹(垂直夹2只、平行夹1只)、烧杯夹、铁环(大、小各1只)组成。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底座规格≥215×145×30mm，重量约为≥1.5Kg，采用环氧树脂台面板制作，模具底座和四个支撑脚一次成型，底座面上带有规则条纹起到防滑作用，整个底座具有防水、防火、防酸、防碱、防有机溶剂、表面光亮、美观大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3.立杆的直径≥11.5mm，杆长≥630mm，一端为螺纹，立杆由优质铁制成，外层电镀。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4.复夹都为金属制品，不易生锈，烧杯夹为铁制品电镀，烧瓶夹夹身中部由旋转螺丝、回力弹簧、V形螺帽组成，可随意调整夹口直径，夹口内侧带有防滑垫片。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5.大小架框直径分别为：大环直径≥95mm，小环直径≥60mm，铁制外层喷防锈、耐热强化漆。</w:t>
            </w:r>
          </w:p>
        </w:tc>
        <w:tc>
          <w:tcPr>
            <w:tcW w:w="816" w:type="dxa"/>
            <w:tcBorders>
              <w:tl2br w:val="nil"/>
              <w:tr2bl w:val="nil"/>
            </w:tcBorders>
            <w:shd w:val="clear" w:color="auto" w:fill="auto"/>
            <w:vAlign w:val="center"/>
          </w:tcPr>
          <w:p w14:paraId="288187E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F4413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656924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0DDD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0C374C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34</w:t>
            </w:r>
          </w:p>
        </w:tc>
        <w:tc>
          <w:tcPr>
            <w:tcW w:w="1166" w:type="dxa"/>
            <w:tcBorders>
              <w:tl2br w:val="nil"/>
              <w:tr2bl w:val="nil"/>
            </w:tcBorders>
            <w:shd w:val="clear" w:color="auto" w:fill="auto"/>
            <w:vAlign w:val="center"/>
          </w:tcPr>
          <w:p w14:paraId="4316035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三脚架</w:t>
            </w:r>
          </w:p>
        </w:tc>
        <w:tc>
          <w:tcPr>
            <w:tcW w:w="8573" w:type="dxa"/>
            <w:tcBorders>
              <w:tl2br w:val="nil"/>
              <w:tr2bl w:val="nil"/>
            </w:tcBorders>
            <w:shd w:val="clear" w:color="auto" w:fill="auto"/>
            <w:vAlign w:val="center"/>
          </w:tcPr>
          <w:p w14:paraId="06C28A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合金圆环、合金酒精灯托盘、托盘高度调节杆和3只支脚组成。酒精灯托盘可以上下自由调节。合金圆环最大外径不小于11cm，圆环内圈有三个向圆心延伸且带凹凸纹路的支撑杆，可满足不同大小烧器的使用，并起到对石棉网的支撑作用，合金酒精灯托盘直径不小于8cm。</w:t>
            </w:r>
          </w:p>
        </w:tc>
        <w:tc>
          <w:tcPr>
            <w:tcW w:w="816" w:type="dxa"/>
            <w:tcBorders>
              <w:tl2br w:val="nil"/>
              <w:tr2bl w:val="nil"/>
            </w:tcBorders>
            <w:shd w:val="clear" w:color="auto" w:fill="auto"/>
            <w:vAlign w:val="center"/>
          </w:tcPr>
          <w:p w14:paraId="0D29A4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8C0CD7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E45CE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976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82C59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35</w:t>
            </w:r>
          </w:p>
        </w:tc>
        <w:tc>
          <w:tcPr>
            <w:tcW w:w="1166" w:type="dxa"/>
            <w:tcBorders>
              <w:tl2br w:val="nil"/>
              <w:tr2bl w:val="nil"/>
            </w:tcBorders>
            <w:shd w:val="clear" w:color="auto" w:fill="auto"/>
            <w:vAlign w:val="center"/>
          </w:tcPr>
          <w:p w14:paraId="0537D6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试管架</w:t>
            </w:r>
          </w:p>
        </w:tc>
        <w:tc>
          <w:tcPr>
            <w:tcW w:w="8573" w:type="dxa"/>
            <w:tcBorders>
              <w:tl2br w:val="nil"/>
              <w:tr2bl w:val="nil"/>
            </w:tcBorders>
            <w:shd w:val="clear" w:color="auto" w:fill="auto"/>
            <w:vAlign w:val="center"/>
          </w:tcPr>
          <w:p w14:paraId="3112653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木制或塑料制， 8 孔，孔径 21 mm，立柱粘结牢固</w:t>
            </w:r>
          </w:p>
        </w:tc>
        <w:tc>
          <w:tcPr>
            <w:tcW w:w="816" w:type="dxa"/>
            <w:tcBorders>
              <w:tl2br w:val="nil"/>
              <w:tr2bl w:val="nil"/>
            </w:tcBorders>
            <w:shd w:val="clear" w:color="auto" w:fill="auto"/>
            <w:vAlign w:val="center"/>
          </w:tcPr>
          <w:p w14:paraId="7EA77F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533BA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9B5F5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6A593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65444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36</w:t>
            </w:r>
          </w:p>
        </w:tc>
        <w:tc>
          <w:tcPr>
            <w:tcW w:w="1166" w:type="dxa"/>
            <w:tcBorders>
              <w:tl2br w:val="nil"/>
              <w:tr2bl w:val="nil"/>
            </w:tcBorders>
            <w:shd w:val="clear" w:color="auto" w:fill="auto"/>
            <w:vAlign w:val="center"/>
          </w:tcPr>
          <w:p w14:paraId="082867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试管架</w:t>
            </w:r>
          </w:p>
        </w:tc>
        <w:tc>
          <w:tcPr>
            <w:tcW w:w="8573" w:type="dxa"/>
            <w:tcBorders>
              <w:tl2br w:val="nil"/>
              <w:tr2bl w:val="nil"/>
            </w:tcBorders>
            <w:shd w:val="clear" w:color="auto" w:fill="auto"/>
            <w:vAlign w:val="center"/>
          </w:tcPr>
          <w:p w14:paraId="2D597D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木制或塑料制， 8 孔，孔径 25 mm </w:t>
            </w:r>
          </w:p>
        </w:tc>
        <w:tc>
          <w:tcPr>
            <w:tcW w:w="816" w:type="dxa"/>
            <w:tcBorders>
              <w:tl2br w:val="nil"/>
              <w:tr2bl w:val="nil"/>
            </w:tcBorders>
            <w:shd w:val="clear" w:color="auto" w:fill="auto"/>
            <w:vAlign w:val="center"/>
          </w:tcPr>
          <w:p w14:paraId="617CF9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5EAC32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32BBD8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07D1E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784C02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37</w:t>
            </w:r>
          </w:p>
        </w:tc>
        <w:tc>
          <w:tcPr>
            <w:tcW w:w="1166" w:type="dxa"/>
            <w:tcBorders>
              <w:tl2br w:val="nil"/>
              <w:tr2bl w:val="nil"/>
            </w:tcBorders>
            <w:shd w:val="clear" w:color="auto" w:fill="auto"/>
            <w:vAlign w:val="center"/>
          </w:tcPr>
          <w:p w14:paraId="7CB185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试管架</w:t>
            </w:r>
          </w:p>
        </w:tc>
        <w:tc>
          <w:tcPr>
            <w:tcW w:w="8573" w:type="dxa"/>
            <w:tcBorders>
              <w:tl2br w:val="nil"/>
              <w:tr2bl w:val="nil"/>
            </w:tcBorders>
            <w:shd w:val="clear" w:color="auto" w:fill="auto"/>
            <w:vAlign w:val="center"/>
          </w:tcPr>
          <w:p w14:paraId="241AEEE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木制或塑料制， 8 孔，孔径 35 mm </w:t>
            </w:r>
          </w:p>
        </w:tc>
        <w:tc>
          <w:tcPr>
            <w:tcW w:w="816" w:type="dxa"/>
            <w:tcBorders>
              <w:tl2br w:val="nil"/>
              <w:tr2bl w:val="nil"/>
            </w:tcBorders>
            <w:shd w:val="clear" w:color="auto" w:fill="auto"/>
            <w:vAlign w:val="center"/>
          </w:tcPr>
          <w:p w14:paraId="415339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52275F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A263E5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BC8F1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FA36D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38</w:t>
            </w:r>
          </w:p>
        </w:tc>
        <w:tc>
          <w:tcPr>
            <w:tcW w:w="1166" w:type="dxa"/>
            <w:tcBorders>
              <w:tl2br w:val="nil"/>
              <w:tr2bl w:val="nil"/>
            </w:tcBorders>
            <w:shd w:val="clear" w:color="auto" w:fill="auto"/>
            <w:vAlign w:val="center"/>
          </w:tcPr>
          <w:p w14:paraId="08ECD0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漏斗架</w:t>
            </w:r>
          </w:p>
        </w:tc>
        <w:tc>
          <w:tcPr>
            <w:tcW w:w="8573" w:type="dxa"/>
            <w:tcBorders>
              <w:tl2br w:val="nil"/>
              <w:tr2bl w:val="nil"/>
            </w:tcBorders>
            <w:shd w:val="clear" w:color="auto" w:fill="auto"/>
            <w:vAlign w:val="center"/>
          </w:tcPr>
          <w:p w14:paraId="7F59B08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木制或塑料制 </w:t>
            </w:r>
          </w:p>
        </w:tc>
        <w:tc>
          <w:tcPr>
            <w:tcW w:w="816" w:type="dxa"/>
            <w:tcBorders>
              <w:tl2br w:val="nil"/>
              <w:tr2bl w:val="nil"/>
            </w:tcBorders>
            <w:shd w:val="clear" w:color="auto" w:fill="auto"/>
            <w:vAlign w:val="center"/>
          </w:tcPr>
          <w:p w14:paraId="6E9415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81DA9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54418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7053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6F0659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39</w:t>
            </w:r>
          </w:p>
        </w:tc>
        <w:tc>
          <w:tcPr>
            <w:tcW w:w="1166" w:type="dxa"/>
            <w:tcBorders>
              <w:tl2br w:val="nil"/>
              <w:tr2bl w:val="nil"/>
            </w:tcBorders>
            <w:shd w:val="clear" w:color="auto" w:fill="auto"/>
            <w:vAlign w:val="center"/>
          </w:tcPr>
          <w:p w14:paraId="21257AE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滴定台</w:t>
            </w:r>
          </w:p>
        </w:tc>
        <w:tc>
          <w:tcPr>
            <w:tcW w:w="8573" w:type="dxa"/>
            <w:tcBorders>
              <w:tl2br w:val="nil"/>
              <w:tr2bl w:val="nil"/>
            </w:tcBorders>
            <w:shd w:val="clear" w:color="auto" w:fill="auto"/>
            <w:vAlign w:val="center"/>
          </w:tcPr>
          <w:p w14:paraId="54CAA28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人造石或大理石白色台面，重心稳定不晃动，底部有四个橡胶垫脚</w:t>
            </w:r>
          </w:p>
        </w:tc>
        <w:tc>
          <w:tcPr>
            <w:tcW w:w="816" w:type="dxa"/>
            <w:tcBorders>
              <w:tl2br w:val="nil"/>
              <w:tr2bl w:val="nil"/>
            </w:tcBorders>
            <w:shd w:val="clear" w:color="auto" w:fill="auto"/>
            <w:vAlign w:val="center"/>
          </w:tcPr>
          <w:p w14:paraId="19609C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399A4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E81C43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56E6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0762E7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40</w:t>
            </w:r>
          </w:p>
        </w:tc>
        <w:tc>
          <w:tcPr>
            <w:tcW w:w="1166" w:type="dxa"/>
            <w:tcBorders>
              <w:tl2br w:val="nil"/>
              <w:tr2bl w:val="nil"/>
            </w:tcBorders>
            <w:shd w:val="clear" w:color="auto" w:fill="auto"/>
            <w:vAlign w:val="center"/>
          </w:tcPr>
          <w:p w14:paraId="1EC981B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滴定夹</w:t>
            </w:r>
          </w:p>
        </w:tc>
        <w:tc>
          <w:tcPr>
            <w:tcW w:w="8573" w:type="dxa"/>
            <w:tcBorders>
              <w:tl2br w:val="nil"/>
              <w:tr2bl w:val="nil"/>
            </w:tcBorders>
            <w:shd w:val="clear" w:color="auto" w:fill="auto"/>
            <w:vAlign w:val="center"/>
          </w:tcPr>
          <w:p w14:paraId="6C402DF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铝制，加持部位有防滑脱凹槽 </w:t>
            </w:r>
          </w:p>
        </w:tc>
        <w:tc>
          <w:tcPr>
            <w:tcW w:w="816" w:type="dxa"/>
            <w:tcBorders>
              <w:tl2br w:val="nil"/>
              <w:tr2bl w:val="nil"/>
            </w:tcBorders>
            <w:shd w:val="clear" w:color="auto" w:fill="auto"/>
            <w:vAlign w:val="center"/>
          </w:tcPr>
          <w:p w14:paraId="55F2BD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AD255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CC5A47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C2C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095E8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41</w:t>
            </w:r>
          </w:p>
        </w:tc>
        <w:tc>
          <w:tcPr>
            <w:tcW w:w="1166" w:type="dxa"/>
            <w:tcBorders>
              <w:tl2br w:val="nil"/>
              <w:tr2bl w:val="nil"/>
            </w:tcBorders>
            <w:shd w:val="clear" w:color="auto" w:fill="auto"/>
            <w:vAlign w:val="center"/>
          </w:tcPr>
          <w:p w14:paraId="42C460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多用滴管架</w:t>
            </w:r>
          </w:p>
        </w:tc>
        <w:tc>
          <w:tcPr>
            <w:tcW w:w="8573" w:type="dxa"/>
            <w:tcBorders>
              <w:tl2br w:val="nil"/>
              <w:tr2bl w:val="nil"/>
            </w:tcBorders>
            <w:shd w:val="clear" w:color="auto" w:fill="auto"/>
            <w:vAlign w:val="center"/>
          </w:tcPr>
          <w:p w14:paraId="2247846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塑料制，底部有圆形凹槽 </w:t>
            </w:r>
          </w:p>
        </w:tc>
        <w:tc>
          <w:tcPr>
            <w:tcW w:w="816" w:type="dxa"/>
            <w:tcBorders>
              <w:tl2br w:val="nil"/>
              <w:tr2bl w:val="nil"/>
            </w:tcBorders>
            <w:shd w:val="clear" w:color="auto" w:fill="auto"/>
            <w:vAlign w:val="center"/>
          </w:tcPr>
          <w:p w14:paraId="3A7EAD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3F117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BC46A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F96E3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EB19F3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42</w:t>
            </w:r>
          </w:p>
        </w:tc>
        <w:tc>
          <w:tcPr>
            <w:tcW w:w="1166" w:type="dxa"/>
            <w:tcBorders>
              <w:tl2br w:val="nil"/>
              <w:tr2bl w:val="nil"/>
            </w:tcBorders>
            <w:shd w:val="clear" w:color="auto" w:fill="auto"/>
            <w:vAlign w:val="center"/>
          </w:tcPr>
          <w:p w14:paraId="003B64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5EDC0E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 mL，透明钠钙玻璃制，分度线、数字和标志应完整、清晰和耐久，容积为20℃时充满量筒刻度线所容纳体积</w:t>
            </w:r>
          </w:p>
        </w:tc>
        <w:tc>
          <w:tcPr>
            <w:tcW w:w="816" w:type="dxa"/>
            <w:tcBorders>
              <w:tl2br w:val="nil"/>
              <w:tr2bl w:val="nil"/>
            </w:tcBorders>
            <w:shd w:val="clear" w:color="auto" w:fill="auto"/>
            <w:vAlign w:val="center"/>
          </w:tcPr>
          <w:p w14:paraId="1EE0E4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0FF35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F20E1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FF86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B9169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43</w:t>
            </w:r>
          </w:p>
        </w:tc>
        <w:tc>
          <w:tcPr>
            <w:tcW w:w="1166" w:type="dxa"/>
            <w:tcBorders>
              <w:tl2br w:val="nil"/>
              <w:tr2bl w:val="nil"/>
            </w:tcBorders>
            <w:shd w:val="clear" w:color="auto" w:fill="auto"/>
            <w:vAlign w:val="center"/>
          </w:tcPr>
          <w:p w14:paraId="6526AB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7194898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 mL ，透明钠钙玻璃制，分度线、数字和标志应完整、清晰和耐久，容积为20℃时充满量筒刻度线所容纳体积</w:t>
            </w:r>
          </w:p>
        </w:tc>
        <w:tc>
          <w:tcPr>
            <w:tcW w:w="816" w:type="dxa"/>
            <w:tcBorders>
              <w:tl2br w:val="nil"/>
              <w:tr2bl w:val="nil"/>
            </w:tcBorders>
            <w:shd w:val="clear" w:color="auto" w:fill="auto"/>
            <w:vAlign w:val="center"/>
          </w:tcPr>
          <w:p w14:paraId="3F0C3A8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9AD86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683000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169B7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AF0EA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44</w:t>
            </w:r>
          </w:p>
        </w:tc>
        <w:tc>
          <w:tcPr>
            <w:tcW w:w="1166" w:type="dxa"/>
            <w:tcBorders>
              <w:tl2br w:val="nil"/>
              <w:tr2bl w:val="nil"/>
            </w:tcBorders>
            <w:shd w:val="clear" w:color="auto" w:fill="auto"/>
            <w:vAlign w:val="center"/>
          </w:tcPr>
          <w:p w14:paraId="7C1322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21380F1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 ，透明钠钙玻璃制，分度线、数字和标志应完整、清晰和耐久，容积为20℃时充满量筒刻度线所容纳体积</w:t>
            </w:r>
          </w:p>
        </w:tc>
        <w:tc>
          <w:tcPr>
            <w:tcW w:w="816" w:type="dxa"/>
            <w:tcBorders>
              <w:tl2br w:val="nil"/>
              <w:tr2bl w:val="nil"/>
            </w:tcBorders>
            <w:shd w:val="clear" w:color="auto" w:fill="auto"/>
            <w:vAlign w:val="center"/>
          </w:tcPr>
          <w:p w14:paraId="4C2E20E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685E93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ACB959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9302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63B5E4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45</w:t>
            </w:r>
          </w:p>
        </w:tc>
        <w:tc>
          <w:tcPr>
            <w:tcW w:w="1166" w:type="dxa"/>
            <w:tcBorders>
              <w:tl2br w:val="nil"/>
              <w:tr2bl w:val="nil"/>
            </w:tcBorders>
            <w:shd w:val="clear" w:color="auto" w:fill="auto"/>
            <w:vAlign w:val="center"/>
          </w:tcPr>
          <w:p w14:paraId="048118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045C76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mL ，透明钠钙玻璃制，分度线、数字和标志应完整、清晰和耐久，容积为20℃时充满量筒刻度线所容纳体积</w:t>
            </w:r>
          </w:p>
        </w:tc>
        <w:tc>
          <w:tcPr>
            <w:tcW w:w="816" w:type="dxa"/>
            <w:tcBorders>
              <w:tl2br w:val="nil"/>
              <w:tr2bl w:val="nil"/>
            </w:tcBorders>
            <w:shd w:val="clear" w:color="auto" w:fill="auto"/>
            <w:vAlign w:val="center"/>
          </w:tcPr>
          <w:p w14:paraId="52C2D2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828F6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536900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D1D4A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D58C9B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46</w:t>
            </w:r>
          </w:p>
        </w:tc>
        <w:tc>
          <w:tcPr>
            <w:tcW w:w="1166" w:type="dxa"/>
            <w:tcBorders>
              <w:tl2br w:val="nil"/>
              <w:tr2bl w:val="nil"/>
            </w:tcBorders>
            <w:shd w:val="clear" w:color="auto" w:fill="auto"/>
            <w:vAlign w:val="center"/>
          </w:tcPr>
          <w:p w14:paraId="23B3DD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3617F6C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，透明钠钙玻璃制，分度线、数字和标志应完整、清晰和耐久，容积为20℃时充满量筒刻度线所容纳体积</w:t>
            </w:r>
          </w:p>
        </w:tc>
        <w:tc>
          <w:tcPr>
            <w:tcW w:w="816" w:type="dxa"/>
            <w:tcBorders>
              <w:tl2br w:val="nil"/>
              <w:tr2bl w:val="nil"/>
            </w:tcBorders>
            <w:shd w:val="clear" w:color="auto" w:fill="auto"/>
            <w:vAlign w:val="center"/>
          </w:tcPr>
          <w:p w14:paraId="6CC3AB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9280B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E2D55D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40480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60B64E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47</w:t>
            </w:r>
          </w:p>
        </w:tc>
        <w:tc>
          <w:tcPr>
            <w:tcW w:w="1166" w:type="dxa"/>
            <w:tcBorders>
              <w:tl2br w:val="nil"/>
              <w:tr2bl w:val="nil"/>
            </w:tcBorders>
            <w:shd w:val="clear" w:color="auto" w:fill="auto"/>
            <w:vAlign w:val="center"/>
          </w:tcPr>
          <w:p w14:paraId="32637B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容量瓶</w:t>
            </w:r>
          </w:p>
        </w:tc>
        <w:tc>
          <w:tcPr>
            <w:tcW w:w="8573" w:type="dxa"/>
            <w:tcBorders>
              <w:tl2br w:val="nil"/>
              <w:tr2bl w:val="nil"/>
            </w:tcBorders>
            <w:shd w:val="clear" w:color="auto" w:fill="auto"/>
            <w:vAlign w:val="center"/>
          </w:tcPr>
          <w:p w14:paraId="290C1F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，透明硼硅酸盐玻璃制，刻度线应在瓶颈下部三分之二处，清晰耐久，粗细均匀</w:t>
            </w:r>
          </w:p>
        </w:tc>
        <w:tc>
          <w:tcPr>
            <w:tcW w:w="816" w:type="dxa"/>
            <w:tcBorders>
              <w:tl2br w:val="nil"/>
              <w:tr2bl w:val="nil"/>
            </w:tcBorders>
            <w:shd w:val="clear" w:color="auto" w:fill="auto"/>
            <w:vAlign w:val="center"/>
          </w:tcPr>
          <w:p w14:paraId="49CD27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AC732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8E5084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0CBD8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2A3F8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48</w:t>
            </w:r>
          </w:p>
        </w:tc>
        <w:tc>
          <w:tcPr>
            <w:tcW w:w="1166" w:type="dxa"/>
            <w:tcBorders>
              <w:tl2br w:val="nil"/>
              <w:tr2bl w:val="nil"/>
            </w:tcBorders>
            <w:shd w:val="clear" w:color="auto" w:fill="auto"/>
            <w:vAlign w:val="center"/>
          </w:tcPr>
          <w:p w14:paraId="4EDB1C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容量瓶</w:t>
            </w:r>
          </w:p>
        </w:tc>
        <w:tc>
          <w:tcPr>
            <w:tcW w:w="8573" w:type="dxa"/>
            <w:tcBorders>
              <w:tl2br w:val="nil"/>
              <w:tr2bl w:val="nil"/>
            </w:tcBorders>
            <w:shd w:val="clear" w:color="auto" w:fill="auto"/>
            <w:vAlign w:val="center"/>
          </w:tcPr>
          <w:p w14:paraId="695223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，透明硼硅酸盐玻璃制，刻度线应在瓶颈下部三分之二处，清晰耐久，粗细均匀</w:t>
            </w:r>
          </w:p>
        </w:tc>
        <w:tc>
          <w:tcPr>
            <w:tcW w:w="816" w:type="dxa"/>
            <w:tcBorders>
              <w:tl2br w:val="nil"/>
              <w:tr2bl w:val="nil"/>
            </w:tcBorders>
            <w:shd w:val="clear" w:color="auto" w:fill="auto"/>
            <w:vAlign w:val="center"/>
          </w:tcPr>
          <w:p w14:paraId="55BCD4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B1D110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14DCCA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6F685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06EEA5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49</w:t>
            </w:r>
          </w:p>
        </w:tc>
        <w:tc>
          <w:tcPr>
            <w:tcW w:w="1166" w:type="dxa"/>
            <w:tcBorders>
              <w:tl2br w:val="nil"/>
              <w:tr2bl w:val="nil"/>
            </w:tcBorders>
            <w:shd w:val="clear" w:color="auto" w:fill="auto"/>
            <w:vAlign w:val="center"/>
          </w:tcPr>
          <w:p w14:paraId="4653454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滴定管</w:t>
            </w:r>
          </w:p>
        </w:tc>
        <w:tc>
          <w:tcPr>
            <w:tcW w:w="8573" w:type="dxa"/>
            <w:tcBorders>
              <w:tl2br w:val="nil"/>
              <w:tr2bl w:val="nil"/>
            </w:tcBorders>
            <w:shd w:val="clear" w:color="auto" w:fill="auto"/>
            <w:vAlign w:val="center"/>
          </w:tcPr>
          <w:p w14:paraId="77095AA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酸 式 ， 具塞， 25 mL，透明钠钙玻璃制，良好外观，不应有积水条纹</w:t>
            </w:r>
          </w:p>
        </w:tc>
        <w:tc>
          <w:tcPr>
            <w:tcW w:w="816" w:type="dxa"/>
            <w:tcBorders>
              <w:tl2br w:val="nil"/>
              <w:tr2bl w:val="nil"/>
            </w:tcBorders>
            <w:shd w:val="clear" w:color="auto" w:fill="auto"/>
            <w:vAlign w:val="center"/>
          </w:tcPr>
          <w:p w14:paraId="1BC706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F240C8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66BEA68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04E4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3EBCA1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50</w:t>
            </w:r>
          </w:p>
        </w:tc>
        <w:tc>
          <w:tcPr>
            <w:tcW w:w="1166" w:type="dxa"/>
            <w:tcBorders>
              <w:tl2br w:val="nil"/>
              <w:tr2bl w:val="nil"/>
            </w:tcBorders>
            <w:shd w:val="clear" w:color="auto" w:fill="auto"/>
            <w:vAlign w:val="center"/>
          </w:tcPr>
          <w:p w14:paraId="2AD5C8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滴定管</w:t>
            </w:r>
          </w:p>
        </w:tc>
        <w:tc>
          <w:tcPr>
            <w:tcW w:w="8573" w:type="dxa"/>
            <w:tcBorders>
              <w:tl2br w:val="nil"/>
              <w:tr2bl w:val="nil"/>
            </w:tcBorders>
            <w:shd w:val="clear" w:color="auto" w:fill="auto"/>
            <w:vAlign w:val="center"/>
          </w:tcPr>
          <w:p w14:paraId="548E08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碱 式 ， 无塞， 25 mL，透明钠钙玻璃制，良好外观，不应有积水条纹</w:t>
            </w:r>
          </w:p>
        </w:tc>
        <w:tc>
          <w:tcPr>
            <w:tcW w:w="816" w:type="dxa"/>
            <w:tcBorders>
              <w:tl2br w:val="nil"/>
              <w:tr2bl w:val="nil"/>
            </w:tcBorders>
            <w:shd w:val="clear" w:color="auto" w:fill="auto"/>
            <w:vAlign w:val="center"/>
          </w:tcPr>
          <w:p w14:paraId="106DD2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7402C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14B455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0D922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9A0E1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51</w:t>
            </w:r>
          </w:p>
        </w:tc>
        <w:tc>
          <w:tcPr>
            <w:tcW w:w="1166" w:type="dxa"/>
            <w:tcBorders>
              <w:tl2br w:val="nil"/>
              <w:tr2bl w:val="nil"/>
            </w:tcBorders>
            <w:shd w:val="clear" w:color="auto" w:fill="auto"/>
            <w:vAlign w:val="center"/>
          </w:tcPr>
          <w:p w14:paraId="14EF0C5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482F1AB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12 mm ×70 mm，透明硼硅酸盐玻璃制</w:t>
            </w:r>
          </w:p>
        </w:tc>
        <w:tc>
          <w:tcPr>
            <w:tcW w:w="816" w:type="dxa"/>
            <w:tcBorders>
              <w:tl2br w:val="nil"/>
              <w:tr2bl w:val="nil"/>
            </w:tcBorders>
            <w:shd w:val="clear" w:color="auto" w:fill="auto"/>
            <w:vAlign w:val="center"/>
          </w:tcPr>
          <w:p w14:paraId="7602C7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w:t>
            </w:r>
          </w:p>
        </w:tc>
        <w:tc>
          <w:tcPr>
            <w:tcW w:w="498" w:type="dxa"/>
            <w:tcBorders>
              <w:tl2br w:val="nil"/>
              <w:tr2bl w:val="nil"/>
            </w:tcBorders>
            <w:shd w:val="clear" w:color="auto" w:fill="auto"/>
            <w:vAlign w:val="center"/>
          </w:tcPr>
          <w:p w14:paraId="20D9AC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322F1EF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D5E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F2A54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52</w:t>
            </w:r>
          </w:p>
        </w:tc>
        <w:tc>
          <w:tcPr>
            <w:tcW w:w="1166" w:type="dxa"/>
            <w:tcBorders>
              <w:tl2br w:val="nil"/>
              <w:tr2bl w:val="nil"/>
            </w:tcBorders>
            <w:shd w:val="clear" w:color="auto" w:fill="auto"/>
            <w:vAlign w:val="center"/>
          </w:tcPr>
          <w:p w14:paraId="3172805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0F7AD55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15 mm ×150 mm，透明硼硅酸盐玻璃制</w:t>
            </w:r>
          </w:p>
        </w:tc>
        <w:tc>
          <w:tcPr>
            <w:tcW w:w="816" w:type="dxa"/>
            <w:tcBorders>
              <w:tl2br w:val="nil"/>
              <w:tr2bl w:val="nil"/>
            </w:tcBorders>
            <w:shd w:val="clear" w:color="auto" w:fill="auto"/>
            <w:vAlign w:val="center"/>
          </w:tcPr>
          <w:p w14:paraId="308DBA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w:t>
            </w:r>
          </w:p>
        </w:tc>
        <w:tc>
          <w:tcPr>
            <w:tcW w:w="498" w:type="dxa"/>
            <w:tcBorders>
              <w:tl2br w:val="nil"/>
              <w:tr2bl w:val="nil"/>
            </w:tcBorders>
            <w:shd w:val="clear" w:color="auto" w:fill="auto"/>
            <w:vAlign w:val="center"/>
          </w:tcPr>
          <w:p w14:paraId="0B85D8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21FFECC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CA75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A93B04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53</w:t>
            </w:r>
          </w:p>
        </w:tc>
        <w:tc>
          <w:tcPr>
            <w:tcW w:w="1166" w:type="dxa"/>
            <w:tcBorders>
              <w:tl2br w:val="nil"/>
              <w:tr2bl w:val="nil"/>
            </w:tcBorders>
            <w:shd w:val="clear" w:color="auto" w:fill="auto"/>
            <w:vAlign w:val="center"/>
          </w:tcPr>
          <w:p w14:paraId="280CE4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5ECC61E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18 mm ×180 mm，透明硼硅酸盐玻璃制</w:t>
            </w:r>
          </w:p>
        </w:tc>
        <w:tc>
          <w:tcPr>
            <w:tcW w:w="816" w:type="dxa"/>
            <w:tcBorders>
              <w:tl2br w:val="nil"/>
              <w:tr2bl w:val="nil"/>
            </w:tcBorders>
            <w:shd w:val="clear" w:color="auto" w:fill="auto"/>
            <w:vAlign w:val="center"/>
          </w:tcPr>
          <w:p w14:paraId="7FABC5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72A9A54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2582D2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6B211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F3D81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54</w:t>
            </w:r>
          </w:p>
        </w:tc>
        <w:tc>
          <w:tcPr>
            <w:tcW w:w="1166" w:type="dxa"/>
            <w:tcBorders>
              <w:tl2br w:val="nil"/>
              <w:tr2bl w:val="nil"/>
            </w:tcBorders>
            <w:shd w:val="clear" w:color="auto" w:fill="auto"/>
            <w:vAlign w:val="center"/>
          </w:tcPr>
          <w:p w14:paraId="2B594A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0AB777E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20 mm ×200 mm，透明硼硅酸盐玻璃制</w:t>
            </w:r>
          </w:p>
        </w:tc>
        <w:tc>
          <w:tcPr>
            <w:tcW w:w="816" w:type="dxa"/>
            <w:tcBorders>
              <w:tl2br w:val="nil"/>
              <w:tr2bl w:val="nil"/>
            </w:tcBorders>
            <w:shd w:val="clear" w:color="auto" w:fill="auto"/>
            <w:vAlign w:val="center"/>
          </w:tcPr>
          <w:p w14:paraId="22D00C6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7BEA3F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BB6977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95DA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2C5C6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55</w:t>
            </w:r>
          </w:p>
        </w:tc>
        <w:tc>
          <w:tcPr>
            <w:tcW w:w="1166" w:type="dxa"/>
            <w:tcBorders>
              <w:tl2br w:val="nil"/>
              <w:tr2bl w:val="nil"/>
            </w:tcBorders>
            <w:shd w:val="clear" w:color="auto" w:fill="auto"/>
            <w:vAlign w:val="center"/>
          </w:tcPr>
          <w:p w14:paraId="69FA01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3531B39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32 mm ×200 mm，透明硼硅酸盐玻璃制</w:t>
            </w:r>
          </w:p>
        </w:tc>
        <w:tc>
          <w:tcPr>
            <w:tcW w:w="816" w:type="dxa"/>
            <w:tcBorders>
              <w:tl2br w:val="nil"/>
              <w:tr2bl w:val="nil"/>
            </w:tcBorders>
            <w:shd w:val="clear" w:color="auto" w:fill="auto"/>
            <w:vAlign w:val="center"/>
          </w:tcPr>
          <w:p w14:paraId="6054AE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4882D1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25A42B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CA76E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BBD23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56</w:t>
            </w:r>
          </w:p>
        </w:tc>
        <w:tc>
          <w:tcPr>
            <w:tcW w:w="1166" w:type="dxa"/>
            <w:tcBorders>
              <w:tl2br w:val="nil"/>
              <w:tr2bl w:val="nil"/>
            </w:tcBorders>
            <w:shd w:val="clear" w:color="auto" w:fill="auto"/>
            <w:vAlign w:val="center"/>
          </w:tcPr>
          <w:p w14:paraId="15B3E2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口部具支试管</w:t>
            </w:r>
          </w:p>
        </w:tc>
        <w:tc>
          <w:tcPr>
            <w:tcW w:w="8573" w:type="dxa"/>
            <w:tcBorders>
              <w:tl2br w:val="nil"/>
              <w:tr2bl w:val="nil"/>
            </w:tcBorders>
            <w:shd w:val="clear" w:color="auto" w:fill="auto"/>
            <w:vAlign w:val="center"/>
          </w:tcPr>
          <w:p w14:paraId="0FAEEFF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20 mm ×200 mm，透明硼硅酸盐玻璃制，管底厚薄应均匀，支管连接应平滑牢固，不应有偏歪</w:t>
            </w:r>
          </w:p>
        </w:tc>
        <w:tc>
          <w:tcPr>
            <w:tcW w:w="816" w:type="dxa"/>
            <w:tcBorders>
              <w:tl2br w:val="nil"/>
              <w:tr2bl w:val="nil"/>
            </w:tcBorders>
            <w:shd w:val="clear" w:color="auto" w:fill="auto"/>
            <w:vAlign w:val="center"/>
          </w:tcPr>
          <w:p w14:paraId="565855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2D1D852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0ACB6EB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27EC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1856D6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57</w:t>
            </w:r>
          </w:p>
        </w:tc>
        <w:tc>
          <w:tcPr>
            <w:tcW w:w="1166" w:type="dxa"/>
            <w:tcBorders>
              <w:tl2br w:val="nil"/>
              <w:tr2bl w:val="nil"/>
            </w:tcBorders>
            <w:shd w:val="clear" w:color="auto" w:fill="auto"/>
            <w:vAlign w:val="center"/>
          </w:tcPr>
          <w:p w14:paraId="18EDB5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硬质玻璃管</w:t>
            </w:r>
          </w:p>
        </w:tc>
        <w:tc>
          <w:tcPr>
            <w:tcW w:w="8573" w:type="dxa"/>
            <w:tcBorders>
              <w:tl2br w:val="nil"/>
              <w:tr2bl w:val="nil"/>
            </w:tcBorders>
            <w:shd w:val="clear" w:color="auto" w:fill="auto"/>
            <w:vAlign w:val="center"/>
          </w:tcPr>
          <w:p w14:paraId="021D175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15 mm ×150 mm，透明硼硅酸盐玻璃制，耐热温度≥800℃，试管两端口部应卷口</w:t>
            </w:r>
          </w:p>
        </w:tc>
        <w:tc>
          <w:tcPr>
            <w:tcW w:w="816" w:type="dxa"/>
            <w:tcBorders>
              <w:tl2br w:val="nil"/>
              <w:tr2bl w:val="nil"/>
            </w:tcBorders>
            <w:shd w:val="clear" w:color="auto" w:fill="auto"/>
            <w:vAlign w:val="center"/>
          </w:tcPr>
          <w:p w14:paraId="2C706C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37766D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289A0D8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6441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83CB6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58</w:t>
            </w:r>
          </w:p>
        </w:tc>
        <w:tc>
          <w:tcPr>
            <w:tcW w:w="1166" w:type="dxa"/>
            <w:tcBorders>
              <w:tl2br w:val="nil"/>
              <w:tr2bl w:val="nil"/>
            </w:tcBorders>
            <w:shd w:val="clear" w:color="auto" w:fill="auto"/>
            <w:vAlign w:val="center"/>
          </w:tcPr>
          <w:p w14:paraId="21F999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硬质玻璃管</w:t>
            </w:r>
          </w:p>
        </w:tc>
        <w:tc>
          <w:tcPr>
            <w:tcW w:w="8573" w:type="dxa"/>
            <w:tcBorders>
              <w:tl2br w:val="nil"/>
              <w:tr2bl w:val="nil"/>
            </w:tcBorders>
            <w:shd w:val="clear" w:color="auto" w:fill="auto"/>
            <w:vAlign w:val="center"/>
          </w:tcPr>
          <w:p w14:paraId="7698EDE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20 mm × 250 mm，透明硼硅酸盐玻璃制，耐热温度≥800℃，试管两端口部应卷口</w:t>
            </w:r>
          </w:p>
        </w:tc>
        <w:tc>
          <w:tcPr>
            <w:tcW w:w="816" w:type="dxa"/>
            <w:tcBorders>
              <w:tl2br w:val="nil"/>
              <w:tr2bl w:val="nil"/>
            </w:tcBorders>
            <w:shd w:val="clear" w:color="auto" w:fill="auto"/>
            <w:vAlign w:val="center"/>
          </w:tcPr>
          <w:p w14:paraId="455E4E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41D284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7825C7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1EC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E427F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59</w:t>
            </w:r>
          </w:p>
        </w:tc>
        <w:tc>
          <w:tcPr>
            <w:tcW w:w="1166" w:type="dxa"/>
            <w:tcBorders>
              <w:tl2br w:val="nil"/>
              <w:tr2bl w:val="nil"/>
            </w:tcBorders>
            <w:shd w:val="clear" w:color="auto" w:fill="auto"/>
            <w:vAlign w:val="center"/>
          </w:tcPr>
          <w:p w14:paraId="095090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3179F7C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 mL，透明硼硅酸盐玻璃制，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110BF1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A980C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5CA8B2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732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336B2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60</w:t>
            </w:r>
          </w:p>
        </w:tc>
        <w:tc>
          <w:tcPr>
            <w:tcW w:w="1166" w:type="dxa"/>
            <w:tcBorders>
              <w:tl2br w:val="nil"/>
              <w:tr2bl w:val="nil"/>
            </w:tcBorders>
            <w:shd w:val="clear" w:color="auto" w:fill="auto"/>
            <w:vAlign w:val="center"/>
          </w:tcPr>
          <w:p w14:paraId="4DD9B5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0C8D5CE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 mL ，透明硼硅酸盐玻璃制，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08553B9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750562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E28D4D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6B42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FFC6B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61</w:t>
            </w:r>
          </w:p>
        </w:tc>
        <w:tc>
          <w:tcPr>
            <w:tcW w:w="1166" w:type="dxa"/>
            <w:tcBorders>
              <w:tl2br w:val="nil"/>
              <w:tr2bl w:val="nil"/>
            </w:tcBorders>
            <w:shd w:val="clear" w:color="auto" w:fill="auto"/>
            <w:vAlign w:val="center"/>
          </w:tcPr>
          <w:p w14:paraId="13EC90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79529A0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 ，透明硼硅酸盐玻璃制，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21DA17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5F135B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A4B14C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22D0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13594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62</w:t>
            </w:r>
          </w:p>
        </w:tc>
        <w:tc>
          <w:tcPr>
            <w:tcW w:w="1166" w:type="dxa"/>
            <w:tcBorders>
              <w:tl2br w:val="nil"/>
              <w:tr2bl w:val="nil"/>
            </w:tcBorders>
            <w:shd w:val="clear" w:color="auto" w:fill="auto"/>
            <w:vAlign w:val="center"/>
          </w:tcPr>
          <w:p w14:paraId="52E0C9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3183026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mL ，透明硼硅酸盐玻璃制，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0717BC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25CC24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728ABD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FD42C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9EBD4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63</w:t>
            </w:r>
          </w:p>
        </w:tc>
        <w:tc>
          <w:tcPr>
            <w:tcW w:w="1166" w:type="dxa"/>
            <w:tcBorders>
              <w:tl2br w:val="nil"/>
              <w:tr2bl w:val="nil"/>
            </w:tcBorders>
            <w:shd w:val="clear" w:color="auto" w:fill="auto"/>
            <w:vAlign w:val="center"/>
          </w:tcPr>
          <w:p w14:paraId="7EC4D33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2806AD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250mL，采用透明硼硅酸盐玻璃制，烧杯的满口量应超过标称容量的10%。</w:t>
            </w:r>
          </w:p>
        </w:tc>
        <w:tc>
          <w:tcPr>
            <w:tcW w:w="816" w:type="dxa"/>
            <w:tcBorders>
              <w:tl2br w:val="nil"/>
              <w:tr2bl w:val="nil"/>
            </w:tcBorders>
            <w:shd w:val="clear" w:color="auto" w:fill="auto"/>
            <w:vAlign w:val="center"/>
          </w:tcPr>
          <w:p w14:paraId="12C873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7FBBA9B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2F5C0C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0F2E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0D725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64</w:t>
            </w:r>
          </w:p>
        </w:tc>
        <w:tc>
          <w:tcPr>
            <w:tcW w:w="1166" w:type="dxa"/>
            <w:tcBorders>
              <w:tl2br w:val="nil"/>
              <w:tr2bl w:val="nil"/>
            </w:tcBorders>
            <w:shd w:val="clear" w:color="auto" w:fill="auto"/>
            <w:vAlign w:val="center"/>
          </w:tcPr>
          <w:p w14:paraId="27CDE9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2D023E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06B9150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5C55E7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4551A3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D8DAE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02578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65</w:t>
            </w:r>
          </w:p>
        </w:tc>
        <w:tc>
          <w:tcPr>
            <w:tcW w:w="1166" w:type="dxa"/>
            <w:tcBorders>
              <w:tl2br w:val="nil"/>
              <w:tr2bl w:val="nil"/>
            </w:tcBorders>
            <w:shd w:val="clear" w:color="auto" w:fill="auto"/>
            <w:vAlign w:val="center"/>
          </w:tcPr>
          <w:p w14:paraId="1CF463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6320915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1000 mL ，透明硼硅酸盐玻璃制， 烧杯的满口容量应超过标称容量的 10%或烧杯的满口容量和标称容量的两液面间距不应少于 10mm，并应采用容量差值较大的一种</w:t>
            </w:r>
          </w:p>
        </w:tc>
        <w:tc>
          <w:tcPr>
            <w:tcW w:w="816" w:type="dxa"/>
            <w:tcBorders>
              <w:tl2br w:val="nil"/>
              <w:tr2bl w:val="nil"/>
            </w:tcBorders>
            <w:shd w:val="clear" w:color="auto" w:fill="auto"/>
            <w:vAlign w:val="center"/>
          </w:tcPr>
          <w:p w14:paraId="58D4BB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00DDEF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2F3859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E4BF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31F9E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66</w:t>
            </w:r>
          </w:p>
        </w:tc>
        <w:tc>
          <w:tcPr>
            <w:tcW w:w="1166" w:type="dxa"/>
            <w:tcBorders>
              <w:tl2br w:val="nil"/>
              <w:tr2bl w:val="nil"/>
            </w:tcBorders>
            <w:shd w:val="clear" w:color="auto" w:fill="auto"/>
            <w:vAlign w:val="center"/>
          </w:tcPr>
          <w:p w14:paraId="1801F7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w:t>
            </w:r>
          </w:p>
        </w:tc>
        <w:tc>
          <w:tcPr>
            <w:tcW w:w="8573" w:type="dxa"/>
            <w:tcBorders>
              <w:tl2br w:val="nil"/>
              <w:tr2bl w:val="nil"/>
            </w:tcBorders>
            <w:shd w:val="clear" w:color="auto" w:fill="auto"/>
            <w:vAlign w:val="center"/>
          </w:tcPr>
          <w:p w14:paraId="715DA31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mL，圆底，透明硼硅酸盐玻璃制，玻璃薄厚均匀，底部应规整</w:t>
            </w:r>
          </w:p>
        </w:tc>
        <w:tc>
          <w:tcPr>
            <w:tcW w:w="816" w:type="dxa"/>
            <w:tcBorders>
              <w:tl2br w:val="nil"/>
              <w:tr2bl w:val="nil"/>
            </w:tcBorders>
            <w:shd w:val="clear" w:color="auto" w:fill="auto"/>
            <w:vAlign w:val="center"/>
          </w:tcPr>
          <w:p w14:paraId="323C4D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13</w:t>
            </w:r>
          </w:p>
        </w:tc>
        <w:tc>
          <w:tcPr>
            <w:tcW w:w="498" w:type="dxa"/>
            <w:tcBorders>
              <w:tl2br w:val="nil"/>
              <w:tr2bl w:val="nil"/>
            </w:tcBorders>
            <w:shd w:val="clear" w:color="auto" w:fill="auto"/>
            <w:vAlign w:val="center"/>
          </w:tcPr>
          <w:p w14:paraId="21C942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908AD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C7953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7C190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67</w:t>
            </w:r>
          </w:p>
        </w:tc>
        <w:tc>
          <w:tcPr>
            <w:tcW w:w="1166" w:type="dxa"/>
            <w:tcBorders>
              <w:tl2br w:val="nil"/>
              <w:tr2bl w:val="nil"/>
            </w:tcBorders>
            <w:shd w:val="clear" w:color="auto" w:fill="auto"/>
            <w:vAlign w:val="center"/>
          </w:tcPr>
          <w:p w14:paraId="624886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w:t>
            </w:r>
          </w:p>
        </w:tc>
        <w:tc>
          <w:tcPr>
            <w:tcW w:w="8573" w:type="dxa"/>
            <w:tcBorders>
              <w:tl2br w:val="nil"/>
              <w:tr2bl w:val="nil"/>
            </w:tcBorders>
            <w:shd w:val="clear" w:color="auto" w:fill="auto"/>
            <w:vAlign w:val="center"/>
          </w:tcPr>
          <w:p w14:paraId="32E4AB0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mL，平底，透明硼硅酸盐玻璃制，平底烧瓶放在平台上时，应直立不摇晃、不转动</w:t>
            </w:r>
          </w:p>
        </w:tc>
        <w:tc>
          <w:tcPr>
            <w:tcW w:w="816" w:type="dxa"/>
            <w:tcBorders>
              <w:tl2br w:val="nil"/>
              <w:tr2bl w:val="nil"/>
            </w:tcBorders>
            <w:shd w:val="clear" w:color="auto" w:fill="auto"/>
            <w:vAlign w:val="center"/>
          </w:tcPr>
          <w:p w14:paraId="0A7B83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63DA0D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3268C1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B1C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310F3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68</w:t>
            </w:r>
          </w:p>
        </w:tc>
        <w:tc>
          <w:tcPr>
            <w:tcW w:w="1166" w:type="dxa"/>
            <w:tcBorders>
              <w:tl2br w:val="nil"/>
              <w:tr2bl w:val="nil"/>
            </w:tcBorders>
            <w:shd w:val="clear" w:color="auto" w:fill="auto"/>
            <w:vAlign w:val="center"/>
          </w:tcPr>
          <w:p w14:paraId="155E3F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锥形瓶</w:t>
            </w:r>
          </w:p>
        </w:tc>
        <w:tc>
          <w:tcPr>
            <w:tcW w:w="8573" w:type="dxa"/>
            <w:tcBorders>
              <w:tl2br w:val="nil"/>
              <w:tr2bl w:val="nil"/>
            </w:tcBorders>
            <w:shd w:val="clear" w:color="auto" w:fill="auto"/>
            <w:vAlign w:val="center"/>
          </w:tcPr>
          <w:p w14:paraId="090DD3F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mL，透明硼硅酸盐玻璃制， 放在平台上应直立不摇晃、不转动</w:t>
            </w:r>
          </w:p>
        </w:tc>
        <w:tc>
          <w:tcPr>
            <w:tcW w:w="816" w:type="dxa"/>
            <w:tcBorders>
              <w:tl2br w:val="nil"/>
              <w:tr2bl w:val="nil"/>
            </w:tcBorders>
            <w:shd w:val="clear" w:color="auto" w:fill="auto"/>
            <w:vAlign w:val="center"/>
          </w:tcPr>
          <w:p w14:paraId="638317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F1CFE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7C1920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3A09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E18F6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69</w:t>
            </w:r>
          </w:p>
        </w:tc>
        <w:tc>
          <w:tcPr>
            <w:tcW w:w="1166" w:type="dxa"/>
            <w:tcBorders>
              <w:tl2br w:val="nil"/>
              <w:tr2bl w:val="nil"/>
            </w:tcBorders>
            <w:shd w:val="clear" w:color="auto" w:fill="auto"/>
            <w:vAlign w:val="center"/>
          </w:tcPr>
          <w:p w14:paraId="7BD952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锥形瓶</w:t>
            </w:r>
          </w:p>
        </w:tc>
        <w:tc>
          <w:tcPr>
            <w:tcW w:w="8573" w:type="dxa"/>
            <w:tcBorders>
              <w:tl2br w:val="nil"/>
              <w:tr2bl w:val="nil"/>
            </w:tcBorders>
            <w:shd w:val="clear" w:color="auto" w:fill="auto"/>
            <w:vAlign w:val="center"/>
          </w:tcPr>
          <w:p w14:paraId="34B8B25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，透明硼硅酸盐玻璃制， 放在平台上应直立不摇晃、不转动</w:t>
            </w:r>
          </w:p>
        </w:tc>
        <w:tc>
          <w:tcPr>
            <w:tcW w:w="816" w:type="dxa"/>
            <w:tcBorders>
              <w:tl2br w:val="nil"/>
              <w:tr2bl w:val="nil"/>
            </w:tcBorders>
            <w:shd w:val="clear" w:color="auto" w:fill="auto"/>
            <w:vAlign w:val="center"/>
          </w:tcPr>
          <w:p w14:paraId="6B0183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19E42E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34185B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E2DC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EE574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70</w:t>
            </w:r>
          </w:p>
        </w:tc>
        <w:tc>
          <w:tcPr>
            <w:tcW w:w="1166" w:type="dxa"/>
            <w:tcBorders>
              <w:tl2br w:val="nil"/>
              <w:tr2bl w:val="nil"/>
            </w:tcBorders>
            <w:shd w:val="clear" w:color="auto" w:fill="auto"/>
            <w:vAlign w:val="center"/>
          </w:tcPr>
          <w:p w14:paraId="487EE1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蒸馏烧瓶</w:t>
            </w:r>
          </w:p>
        </w:tc>
        <w:tc>
          <w:tcPr>
            <w:tcW w:w="8573" w:type="dxa"/>
            <w:tcBorders>
              <w:tl2br w:val="nil"/>
              <w:tr2bl w:val="nil"/>
            </w:tcBorders>
            <w:shd w:val="clear" w:color="auto" w:fill="auto"/>
            <w:vAlign w:val="center"/>
          </w:tcPr>
          <w:p w14:paraId="39FCC1B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mL，透明硼硅酸盐玻璃制， 烧瓶的颈部同一截面应该呈圆形，颈的口部不应呈锥形，并适当提高强度</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581E1C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18F54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6CEA1D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7619D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C84F8A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71</w:t>
            </w:r>
          </w:p>
        </w:tc>
        <w:tc>
          <w:tcPr>
            <w:tcW w:w="1166" w:type="dxa"/>
            <w:tcBorders>
              <w:tl2br w:val="nil"/>
              <w:tr2bl w:val="nil"/>
            </w:tcBorders>
            <w:shd w:val="clear" w:color="auto" w:fill="auto"/>
            <w:vAlign w:val="center"/>
          </w:tcPr>
          <w:p w14:paraId="072DDD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集气瓶</w:t>
            </w:r>
          </w:p>
        </w:tc>
        <w:tc>
          <w:tcPr>
            <w:tcW w:w="8573" w:type="dxa"/>
            <w:tcBorders>
              <w:tl2br w:val="nil"/>
              <w:tr2bl w:val="nil"/>
            </w:tcBorders>
            <w:shd w:val="clear" w:color="auto" w:fill="auto"/>
            <w:vAlign w:val="center"/>
          </w:tcPr>
          <w:p w14:paraId="2A5930B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mL，透明钠钙玻璃制，磨砂面应均匀地覆盖瓶口端面与盖板，磨砂面不应有光斑； 盖板四角应倒角，四边应磨光盖板与瓶口密合性应符合：盖板与瓶口充分湿润盖合后，倒提瓶体盖板在瓶口上保持 30 s 不脱落</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29068F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w:t>
            </w:r>
          </w:p>
        </w:tc>
        <w:tc>
          <w:tcPr>
            <w:tcW w:w="498" w:type="dxa"/>
            <w:tcBorders>
              <w:tl2br w:val="nil"/>
              <w:tr2bl w:val="nil"/>
            </w:tcBorders>
            <w:shd w:val="clear" w:color="auto" w:fill="auto"/>
            <w:vAlign w:val="center"/>
          </w:tcPr>
          <w:p w14:paraId="78A8D2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D1F73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31B8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9F01D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72</w:t>
            </w:r>
          </w:p>
        </w:tc>
        <w:tc>
          <w:tcPr>
            <w:tcW w:w="1166" w:type="dxa"/>
            <w:tcBorders>
              <w:tl2br w:val="nil"/>
              <w:tr2bl w:val="nil"/>
            </w:tcBorders>
            <w:shd w:val="clear" w:color="auto" w:fill="auto"/>
            <w:vAlign w:val="center"/>
          </w:tcPr>
          <w:p w14:paraId="214CB5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集气瓶</w:t>
            </w:r>
          </w:p>
        </w:tc>
        <w:tc>
          <w:tcPr>
            <w:tcW w:w="8573" w:type="dxa"/>
            <w:tcBorders>
              <w:tl2br w:val="nil"/>
              <w:tr2bl w:val="nil"/>
            </w:tcBorders>
            <w:shd w:val="clear" w:color="auto" w:fill="auto"/>
            <w:vAlign w:val="center"/>
          </w:tcPr>
          <w:p w14:paraId="45DD78A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，透明钠钙玻璃制，磨砂面应均匀地覆盖瓶口端面与盖板，磨砂面不应有光斑； 盖板四角应倒角，四边应磨光盖板与瓶口密合性应符合：盖板与瓶口充分湿润盖合后，倒提瓶体盖板在瓶口上保持 30 s 不脱落</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064EA0D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08183C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FF6A40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AE87F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AC5D6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73</w:t>
            </w:r>
          </w:p>
        </w:tc>
        <w:tc>
          <w:tcPr>
            <w:tcW w:w="1166" w:type="dxa"/>
            <w:tcBorders>
              <w:tl2br w:val="nil"/>
              <w:tr2bl w:val="nil"/>
            </w:tcBorders>
            <w:shd w:val="clear" w:color="auto" w:fill="auto"/>
            <w:vAlign w:val="center"/>
          </w:tcPr>
          <w:p w14:paraId="379EC4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液封除毒气</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集气瓶</w:t>
            </w:r>
          </w:p>
        </w:tc>
        <w:tc>
          <w:tcPr>
            <w:tcW w:w="8573" w:type="dxa"/>
            <w:tcBorders>
              <w:tl2br w:val="nil"/>
              <w:tr2bl w:val="nil"/>
            </w:tcBorders>
            <w:shd w:val="clear" w:color="auto" w:fill="auto"/>
            <w:vAlign w:val="center"/>
          </w:tcPr>
          <w:p w14:paraId="01601C3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250 mL ，瓶口光滑，液封口深度≥1 cm </w:t>
            </w:r>
          </w:p>
        </w:tc>
        <w:tc>
          <w:tcPr>
            <w:tcW w:w="816" w:type="dxa"/>
            <w:tcBorders>
              <w:tl2br w:val="nil"/>
              <w:tr2bl w:val="nil"/>
            </w:tcBorders>
            <w:shd w:val="clear" w:color="auto" w:fill="auto"/>
            <w:vAlign w:val="center"/>
          </w:tcPr>
          <w:p w14:paraId="48A69A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04760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D6FAD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5E86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9197A0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74</w:t>
            </w:r>
          </w:p>
        </w:tc>
        <w:tc>
          <w:tcPr>
            <w:tcW w:w="1166" w:type="dxa"/>
            <w:tcBorders>
              <w:tl2br w:val="nil"/>
              <w:tr2bl w:val="nil"/>
            </w:tcBorders>
            <w:shd w:val="clear" w:color="auto" w:fill="auto"/>
            <w:vAlign w:val="center"/>
          </w:tcPr>
          <w:p w14:paraId="0F0489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3DA162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mL，透明钠钙玻璃制， 瓶塞与瓶口紧实，不晃动； 口部应圆整光滑，底部应平整，放置平台上不应摇晃或转动</w:t>
            </w:r>
          </w:p>
        </w:tc>
        <w:tc>
          <w:tcPr>
            <w:tcW w:w="816" w:type="dxa"/>
            <w:tcBorders>
              <w:tl2br w:val="nil"/>
              <w:tr2bl w:val="nil"/>
            </w:tcBorders>
            <w:shd w:val="clear" w:color="auto" w:fill="auto"/>
            <w:vAlign w:val="center"/>
          </w:tcPr>
          <w:p w14:paraId="73F3F6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170</w:t>
            </w:r>
          </w:p>
        </w:tc>
        <w:tc>
          <w:tcPr>
            <w:tcW w:w="498" w:type="dxa"/>
            <w:tcBorders>
              <w:tl2br w:val="nil"/>
              <w:tr2bl w:val="nil"/>
            </w:tcBorders>
            <w:shd w:val="clear" w:color="auto" w:fill="auto"/>
            <w:vAlign w:val="center"/>
          </w:tcPr>
          <w:p w14:paraId="55624C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17A68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A6D3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39503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75</w:t>
            </w:r>
          </w:p>
        </w:tc>
        <w:tc>
          <w:tcPr>
            <w:tcW w:w="1166" w:type="dxa"/>
            <w:tcBorders>
              <w:tl2br w:val="nil"/>
              <w:tr2bl w:val="nil"/>
            </w:tcBorders>
            <w:shd w:val="clear" w:color="auto" w:fill="auto"/>
            <w:vAlign w:val="center"/>
          </w:tcPr>
          <w:p w14:paraId="31B0B8E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0605E3D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 ，透明钠钙玻璃制， 瓶塞与瓶口紧实，不晃动； 口部应圆整光滑，底部应平整，放置平台上不应摇晃或转动</w:t>
            </w:r>
          </w:p>
        </w:tc>
        <w:tc>
          <w:tcPr>
            <w:tcW w:w="816" w:type="dxa"/>
            <w:tcBorders>
              <w:tl2br w:val="nil"/>
              <w:tr2bl w:val="nil"/>
            </w:tcBorders>
            <w:shd w:val="clear" w:color="auto" w:fill="auto"/>
            <w:vAlign w:val="center"/>
          </w:tcPr>
          <w:p w14:paraId="049DAC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6DECC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A3CB6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428AA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0EDFAD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76</w:t>
            </w:r>
          </w:p>
        </w:tc>
        <w:tc>
          <w:tcPr>
            <w:tcW w:w="1166" w:type="dxa"/>
            <w:tcBorders>
              <w:tl2br w:val="nil"/>
              <w:tr2bl w:val="nil"/>
            </w:tcBorders>
            <w:shd w:val="clear" w:color="auto" w:fill="auto"/>
            <w:vAlign w:val="center"/>
          </w:tcPr>
          <w:p w14:paraId="565D7A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5EAD6A1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，透明钠钙玻璃制， 瓶塞与瓶口紧实，不晃动； 口部应圆整光滑，底部应平整，放置平台上不应摇晃或转动</w:t>
            </w:r>
          </w:p>
        </w:tc>
        <w:tc>
          <w:tcPr>
            <w:tcW w:w="816" w:type="dxa"/>
            <w:tcBorders>
              <w:tl2br w:val="nil"/>
              <w:tr2bl w:val="nil"/>
            </w:tcBorders>
            <w:shd w:val="clear" w:color="auto" w:fill="auto"/>
            <w:vAlign w:val="center"/>
          </w:tcPr>
          <w:p w14:paraId="050A38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9CC08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E9028B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37730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3D3258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77</w:t>
            </w:r>
          </w:p>
        </w:tc>
        <w:tc>
          <w:tcPr>
            <w:tcW w:w="1166" w:type="dxa"/>
            <w:tcBorders>
              <w:tl2br w:val="nil"/>
              <w:tr2bl w:val="nil"/>
            </w:tcBorders>
            <w:shd w:val="clear" w:color="auto" w:fill="auto"/>
            <w:vAlign w:val="center"/>
          </w:tcPr>
          <w:p w14:paraId="4418E6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533388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 瓶塞与瓶口紧实，不晃动； 口部应圆整光滑，底部应平整，放置平台上不应摇晃或转动</w:t>
            </w:r>
          </w:p>
        </w:tc>
        <w:tc>
          <w:tcPr>
            <w:tcW w:w="816" w:type="dxa"/>
            <w:tcBorders>
              <w:tl2br w:val="nil"/>
              <w:tr2bl w:val="nil"/>
            </w:tcBorders>
            <w:shd w:val="clear" w:color="auto" w:fill="auto"/>
            <w:vAlign w:val="center"/>
          </w:tcPr>
          <w:p w14:paraId="745421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EA966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41AF63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8906F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E6490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78</w:t>
            </w:r>
          </w:p>
        </w:tc>
        <w:tc>
          <w:tcPr>
            <w:tcW w:w="1166" w:type="dxa"/>
            <w:tcBorders>
              <w:tl2br w:val="nil"/>
              <w:tr2bl w:val="nil"/>
            </w:tcBorders>
            <w:shd w:val="clear" w:color="auto" w:fill="auto"/>
            <w:vAlign w:val="center"/>
          </w:tcPr>
          <w:p w14:paraId="647D56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茶色广口瓶</w:t>
            </w:r>
          </w:p>
        </w:tc>
        <w:tc>
          <w:tcPr>
            <w:tcW w:w="8573" w:type="dxa"/>
            <w:tcBorders>
              <w:tl2br w:val="nil"/>
              <w:tr2bl w:val="nil"/>
            </w:tcBorders>
            <w:shd w:val="clear" w:color="auto" w:fill="auto"/>
            <w:vAlign w:val="center"/>
          </w:tcPr>
          <w:p w14:paraId="0F52891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313700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548C37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33628A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34D7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CD8CDD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79</w:t>
            </w:r>
          </w:p>
        </w:tc>
        <w:tc>
          <w:tcPr>
            <w:tcW w:w="1166" w:type="dxa"/>
            <w:tcBorders>
              <w:tl2br w:val="nil"/>
              <w:tr2bl w:val="nil"/>
            </w:tcBorders>
            <w:shd w:val="clear" w:color="auto" w:fill="auto"/>
            <w:vAlign w:val="center"/>
          </w:tcPr>
          <w:p w14:paraId="324AC8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茶色广口瓶</w:t>
            </w:r>
          </w:p>
        </w:tc>
        <w:tc>
          <w:tcPr>
            <w:tcW w:w="8573" w:type="dxa"/>
            <w:tcBorders>
              <w:tl2br w:val="nil"/>
              <w:tr2bl w:val="nil"/>
            </w:tcBorders>
            <w:shd w:val="clear" w:color="auto" w:fill="auto"/>
            <w:vAlign w:val="center"/>
          </w:tcPr>
          <w:p w14:paraId="09D84F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5C31D5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673C57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AE1AC0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B1BF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D35ED2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80</w:t>
            </w:r>
          </w:p>
        </w:tc>
        <w:tc>
          <w:tcPr>
            <w:tcW w:w="1166" w:type="dxa"/>
            <w:tcBorders>
              <w:tl2br w:val="nil"/>
              <w:tr2bl w:val="nil"/>
            </w:tcBorders>
            <w:shd w:val="clear" w:color="auto" w:fill="auto"/>
            <w:vAlign w:val="center"/>
          </w:tcPr>
          <w:p w14:paraId="7DFEFB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茶色广口瓶</w:t>
            </w:r>
          </w:p>
        </w:tc>
        <w:tc>
          <w:tcPr>
            <w:tcW w:w="8573" w:type="dxa"/>
            <w:tcBorders>
              <w:tl2br w:val="nil"/>
              <w:tr2bl w:val="nil"/>
            </w:tcBorders>
            <w:shd w:val="clear" w:color="auto" w:fill="auto"/>
            <w:vAlign w:val="center"/>
          </w:tcPr>
          <w:p w14:paraId="1F3112C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6316D9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AA5348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27798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B8CD7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09ACEF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81</w:t>
            </w:r>
          </w:p>
        </w:tc>
        <w:tc>
          <w:tcPr>
            <w:tcW w:w="1166" w:type="dxa"/>
            <w:tcBorders>
              <w:tl2br w:val="nil"/>
              <w:tr2bl w:val="nil"/>
            </w:tcBorders>
            <w:shd w:val="clear" w:color="auto" w:fill="auto"/>
            <w:vAlign w:val="center"/>
          </w:tcPr>
          <w:p w14:paraId="68AE02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4851A75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6D26FE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68F855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C7467E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5ECE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3241B3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82</w:t>
            </w:r>
          </w:p>
        </w:tc>
        <w:tc>
          <w:tcPr>
            <w:tcW w:w="1166" w:type="dxa"/>
            <w:tcBorders>
              <w:tl2br w:val="nil"/>
              <w:tr2bl w:val="nil"/>
            </w:tcBorders>
            <w:shd w:val="clear" w:color="auto" w:fill="auto"/>
            <w:vAlign w:val="center"/>
          </w:tcPr>
          <w:p w14:paraId="786CEC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4C369E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4DC605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200</w:t>
            </w:r>
          </w:p>
        </w:tc>
        <w:tc>
          <w:tcPr>
            <w:tcW w:w="498" w:type="dxa"/>
            <w:tcBorders>
              <w:tl2br w:val="nil"/>
              <w:tr2bl w:val="nil"/>
            </w:tcBorders>
            <w:shd w:val="clear" w:color="auto" w:fill="auto"/>
            <w:vAlign w:val="center"/>
          </w:tcPr>
          <w:p w14:paraId="22A788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0F176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BBE61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6BF9F2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83</w:t>
            </w:r>
          </w:p>
        </w:tc>
        <w:tc>
          <w:tcPr>
            <w:tcW w:w="1166" w:type="dxa"/>
            <w:tcBorders>
              <w:tl2br w:val="nil"/>
              <w:tr2bl w:val="nil"/>
            </w:tcBorders>
            <w:shd w:val="clear" w:color="auto" w:fill="auto"/>
            <w:vAlign w:val="center"/>
          </w:tcPr>
          <w:p w14:paraId="708452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1A84B3F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092755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7A779B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BD86AE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1D98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930AB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84</w:t>
            </w:r>
          </w:p>
        </w:tc>
        <w:tc>
          <w:tcPr>
            <w:tcW w:w="1166" w:type="dxa"/>
            <w:tcBorders>
              <w:tl2br w:val="nil"/>
              <w:tr2bl w:val="nil"/>
            </w:tcBorders>
            <w:shd w:val="clear" w:color="auto" w:fill="auto"/>
            <w:vAlign w:val="center"/>
          </w:tcPr>
          <w:p w14:paraId="6A0C9C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0E61F9B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2634BD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6CF63A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68F5D8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1A9AE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78DFF5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85</w:t>
            </w:r>
          </w:p>
        </w:tc>
        <w:tc>
          <w:tcPr>
            <w:tcW w:w="1166" w:type="dxa"/>
            <w:tcBorders>
              <w:tl2br w:val="nil"/>
              <w:tr2bl w:val="nil"/>
            </w:tcBorders>
            <w:shd w:val="clear" w:color="auto" w:fill="auto"/>
            <w:vAlign w:val="center"/>
          </w:tcPr>
          <w:p w14:paraId="5DFD09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39B845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2C9B1B4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8AD8C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0962F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9330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EA6321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86</w:t>
            </w:r>
          </w:p>
        </w:tc>
        <w:tc>
          <w:tcPr>
            <w:tcW w:w="1166" w:type="dxa"/>
            <w:tcBorders>
              <w:tl2br w:val="nil"/>
              <w:tr2bl w:val="nil"/>
            </w:tcBorders>
            <w:shd w:val="clear" w:color="auto" w:fill="auto"/>
            <w:vAlign w:val="center"/>
          </w:tcPr>
          <w:p w14:paraId="1EF3B4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408B356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3000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3E28FE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C62A35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F89A57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9F60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81465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87</w:t>
            </w:r>
          </w:p>
        </w:tc>
        <w:tc>
          <w:tcPr>
            <w:tcW w:w="1166" w:type="dxa"/>
            <w:tcBorders>
              <w:tl2br w:val="nil"/>
              <w:tr2bl w:val="nil"/>
            </w:tcBorders>
            <w:shd w:val="clear" w:color="auto" w:fill="auto"/>
            <w:vAlign w:val="center"/>
          </w:tcPr>
          <w:p w14:paraId="4EA06D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茶色细口瓶</w:t>
            </w:r>
          </w:p>
        </w:tc>
        <w:tc>
          <w:tcPr>
            <w:tcW w:w="8573" w:type="dxa"/>
            <w:tcBorders>
              <w:tl2br w:val="nil"/>
              <w:tr2bl w:val="nil"/>
            </w:tcBorders>
            <w:shd w:val="clear" w:color="auto" w:fill="auto"/>
            <w:vAlign w:val="center"/>
          </w:tcPr>
          <w:p w14:paraId="0919C0B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3DF628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5485CE6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33418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5FA1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3425E3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88</w:t>
            </w:r>
          </w:p>
        </w:tc>
        <w:tc>
          <w:tcPr>
            <w:tcW w:w="1166" w:type="dxa"/>
            <w:tcBorders>
              <w:tl2br w:val="nil"/>
              <w:tr2bl w:val="nil"/>
            </w:tcBorders>
            <w:shd w:val="clear" w:color="auto" w:fill="auto"/>
            <w:vAlign w:val="center"/>
          </w:tcPr>
          <w:p w14:paraId="49FC5B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茶色细口瓶</w:t>
            </w:r>
          </w:p>
        </w:tc>
        <w:tc>
          <w:tcPr>
            <w:tcW w:w="8573" w:type="dxa"/>
            <w:tcBorders>
              <w:tl2br w:val="nil"/>
              <w:tr2bl w:val="nil"/>
            </w:tcBorders>
            <w:shd w:val="clear" w:color="auto" w:fill="auto"/>
            <w:vAlign w:val="center"/>
          </w:tcPr>
          <w:p w14:paraId="7F6549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1708F9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6A7DA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B2C281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F6F6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01B53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89</w:t>
            </w:r>
          </w:p>
        </w:tc>
        <w:tc>
          <w:tcPr>
            <w:tcW w:w="1166" w:type="dxa"/>
            <w:tcBorders>
              <w:tl2br w:val="nil"/>
              <w:tr2bl w:val="nil"/>
            </w:tcBorders>
            <w:shd w:val="clear" w:color="auto" w:fill="auto"/>
            <w:vAlign w:val="center"/>
          </w:tcPr>
          <w:p w14:paraId="790B2A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茶色细口瓶</w:t>
            </w:r>
          </w:p>
        </w:tc>
        <w:tc>
          <w:tcPr>
            <w:tcW w:w="8573" w:type="dxa"/>
            <w:tcBorders>
              <w:tl2br w:val="nil"/>
              <w:tr2bl w:val="nil"/>
            </w:tcBorders>
            <w:shd w:val="clear" w:color="auto" w:fill="auto"/>
            <w:vAlign w:val="center"/>
          </w:tcPr>
          <w:p w14:paraId="3AD5905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36D9DC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2C7C5D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1D88F4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DB9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11B2DA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90</w:t>
            </w:r>
          </w:p>
        </w:tc>
        <w:tc>
          <w:tcPr>
            <w:tcW w:w="1166" w:type="dxa"/>
            <w:tcBorders>
              <w:tl2br w:val="nil"/>
              <w:tr2bl w:val="nil"/>
            </w:tcBorders>
            <w:shd w:val="clear" w:color="auto" w:fill="auto"/>
            <w:vAlign w:val="center"/>
          </w:tcPr>
          <w:p w14:paraId="7B7971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茶色细口瓶</w:t>
            </w:r>
          </w:p>
        </w:tc>
        <w:tc>
          <w:tcPr>
            <w:tcW w:w="8573" w:type="dxa"/>
            <w:tcBorders>
              <w:tl2br w:val="nil"/>
              <w:tr2bl w:val="nil"/>
            </w:tcBorders>
            <w:shd w:val="clear" w:color="auto" w:fill="auto"/>
            <w:vAlign w:val="center"/>
          </w:tcPr>
          <w:p w14:paraId="75B25EE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0ED928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EC9F9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F96E3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90B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D1C18D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91</w:t>
            </w:r>
          </w:p>
        </w:tc>
        <w:tc>
          <w:tcPr>
            <w:tcW w:w="1166" w:type="dxa"/>
            <w:tcBorders>
              <w:tl2br w:val="nil"/>
              <w:tr2bl w:val="nil"/>
            </w:tcBorders>
            <w:shd w:val="clear" w:color="auto" w:fill="auto"/>
            <w:vAlign w:val="center"/>
          </w:tcPr>
          <w:p w14:paraId="6A15122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茶色细口瓶</w:t>
            </w:r>
          </w:p>
        </w:tc>
        <w:tc>
          <w:tcPr>
            <w:tcW w:w="8573" w:type="dxa"/>
            <w:tcBorders>
              <w:tl2br w:val="nil"/>
              <w:tr2bl w:val="nil"/>
            </w:tcBorders>
            <w:shd w:val="clear" w:color="auto" w:fill="auto"/>
            <w:vAlign w:val="center"/>
          </w:tcPr>
          <w:p w14:paraId="1A9F9D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1000 mL ，黄棕色钠钙玻璃制，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051835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4335E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0691E8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A38A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440D1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92</w:t>
            </w:r>
          </w:p>
        </w:tc>
        <w:tc>
          <w:tcPr>
            <w:tcW w:w="1166" w:type="dxa"/>
            <w:tcBorders>
              <w:tl2br w:val="nil"/>
              <w:tr2bl w:val="nil"/>
            </w:tcBorders>
            <w:shd w:val="clear" w:color="auto" w:fill="auto"/>
            <w:vAlign w:val="center"/>
          </w:tcPr>
          <w:p w14:paraId="14F563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滴瓶</w:t>
            </w:r>
          </w:p>
        </w:tc>
        <w:tc>
          <w:tcPr>
            <w:tcW w:w="8573" w:type="dxa"/>
            <w:tcBorders>
              <w:tl2br w:val="nil"/>
              <w:tr2bl w:val="nil"/>
            </w:tcBorders>
            <w:shd w:val="clear" w:color="auto" w:fill="auto"/>
            <w:vAlign w:val="center"/>
          </w:tcPr>
          <w:p w14:paraId="5879FA4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 mL，透明钠钙玻璃制，瓶口细磨，磨砂面应均匀细腻，滴管应附橡胶帽，吸放弹性好，开口直径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7422D3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AC9FE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EB9A48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37CE9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65CBD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93</w:t>
            </w:r>
          </w:p>
        </w:tc>
        <w:tc>
          <w:tcPr>
            <w:tcW w:w="1166" w:type="dxa"/>
            <w:tcBorders>
              <w:tl2br w:val="nil"/>
              <w:tr2bl w:val="nil"/>
            </w:tcBorders>
            <w:shd w:val="clear" w:color="auto" w:fill="auto"/>
            <w:vAlign w:val="center"/>
          </w:tcPr>
          <w:p w14:paraId="0BA6344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滴瓶</w:t>
            </w:r>
          </w:p>
        </w:tc>
        <w:tc>
          <w:tcPr>
            <w:tcW w:w="8573" w:type="dxa"/>
            <w:tcBorders>
              <w:tl2br w:val="nil"/>
              <w:tr2bl w:val="nil"/>
            </w:tcBorders>
            <w:shd w:val="clear" w:color="auto" w:fill="auto"/>
            <w:vAlign w:val="center"/>
          </w:tcPr>
          <w:p w14:paraId="27511F6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60mL，瓶身晶莹剔透、质地均匀、无气泡、夹杂物、划伤、线道、雾斑，表面无翘曲、缺口、毛刺等质量缺陷，角度方正；产品外观要求色彩协调、规整光洁；表面不应有明显的擦伤、划痕和碰撞的坑疤；玻璃器件应外形端正，厚薄均匀，内外表面清洁无划痕。</w:t>
            </w:r>
          </w:p>
        </w:tc>
        <w:tc>
          <w:tcPr>
            <w:tcW w:w="816" w:type="dxa"/>
            <w:tcBorders>
              <w:tl2br w:val="nil"/>
              <w:tr2bl w:val="nil"/>
            </w:tcBorders>
            <w:shd w:val="clear" w:color="auto" w:fill="auto"/>
            <w:vAlign w:val="center"/>
          </w:tcPr>
          <w:p w14:paraId="21DB0E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75</w:t>
            </w:r>
          </w:p>
        </w:tc>
        <w:tc>
          <w:tcPr>
            <w:tcW w:w="498" w:type="dxa"/>
            <w:tcBorders>
              <w:tl2br w:val="nil"/>
              <w:tr2bl w:val="nil"/>
            </w:tcBorders>
            <w:shd w:val="clear" w:color="auto" w:fill="auto"/>
            <w:vAlign w:val="center"/>
          </w:tcPr>
          <w:p w14:paraId="4A552C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09C49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1A249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8EEA9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94</w:t>
            </w:r>
          </w:p>
        </w:tc>
        <w:tc>
          <w:tcPr>
            <w:tcW w:w="1166" w:type="dxa"/>
            <w:tcBorders>
              <w:tl2br w:val="nil"/>
              <w:tr2bl w:val="nil"/>
            </w:tcBorders>
            <w:shd w:val="clear" w:color="auto" w:fill="auto"/>
            <w:vAlign w:val="center"/>
          </w:tcPr>
          <w:p w14:paraId="654477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茶色滴瓶</w:t>
            </w:r>
          </w:p>
        </w:tc>
        <w:tc>
          <w:tcPr>
            <w:tcW w:w="8573" w:type="dxa"/>
            <w:tcBorders>
              <w:tl2br w:val="nil"/>
              <w:tr2bl w:val="nil"/>
            </w:tcBorders>
            <w:shd w:val="clear" w:color="auto" w:fill="auto"/>
            <w:vAlign w:val="center"/>
          </w:tcPr>
          <w:p w14:paraId="59700FA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 mL，黄棕色钠钙玻璃制，瓶口细磨，磨砂面应均匀细腻，滴管应附橡胶帽，吸放弹性好，开口直径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7F0EBC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083764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39C6FE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1EDE4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B1BBB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95</w:t>
            </w:r>
          </w:p>
        </w:tc>
        <w:tc>
          <w:tcPr>
            <w:tcW w:w="1166" w:type="dxa"/>
            <w:tcBorders>
              <w:tl2br w:val="nil"/>
              <w:tr2bl w:val="nil"/>
            </w:tcBorders>
            <w:shd w:val="clear" w:color="auto" w:fill="auto"/>
            <w:vAlign w:val="center"/>
          </w:tcPr>
          <w:p w14:paraId="3E53A3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茶色滴瓶</w:t>
            </w:r>
          </w:p>
        </w:tc>
        <w:tc>
          <w:tcPr>
            <w:tcW w:w="8573" w:type="dxa"/>
            <w:tcBorders>
              <w:tl2br w:val="nil"/>
              <w:tr2bl w:val="nil"/>
            </w:tcBorders>
            <w:shd w:val="clear" w:color="auto" w:fill="auto"/>
            <w:vAlign w:val="center"/>
          </w:tcPr>
          <w:p w14:paraId="6AF3E5F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 ，黄棕色钠钙玻璃制，瓶口细磨，磨砂面应均匀细腻，滴管应附橡胶帽，吸放弹性好，开口直径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5821B2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177393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CA35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4118A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DF869F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96</w:t>
            </w:r>
          </w:p>
        </w:tc>
        <w:tc>
          <w:tcPr>
            <w:tcW w:w="1166" w:type="dxa"/>
            <w:tcBorders>
              <w:tl2br w:val="nil"/>
              <w:tr2bl w:val="nil"/>
            </w:tcBorders>
            <w:shd w:val="clear" w:color="auto" w:fill="auto"/>
            <w:vAlign w:val="center"/>
          </w:tcPr>
          <w:p w14:paraId="458C05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干燥器</w:t>
            </w:r>
          </w:p>
        </w:tc>
        <w:tc>
          <w:tcPr>
            <w:tcW w:w="8573" w:type="dxa"/>
            <w:tcBorders>
              <w:tl2br w:val="nil"/>
              <w:tr2bl w:val="nil"/>
            </w:tcBorders>
            <w:shd w:val="clear" w:color="auto" w:fill="auto"/>
            <w:vAlign w:val="center"/>
          </w:tcPr>
          <w:p w14:paraId="250DCB1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 mm ，磨口平整，密封严实，隔板大小合适，不少于 5 个圆孔</w:t>
            </w:r>
          </w:p>
        </w:tc>
        <w:tc>
          <w:tcPr>
            <w:tcW w:w="816" w:type="dxa"/>
            <w:tcBorders>
              <w:tl2br w:val="nil"/>
              <w:tr2bl w:val="nil"/>
            </w:tcBorders>
            <w:shd w:val="clear" w:color="auto" w:fill="auto"/>
            <w:vAlign w:val="center"/>
          </w:tcPr>
          <w:p w14:paraId="5E5495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398A1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610EC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0CC54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36F8F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97</w:t>
            </w:r>
          </w:p>
        </w:tc>
        <w:tc>
          <w:tcPr>
            <w:tcW w:w="1166" w:type="dxa"/>
            <w:tcBorders>
              <w:tl2br w:val="nil"/>
              <w:tr2bl w:val="nil"/>
            </w:tcBorders>
            <w:shd w:val="clear" w:color="auto" w:fill="auto"/>
            <w:vAlign w:val="center"/>
          </w:tcPr>
          <w:p w14:paraId="50305F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气体发生器</w:t>
            </w:r>
          </w:p>
        </w:tc>
        <w:tc>
          <w:tcPr>
            <w:tcW w:w="8573" w:type="dxa"/>
            <w:tcBorders>
              <w:tl2br w:val="nil"/>
              <w:tr2bl w:val="nil"/>
            </w:tcBorders>
            <w:shd w:val="clear" w:color="auto" w:fill="auto"/>
            <w:vAlign w:val="center"/>
          </w:tcPr>
          <w:p w14:paraId="6DECF1B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，漏斗柄与瓶身连接口内壁间隔≤2 mm（单边）</w:t>
            </w:r>
          </w:p>
        </w:tc>
        <w:tc>
          <w:tcPr>
            <w:tcW w:w="816" w:type="dxa"/>
            <w:tcBorders>
              <w:tl2br w:val="nil"/>
              <w:tr2bl w:val="nil"/>
            </w:tcBorders>
            <w:shd w:val="clear" w:color="auto" w:fill="auto"/>
            <w:vAlign w:val="center"/>
          </w:tcPr>
          <w:p w14:paraId="1268A8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723A8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A6B2A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0273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75B1E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98</w:t>
            </w:r>
          </w:p>
        </w:tc>
        <w:tc>
          <w:tcPr>
            <w:tcW w:w="1166" w:type="dxa"/>
            <w:tcBorders>
              <w:tl2br w:val="nil"/>
              <w:tr2bl w:val="nil"/>
            </w:tcBorders>
            <w:shd w:val="clear" w:color="auto" w:fill="auto"/>
            <w:vAlign w:val="center"/>
          </w:tcPr>
          <w:p w14:paraId="2B5DE5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冷凝器</w:t>
            </w:r>
          </w:p>
        </w:tc>
        <w:tc>
          <w:tcPr>
            <w:tcW w:w="8573" w:type="dxa"/>
            <w:tcBorders>
              <w:tl2br w:val="nil"/>
              <w:tr2bl w:val="nil"/>
            </w:tcBorders>
            <w:shd w:val="clear" w:color="auto" w:fill="auto"/>
            <w:vAlign w:val="center"/>
          </w:tcPr>
          <w:p w14:paraId="14C663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300 mm ±10 mm，直形，管径均匀，应有防滑脱沟槽</w:t>
            </w:r>
          </w:p>
        </w:tc>
        <w:tc>
          <w:tcPr>
            <w:tcW w:w="816" w:type="dxa"/>
            <w:tcBorders>
              <w:tl2br w:val="nil"/>
              <w:tr2bl w:val="nil"/>
            </w:tcBorders>
            <w:shd w:val="clear" w:color="auto" w:fill="auto"/>
            <w:vAlign w:val="center"/>
          </w:tcPr>
          <w:p w14:paraId="72294F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40D72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83BBE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28790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6E8726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99</w:t>
            </w:r>
          </w:p>
        </w:tc>
        <w:tc>
          <w:tcPr>
            <w:tcW w:w="1166" w:type="dxa"/>
            <w:tcBorders>
              <w:tl2br w:val="nil"/>
              <w:tr2bl w:val="nil"/>
            </w:tcBorders>
            <w:shd w:val="clear" w:color="auto" w:fill="auto"/>
            <w:vAlign w:val="center"/>
          </w:tcPr>
          <w:p w14:paraId="0092EA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牛角管</w:t>
            </w:r>
          </w:p>
        </w:tc>
        <w:tc>
          <w:tcPr>
            <w:tcW w:w="8573" w:type="dxa"/>
            <w:tcBorders>
              <w:tl2br w:val="nil"/>
              <w:tr2bl w:val="nil"/>
            </w:tcBorders>
            <w:shd w:val="clear" w:color="auto" w:fill="auto"/>
            <w:vAlign w:val="center"/>
          </w:tcPr>
          <w:p w14:paraId="6ED70CF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18 mm ×150 mm，弯形，尖嘴处厚度＞1 mm</w:t>
            </w:r>
          </w:p>
        </w:tc>
        <w:tc>
          <w:tcPr>
            <w:tcW w:w="816" w:type="dxa"/>
            <w:tcBorders>
              <w:tl2br w:val="nil"/>
              <w:tr2bl w:val="nil"/>
            </w:tcBorders>
            <w:shd w:val="clear" w:color="auto" w:fill="auto"/>
            <w:vAlign w:val="center"/>
          </w:tcPr>
          <w:p w14:paraId="3E9E85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5E289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47E963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67AF5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993F4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100</w:t>
            </w:r>
          </w:p>
        </w:tc>
        <w:tc>
          <w:tcPr>
            <w:tcW w:w="1166" w:type="dxa"/>
            <w:tcBorders>
              <w:tl2br w:val="nil"/>
              <w:tr2bl w:val="nil"/>
            </w:tcBorders>
            <w:shd w:val="clear" w:color="auto" w:fill="auto"/>
            <w:vAlign w:val="center"/>
          </w:tcPr>
          <w:p w14:paraId="611044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漏斗</w:t>
            </w:r>
          </w:p>
        </w:tc>
        <w:tc>
          <w:tcPr>
            <w:tcW w:w="8573" w:type="dxa"/>
            <w:tcBorders>
              <w:tl2br w:val="nil"/>
              <w:tr2bl w:val="nil"/>
            </w:tcBorders>
            <w:shd w:val="clear" w:color="auto" w:fill="auto"/>
            <w:vAlign w:val="center"/>
          </w:tcPr>
          <w:p w14:paraId="5930A66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mm，直径准确，锥度适中</w:t>
            </w:r>
          </w:p>
        </w:tc>
        <w:tc>
          <w:tcPr>
            <w:tcW w:w="816" w:type="dxa"/>
            <w:tcBorders>
              <w:tl2br w:val="nil"/>
              <w:tr2bl w:val="nil"/>
            </w:tcBorders>
            <w:shd w:val="clear" w:color="auto" w:fill="auto"/>
            <w:vAlign w:val="center"/>
          </w:tcPr>
          <w:p w14:paraId="4B99BA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753353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BE371B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E89A0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951D9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101</w:t>
            </w:r>
          </w:p>
        </w:tc>
        <w:tc>
          <w:tcPr>
            <w:tcW w:w="1166" w:type="dxa"/>
            <w:tcBorders>
              <w:tl2br w:val="nil"/>
              <w:tr2bl w:val="nil"/>
            </w:tcBorders>
            <w:shd w:val="clear" w:color="auto" w:fill="auto"/>
            <w:vAlign w:val="center"/>
          </w:tcPr>
          <w:p w14:paraId="4C3865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漏斗</w:t>
            </w:r>
          </w:p>
        </w:tc>
        <w:tc>
          <w:tcPr>
            <w:tcW w:w="8573" w:type="dxa"/>
            <w:tcBorders>
              <w:tl2br w:val="nil"/>
              <w:tr2bl w:val="nil"/>
            </w:tcBorders>
            <w:shd w:val="clear" w:color="auto" w:fill="auto"/>
            <w:vAlign w:val="center"/>
          </w:tcPr>
          <w:p w14:paraId="79F8682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90 mm ，直径准确，锥度适中</w:t>
            </w:r>
          </w:p>
        </w:tc>
        <w:tc>
          <w:tcPr>
            <w:tcW w:w="816" w:type="dxa"/>
            <w:tcBorders>
              <w:tl2br w:val="nil"/>
              <w:tr2bl w:val="nil"/>
            </w:tcBorders>
            <w:shd w:val="clear" w:color="auto" w:fill="auto"/>
            <w:vAlign w:val="center"/>
          </w:tcPr>
          <w:p w14:paraId="333ADE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0225FD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E377C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3A98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3AE06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102</w:t>
            </w:r>
          </w:p>
        </w:tc>
        <w:tc>
          <w:tcPr>
            <w:tcW w:w="1166" w:type="dxa"/>
            <w:tcBorders>
              <w:tl2br w:val="nil"/>
              <w:tr2bl w:val="nil"/>
            </w:tcBorders>
            <w:shd w:val="clear" w:color="auto" w:fill="auto"/>
            <w:vAlign w:val="center"/>
          </w:tcPr>
          <w:p w14:paraId="214854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安全漏斗</w:t>
            </w:r>
          </w:p>
        </w:tc>
        <w:tc>
          <w:tcPr>
            <w:tcW w:w="8573" w:type="dxa"/>
            <w:tcBorders>
              <w:tl2br w:val="nil"/>
              <w:tr2bl w:val="nil"/>
            </w:tcBorders>
            <w:shd w:val="clear" w:color="auto" w:fill="auto"/>
            <w:vAlign w:val="center"/>
          </w:tcPr>
          <w:p w14:paraId="64983E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直形，径长300 mm，上口直径 40 mm±3 mm，玻璃壁厚度适中</w:t>
            </w:r>
          </w:p>
        </w:tc>
        <w:tc>
          <w:tcPr>
            <w:tcW w:w="816" w:type="dxa"/>
            <w:tcBorders>
              <w:tl2br w:val="nil"/>
              <w:tr2bl w:val="nil"/>
            </w:tcBorders>
            <w:shd w:val="clear" w:color="auto" w:fill="auto"/>
            <w:vAlign w:val="center"/>
          </w:tcPr>
          <w:p w14:paraId="3DD1F2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049D32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5AC62D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EAF8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0F4DC1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103</w:t>
            </w:r>
          </w:p>
        </w:tc>
        <w:tc>
          <w:tcPr>
            <w:tcW w:w="1166" w:type="dxa"/>
            <w:tcBorders>
              <w:tl2br w:val="nil"/>
              <w:tr2bl w:val="nil"/>
            </w:tcBorders>
            <w:shd w:val="clear" w:color="auto" w:fill="auto"/>
            <w:vAlign w:val="center"/>
          </w:tcPr>
          <w:p w14:paraId="063EA1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双球</w:t>
            </w:r>
          </w:p>
        </w:tc>
        <w:tc>
          <w:tcPr>
            <w:tcW w:w="8573" w:type="dxa"/>
            <w:tcBorders>
              <w:tl2br w:val="nil"/>
              <w:tr2bl w:val="nil"/>
            </w:tcBorders>
            <w:shd w:val="clear" w:color="auto" w:fill="auto"/>
            <w:vAlign w:val="center"/>
          </w:tcPr>
          <w:p w14:paraId="4E34F4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球径高度、直径一致，双球应位于环管中部，应无明显偏斜</w:t>
            </w:r>
          </w:p>
        </w:tc>
        <w:tc>
          <w:tcPr>
            <w:tcW w:w="816" w:type="dxa"/>
            <w:tcBorders>
              <w:tl2br w:val="nil"/>
              <w:tr2bl w:val="nil"/>
            </w:tcBorders>
            <w:shd w:val="clear" w:color="auto" w:fill="auto"/>
            <w:vAlign w:val="center"/>
          </w:tcPr>
          <w:p w14:paraId="4B4F253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64306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5A84C0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ABAE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BC645D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104</w:t>
            </w:r>
          </w:p>
        </w:tc>
        <w:tc>
          <w:tcPr>
            <w:tcW w:w="1166" w:type="dxa"/>
            <w:tcBorders>
              <w:tl2br w:val="nil"/>
              <w:tr2bl w:val="nil"/>
            </w:tcBorders>
            <w:shd w:val="clear" w:color="auto" w:fill="auto"/>
            <w:vAlign w:val="center"/>
          </w:tcPr>
          <w:p w14:paraId="61626D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分液漏斗</w:t>
            </w:r>
          </w:p>
        </w:tc>
        <w:tc>
          <w:tcPr>
            <w:tcW w:w="8573" w:type="dxa"/>
            <w:tcBorders>
              <w:tl2br w:val="nil"/>
              <w:tr2bl w:val="nil"/>
            </w:tcBorders>
            <w:shd w:val="clear" w:color="auto" w:fill="auto"/>
            <w:vAlign w:val="center"/>
          </w:tcPr>
          <w:p w14:paraId="74A793A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mL，锥型，瓶塞应有凹槽，瓶口有气孔</w:t>
            </w:r>
          </w:p>
        </w:tc>
        <w:tc>
          <w:tcPr>
            <w:tcW w:w="816" w:type="dxa"/>
            <w:tcBorders>
              <w:tl2br w:val="nil"/>
              <w:tr2bl w:val="nil"/>
            </w:tcBorders>
            <w:shd w:val="clear" w:color="auto" w:fill="auto"/>
            <w:vAlign w:val="center"/>
          </w:tcPr>
          <w:p w14:paraId="5FC94A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22FAC7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FD4B10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F685E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1EF2B0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105</w:t>
            </w:r>
          </w:p>
        </w:tc>
        <w:tc>
          <w:tcPr>
            <w:tcW w:w="1166" w:type="dxa"/>
            <w:tcBorders>
              <w:tl2br w:val="nil"/>
              <w:tr2bl w:val="nil"/>
            </w:tcBorders>
            <w:shd w:val="clear" w:color="auto" w:fill="auto"/>
            <w:vAlign w:val="center"/>
          </w:tcPr>
          <w:p w14:paraId="2A7216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分液漏斗</w:t>
            </w:r>
          </w:p>
        </w:tc>
        <w:tc>
          <w:tcPr>
            <w:tcW w:w="8573" w:type="dxa"/>
            <w:tcBorders>
              <w:tl2br w:val="nil"/>
              <w:tr2bl w:val="nil"/>
            </w:tcBorders>
            <w:shd w:val="clear" w:color="auto" w:fill="auto"/>
            <w:vAlign w:val="center"/>
          </w:tcPr>
          <w:p w14:paraId="76A4BEE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mL，球型，瓶塞应有凹槽，瓶口有气孔</w:t>
            </w:r>
          </w:p>
        </w:tc>
        <w:tc>
          <w:tcPr>
            <w:tcW w:w="816" w:type="dxa"/>
            <w:tcBorders>
              <w:tl2br w:val="nil"/>
              <w:tr2bl w:val="nil"/>
            </w:tcBorders>
            <w:shd w:val="clear" w:color="auto" w:fill="auto"/>
            <w:vAlign w:val="center"/>
          </w:tcPr>
          <w:p w14:paraId="50F718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81FAB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24D68C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248E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9E273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106</w:t>
            </w:r>
          </w:p>
        </w:tc>
        <w:tc>
          <w:tcPr>
            <w:tcW w:w="1166" w:type="dxa"/>
            <w:tcBorders>
              <w:tl2br w:val="nil"/>
              <w:tr2bl w:val="nil"/>
            </w:tcBorders>
            <w:shd w:val="clear" w:color="auto" w:fill="auto"/>
            <w:vAlign w:val="center"/>
          </w:tcPr>
          <w:p w14:paraId="092B6F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三通连接管</w:t>
            </w:r>
          </w:p>
        </w:tc>
        <w:tc>
          <w:tcPr>
            <w:tcW w:w="8573" w:type="dxa"/>
            <w:tcBorders>
              <w:tl2br w:val="nil"/>
              <w:tr2bl w:val="nil"/>
            </w:tcBorders>
            <w:shd w:val="clear" w:color="auto" w:fill="auto"/>
            <w:vAlign w:val="center"/>
          </w:tcPr>
          <w:p w14:paraId="2EF1CF3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T 形 ，Φ 7 mm～8 mm，连接完好，管口应作打磨或烧结处理</w:t>
            </w:r>
          </w:p>
        </w:tc>
        <w:tc>
          <w:tcPr>
            <w:tcW w:w="816" w:type="dxa"/>
            <w:tcBorders>
              <w:tl2br w:val="nil"/>
              <w:tr2bl w:val="nil"/>
            </w:tcBorders>
            <w:shd w:val="clear" w:color="auto" w:fill="auto"/>
            <w:vAlign w:val="center"/>
          </w:tcPr>
          <w:p w14:paraId="2D53F1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B0B5B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CFCE5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2422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2D1A00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107</w:t>
            </w:r>
          </w:p>
        </w:tc>
        <w:tc>
          <w:tcPr>
            <w:tcW w:w="1166" w:type="dxa"/>
            <w:tcBorders>
              <w:tl2br w:val="nil"/>
              <w:tr2bl w:val="nil"/>
            </w:tcBorders>
            <w:shd w:val="clear" w:color="auto" w:fill="auto"/>
            <w:vAlign w:val="center"/>
          </w:tcPr>
          <w:p w14:paraId="40459A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三通连接管</w:t>
            </w:r>
          </w:p>
        </w:tc>
        <w:tc>
          <w:tcPr>
            <w:tcW w:w="8573" w:type="dxa"/>
            <w:tcBorders>
              <w:tl2br w:val="nil"/>
              <w:tr2bl w:val="nil"/>
            </w:tcBorders>
            <w:shd w:val="clear" w:color="auto" w:fill="auto"/>
            <w:vAlign w:val="center"/>
          </w:tcPr>
          <w:p w14:paraId="3A2F5A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Y 形 ，Φ 7 mm～8 mm，连接完好，管口应作打磨或烧结处理</w:t>
            </w:r>
          </w:p>
        </w:tc>
        <w:tc>
          <w:tcPr>
            <w:tcW w:w="816" w:type="dxa"/>
            <w:tcBorders>
              <w:tl2br w:val="nil"/>
              <w:tr2bl w:val="nil"/>
            </w:tcBorders>
            <w:shd w:val="clear" w:color="auto" w:fill="auto"/>
            <w:vAlign w:val="center"/>
          </w:tcPr>
          <w:p w14:paraId="58EB8D8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4ECEB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8EDA3E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4BE9F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74697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108</w:t>
            </w:r>
          </w:p>
        </w:tc>
        <w:tc>
          <w:tcPr>
            <w:tcW w:w="1166" w:type="dxa"/>
            <w:tcBorders>
              <w:tl2br w:val="nil"/>
              <w:tr2bl w:val="nil"/>
            </w:tcBorders>
            <w:shd w:val="clear" w:color="auto" w:fill="auto"/>
            <w:vAlign w:val="center"/>
          </w:tcPr>
          <w:p w14:paraId="4B558E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滴管</w:t>
            </w:r>
          </w:p>
        </w:tc>
        <w:tc>
          <w:tcPr>
            <w:tcW w:w="8573" w:type="dxa"/>
            <w:tcBorders>
              <w:tl2br w:val="nil"/>
              <w:tr2bl w:val="nil"/>
            </w:tcBorders>
            <w:shd w:val="clear" w:color="auto" w:fill="auto"/>
            <w:vAlign w:val="center"/>
          </w:tcPr>
          <w:p w14:paraId="378A428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mm，直形，滴管尖嘴口径 1 mm，上端有防滑脱翻口，翻口处直径比滴管直径略多 1 mm～2 mm</w:t>
            </w:r>
          </w:p>
        </w:tc>
        <w:tc>
          <w:tcPr>
            <w:tcW w:w="816" w:type="dxa"/>
            <w:tcBorders>
              <w:tl2br w:val="nil"/>
              <w:tr2bl w:val="nil"/>
            </w:tcBorders>
            <w:shd w:val="clear" w:color="auto" w:fill="auto"/>
            <w:vAlign w:val="center"/>
          </w:tcPr>
          <w:p w14:paraId="63FF36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7D4BBFE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059493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156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6CFB27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109</w:t>
            </w:r>
          </w:p>
        </w:tc>
        <w:tc>
          <w:tcPr>
            <w:tcW w:w="1166" w:type="dxa"/>
            <w:tcBorders>
              <w:tl2br w:val="nil"/>
              <w:tr2bl w:val="nil"/>
            </w:tcBorders>
            <w:shd w:val="clear" w:color="auto" w:fill="auto"/>
            <w:vAlign w:val="center"/>
          </w:tcPr>
          <w:p w14:paraId="43B7CA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滴管</w:t>
            </w:r>
          </w:p>
        </w:tc>
        <w:tc>
          <w:tcPr>
            <w:tcW w:w="8573" w:type="dxa"/>
            <w:tcBorders>
              <w:tl2br w:val="nil"/>
              <w:tr2bl w:val="nil"/>
            </w:tcBorders>
            <w:shd w:val="clear" w:color="auto" w:fill="auto"/>
            <w:vAlign w:val="center"/>
          </w:tcPr>
          <w:p w14:paraId="56C747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 mm ，，直形，滴管尖嘴口径 1 mm，上端有防滑脱翻口，翻口处直径比滴管直径略多 1 mm～2 mm</w:t>
            </w:r>
          </w:p>
        </w:tc>
        <w:tc>
          <w:tcPr>
            <w:tcW w:w="816" w:type="dxa"/>
            <w:tcBorders>
              <w:tl2br w:val="nil"/>
              <w:tr2bl w:val="nil"/>
            </w:tcBorders>
            <w:shd w:val="clear" w:color="auto" w:fill="auto"/>
            <w:vAlign w:val="center"/>
          </w:tcPr>
          <w:p w14:paraId="21549A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4965B9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79D84F2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013BC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F5E343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110</w:t>
            </w:r>
          </w:p>
        </w:tc>
        <w:tc>
          <w:tcPr>
            <w:tcW w:w="1166" w:type="dxa"/>
            <w:tcBorders>
              <w:tl2br w:val="nil"/>
              <w:tr2bl w:val="nil"/>
            </w:tcBorders>
            <w:shd w:val="clear" w:color="auto" w:fill="auto"/>
            <w:vAlign w:val="center"/>
          </w:tcPr>
          <w:p w14:paraId="3D38C6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干燥管</w:t>
            </w:r>
          </w:p>
        </w:tc>
        <w:tc>
          <w:tcPr>
            <w:tcW w:w="8573" w:type="dxa"/>
            <w:tcBorders>
              <w:tl2br w:val="nil"/>
              <w:tr2bl w:val="nil"/>
            </w:tcBorders>
            <w:shd w:val="clear" w:color="auto" w:fill="auto"/>
            <w:vAlign w:val="center"/>
          </w:tcPr>
          <w:p w14:paraId="193168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145 mm，单球 ，硼硅酸盐玻璃制，玻璃壁厚度适中，球体圆润，导气管长度≥2 cm，最好有防滑脱沟槽</w:t>
            </w:r>
          </w:p>
        </w:tc>
        <w:tc>
          <w:tcPr>
            <w:tcW w:w="816" w:type="dxa"/>
            <w:tcBorders>
              <w:tl2br w:val="nil"/>
              <w:tr2bl w:val="nil"/>
            </w:tcBorders>
            <w:shd w:val="clear" w:color="auto" w:fill="auto"/>
            <w:vAlign w:val="center"/>
          </w:tcPr>
          <w:p w14:paraId="249EB7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48D8F5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155A74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9F27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B4A699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111</w:t>
            </w:r>
          </w:p>
        </w:tc>
        <w:tc>
          <w:tcPr>
            <w:tcW w:w="1166" w:type="dxa"/>
            <w:tcBorders>
              <w:tl2br w:val="nil"/>
              <w:tr2bl w:val="nil"/>
            </w:tcBorders>
            <w:shd w:val="clear" w:color="auto" w:fill="auto"/>
            <w:vAlign w:val="center"/>
          </w:tcPr>
          <w:p w14:paraId="50D696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干燥管</w:t>
            </w:r>
          </w:p>
        </w:tc>
        <w:tc>
          <w:tcPr>
            <w:tcW w:w="8573" w:type="dxa"/>
            <w:tcBorders>
              <w:tl2br w:val="nil"/>
              <w:tr2bl w:val="nil"/>
            </w:tcBorders>
            <w:shd w:val="clear" w:color="auto" w:fill="auto"/>
            <w:vAlign w:val="center"/>
          </w:tcPr>
          <w:p w14:paraId="4BC8A65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15 mm ×150 mm，U 型</w:t>
            </w:r>
          </w:p>
        </w:tc>
        <w:tc>
          <w:tcPr>
            <w:tcW w:w="816" w:type="dxa"/>
            <w:tcBorders>
              <w:tl2br w:val="nil"/>
              <w:tr2bl w:val="nil"/>
            </w:tcBorders>
            <w:shd w:val="clear" w:color="auto" w:fill="auto"/>
            <w:vAlign w:val="center"/>
          </w:tcPr>
          <w:p w14:paraId="4EF5E0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75A93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CF0073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12302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79A5C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112</w:t>
            </w:r>
          </w:p>
        </w:tc>
        <w:tc>
          <w:tcPr>
            <w:tcW w:w="1166" w:type="dxa"/>
            <w:tcBorders>
              <w:tl2br w:val="nil"/>
              <w:tr2bl w:val="nil"/>
            </w:tcBorders>
            <w:shd w:val="clear" w:color="auto" w:fill="auto"/>
            <w:vAlign w:val="center"/>
          </w:tcPr>
          <w:p w14:paraId="7BDF33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玻璃活塞</w:t>
            </w:r>
          </w:p>
        </w:tc>
        <w:tc>
          <w:tcPr>
            <w:tcW w:w="8573" w:type="dxa"/>
            <w:tcBorders>
              <w:tl2br w:val="nil"/>
              <w:tr2bl w:val="nil"/>
            </w:tcBorders>
            <w:shd w:val="clear" w:color="auto" w:fill="auto"/>
            <w:vAlign w:val="center"/>
          </w:tcPr>
          <w:p w14:paraId="7111506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直形 ，吻合良好，不漏气，不漏液</w:t>
            </w:r>
          </w:p>
        </w:tc>
        <w:tc>
          <w:tcPr>
            <w:tcW w:w="816" w:type="dxa"/>
            <w:tcBorders>
              <w:tl2br w:val="nil"/>
              <w:tr2bl w:val="nil"/>
            </w:tcBorders>
            <w:shd w:val="clear" w:color="auto" w:fill="auto"/>
            <w:vAlign w:val="center"/>
          </w:tcPr>
          <w:p w14:paraId="5F103B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2DB81A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5C3129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4CC6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82F26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113</w:t>
            </w:r>
          </w:p>
        </w:tc>
        <w:tc>
          <w:tcPr>
            <w:tcW w:w="1166" w:type="dxa"/>
            <w:tcBorders>
              <w:tl2br w:val="nil"/>
              <w:tr2bl w:val="nil"/>
            </w:tcBorders>
            <w:shd w:val="clear" w:color="auto" w:fill="auto"/>
            <w:vAlign w:val="center"/>
          </w:tcPr>
          <w:p w14:paraId="15DB6D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圆水槽</w:t>
            </w:r>
          </w:p>
        </w:tc>
        <w:tc>
          <w:tcPr>
            <w:tcW w:w="8573" w:type="dxa"/>
            <w:tcBorders>
              <w:tl2br w:val="nil"/>
              <w:tr2bl w:val="nil"/>
            </w:tcBorders>
            <w:shd w:val="clear" w:color="auto" w:fill="auto"/>
            <w:vAlign w:val="center"/>
          </w:tcPr>
          <w:p w14:paraId="09196E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Φ210 mm ×110 mm ，水槽底部应平整，不应凸底，壁厚和底厚应均匀，口部端面应平整，边和口应圆滑</w:t>
            </w:r>
          </w:p>
        </w:tc>
        <w:tc>
          <w:tcPr>
            <w:tcW w:w="816" w:type="dxa"/>
            <w:tcBorders>
              <w:tl2br w:val="nil"/>
              <w:tr2bl w:val="nil"/>
            </w:tcBorders>
            <w:shd w:val="clear" w:color="auto" w:fill="auto"/>
            <w:vAlign w:val="center"/>
          </w:tcPr>
          <w:p w14:paraId="30E375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6ADFF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A44D77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A34C6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8360AC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114</w:t>
            </w:r>
          </w:p>
        </w:tc>
        <w:tc>
          <w:tcPr>
            <w:tcW w:w="1166" w:type="dxa"/>
            <w:tcBorders>
              <w:tl2br w:val="nil"/>
              <w:tr2bl w:val="nil"/>
            </w:tcBorders>
            <w:shd w:val="clear" w:color="auto" w:fill="auto"/>
            <w:vAlign w:val="center"/>
          </w:tcPr>
          <w:p w14:paraId="31C23DD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圆水槽</w:t>
            </w:r>
          </w:p>
        </w:tc>
        <w:tc>
          <w:tcPr>
            <w:tcW w:w="8573" w:type="dxa"/>
            <w:tcBorders>
              <w:tl2br w:val="nil"/>
              <w:tr2bl w:val="nil"/>
            </w:tcBorders>
            <w:shd w:val="clear" w:color="auto" w:fill="auto"/>
            <w:vAlign w:val="center"/>
          </w:tcPr>
          <w:p w14:paraId="3DBF69D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Φ270 mm ×140 mm，水槽底部应平整，不应凸底，壁厚和底厚应均匀，口部端面应平整，边和口应圆滑</w:t>
            </w:r>
          </w:p>
        </w:tc>
        <w:tc>
          <w:tcPr>
            <w:tcW w:w="816" w:type="dxa"/>
            <w:tcBorders>
              <w:tl2br w:val="nil"/>
              <w:tr2bl w:val="nil"/>
            </w:tcBorders>
            <w:shd w:val="clear" w:color="auto" w:fill="auto"/>
            <w:vAlign w:val="center"/>
          </w:tcPr>
          <w:p w14:paraId="442C5B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094EB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0125E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60F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4EC9D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115</w:t>
            </w:r>
          </w:p>
        </w:tc>
        <w:tc>
          <w:tcPr>
            <w:tcW w:w="1166" w:type="dxa"/>
            <w:tcBorders>
              <w:tl2br w:val="nil"/>
              <w:tr2bl w:val="nil"/>
            </w:tcBorders>
            <w:shd w:val="clear" w:color="auto" w:fill="auto"/>
            <w:vAlign w:val="center"/>
          </w:tcPr>
          <w:p w14:paraId="434B04F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坩埚钳</w:t>
            </w:r>
          </w:p>
        </w:tc>
        <w:tc>
          <w:tcPr>
            <w:tcW w:w="8573" w:type="dxa"/>
            <w:tcBorders>
              <w:tl2br w:val="nil"/>
              <w:tr2bl w:val="nil"/>
            </w:tcBorders>
            <w:shd w:val="clear" w:color="auto" w:fill="auto"/>
            <w:vAlign w:val="center"/>
          </w:tcPr>
          <w:p w14:paraId="7335882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200 mm，钢制，中间弯曲部分内径应在 2 cm～3 cm</w:t>
            </w:r>
          </w:p>
        </w:tc>
        <w:tc>
          <w:tcPr>
            <w:tcW w:w="816" w:type="dxa"/>
            <w:tcBorders>
              <w:tl2br w:val="nil"/>
              <w:tr2bl w:val="nil"/>
            </w:tcBorders>
            <w:shd w:val="clear" w:color="auto" w:fill="auto"/>
            <w:vAlign w:val="center"/>
          </w:tcPr>
          <w:p w14:paraId="11B6F68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DB2078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06277E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F8C7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96859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116</w:t>
            </w:r>
          </w:p>
        </w:tc>
        <w:tc>
          <w:tcPr>
            <w:tcW w:w="1166" w:type="dxa"/>
            <w:tcBorders>
              <w:tl2br w:val="nil"/>
              <w:tr2bl w:val="nil"/>
            </w:tcBorders>
            <w:shd w:val="clear" w:color="auto" w:fill="auto"/>
            <w:vAlign w:val="center"/>
          </w:tcPr>
          <w:p w14:paraId="24B9A9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烧杯夹</w:t>
            </w:r>
          </w:p>
        </w:tc>
        <w:tc>
          <w:tcPr>
            <w:tcW w:w="8573" w:type="dxa"/>
            <w:tcBorders>
              <w:tl2br w:val="nil"/>
              <w:tr2bl w:val="nil"/>
            </w:tcBorders>
            <w:shd w:val="clear" w:color="auto" w:fill="auto"/>
            <w:vAlign w:val="center"/>
          </w:tcPr>
          <w:p w14:paraId="2B3CF7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钢制或不锈钢制，夹持部位应有橡胶保护套，避免与玻璃烧杯直接接触</w:t>
            </w:r>
          </w:p>
        </w:tc>
        <w:tc>
          <w:tcPr>
            <w:tcW w:w="816" w:type="dxa"/>
            <w:tcBorders>
              <w:tl2br w:val="nil"/>
              <w:tr2bl w:val="nil"/>
            </w:tcBorders>
            <w:shd w:val="clear" w:color="auto" w:fill="auto"/>
            <w:vAlign w:val="center"/>
          </w:tcPr>
          <w:p w14:paraId="4E050C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BFC66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9C2E6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5C95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986C3E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117</w:t>
            </w:r>
          </w:p>
        </w:tc>
        <w:tc>
          <w:tcPr>
            <w:tcW w:w="1166" w:type="dxa"/>
            <w:tcBorders>
              <w:tl2br w:val="nil"/>
              <w:tr2bl w:val="nil"/>
            </w:tcBorders>
            <w:shd w:val="clear" w:color="auto" w:fill="auto"/>
            <w:vAlign w:val="center"/>
          </w:tcPr>
          <w:p w14:paraId="1B7FF9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镊子</w:t>
            </w:r>
          </w:p>
        </w:tc>
        <w:tc>
          <w:tcPr>
            <w:tcW w:w="8573" w:type="dxa"/>
            <w:tcBorders>
              <w:tl2br w:val="nil"/>
              <w:tr2bl w:val="nil"/>
            </w:tcBorders>
            <w:shd w:val="clear" w:color="auto" w:fill="auto"/>
            <w:vAlign w:val="center"/>
          </w:tcPr>
          <w:p w14:paraId="18D9AB5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不锈钢制，平头，长 125 mm，钢板厚 1.2 mm，前部应有防滑脱锯齿</w:t>
            </w:r>
          </w:p>
        </w:tc>
        <w:tc>
          <w:tcPr>
            <w:tcW w:w="816" w:type="dxa"/>
            <w:tcBorders>
              <w:tl2br w:val="nil"/>
              <w:tr2bl w:val="nil"/>
            </w:tcBorders>
            <w:shd w:val="clear" w:color="auto" w:fill="auto"/>
            <w:vAlign w:val="center"/>
          </w:tcPr>
          <w:p w14:paraId="42C3CD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2E9073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A4EDE9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5E9A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95C59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118</w:t>
            </w:r>
          </w:p>
        </w:tc>
        <w:tc>
          <w:tcPr>
            <w:tcW w:w="1166" w:type="dxa"/>
            <w:tcBorders>
              <w:tl2br w:val="nil"/>
              <w:tr2bl w:val="nil"/>
            </w:tcBorders>
            <w:shd w:val="clear" w:color="auto" w:fill="auto"/>
            <w:vAlign w:val="center"/>
          </w:tcPr>
          <w:p w14:paraId="71B07F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试管夹</w:t>
            </w:r>
          </w:p>
        </w:tc>
        <w:tc>
          <w:tcPr>
            <w:tcW w:w="8573" w:type="dxa"/>
            <w:tcBorders>
              <w:tl2br w:val="nil"/>
              <w:tr2bl w:val="nil"/>
            </w:tcBorders>
            <w:shd w:val="clear" w:color="auto" w:fill="auto"/>
            <w:vAlign w:val="center"/>
          </w:tcPr>
          <w:p w14:paraId="4514615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木制或者竹制，长度≥200 mm，宽度约 20 mm，厚度约 20 mm。试管夹闭口缝≤1 mm，开口距离≥25 mm。毡块粘接牢固，试管夹弹簧作防锈处理。试管夹持部位圆弧内径≤15 mm</w:t>
            </w:r>
          </w:p>
        </w:tc>
        <w:tc>
          <w:tcPr>
            <w:tcW w:w="816" w:type="dxa"/>
            <w:tcBorders>
              <w:tl2br w:val="nil"/>
              <w:tr2bl w:val="nil"/>
            </w:tcBorders>
            <w:shd w:val="clear" w:color="auto" w:fill="auto"/>
            <w:vAlign w:val="center"/>
          </w:tcPr>
          <w:p w14:paraId="1CBAA2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7C85D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28BBA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5A6EF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1B2B5B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119</w:t>
            </w:r>
          </w:p>
        </w:tc>
        <w:tc>
          <w:tcPr>
            <w:tcW w:w="1166" w:type="dxa"/>
            <w:tcBorders>
              <w:tl2br w:val="nil"/>
              <w:tr2bl w:val="nil"/>
            </w:tcBorders>
            <w:shd w:val="clear" w:color="auto" w:fill="auto"/>
            <w:vAlign w:val="center"/>
          </w:tcPr>
          <w:p w14:paraId="78495C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止水皮管夹</w:t>
            </w:r>
          </w:p>
        </w:tc>
        <w:tc>
          <w:tcPr>
            <w:tcW w:w="8573" w:type="dxa"/>
            <w:tcBorders>
              <w:tl2br w:val="nil"/>
              <w:tr2bl w:val="nil"/>
            </w:tcBorders>
            <w:shd w:val="clear" w:color="auto" w:fill="auto"/>
            <w:vAlign w:val="center"/>
          </w:tcPr>
          <w:p w14:paraId="756086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 mm 钢丝制成，作防锈处理，夹持角度≥60º，弹性好，不漏液</w:t>
            </w:r>
          </w:p>
        </w:tc>
        <w:tc>
          <w:tcPr>
            <w:tcW w:w="816" w:type="dxa"/>
            <w:tcBorders>
              <w:tl2br w:val="nil"/>
              <w:tr2bl w:val="nil"/>
            </w:tcBorders>
            <w:shd w:val="clear" w:color="auto" w:fill="auto"/>
            <w:vAlign w:val="center"/>
          </w:tcPr>
          <w:p w14:paraId="1F1F02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8A0E6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6675B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FE72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D51472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120</w:t>
            </w:r>
          </w:p>
        </w:tc>
        <w:tc>
          <w:tcPr>
            <w:tcW w:w="1166" w:type="dxa"/>
            <w:tcBorders>
              <w:tl2br w:val="nil"/>
              <w:tr2bl w:val="nil"/>
            </w:tcBorders>
            <w:shd w:val="clear" w:color="auto" w:fill="auto"/>
            <w:vAlign w:val="center"/>
          </w:tcPr>
          <w:p w14:paraId="7107242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螺旋皮管夹</w:t>
            </w:r>
          </w:p>
        </w:tc>
        <w:tc>
          <w:tcPr>
            <w:tcW w:w="8573" w:type="dxa"/>
            <w:tcBorders>
              <w:tl2br w:val="nil"/>
              <w:tr2bl w:val="nil"/>
            </w:tcBorders>
            <w:shd w:val="clear" w:color="auto" w:fill="auto"/>
            <w:vAlign w:val="center"/>
          </w:tcPr>
          <w:p w14:paraId="17306E7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由支架管和带压板的螺杆等组成。外形尺寸约为33 mm×20 mm×8 mm，旋转方便，不易变形，压板厚度≥1 mm</w:t>
            </w:r>
          </w:p>
        </w:tc>
        <w:tc>
          <w:tcPr>
            <w:tcW w:w="816" w:type="dxa"/>
            <w:tcBorders>
              <w:tl2br w:val="nil"/>
              <w:tr2bl w:val="nil"/>
            </w:tcBorders>
            <w:shd w:val="clear" w:color="auto" w:fill="auto"/>
            <w:vAlign w:val="center"/>
          </w:tcPr>
          <w:p w14:paraId="150642D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5398E9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BFF127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4482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2EA68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121</w:t>
            </w:r>
          </w:p>
        </w:tc>
        <w:tc>
          <w:tcPr>
            <w:tcW w:w="1166" w:type="dxa"/>
            <w:tcBorders>
              <w:tl2br w:val="nil"/>
              <w:tr2bl w:val="nil"/>
            </w:tcBorders>
            <w:shd w:val="clear" w:color="auto" w:fill="auto"/>
            <w:vAlign w:val="center"/>
          </w:tcPr>
          <w:p w14:paraId="3A63F9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石棉网</w:t>
            </w:r>
          </w:p>
        </w:tc>
        <w:tc>
          <w:tcPr>
            <w:tcW w:w="8573" w:type="dxa"/>
            <w:tcBorders>
              <w:tl2br w:val="nil"/>
              <w:tr2bl w:val="nil"/>
            </w:tcBorders>
            <w:shd w:val="clear" w:color="auto" w:fill="auto"/>
            <w:vAlign w:val="center"/>
          </w:tcPr>
          <w:p w14:paraId="72BD001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金属网尺寸≥125 mm×125 mm， 0.8 mm 钢丝制成，石棉材料不易脱落，石棉网边缘钢丝应作简单处理</w:t>
            </w:r>
          </w:p>
        </w:tc>
        <w:tc>
          <w:tcPr>
            <w:tcW w:w="816" w:type="dxa"/>
            <w:tcBorders>
              <w:tl2br w:val="nil"/>
              <w:tr2bl w:val="nil"/>
            </w:tcBorders>
            <w:shd w:val="clear" w:color="auto" w:fill="auto"/>
            <w:vAlign w:val="center"/>
          </w:tcPr>
          <w:p w14:paraId="2EB324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D2B9E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8369A4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E4723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411D8E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122</w:t>
            </w:r>
          </w:p>
        </w:tc>
        <w:tc>
          <w:tcPr>
            <w:tcW w:w="1166" w:type="dxa"/>
            <w:tcBorders>
              <w:tl2br w:val="nil"/>
              <w:tr2bl w:val="nil"/>
            </w:tcBorders>
            <w:shd w:val="clear" w:color="auto" w:fill="auto"/>
            <w:vAlign w:val="center"/>
          </w:tcPr>
          <w:p w14:paraId="3FF2D0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陶土网</w:t>
            </w:r>
          </w:p>
        </w:tc>
        <w:tc>
          <w:tcPr>
            <w:tcW w:w="8573" w:type="dxa"/>
            <w:tcBorders>
              <w:tl2br w:val="nil"/>
              <w:tr2bl w:val="nil"/>
            </w:tcBorders>
            <w:shd w:val="clear" w:color="auto" w:fill="auto"/>
            <w:vAlign w:val="center"/>
          </w:tcPr>
          <w:p w14:paraId="426B849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金属网尺寸≥125 mm×125 mm，耐火材料为陶土， 功能等同于石棉网</w:t>
            </w:r>
          </w:p>
        </w:tc>
        <w:tc>
          <w:tcPr>
            <w:tcW w:w="816" w:type="dxa"/>
            <w:tcBorders>
              <w:tl2br w:val="nil"/>
              <w:tr2bl w:val="nil"/>
            </w:tcBorders>
            <w:shd w:val="clear" w:color="auto" w:fill="auto"/>
            <w:vAlign w:val="center"/>
          </w:tcPr>
          <w:p w14:paraId="102EA8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2DD83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B08F8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EEC6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3393F3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123</w:t>
            </w:r>
          </w:p>
        </w:tc>
        <w:tc>
          <w:tcPr>
            <w:tcW w:w="1166" w:type="dxa"/>
            <w:tcBorders>
              <w:tl2br w:val="nil"/>
              <w:tr2bl w:val="nil"/>
            </w:tcBorders>
            <w:shd w:val="clear" w:color="auto" w:fill="auto"/>
            <w:vAlign w:val="center"/>
          </w:tcPr>
          <w:p w14:paraId="5494FCF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燃烧匙</w:t>
            </w:r>
          </w:p>
        </w:tc>
        <w:tc>
          <w:tcPr>
            <w:tcW w:w="8573" w:type="dxa"/>
            <w:tcBorders>
              <w:tl2br w:val="nil"/>
              <w:tr2bl w:val="nil"/>
            </w:tcBorders>
            <w:shd w:val="clear" w:color="auto" w:fill="auto"/>
            <w:vAlign w:val="center"/>
          </w:tcPr>
          <w:p w14:paraId="681C190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铜勺，勺直径 18 mm，深 10 mm，铁柄，柄长约300 mm，长柄和铜勺连接稳定结实</w:t>
            </w:r>
          </w:p>
        </w:tc>
        <w:tc>
          <w:tcPr>
            <w:tcW w:w="816" w:type="dxa"/>
            <w:tcBorders>
              <w:tl2br w:val="nil"/>
              <w:tr2bl w:val="nil"/>
            </w:tcBorders>
            <w:shd w:val="clear" w:color="auto" w:fill="auto"/>
            <w:vAlign w:val="center"/>
          </w:tcPr>
          <w:p w14:paraId="2B669F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A43FA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510EC1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7B1E3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49A0D2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124</w:t>
            </w:r>
          </w:p>
        </w:tc>
        <w:tc>
          <w:tcPr>
            <w:tcW w:w="1166" w:type="dxa"/>
            <w:tcBorders>
              <w:tl2br w:val="nil"/>
              <w:tr2bl w:val="nil"/>
            </w:tcBorders>
            <w:shd w:val="clear" w:color="auto" w:fill="auto"/>
            <w:vAlign w:val="center"/>
          </w:tcPr>
          <w:p w14:paraId="7ADA2F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药匙</w:t>
            </w:r>
          </w:p>
        </w:tc>
        <w:tc>
          <w:tcPr>
            <w:tcW w:w="8573" w:type="dxa"/>
            <w:tcBorders>
              <w:tl2br w:val="nil"/>
              <w:tr2bl w:val="nil"/>
            </w:tcBorders>
            <w:shd w:val="clear" w:color="auto" w:fill="auto"/>
            <w:vAlign w:val="center"/>
          </w:tcPr>
          <w:p w14:paraId="50A314B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长度≥13 cm， 带小勺，材质可选金属、牛角、塑料</w:t>
            </w:r>
          </w:p>
        </w:tc>
        <w:tc>
          <w:tcPr>
            <w:tcW w:w="816" w:type="dxa"/>
            <w:tcBorders>
              <w:tl2br w:val="nil"/>
              <w:tr2bl w:val="nil"/>
            </w:tcBorders>
            <w:shd w:val="clear" w:color="auto" w:fill="auto"/>
            <w:vAlign w:val="center"/>
          </w:tcPr>
          <w:p w14:paraId="2E7F69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43D98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17BB16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FEC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B3C38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125</w:t>
            </w:r>
          </w:p>
        </w:tc>
        <w:tc>
          <w:tcPr>
            <w:tcW w:w="1166" w:type="dxa"/>
            <w:tcBorders>
              <w:tl2br w:val="nil"/>
              <w:tr2bl w:val="nil"/>
            </w:tcBorders>
            <w:shd w:val="clear" w:color="auto" w:fill="auto"/>
            <w:vAlign w:val="center"/>
          </w:tcPr>
          <w:p w14:paraId="6D0B54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玻璃管</w:t>
            </w:r>
          </w:p>
        </w:tc>
        <w:tc>
          <w:tcPr>
            <w:tcW w:w="8573" w:type="dxa"/>
            <w:tcBorders>
              <w:tl2br w:val="nil"/>
              <w:tr2bl w:val="nil"/>
            </w:tcBorders>
            <w:shd w:val="clear" w:color="auto" w:fill="auto"/>
            <w:vAlign w:val="center"/>
          </w:tcPr>
          <w:p w14:paraId="6BB9C0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5 mm ～6 mm ，中性料，管口应打磨或烧结，避免划伤事故</w:t>
            </w:r>
          </w:p>
        </w:tc>
        <w:tc>
          <w:tcPr>
            <w:tcW w:w="816" w:type="dxa"/>
            <w:tcBorders>
              <w:tl2br w:val="nil"/>
              <w:tr2bl w:val="nil"/>
            </w:tcBorders>
            <w:shd w:val="clear" w:color="auto" w:fill="auto"/>
            <w:vAlign w:val="center"/>
          </w:tcPr>
          <w:p w14:paraId="4B57D5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37F861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43C4D3D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BFA35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803D9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126</w:t>
            </w:r>
          </w:p>
        </w:tc>
        <w:tc>
          <w:tcPr>
            <w:tcW w:w="1166" w:type="dxa"/>
            <w:tcBorders>
              <w:tl2br w:val="nil"/>
              <w:tr2bl w:val="nil"/>
            </w:tcBorders>
            <w:shd w:val="clear" w:color="auto" w:fill="auto"/>
            <w:vAlign w:val="center"/>
          </w:tcPr>
          <w:p w14:paraId="2893CF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玻璃管</w:t>
            </w:r>
          </w:p>
        </w:tc>
        <w:tc>
          <w:tcPr>
            <w:tcW w:w="8573" w:type="dxa"/>
            <w:tcBorders>
              <w:tl2br w:val="nil"/>
              <w:tr2bl w:val="nil"/>
            </w:tcBorders>
            <w:shd w:val="clear" w:color="auto" w:fill="auto"/>
            <w:vAlign w:val="center"/>
          </w:tcPr>
          <w:p w14:paraId="2C9B27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7 mm ～8 mm，中性料，管口应打磨或烧结，避免划伤事故</w:t>
            </w:r>
          </w:p>
        </w:tc>
        <w:tc>
          <w:tcPr>
            <w:tcW w:w="816" w:type="dxa"/>
            <w:tcBorders>
              <w:tl2br w:val="nil"/>
              <w:tr2bl w:val="nil"/>
            </w:tcBorders>
            <w:shd w:val="clear" w:color="auto" w:fill="auto"/>
            <w:vAlign w:val="center"/>
          </w:tcPr>
          <w:p w14:paraId="2A0A3D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3A27B6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5229FC7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66B09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06C9DC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127</w:t>
            </w:r>
          </w:p>
        </w:tc>
        <w:tc>
          <w:tcPr>
            <w:tcW w:w="1166" w:type="dxa"/>
            <w:tcBorders>
              <w:tl2br w:val="nil"/>
              <w:tr2bl w:val="nil"/>
            </w:tcBorders>
            <w:shd w:val="clear" w:color="auto" w:fill="auto"/>
            <w:vAlign w:val="center"/>
          </w:tcPr>
          <w:p w14:paraId="69DC62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玻璃弯管</w:t>
            </w:r>
          </w:p>
        </w:tc>
        <w:tc>
          <w:tcPr>
            <w:tcW w:w="8573" w:type="dxa"/>
            <w:tcBorders>
              <w:tl2br w:val="nil"/>
              <w:tr2bl w:val="nil"/>
            </w:tcBorders>
            <w:shd w:val="clear" w:color="auto" w:fill="auto"/>
            <w:vAlign w:val="center"/>
          </w:tcPr>
          <w:p w14:paraId="0AD128E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7 mm ～8 mm，一端长度为 6 cm～7 cm， 另一端长度约 20 cm，形状为锐角、直角和钝角，管口应打磨或烧结，避免划伤事故</w:t>
            </w:r>
          </w:p>
        </w:tc>
        <w:tc>
          <w:tcPr>
            <w:tcW w:w="816" w:type="dxa"/>
            <w:tcBorders>
              <w:tl2br w:val="nil"/>
              <w:tr2bl w:val="nil"/>
            </w:tcBorders>
            <w:shd w:val="clear" w:color="auto" w:fill="auto"/>
            <w:vAlign w:val="center"/>
          </w:tcPr>
          <w:p w14:paraId="710D2D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BFA92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421CC92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5D72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432E8D">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128</w:t>
            </w:r>
          </w:p>
        </w:tc>
        <w:tc>
          <w:tcPr>
            <w:tcW w:w="1166" w:type="dxa"/>
            <w:tcBorders>
              <w:tl2br w:val="nil"/>
              <w:tr2bl w:val="nil"/>
            </w:tcBorders>
            <w:shd w:val="clear" w:color="auto" w:fill="auto"/>
            <w:vAlign w:val="center"/>
          </w:tcPr>
          <w:p w14:paraId="54A928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玻璃棒</w:t>
            </w:r>
          </w:p>
        </w:tc>
        <w:tc>
          <w:tcPr>
            <w:tcW w:w="8573" w:type="dxa"/>
            <w:tcBorders>
              <w:tl2br w:val="nil"/>
              <w:tr2bl w:val="nil"/>
            </w:tcBorders>
            <w:shd w:val="clear" w:color="auto" w:fill="auto"/>
            <w:vAlign w:val="center"/>
          </w:tcPr>
          <w:p w14:paraId="378DDAA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5 mm ～6 mm，粗细均匀，两端烧结使其光滑</w:t>
            </w:r>
          </w:p>
        </w:tc>
        <w:tc>
          <w:tcPr>
            <w:tcW w:w="816" w:type="dxa"/>
            <w:tcBorders>
              <w:tl2br w:val="nil"/>
              <w:tr2bl w:val="nil"/>
            </w:tcBorders>
            <w:shd w:val="clear" w:color="auto" w:fill="auto"/>
            <w:vAlign w:val="center"/>
          </w:tcPr>
          <w:p w14:paraId="61B586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19CF11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6B030A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41DFE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D9D3D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129</w:t>
            </w:r>
          </w:p>
        </w:tc>
        <w:tc>
          <w:tcPr>
            <w:tcW w:w="1166" w:type="dxa"/>
            <w:tcBorders>
              <w:tl2br w:val="nil"/>
              <w:tr2bl w:val="nil"/>
            </w:tcBorders>
            <w:shd w:val="clear" w:color="auto" w:fill="auto"/>
            <w:vAlign w:val="center"/>
          </w:tcPr>
          <w:p w14:paraId="66D9E7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玻璃棒</w:t>
            </w:r>
          </w:p>
        </w:tc>
        <w:tc>
          <w:tcPr>
            <w:tcW w:w="8573" w:type="dxa"/>
            <w:tcBorders>
              <w:tl2br w:val="nil"/>
              <w:tr2bl w:val="nil"/>
            </w:tcBorders>
            <w:shd w:val="clear" w:color="auto" w:fill="auto"/>
            <w:vAlign w:val="center"/>
          </w:tcPr>
          <w:p w14:paraId="1A5D00B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7 mm ～8 mm，粗细均匀，两端烧结使其光滑</w:t>
            </w:r>
          </w:p>
        </w:tc>
        <w:tc>
          <w:tcPr>
            <w:tcW w:w="816" w:type="dxa"/>
            <w:tcBorders>
              <w:tl2br w:val="nil"/>
              <w:tr2bl w:val="nil"/>
            </w:tcBorders>
            <w:shd w:val="clear" w:color="auto" w:fill="auto"/>
            <w:vAlign w:val="center"/>
          </w:tcPr>
          <w:p w14:paraId="1890B7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6717F1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7FEC50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3DF0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1BACC7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130</w:t>
            </w:r>
          </w:p>
        </w:tc>
        <w:tc>
          <w:tcPr>
            <w:tcW w:w="1166" w:type="dxa"/>
            <w:tcBorders>
              <w:tl2br w:val="nil"/>
              <w:tr2bl w:val="nil"/>
            </w:tcBorders>
            <w:shd w:val="clear" w:color="auto" w:fill="auto"/>
            <w:vAlign w:val="center"/>
          </w:tcPr>
          <w:p w14:paraId="76DBED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橡胶塞</w:t>
            </w:r>
          </w:p>
        </w:tc>
        <w:tc>
          <w:tcPr>
            <w:tcW w:w="8573" w:type="dxa"/>
            <w:tcBorders>
              <w:tl2br w:val="nil"/>
              <w:tr2bl w:val="nil"/>
            </w:tcBorders>
            <w:shd w:val="clear" w:color="auto" w:fill="auto"/>
            <w:vAlign w:val="center"/>
          </w:tcPr>
          <w:p w14:paraId="1D19FB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000、 00、0～10 号，白色，质地均匀</w:t>
            </w:r>
          </w:p>
        </w:tc>
        <w:tc>
          <w:tcPr>
            <w:tcW w:w="816" w:type="dxa"/>
            <w:tcBorders>
              <w:tl2br w:val="nil"/>
              <w:tr2bl w:val="nil"/>
            </w:tcBorders>
            <w:shd w:val="clear" w:color="auto" w:fill="auto"/>
            <w:vAlign w:val="center"/>
          </w:tcPr>
          <w:p w14:paraId="352194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07B0B4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69FCB81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B559C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C2AF2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131</w:t>
            </w:r>
          </w:p>
        </w:tc>
        <w:tc>
          <w:tcPr>
            <w:tcW w:w="1166" w:type="dxa"/>
            <w:tcBorders>
              <w:tl2br w:val="nil"/>
              <w:tr2bl w:val="nil"/>
            </w:tcBorders>
            <w:shd w:val="clear" w:color="auto" w:fill="auto"/>
            <w:vAlign w:val="center"/>
          </w:tcPr>
          <w:p w14:paraId="66B2A7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橡胶管</w:t>
            </w:r>
          </w:p>
        </w:tc>
        <w:tc>
          <w:tcPr>
            <w:tcW w:w="8573" w:type="dxa"/>
            <w:tcBorders>
              <w:tl2br w:val="nil"/>
              <w:tr2bl w:val="nil"/>
            </w:tcBorders>
            <w:shd w:val="clear" w:color="auto" w:fill="auto"/>
            <w:vAlign w:val="center"/>
          </w:tcPr>
          <w:p w14:paraId="5EB5FC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外径 9 mm，内径 6 mm，乳白色，具有耐油、耐酸碱、耐压等特性</w:t>
            </w:r>
          </w:p>
        </w:tc>
        <w:tc>
          <w:tcPr>
            <w:tcW w:w="816" w:type="dxa"/>
            <w:tcBorders>
              <w:tl2br w:val="nil"/>
              <w:tr2bl w:val="nil"/>
            </w:tcBorders>
            <w:shd w:val="clear" w:color="auto" w:fill="auto"/>
            <w:vAlign w:val="center"/>
          </w:tcPr>
          <w:p w14:paraId="5176AC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02FBBE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484FE6C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7E760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F60AD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132</w:t>
            </w:r>
          </w:p>
        </w:tc>
        <w:tc>
          <w:tcPr>
            <w:tcW w:w="1166" w:type="dxa"/>
            <w:tcBorders>
              <w:tl2br w:val="nil"/>
              <w:tr2bl w:val="nil"/>
            </w:tcBorders>
            <w:shd w:val="clear" w:color="auto" w:fill="auto"/>
            <w:vAlign w:val="center"/>
          </w:tcPr>
          <w:p w14:paraId="55FC9A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乳胶管</w:t>
            </w:r>
          </w:p>
        </w:tc>
        <w:tc>
          <w:tcPr>
            <w:tcW w:w="8573" w:type="dxa"/>
            <w:tcBorders>
              <w:tl2br w:val="nil"/>
              <w:tr2bl w:val="nil"/>
            </w:tcBorders>
            <w:shd w:val="clear" w:color="auto" w:fill="auto"/>
            <w:vAlign w:val="center"/>
          </w:tcPr>
          <w:p w14:paraId="4654886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外径 6 mm，内径 4 mm，弹力好，拉力范围可在自身的 6 倍，回弹力 100%</w:t>
            </w:r>
          </w:p>
        </w:tc>
        <w:tc>
          <w:tcPr>
            <w:tcW w:w="816" w:type="dxa"/>
            <w:tcBorders>
              <w:tl2br w:val="nil"/>
              <w:tr2bl w:val="nil"/>
            </w:tcBorders>
            <w:shd w:val="clear" w:color="auto" w:fill="auto"/>
            <w:vAlign w:val="center"/>
          </w:tcPr>
          <w:p w14:paraId="29754A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645877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62E738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A4E2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1AC75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133</w:t>
            </w:r>
          </w:p>
        </w:tc>
        <w:tc>
          <w:tcPr>
            <w:tcW w:w="1166" w:type="dxa"/>
            <w:tcBorders>
              <w:tl2br w:val="nil"/>
              <w:tr2bl w:val="nil"/>
            </w:tcBorders>
            <w:shd w:val="clear" w:color="auto" w:fill="auto"/>
            <w:vAlign w:val="center"/>
          </w:tcPr>
          <w:p w14:paraId="51D4F8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乳胶管</w:t>
            </w:r>
          </w:p>
        </w:tc>
        <w:tc>
          <w:tcPr>
            <w:tcW w:w="8573" w:type="dxa"/>
            <w:tcBorders>
              <w:tl2br w:val="nil"/>
              <w:tr2bl w:val="nil"/>
            </w:tcBorders>
            <w:shd w:val="clear" w:color="auto" w:fill="auto"/>
            <w:vAlign w:val="center"/>
          </w:tcPr>
          <w:p w14:paraId="0546EC2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外径 7 mm，内径 5 mm，弹力好，拉力范围可在自身的 6 倍，回弹力 100%</w:t>
            </w:r>
          </w:p>
        </w:tc>
        <w:tc>
          <w:tcPr>
            <w:tcW w:w="816" w:type="dxa"/>
            <w:tcBorders>
              <w:tl2br w:val="nil"/>
              <w:tr2bl w:val="nil"/>
            </w:tcBorders>
            <w:shd w:val="clear" w:color="auto" w:fill="auto"/>
            <w:vAlign w:val="center"/>
          </w:tcPr>
          <w:p w14:paraId="2ECD1C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3C2A02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70C1A08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8C6F4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A6E6B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134</w:t>
            </w:r>
          </w:p>
        </w:tc>
        <w:tc>
          <w:tcPr>
            <w:tcW w:w="1166" w:type="dxa"/>
            <w:tcBorders>
              <w:tl2br w:val="nil"/>
              <w:tr2bl w:val="nil"/>
            </w:tcBorders>
            <w:shd w:val="clear" w:color="auto" w:fill="auto"/>
            <w:vAlign w:val="center"/>
          </w:tcPr>
          <w:p w14:paraId="642522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乳胶管</w:t>
            </w:r>
          </w:p>
        </w:tc>
        <w:tc>
          <w:tcPr>
            <w:tcW w:w="8573" w:type="dxa"/>
            <w:tcBorders>
              <w:tl2br w:val="nil"/>
              <w:tr2bl w:val="nil"/>
            </w:tcBorders>
            <w:shd w:val="clear" w:color="auto" w:fill="auto"/>
            <w:vAlign w:val="center"/>
          </w:tcPr>
          <w:p w14:paraId="6535447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外径 9 mm，内径 6 mm，弹力好，拉力范围可在自身的 6 倍，回弹力 100%</w:t>
            </w:r>
          </w:p>
        </w:tc>
        <w:tc>
          <w:tcPr>
            <w:tcW w:w="816" w:type="dxa"/>
            <w:tcBorders>
              <w:tl2br w:val="nil"/>
              <w:tr2bl w:val="nil"/>
            </w:tcBorders>
            <w:shd w:val="clear" w:color="auto" w:fill="auto"/>
            <w:vAlign w:val="center"/>
          </w:tcPr>
          <w:p w14:paraId="06494F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498" w:type="dxa"/>
            <w:tcBorders>
              <w:tl2br w:val="nil"/>
              <w:tr2bl w:val="nil"/>
            </w:tcBorders>
            <w:shd w:val="clear" w:color="auto" w:fill="auto"/>
            <w:vAlign w:val="center"/>
          </w:tcPr>
          <w:p w14:paraId="5A430C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2D03335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F2D5A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95423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135</w:t>
            </w:r>
          </w:p>
        </w:tc>
        <w:tc>
          <w:tcPr>
            <w:tcW w:w="1166" w:type="dxa"/>
            <w:tcBorders>
              <w:tl2br w:val="nil"/>
              <w:tr2bl w:val="nil"/>
            </w:tcBorders>
            <w:shd w:val="clear" w:color="auto" w:fill="auto"/>
            <w:vAlign w:val="center"/>
          </w:tcPr>
          <w:p w14:paraId="371970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试管刷</w:t>
            </w:r>
          </w:p>
        </w:tc>
        <w:tc>
          <w:tcPr>
            <w:tcW w:w="8573" w:type="dxa"/>
            <w:tcBorders>
              <w:tl2br w:val="nil"/>
              <w:tr2bl w:val="nil"/>
            </w:tcBorders>
            <w:shd w:val="clear" w:color="auto" w:fill="auto"/>
            <w:vAlign w:val="center"/>
          </w:tcPr>
          <w:p w14:paraId="0B36982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12 mm，手持部分顶端应为环状，顶部要有刷丝，铁丝不可外露</w:t>
            </w:r>
          </w:p>
        </w:tc>
        <w:tc>
          <w:tcPr>
            <w:tcW w:w="816" w:type="dxa"/>
            <w:tcBorders>
              <w:tl2br w:val="nil"/>
              <w:tr2bl w:val="nil"/>
            </w:tcBorders>
            <w:shd w:val="clear" w:color="auto" w:fill="auto"/>
            <w:vAlign w:val="center"/>
          </w:tcPr>
          <w:p w14:paraId="44A9DB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D84F4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C56BB4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9268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2A7DA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136</w:t>
            </w:r>
          </w:p>
        </w:tc>
        <w:tc>
          <w:tcPr>
            <w:tcW w:w="1166" w:type="dxa"/>
            <w:tcBorders>
              <w:tl2br w:val="nil"/>
              <w:tr2bl w:val="nil"/>
            </w:tcBorders>
            <w:shd w:val="clear" w:color="auto" w:fill="auto"/>
            <w:vAlign w:val="center"/>
          </w:tcPr>
          <w:p w14:paraId="06E875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试管刷</w:t>
            </w:r>
          </w:p>
        </w:tc>
        <w:tc>
          <w:tcPr>
            <w:tcW w:w="8573" w:type="dxa"/>
            <w:tcBorders>
              <w:tl2br w:val="nil"/>
              <w:tr2bl w:val="nil"/>
            </w:tcBorders>
            <w:shd w:val="clear" w:color="auto" w:fill="auto"/>
            <w:vAlign w:val="center"/>
          </w:tcPr>
          <w:p w14:paraId="527F74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18 mm ，手持部分顶端应为环状，顶部要有刷丝，铁丝不可外露</w:t>
            </w:r>
          </w:p>
        </w:tc>
        <w:tc>
          <w:tcPr>
            <w:tcW w:w="816" w:type="dxa"/>
            <w:tcBorders>
              <w:tl2br w:val="nil"/>
              <w:tr2bl w:val="nil"/>
            </w:tcBorders>
            <w:shd w:val="clear" w:color="auto" w:fill="auto"/>
            <w:vAlign w:val="center"/>
          </w:tcPr>
          <w:p w14:paraId="7C36EF5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04F290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1D68A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E5481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3A7FF5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137</w:t>
            </w:r>
          </w:p>
        </w:tc>
        <w:tc>
          <w:tcPr>
            <w:tcW w:w="1166" w:type="dxa"/>
            <w:tcBorders>
              <w:tl2br w:val="nil"/>
              <w:tr2bl w:val="nil"/>
            </w:tcBorders>
            <w:shd w:val="clear" w:color="auto" w:fill="auto"/>
            <w:vAlign w:val="center"/>
          </w:tcPr>
          <w:p w14:paraId="79EA79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试管刷</w:t>
            </w:r>
          </w:p>
        </w:tc>
        <w:tc>
          <w:tcPr>
            <w:tcW w:w="8573" w:type="dxa"/>
            <w:tcBorders>
              <w:tl2br w:val="nil"/>
              <w:tr2bl w:val="nil"/>
            </w:tcBorders>
            <w:shd w:val="clear" w:color="auto" w:fill="auto"/>
            <w:vAlign w:val="center"/>
          </w:tcPr>
          <w:p w14:paraId="44FF609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32 mm ，手持部分顶端应为环状，顶部要有刷丝，铁丝不可外露</w:t>
            </w:r>
          </w:p>
        </w:tc>
        <w:tc>
          <w:tcPr>
            <w:tcW w:w="816" w:type="dxa"/>
            <w:tcBorders>
              <w:tl2br w:val="nil"/>
              <w:tr2bl w:val="nil"/>
            </w:tcBorders>
            <w:shd w:val="clear" w:color="auto" w:fill="auto"/>
            <w:vAlign w:val="center"/>
          </w:tcPr>
          <w:p w14:paraId="11FF37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13C2D5E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3826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813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3A344A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138</w:t>
            </w:r>
          </w:p>
        </w:tc>
        <w:tc>
          <w:tcPr>
            <w:tcW w:w="1166" w:type="dxa"/>
            <w:tcBorders>
              <w:tl2br w:val="nil"/>
              <w:tr2bl w:val="nil"/>
            </w:tcBorders>
            <w:shd w:val="clear" w:color="auto" w:fill="auto"/>
            <w:vAlign w:val="center"/>
          </w:tcPr>
          <w:p w14:paraId="77DA89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烧瓶刷</w:t>
            </w:r>
          </w:p>
        </w:tc>
        <w:tc>
          <w:tcPr>
            <w:tcW w:w="8573" w:type="dxa"/>
            <w:tcBorders>
              <w:tl2br w:val="nil"/>
              <w:tr2bl w:val="nil"/>
            </w:tcBorders>
            <w:shd w:val="clear" w:color="auto" w:fill="auto"/>
            <w:vAlign w:val="center"/>
          </w:tcPr>
          <w:p w14:paraId="0C1C0DD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烧瓶用 ，手持部分顶端应为环状，顶部要有刷丝，铁丝不可外露</w:t>
            </w:r>
          </w:p>
        </w:tc>
        <w:tc>
          <w:tcPr>
            <w:tcW w:w="816" w:type="dxa"/>
            <w:tcBorders>
              <w:tl2br w:val="nil"/>
              <w:tr2bl w:val="nil"/>
            </w:tcBorders>
            <w:shd w:val="clear" w:color="auto" w:fill="auto"/>
            <w:vAlign w:val="center"/>
          </w:tcPr>
          <w:p w14:paraId="23EF3B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7BB6550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596FC8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8794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202EE90">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139</w:t>
            </w:r>
          </w:p>
        </w:tc>
        <w:tc>
          <w:tcPr>
            <w:tcW w:w="1166" w:type="dxa"/>
            <w:tcBorders>
              <w:tl2br w:val="nil"/>
              <w:tr2bl w:val="nil"/>
            </w:tcBorders>
            <w:shd w:val="clear" w:color="auto" w:fill="auto"/>
            <w:vAlign w:val="center"/>
          </w:tcPr>
          <w:p w14:paraId="0C7530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烧瓶刷</w:t>
            </w:r>
          </w:p>
        </w:tc>
        <w:tc>
          <w:tcPr>
            <w:tcW w:w="8573" w:type="dxa"/>
            <w:tcBorders>
              <w:tl2br w:val="nil"/>
              <w:tr2bl w:val="nil"/>
            </w:tcBorders>
            <w:shd w:val="clear" w:color="auto" w:fill="auto"/>
            <w:vAlign w:val="center"/>
          </w:tcPr>
          <w:p w14:paraId="1E1B108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烧瓶用</w:t>
            </w:r>
          </w:p>
        </w:tc>
        <w:tc>
          <w:tcPr>
            <w:tcW w:w="816" w:type="dxa"/>
            <w:tcBorders>
              <w:tl2br w:val="nil"/>
              <w:tr2bl w:val="nil"/>
            </w:tcBorders>
            <w:shd w:val="clear" w:color="auto" w:fill="auto"/>
            <w:vAlign w:val="center"/>
          </w:tcPr>
          <w:p w14:paraId="6D5E96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2AE105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1FD0B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9BDAB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4C183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140</w:t>
            </w:r>
          </w:p>
        </w:tc>
        <w:tc>
          <w:tcPr>
            <w:tcW w:w="1166" w:type="dxa"/>
            <w:tcBorders>
              <w:tl2br w:val="nil"/>
              <w:tr2bl w:val="nil"/>
            </w:tcBorders>
            <w:shd w:val="clear" w:color="auto" w:fill="auto"/>
            <w:vAlign w:val="center"/>
          </w:tcPr>
          <w:p w14:paraId="64374F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结晶皿</w:t>
            </w:r>
          </w:p>
        </w:tc>
        <w:tc>
          <w:tcPr>
            <w:tcW w:w="8573" w:type="dxa"/>
            <w:tcBorders>
              <w:tl2br w:val="nil"/>
              <w:tr2bl w:val="nil"/>
            </w:tcBorders>
            <w:shd w:val="clear" w:color="auto" w:fill="auto"/>
            <w:vAlign w:val="center"/>
          </w:tcPr>
          <w:p w14:paraId="0947454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80 mm，平底，无色硼硅酸盐玻璃制</w:t>
            </w:r>
          </w:p>
        </w:tc>
        <w:tc>
          <w:tcPr>
            <w:tcW w:w="816" w:type="dxa"/>
            <w:tcBorders>
              <w:tl2br w:val="nil"/>
              <w:tr2bl w:val="nil"/>
            </w:tcBorders>
            <w:shd w:val="clear" w:color="auto" w:fill="auto"/>
            <w:vAlign w:val="center"/>
          </w:tcPr>
          <w:p w14:paraId="4EE4CD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F4C2A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B20BA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4B6A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EEF04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141</w:t>
            </w:r>
          </w:p>
        </w:tc>
        <w:tc>
          <w:tcPr>
            <w:tcW w:w="1166" w:type="dxa"/>
            <w:tcBorders>
              <w:tl2br w:val="nil"/>
              <w:tr2bl w:val="nil"/>
            </w:tcBorders>
            <w:shd w:val="clear" w:color="auto" w:fill="auto"/>
            <w:vAlign w:val="center"/>
          </w:tcPr>
          <w:p w14:paraId="390DCB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表面皿</w:t>
            </w:r>
          </w:p>
        </w:tc>
        <w:tc>
          <w:tcPr>
            <w:tcW w:w="8573" w:type="dxa"/>
            <w:tcBorders>
              <w:tl2br w:val="nil"/>
              <w:tr2bl w:val="nil"/>
            </w:tcBorders>
            <w:shd w:val="clear" w:color="auto" w:fill="auto"/>
            <w:vAlign w:val="center"/>
          </w:tcPr>
          <w:p w14:paraId="79A96C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mm，无色硼硅酸盐玻璃制</w:t>
            </w:r>
          </w:p>
        </w:tc>
        <w:tc>
          <w:tcPr>
            <w:tcW w:w="816" w:type="dxa"/>
            <w:tcBorders>
              <w:tl2br w:val="nil"/>
              <w:tr2bl w:val="nil"/>
            </w:tcBorders>
            <w:shd w:val="clear" w:color="auto" w:fill="auto"/>
            <w:vAlign w:val="center"/>
          </w:tcPr>
          <w:p w14:paraId="26B07D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301913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46B966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A50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074ED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142</w:t>
            </w:r>
          </w:p>
        </w:tc>
        <w:tc>
          <w:tcPr>
            <w:tcW w:w="1166" w:type="dxa"/>
            <w:tcBorders>
              <w:tl2br w:val="nil"/>
              <w:tr2bl w:val="nil"/>
            </w:tcBorders>
            <w:shd w:val="clear" w:color="auto" w:fill="auto"/>
            <w:vAlign w:val="center"/>
          </w:tcPr>
          <w:p w14:paraId="6FE74D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表面皿</w:t>
            </w:r>
          </w:p>
        </w:tc>
        <w:tc>
          <w:tcPr>
            <w:tcW w:w="8573" w:type="dxa"/>
            <w:tcBorders>
              <w:tl2br w:val="nil"/>
              <w:tr2bl w:val="nil"/>
            </w:tcBorders>
            <w:shd w:val="clear" w:color="auto" w:fill="auto"/>
            <w:vAlign w:val="center"/>
          </w:tcPr>
          <w:p w14:paraId="6A4DB5C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 ，无色硼硅酸盐玻璃制</w:t>
            </w:r>
          </w:p>
        </w:tc>
        <w:tc>
          <w:tcPr>
            <w:tcW w:w="816" w:type="dxa"/>
            <w:tcBorders>
              <w:tl2br w:val="nil"/>
              <w:tr2bl w:val="nil"/>
            </w:tcBorders>
            <w:shd w:val="clear" w:color="auto" w:fill="auto"/>
            <w:vAlign w:val="center"/>
          </w:tcPr>
          <w:p w14:paraId="18ECC7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761EA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E1EF89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89898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F283C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143</w:t>
            </w:r>
          </w:p>
        </w:tc>
        <w:tc>
          <w:tcPr>
            <w:tcW w:w="1166" w:type="dxa"/>
            <w:tcBorders>
              <w:tl2br w:val="nil"/>
              <w:tr2bl w:val="nil"/>
            </w:tcBorders>
            <w:shd w:val="clear" w:color="auto" w:fill="auto"/>
            <w:vAlign w:val="center"/>
          </w:tcPr>
          <w:p w14:paraId="069879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研钵</w:t>
            </w:r>
          </w:p>
        </w:tc>
        <w:tc>
          <w:tcPr>
            <w:tcW w:w="8573" w:type="dxa"/>
            <w:tcBorders>
              <w:tl2br w:val="nil"/>
              <w:tr2bl w:val="nil"/>
            </w:tcBorders>
            <w:shd w:val="clear" w:color="auto" w:fill="auto"/>
            <w:vAlign w:val="center"/>
          </w:tcPr>
          <w:p w14:paraId="21BC52C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mm ，瓷或玻璃制，配有研杵，内部粗糙便于研磨，外部光滑</w:t>
            </w:r>
          </w:p>
        </w:tc>
        <w:tc>
          <w:tcPr>
            <w:tcW w:w="816" w:type="dxa"/>
            <w:tcBorders>
              <w:tl2br w:val="nil"/>
              <w:tr2bl w:val="nil"/>
            </w:tcBorders>
            <w:shd w:val="clear" w:color="auto" w:fill="auto"/>
            <w:vAlign w:val="center"/>
          </w:tcPr>
          <w:p w14:paraId="003F507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10A42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CBF58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FAF2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FB19B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144</w:t>
            </w:r>
          </w:p>
        </w:tc>
        <w:tc>
          <w:tcPr>
            <w:tcW w:w="1166" w:type="dxa"/>
            <w:tcBorders>
              <w:tl2br w:val="nil"/>
              <w:tr2bl w:val="nil"/>
            </w:tcBorders>
            <w:shd w:val="clear" w:color="auto" w:fill="auto"/>
            <w:vAlign w:val="center"/>
          </w:tcPr>
          <w:p w14:paraId="61CFAA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研钵</w:t>
            </w:r>
          </w:p>
        </w:tc>
        <w:tc>
          <w:tcPr>
            <w:tcW w:w="8573" w:type="dxa"/>
            <w:tcBorders>
              <w:tl2br w:val="nil"/>
              <w:tr2bl w:val="nil"/>
            </w:tcBorders>
            <w:shd w:val="clear" w:color="auto" w:fill="auto"/>
            <w:vAlign w:val="center"/>
          </w:tcPr>
          <w:p w14:paraId="2B051A2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 ，瓷或玻璃制，配有研杵，内部粗糙便于研磨，外部光滑</w:t>
            </w:r>
          </w:p>
        </w:tc>
        <w:tc>
          <w:tcPr>
            <w:tcW w:w="816" w:type="dxa"/>
            <w:tcBorders>
              <w:tl2br w:val="nil"/>
              <w:tr2bl w:val="nil"/>
            </w:tcBorders>
            <w:shd w:val="clear" w:color="auto" w:fill="auto"/>
            <w:vAlign w:val="center"/>
          </w:tcPr>
          <w:p w14:paraId="34DACE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3E935D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A75D61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5FE4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12F4D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145</w:t>
            </w:r>
          </w:p>
        </w:tc>
        <w:tc>
          <w:tcPr>
            <w:tcW w:w="1166" w:type="dxa"/>
            <w:tcBorders>
              <w:tl2br w:val="nil"/>
              <w:tr2bl w:val="nil"/>
            </w:tcBorders>
            <w:shd w:val="clear" w:color="auto" w:fill="auto"/>
            <w:vAlign w:val="center"/>
          </w:tcPr>
          <w:p w14:paraId="3C8FEE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蒸发皿</w:t>
            </w:r>
          </w:p>
        </w:tc>
        <w:tc>
          <w:tcPr>
            <w:tcW w:w="8573" w:type="dxa"/>
            <w:tcBorders>
              <w:tl2br w:val="nil"/>
              <w:tr2bl w:val="nil"/>
            </w:tcBorders>
            <w:shd w:val="clear" w:color="auto" w:fill="auto"/>
            <w:vAlign w:val="center"/>
          </w:tcPr>
          <w:p w14:paraId="270D10A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mm，瓷制，耐受温度≥800℃</w:t>
            </w:r>
          </w:p>
        </w:tc>
        <w:tc>
          <w:tcPr>
            <w:tcW w:w="816" w:type="dxa"/>
            <w:tcBorders>
              <w:tl2br w:val="nil"/>
              <w:tr2bl w:val="nil"/>
            </w:tcBorders>
            <w:shd w:val="clear" w:color="auto" w:fill="auto"/>
            <w:vAlign w:val="center"/>
          </w:tcPr>
          <w:p w14:paraId="6F2F92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471E8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8E565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02C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9619C1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146</w:t>
            </w:r>
          </w:p>
        </w:tc>
        <w:tc>
          <w:tcPr>
            <w:tcW w:w="1166" w:type="dxa"/>
            <w:tcBorders>
              <w:tl2br w:val="nil"/>
              <w:tr2bl w:val="nil"/>
            </w:tcBorders>
            <w:shd w:val="clear" w:color="auto" w:fill="auto"/>
            <w:vAlign w:val="center"/>
          </w:tcPr>
          <w:p w14:paraId="7C88CD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蒸发皿</w:t>
            </w:r>
          </w:p>
        </w:tc>
        <w:tc>
          <w:tcPr>
            <w:tcW w:w="8573" w:type="dxa"/>
            <w:tcBorders>
              <w:tl2br w:val="nil"/>
              <w:tr2bl w:val="nil"/>
            </w:tcBorders>
            <w:shd w:val="clear" w:color="auto" w:fill="auto"/>
            <w:vAlign w:val="center"/>
          </w:tcPr>
          <w:p w14:paraId="003427A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 mm ，瓷制，耐受温度≥800℃</w:t>
            </w:r>
          </w:p>
        </w:tc>
        <w:tc>
          <w:tcPr>
            <w:tcW w:w="816" w:type="dxa"/>
            <w:tcBorders>
              <w:tl2br w:val="nil"/>
              <w:tr2bl w:val="nil"/>
            </w:tcBorders>
            <w:shd w:val="clear" w:color="auto" w:fill="auto"/>
            <w:vAlign w:val="center"/>
          </w:tcPr>
          <w:p w14:paraId="4F905F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3C81C6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2B735C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49E7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3FC5ED4">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147</w:t>
            </w:r>
          </w:p>
        </w:tc>
        <w:tc>
          <w:tcPr>
            <w:tcW w:w="1166" w:type="dxa"/>
            <w:tcBorders>
              <w:tl2br w:val="nil"/>
              <w:tr2bl w:val="nil"/>
            </w:tcBorders>
            <w:shd w:val="clear" w:color="auto" w:fill="auto"/>
            <w:vAlign w:val="center"/>
          </w:tcPr>
          <w:p w14:paraId="15A741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反应板</w:t>
            </w:r>
          </w:p>
        </w:tc>
        <w:tc>
          <w:tcPr>
            <w:tcW w:w="8573" w:type="dxa"/>
            <w:tcBorders>
              <w:tl2br w:val="nil"/>
              <w:tr2bl w:val="nil"/>
            </w:tcBorders>
            <w:shd w:val="clear" w:color="auto" w:fill="auto"/>
            <w:vAlign w:val="center"/>
          </w:tcPr>
          <w:p w14:paraId="6DF26B6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白色陶瓷， 6 孔，表面有釉层，不会发生溶液渗透</w:t>
            </w:r>
          </w:p>
        </w:tc>
        <w:tc>
          <w:tcPr>
            <w:tcW w:w="816" w:type="dxa"/>
            <w:tcBorders>
              <w:tl2br w:val="nil"/>
              <w:tr2bl w:val="nil"/>
            </w:tcBorders>
            <w:shd w:val="clear" w:color="auto" w:fill="auto"/>
            <w:vAlign w:val="center"/>
          </w:tcPr>
          <w:p w14:paraId="6EB4AE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C1D48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EDD93D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B064F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74B815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148</w:t>
            </w:r>
          </w:p>
        </w:tc>
        <w:tc>
          <w:tcPr>
            <w:tcW w:w="1166" w:type="dxa"/>
            <w:tcBorders>
              <w:tl2br w:val="nil"/>
              <w:tr2bl w:val="nil"/>
            </w:tcBorders>
            <w:shd w:val="clear" w:color="auto" w:fill="auto"/>
            <w:vAlign w:val="center"/>
          </w:tcPr>
          <w:p w14:paraId="5F0D1B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井穴板</w:t>
            </w:r>
          </w:p>
        </w:tc>
        <w:tc>
          <w:tcPr>
            <w:tcW w:w="8573" w:type="dxa"/>
            <w:tcBorders>
              <w:tl2br w:val="nil"/>
              <w:tr2bl w:val="nil"/>
            </w:tcBorders>
            <w:shd w:val="clear" w:color="auto" w:fill="auto"/>
            <w:vAlign w:val="center"/>
          </w:tcPr>
          <w:p w14:paraId="1A817C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透明塑料， 9 孔，每孔 0.7 mL，可以重复使用</w:t>
            </w:r>
          </w:p>
        </w:tc>
        <w:tc>
          <w:tcPr>
            <w:tcW w:w="816" w:type="dxa"/>
            <w:tcBorders>
              <w:tl2br w:val="nil"/>
              <w:tr2bl w:val="nil"/>
            </w:tcBorders>
            <w:shd w:val="clear" w:color="auto" w:fill="auto"/>
            <w:vAlign w:val="center"/>
          </w:tcPr>
          <w:p w14:paraId="663ADB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9DEFC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97E48B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271B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854EA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149</w:t>
            </w:r>
          </w:p>
        </w:tc>
        <w:tc>
          <w:tcPr>
            <w:tcW w:w="1166" w:type="dxa"/>
            <w:tcBorders>
              <w:tl2br w:val="nil"/>
              <w:tr2bl w:val="nil"/>
            </w:tcBorders>
            <w:shd w:val="clear" w:color="auto" w:fill="auto"/>
            <w:vAlign w:val="center"/>
          </w:tcPr>
          <w:p w14:paraId="61B6F6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井穴板</w:t>
            </w:r>
          </w:p>
        </w:tc>
        <w:tc>
          <w:tcPr>
            <w:tcW w:w="8573" w:type="dxa"/>
            <w:tcBorders>
              <w:tl2br w:val="nil"/>
              <w:tr2bl w:val="nil"/>
            </w:tcBorders>
            <w:shd w:val="clear" w:color="auto" w:fill="auto"/>
            <w:vAlign w:val="center"/>
          </w:tcPr>
          <w:p w14:paraId="42D1D1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透明塑料， 6 孔，每孔 5 mL，配 6 个双导气管的井穴塞，可以重复使用</w:t>
            </w:r>
          </w:p>
        </w:tc>
        <w:tc>
          <w:tcPr>
            <w:tcW w:w="816" w:type="dxa"/>
            <w:tcBorders>
              <w:tl2br w:val="nil"/>
              <w:tr2bl w:val="nil"/>
            </w:tcBorders>
            <w:shd w:val="clear" w:color="auto" w:fill="auto"/>
            <w:vAlign w:val="center"/>
          </w:tcPr>
          <w:p w14:paraId="7A6008F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2325B2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7B50AF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68BE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24B21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150</w:t>
            </w:r>
          </w:p>
        </w:tc>
        <w:tc>
          <w:tcPr>
            <w:tcW w:w="1166" w:type="dxa"/>
            <w:tcBorders>
              <w:tl2br w:val="nil"/>
              <w:tr2bl w:val="nil"/>
            </w:tcBorders>
            <w:shd w:val="clear" w:color="auto" w:fill="auto"/>
            <w:vAlign w:val="center"/>
          </w:tcPr>
          <w:p w14:paraId="723A053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塑料多用滴管</w:t>
            </w:r>
          </w:p>
        </w:tc>
        <w:tc>
          <w:tcPr>
            <w:tcW w:w="8573" w:type="dxa"/>
            <w:tcBorders>
              <w:tl2br w:val="nil"/>
              <w:tr2bl w:val="nil"/>
            </w:tcBorders>
            <w:shd w:val="clear" w:color="auto" w:fill="auto"/>
            <w:vAlign w:val="center"/>
          </w:tcPr>
          <w:p w14:paraId="392F1A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弹性圆筒形吸泡和一根 Φ 1 mm×120 mm 的径管连接而成，容积 4 mL，环保材料，弹性好</w:t>
            </w:r>
          </w:p>
        </w:tc>
        <w:tc>
          <w:tcPr>
            <w:tcW w:w="816" w:type="dxa"/>
            <w:tcBorders>
              <w:tl2br w:val="nil"/>
              <w:tr2bl w:val="nil"/>
            </w:tcBorders>
            <w:shd w:val="clear" w:color="auto" w:fill="auto"/>
            <w:vAlign w:val="center"/>
          </w:tcPr>
          <w:p w14:paraId="7CBC912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w:t>
            </w:r>
          </w:p>
        </w:tc>
        <w:tc>
          <w:tcPr>
            <w:tcW w:w="498" w:type="dxa"/>
            <w:tcBorders>
              <w:tl2br w:val="nil"/>
              <w:tr2bl w:val="nil"/>
            </w:tcBorders>
            <w:shd w:val="clear" w:color="auto" w:fill="auto"/>
            <w:vAlign w:val="center"/>
          </w:tcPr>
          <w:p w14:paraId="352D2D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01B7F9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B095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F70CDB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151</w:t>
            </w:r>
          </w:p>
        </w:tc>
        <w:tc>
          <w:tcPr>
            <w:tcW w:w="1166" w:type="dxa"/>
            <w:tcBorders>
              <w:tl2br w:val="nil"/>
              <w:tr2bl w:val="nil"/>
            </w:tcBorders>
            <w:shd w:val="clear" w:color="auto" w:fill="auto"/>
            <w:vAlign w:val="center"/>
          </w:tcPr>
          <w:p w14:paraId="0482B4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塑料洗瓶</w:t>
            </w:r>
          </w:p>
        </w:tc>
        <w:tc>
          <w:tcPr>
            <w:tcW w:w="8573" w:type="dxa"/>
            <w:tcBorders>
              <w:tl2br w:val="nil"/>
              <w:tr2bl w:val="nil"/>
            </w:tcBorders>
            <w:shd w:val="clear" w:color="auto" w:fill="auto"/>
            <w:vAlign w:val="center"/>
          </w:tcPr>
          <w:p w14:paraId="48882AF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或 500 mL，水嘴略向下倾斜， 口径 1 mm～2 mm， 瓶口紧实不漏气</w:t>
            </w:r>
          </w:p>
        </w:tc>
        <w:tc>
          <w:tcPr>
            <w:tcW w:w="816" w:type="dxa"/>
            <w:tcBorders>
              <w:tl2br w:val="nil"/>
              <w:tr2bl w:val="nil"/>
            </w:tcBorders>
            <w:shd w:val="clear" w:color="auto" w:fill="auto"/>
            <w:vAlign w:val="center"/>
          </w:tcPr>
          <w:p w14:paraId="36D5207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ED987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90A33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3FA1A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E472CE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152</w:t>
            </w:r>
          </w:p>
        </w:tc>
        <w:tc>
          <w:tcPr>
            <w:tcW w:w="1166" w:type="dxa"/>
            <w:tcBorders>
              <w:tl2br w:val="nil"/>
              <w:tr2bl w:val="nil"/>
            </w:tcBorders>
            <w:shd w:val="clear" w:color="auto" w:fill="auto"/>
            <w:vAlign w:val="center"/>
          </w:tcPr>
          <w:p w14:paraId="73BEEC5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塑料水槽</w:t>
            </w:r>
          </w:p>
        </w:tc>
        <w:tc>
          <w:tcPr>
            <w:tcW w:w="8573" w:type="dxa"/>
            <w:tcBorders>
              <w:tl2br w:val="nil"/>
              <w:tr2bl w:val="nil"/>
            </w:tcBorders>
            <w:shd w:val="clear" w:color="auto" w:fill="auto"/>
            <w:vAlign w:val="center"/>
          </w:tcPr>
          <w:p w14:paraId="06B6324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mm×180 mm×100 mm</w:t>
            </w:r>
          </w:p>
        </w:tc>
        <w:tc>
          <w:tcPr>
            <w:tcW w:w="816" w:type="dxa"/>
            <w:tcBorders>
              <w:tl2br w:val="nil"/>
              <w:tr2bl w:val="nil"/>
            </w:tcBorders>
            <w:shd w:val="clear" w:color="auto" w:fill="auto"/>
            <w:vAlign w:val="center"/>
          </w:tcPr>
          <w:p w14:paraId="2F4EC0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2CC046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5680E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2394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2C2A6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153</w:t>
            </w:r>
          </w:p>
        </w:tc>
        <w:tc>
          <w:tcPr>
            <w:tcW w:w="1166" w:type="dxa"/>
            <w:tcBorders>
              <w:tl2br w:val="nil"/>
              <w:tr2bl w:val="nil"/>
            </w:tcBorders>
            <w:shd w:val="clear" w:color="auto" w:fill="auto"/>
            <w:vAlign w:val="center"/>
          </w:tcPr>
          <w:p w14:paraId="45E4E7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集气瓶挂扣器</w:t>
            </w:r>
          </w:p>
        </w:tc>
        <w:tc>
          <w:tcPr>
            <w:tcW w:w="8573" w:type="dxa"/>
            <w:tcBorders>
              <w:tl2br w:val="nil"/>
              <w:tr2bl w:val="nil"/>
            </w:tcBorders>
            <w:shd w:val="clear" w:color="auto" w:fill="auto"/>
            <w:vAlign w:val="center"/>
          </w:tcPr>
          <w:p w14:paraId="657CE6C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 mL，塑料制</w:t>
            </w:r>
          </w:p>
        </w:tc>
        <w:tc>
          <w:tcPr>
            <w:tcW w:w="816" w:type="dxa"/>
            <w:tcBorders>
              <w:tl2br w:val="nil"/>
              <w:tr2bl w:val="nil"/>
            </w:tcBorders>
            <w:shd w:val="clear" w:color="auto" w:fill="auto"/>
            <w:vAlign w:val="center"/>
          </w:tcPr>
          <w:p w14:paraId="47C07E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5FBBC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06D48D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8E6A5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08DEA9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154</w:t>
            </w:r>
          </w:p>
        </w:tc>
        <w:tc>
          <w:tcPr>
            <w:tcW w:w="1166" w:type="dxa"/>
            <w:tcBorders>
              <w:tl2br w:val="nil"/>
              <w:tr2bl w:val="nil"/>
            </w:tcBorders>
            <w:shd w:val="clear" w:color="auto" w:fill="auto"/>
            <w:vAlign w:val="center"/>
          </w:tcPr>
          <w:p w14:paraId="7F22B3B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集气瓶挂扣器</w:t>
            </w:r>
          </w:p>
        </w:tc>
        <w:tc>
          <w:tcPr>
            <w:tcW w:w="8573" w:type="dxa"/>
            <w:tcBorders>
              <w:tl2br w:val="nil"/>
              <w:tr2bl w:val="nil"/>
            </w:tcBorders>
            <w:shd w:val="clear" w:color="auto" w:fill="auto"/>
            <w:vAlign w:val="center"/>
          </w:tcPr>
          <w:p w14:paraId="260C51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mL，塑料制</w:t>
            </w:r>
          </w:p>
        </w:tc>
        <w:tc>
          <w:tcPr>
            <w:tcW w:w="816" w:type="dxa"/>
            <w:tcBorders>
              <w:tl2br w:val="nil"/>
              <w:tr2bl w:val="nil"/>
            </w:tcBorders>
            <w:shd w:val="clear" w:color="auto" w:fill="auto"/>
            <w:vAlign w:val="center"/>
          </w:tcPr>
          <w:p w14:paraId="1A5C35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796A1C5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B0415E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5A26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C15A99">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155</w:t>
            </w:r>
          </w:p>
        </w:tc>
        <w:tc>
          <w:tcPr>
            <w:tcW w:w="1166" w:type="dxa"/>
            <w:tcBorders>
              <w:tl2br w:val="nil"/>
              <w:tr2bl w:val="nil"/>
            </w:tcBorders>
            <w:shd w:val="clear" w:color="auto" w:fill="auto"/>
            <w:vAlign w:val="center"/>
          </w:tcPr>
          <w:p w14:paraId="430B21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注射器</w:t>
            </w:r>
          </w:p>
        </w:tc>
        <w:tc>
          <w:tcPr>
            <w:tcW w:w="8573" w:type="dxa"/>
            <w:tcBorders>
              <w:tl2br w:val="nil"/>
              <w:tr2bl w:val="nil"/>
            </w:tcBorders>
            <w:shd w:val="clear" w:color="auto" w:fill="auto"/>
            <w:vAlign w:val="center"/>
          </w:tcPr>
          <w:p w14:paraId="59DADF8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 mL，塑料制，符合医用器具卫生标准</w:t>
            </w:r>
          </w:p>
        </w:tc>
        <w:tc>
          <w:tcPr>
            <w:tcW w:w="816" w:type="dxa"/>
            <w:tcBorders>
              <w:tl2br w:val="nil"/>
              <w:tr2bl w:val="nil"/>
            </w:tcBorders>
            <w:shd w:val="clear" w:color="auto" w:fill="auto"/>
            <w:vAlign w:val="center"/>
          </w:tcPr>
          <w:p w14:paraId="34DED9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3E34C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796" w:type="dxa"/>
            <w:tcBorders>
              <w:tl2br w:val="nil"/>
              <w:tr2bl w:val="nil"/>
            </w:tcBorders>
            <w:shd w:val="clear" w:color="auto" w:fill="auto"/>
            <w:vAlign w:val="center"/>
          </w:tcPr>
          <w:p w14:paraId="3763248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33A1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309C8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156</w:t>
            </w:r>
          </w:p>
        </w:tc>
        <w:tc>
          <w:tcPr>
            <w:tcW w:w="1166" w:type="dxa"/>
            <w:tcBorders>
              <w:tl2br w:val="nil"/>
              <w:tr2bl w:val="nil"/>
            </w:tcBorders>
            <w:shd w:val="clear" w:color="auto" w:fill="auto"/>
            <w:vAlign w:val="center"/>
          </w:tcPr>
          <w:p w14:paraId="1148149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酒精喷灯</w:t>
            </w:r>
          </w:p>
        </w:tc>
        <w:tc>
          <w:tcPr>
            <w:tcW w:w="8573" w:type="dxa"/>
            <w:tcBorders>
              <w:tl2br w:val="nil"/>
              <w:tr2bl w:val="nil"/>
            </w:tcBorders>
            <w:shd w:val="clear" w:color="auto" w:fill="auto"/>
            <w:vAlign w:val="center"/>
          </w:tcPr>
          <w:p w14:paraId="3ABDC1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坐式，铜制，壶体容积≥300 mL，火焰高度为 150mm～180 mm， 火焰温度为 960 ℃±60 ℃</w:t>
            </w:r>
          </w:p>
        </w:tc>
        <w:tc>
          <w:tcPr>
            <w:tcW w:w="816" w:type="dxa"/>
            <w:tcBorders>
              <w:tl2br w:val="nil"/>
              <w:tr2bl w:val="nil"/>
            </w:tcBorders>
            <w:shd w:val="clear" w:color="auto" w:fill="auto"/>
            <w:vAlign w:val="center"/>
          </w:tcPr>
          <w:p w14:paraId="0EB7D3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03365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4F07B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CF207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E87BA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157</w:t>
            </w:r>
          </w:p>
        </w:tc>
        <w:tc>
          <w:tcPr>
            <w:tcW w:w="1166" w:type="dxa"/>
            <w:tcBorders>
              <w:tl2br w:val="nil"/>
              <w:tr2bl w:val="nil"/>
            </w:tcBorders>
            <w:shd w:val="clear" w:color="auto" w:fill="auto"/>
            <w:vAlign w:val="center"/>
          </w:tcPr>
          <w:p w14:paraId="26B5FC9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储气装置</w:t>
            </w:r>
          </w:p>
        </w:tc>
        <w:tc>
          <w:tcPr>
            <w:tcW w:w="8573" w:type="dxa"/>
            <w:tcBorders>
              <w:tl2br w:val="nil"/>
              <w:tr2bl w:val="nil"/>
            </w:tcBorders>
            <w:shd w:val="clear" w:color="auto" w:fill="auto"/>
            <w:vAlign w:val="center"/>
          </w:tcPr>
          <w:p w14:paraId="356963E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容积≥2 L</w:t>
            </w:r>
          </w:p>
        </w:tc>
        <w:tc>
          <w:tcPr>
            <w:tcW w:w="816" w:type="dxa"/>
            <w:tcBorders>
              <w:tl2br w:val="nil"/>
              <w:tr2bl w:val="nil"/>
            </w:tcBorders>
            <w:shd w:val="clear" w:color="auto" w:fill="auto"/>
            <w:vAlign w:val="center"/>
          </w:tcPr>
          <w:p w14:paraId="135095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CD2B6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1A42F8A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0553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1D3358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158</w:t>
            </w:r>
          </w:p>
        </w:tc>
        <w:tc>
          <w:tcPr>
            <w:tcW w:w="1166" w:type="dxa"/>
            <w:tcBorders>
              <w:tl2br w:val="nil"/>
              <w:tr2bl w:val="nil"/>
            </w:tcBorders>
            <w:shd w:val="clear" w:color="auto" w:fill="auto"/>
            <w:vAlign w:val="center"/>
          </w:tcPr>
          <w:p w14:paraId="47E953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初中化学实验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材料</w:t>
            </w:r>
          </w:p>
        </w:tc>
        <w:tc>
          <w:tcPr>
            <w:tcW w:w="8573" w:type="dxa"/>
            <w:tcBorders>
              <w:tl2br w:val="nil"/>
              <w:tr2bl w:val="nil"/>
            </w:tcBorders>
            <w:shd w:val="clear" w:color="auto" w:fill="auto"/>
            <w:vAlign w:val="center"/>
          </w:tcPr>
          <w:p w14:paraId="26AB169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黄铜片、硬铝片、火柴、蜡烛、木板、电池、电珠、砂纸、 面粉、 凡士林等</w:t>
            </w:r>
          </w:p>
        </w:tc>
        <w:tc>
          <w:tcPr>
            <w:tcW w:w="816" w:type="dxa"/>
            <w:tcBorders>
              <w:tl2br w:val="nil"/>
              <w:tr2bl w:val="nil"/>
            </w:tcBorders>
            <w:shd w:val="clear" w:color="auto" w:fill="auto"/>
            <w:vAlign w:val="center"/>
          </w:tcPr>
          <w:p w14:paraId="6143F1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512D60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3936A22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29AB6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65D1DB3">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159</w:t>
            </w:r>
          </w:p>
        </w:tc>
        <w:tc>
          <w:tcPr>
            <w:tcW w:w="1166" w:type="dxa"/>
            <w:tcBorders>
              <w:tl2br w:val="nil"/>
              <w:tr2bl w:val="nil"/>
            </w:tcBorders>
            <w:shd w:val="clear" w:color="auto" w:fill="auto"/>
            <w:vAlign w:val="center"/>
          </w:tcPr>
          <w:p w14:paraId="77477B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铝片</w:t>
            </w:r>
          </w:p>
        </w:tc>
        <w:tc>
          <w:tcPr>
            <w:tcW w:w="8573" w:type="dxa"/>
            <w:tcBorders>
              <w:tl2br w:val="nil"/>
              <w:tr2bl w:val="nil"/>
            </w:tcBorders>
            <w:shd w:val="clear" w:color="auto" w:fill="auto"/>
            <w:vAlign w:val="center"/>
          </w:tcPr>
          <w:p w14:paraId="384370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250克/份</w:t>
            </w:r>
          </w:p>
        </w:tc>
        <w:tc>
          <w:tcPr>
            <w:tcW w:w="816" w:type="dxa"/>
            <w:tcBorders>
              <w:tl2br w:val="nil"/>
              <w:tr2bl w:val="nil"/>
            </w:tcBorders>
            <w:shd w:val="clear" w:color="auto" w:fill="auto"/>
            <w:vAlign w:val="center"/>
          </w:tcPr>
          <w:p w14:paraId="53968E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001E9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7CFB545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492D0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BEFE6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160</w:t>
            </w:r>
          </w:p>
        </w:tc>
        <w:tc>
          <w:tcPr>
            <w:tcW w:w="1166" w:type="dxa"/>
            <w:tcBorders>
              <w:tl2br w:val="nil"/>
              <w:tr2bl w:val="nil"/>
            </w:tcBorders>
            <w:shd w:val="clear" w:color="auto" w:fill="auto"/>
            <w:vAlign w:val="center"/>
          </w:tcPr>
          <w:p w14:paraId="53C89F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铝丝</w:t>
            </w:r>
          </w:p>
        </w:tc>
        <w:tc>
          <w:tcPr>
            <w:tcW w:w="8573" w:type="dxa"/>
            <w:tcBorders>
              <w:tl2br w:val="nil"/>
              <w:tr2bl w:val="nil"/>
            </w:tcBorders>
            <w:shd w:val="clear" w:color="auto" w:fill="auto"/>
            <w:vAlign w:val="center"/>
          </w:tcPr>
          <w:p w14:paraId="070FE09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50克/份</w:t>
            </w:r>
          </w:p>
        </w:tc>
        <w:tc>
          <w:tcPr>
            <w:tcW w:w="816" w:type="dxa"/>
            <w:tcBorders>
              <w:tl2br w:val="nil"/>
              <w:tr2bl w:val="nil"/>
            </w:tcBorders>
            <w:shd w:val="clear" w:color="auto" w:fill="auto"/>
            <w:vAlign w:val="center"/>
          </w:tcPr>
          <w:p w14:paraId="7AA789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ABE2B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7CFFEE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60F5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F5350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161</w:t>
            </w:r>
          </w:p>
        </w:tc>
        <w:tc>
          <w:tcPr>
            <w:tcW w:w="1166" w:type="dxa"/>
            <w:tcBorders>
              <w:tl2br w:val="nil"/>
              <w:tr2bl w:val="nil"/>
            </w:tcBorders>
            <w:shd w:val="clear" w:color="auto" w:fill="auto"/>
            <w:vAlign w:val="center"/>
          </w:tcPr>
          <w:p w14:paraId="4477A9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铝箔</w:t>
            </w:r>
          </w:p>
        </w:tc>
        <w:tc>
          <w:tcPr>
            <w:tcW w:w="8573" w:type="dxa"/>
            <w:tcBorders>
              <w:tl2br w:val="nil"/>
              <w:tr2bl w:val="nil"/>
            </w:tcBorders>
            <w:shd w:val="clear" w:color="auto" w:fill="auto"/>
            <w:vAlign w:val="center"/>
          </w:tcPr>
          <w:p w14:paraId="72C839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25克/份</w:t>
            </w:r>
          </w:p>
        </w:tc>
        <w:tc>
          <w:tcPr>
            <w:tcW w:w="816" w:type="dxa"/>
            <w:tcBorders>
              <w:tl2br w:val="nil"/>
              <w:tr2bl w:val="nil"/>
            </w:tcBorders>
            <w:shd w:val="clear" w:color="auto" w:fill="auto"/>
            <w:vAlign w:val="center"/>
          </w:tcPr>
          <w:p w14:paraId="5999B7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03732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21D1E1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5A5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2E5270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162</w:t>
            </w:r>
          </w:p>
        </w:tc>
        <w:tc>
          <w:tcPr>
            <w:tcW w:w="1166" w:type="dxa"/>
            <w:tcBorders>
              <w:tl2br w:val="nil"/>
              <w:tr2bl w:val="nil"/>
            </w:tcBorders>
            <w:shd w:val="clear" w:color="auto" w:fill="auto"/>
            <w:vAlign w:val="center"/>
          </w:tcPr>
          <w:p w14:paraId="0CE701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铁粉</w:t>
            </w:r>
          </w:p>
        </w:tc>
        <w:tc>
          <w:tcPr>
            <w:tcW w:w="8573" w:type="dxa"/>
            <w:tcBorders>
              <w:tl2br w:val="nil"/>
              <w:tr2bl w:val="nil"/>
            </w:tcBorders>
            <w:shd w:val="clear" w:color="auto" w:fill="auto"/>
            <w:vAlign w:val="center"/>
          </w:tcPr>
          <w:p w14:paraId="600B435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试剂，50克/瓶</w:t>
            </w:r>
          </w:p>
        </w:tc>
        <w:tc>
          <w:tcPr>
            <w:tcW w:w="816" w:type="dxa"/>
            <w:tcBorders>
              <w:tl2br w:val="nil"/>
              <w:tr2bl w:val="nil"/>
            </w:tcBorders>
            <w:shd w:val="clear" w:color="auto" w:fill="auto"/>
            <w:vAlign w:val="center"/>
          </w:tcPr>
          <w:p w14:paraId="2918BC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D01E7E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瓶</w:t>
            </w:r>
          </w:p>
        </w:tc>
        <w:tc>
          <w:tcPr>
            <w:tcW w:w="2796" w:type="dxa"/>
            <w:tcBorders>
              <w:tl2br w:val="nil"/>
              <w:tr2bl w:val="nil"/>
            </w:tcBorders>
            <w:shd w:val="clear" w:color="auto" w:fill="auto"/>
            <w:vAlign w:val="center"/>
          </w:tcPr>
          <w:p w14:paraId="0DF723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DF57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00FA59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163</w:t>
            </w:r>
          </w:p>
        </w:tc>
        <w:tc>
          <w:tcPr>
            <w:tcW w:w="1166" w:type="dxa"/>
            <w:tcBorders>
              <w:tl2br w:val="nil"/>
              <w:tr2bl w:val="nil"/>
            </w:tcBorders>
            <w:shd w:val="clear" w:color="auto" w:fill="auto"/>
            <w:vAlign w:val="center"/>
          </w:tcPr>
          <w:p w14:paraId="0AD0CB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铁丝</w:t>
            </w:r>
          </w:p>
        </w:tc>
        <w:tc>
          <w:tcPr>
            <w:tcW w:w="8573" w:type="dxa"/>
            <w:tcBorders>
              <w:tl2br w:val="nil"/>
              <w:tr2bl w:val="nil"/>
            </w:tcBorders>
            <w:shd w:val="clear" w:color="auto" w:fill="auto"/>
            <w:vAlign w:val="center"/>
          </w:tcPr>
          <w:p w14:paraId="3A7B1B1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100克/份</w:t>
            </w:r>
          </w:p>
        </w:tc>
        <w:tc>
          <w:tcPr>
            <w:tcW w:w="816" w:type="dxa"/>
            <w:tcBorders>
              <w:tl2br w:val="nil"/>
              <w:tr2bl w:val="nil"/>
            </w:tcBorders>
            <w:shd w:val="clear" w:color="auto" w:fill="auto"/>
            <w:vAlign w:val="center"/>
          </w:tcPr>
          <w:p w14:paraId="1C1151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498" w:type="dxa"/>
            <w:tcBorders>
              <w:tl2br w:val="nil"/>
              <w:tr2bl w:val="nil"/>
            </w:tcBorders>
            <w:shd w:val="clear" w:color="auto" w:fill="auto"/>
            <w:vAlign w:val="center"/>
          </w:tcPr>
          <w:p w14:paraId="475812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1A10A89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6651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F2069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164</w:t>
            </w:r>
          </w:p>
        </w:tc>
        <w:tc>
          <w:tcPr>
            <w:tcW w:w="1166" w:type="dxa"/>
            <w:tcBorders>
              <w:tl2br w:val="nil"/>
              <w:tr2bl w:val="nil"/>
            </w:tcBorders>
            <w:shd w:val="clear" w:color="auto" w:fill="auto"/>
            <w:vAlign w:val="center"/>
          </w:tcPr>
          <w:p w14:paraId="6A0785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紫铜片</w:t>
            </w:r>
          </w:p>
        </w:tc>
        <w:tc>
          <w:tcPr>
            <w:tcW w:w="8573" w:type="dxa"/>
            <w:tcBorders>
              <w:tl2br w:val="nil"/>
              <w:tr2bl w:val="nil"/>
            </w:tcBorders>
            <w:shd w:val="clear" w:color="auto" w:fill="auto"/>
            <w:vAlign w:val="center"/>
          </w:tcPr>
          <w:p w14:paraId="083393E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250克/份</w:t>
            </w:r>
          </w:p>
        </w:tc>
        <w:tc>
          <w:tcPr>
            <w:tcW w:w="816" w:type="dxa"/>
            <w:tcBorders>
              <w:tl2br w:val="nil"/>
              <w:tr2bl w:val="nil"/>
            </w:tcBorders>
            <w:shd w:val="clear" w:color="auto" w:fill="auto"/>
            <w:vAlign w:val="center"/>
          </w:tcPr>
          <w:p w14:paraId="27A95B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21EBD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20A5BBB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73A9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B3D626C">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165</w:t>
            </w:r>
          </w:p>
        </w:tc>
        <w:tc>
          <w:tcPr>
            <w:tcW w:w="1166" w:type="dxa"/>
            <w:tcBorders>
              <w:tl2br w:val="nil"/>
              <w:tr2bl w:val="nil"/>
            </w:tcBorders>
            <w:shd w:val="clear" w:color="auto" w:fill="auto"/>
            <w:vAlign w:val="center"/>
          </w:tcPr>
          <w:p w14:paraId="651C350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铜丝</w:t>
            </w:r>
          </w:p>
        </w:tc>
        <w:tc>
          <w:tcPr>
            <w:tcW w:w="8573" w:type="dxa"/>
            <w:tcBorders>
              <w:tl2br w:val="nil"/>
              <w:tr2bl w:val="nil"/>
            </w:tcBorders>
            <w:shd w:val="clear" w:color="auto" w:fill="auto"/>
            <w:vAlign w:val="center"/>
          </w:tcPr>
          <w:p w14:paraId="3437643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100克/份</w:t>
            </w:r>
          </w:p>
        </w:tc>
        <w:tc>
          <w:tcPr>
            <w:tcW w:w="816" w:type="dxa"/>
            <w:tcBorders>
              <w:tl2br w:val="nil"/>
              <w:tr2bl w:val="nil"/>
            </w:tcBorders>
            <w:shd w:val="clear" w:color="auto" w:fill="auto"/>
            <w:vAlign w:val="center"/>
          </w:tcPr>
          <w:p w14:paraId="2C2016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40BEA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份</w:t>
            </w:r>
          </w:p>
        </w:tc>
        <w:tc>
          <w:tcPr>
            <w:tcW w:w="2796" w:type="dxa"/>
            <w:tcBorders>
              <w:tl2br w:val="nil"/>
              <w:tr2bl w:val="nil"/>
            </w:tcBorders>
            <w:shd w:val="clear" w:color="auto" w:fill="auto"/>
            <w:vAlign w:val="center"/>
          </w:tcPr>
          <w:p w14:paraId="1510935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550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8D20C1">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166</w:t>
            </w:r>
          </w:p>
        </w:tc>
        <w:tc>
          <w:tcPr>
            <w:tcW w:w="1166" w:type="dxa"/>
            <w:tcBorders>
              <w:tl2br w:val="nil"/>
              <w:tr2bl w:val="nil"/>
            </w:tcBorders>
            <w:shd w:val="clear" w:color="auto" w:fill="auto"/>
            <w:vAlign w:val="center"/>
          </w:tcPr>
          <w:p w14:paraId="7444D2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定性滤纸</w:t>
            </w:r>
          </w:p>
        </w:tc>
        <w:tc>
          <w:tcPr>
            <w:tcW w:w="8573" w:type="dxa"/>
            <w:tcBorders>
              <w:tl2br w:val="nil"/>
              <w:tr2bl w:val="nil"/>
            </w:tcBorders>
            <w:shd w:val="clear" w:color="auto" w:fill="auto"/>
            <w:vAlign w:val="center"/>
          </w:tcPr>
          <w:p w14:paraId="5C5CB7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快速，9 cm，100 张</w:t>
            </w:r>
          </w:p>
        </w:tc>
        <w:tc>
          <w:tcPr>
            <w:tcW w:w="816" w:type="dxa"/>
            <w:tcBorders>
              <w:tl2br w:val="nil"/>
              <w:tr2bl w:val="nil"/>
            </w:tcBorders>
            <w:shd w:val="clear" w:color="auto" w:fill="auto"/>
            <w:vAlign w:val="center"/>
          </w:tcPr>
          <w:p w14:paraId="0DCA937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6BC7A7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787ACE3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7577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3C25E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167</w:t>
            </w:r>
          </w:p>
        </w:tc>
        <w:tc>
          <w:tcPr>
            <w:tcW w:w="1166" w:type="dxa"/>
            <w:tcBorders>
              <w:tl2br w:val="nil"/>
              <w:tr2bl w:val="nil"/>
            </w:tcBorders>
            <w:shd w:val="clear" w:color="auto" w:fill="auto"/>
            <w:vAlign w:val="center"/>
          </w:tcPr>
          <w:p w14:paraId="357572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定性滤纸</w:t>
            </w:r>
          </w:p>
        </w:tc>
        <w:tc>
          <w:tcPr>
            <w:tcW w:w="8573" w:type="dxa"/>
            <w:tcBorders>
              <w:tl2br w:val="nil"/>
              <w:tr2bl w:val="nil"/>
            </w:tcBorders>
            <w:shd w:val="clear" w:color="auto" w:fill="auto"/>
            <w:vAlign w:val="center"/>
          </w:tcPr>
          <w:p w14:paraId="0DFF259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快速，15 cm，100 张</w:t>
            </w:r>
          </w:p>
        </w:tc>
        <w:tc>
          <w:tcPr>
            <w:tcW w:w="816" w:type="dxa"/>
            <w:tcBorders>
              <w:tl2br w:val="nil"/>
              <w:tr2bl w:val="nil"/>
            </w:tcBorders>
            <w:shd w:val="clear" w:color="auto" w:fill="auto"/>
            <w:vAlign w:val="center"/>
          </w:tcPr>
          <w:p w14:paraId="295662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DB893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0903176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187D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3F219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168</w:t>
            </w:r>
          </w:p>
        </w:tc>
        <w:tc>
          <w:tcPr>
            <w:tcW w:w="1166" w:type="dxa"/>
            <w:tcBorders>
              <w:tl2br w:val="nil"/>
              <w:tr2bl w:val="nil"/>
            </w:tcBorders>
            <w:shd w:val="clear" w:color="auto" w:fill="auto"/>
            <w:vAlign w:val="center"/>
          </w:tcPr>
          <w:p w14:paraId="0F2088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金属矿物、金属</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及合金标本</w:t>
            </w:r>
          </w:p>
        </w:tc>
        <w:tc>
          <w:tcPr>
            <w:tcW w:w="8573" w:type="dxa"/>
            <w:tcBorders>
              <w:tl2br w:val="nil"/>
              <w:tr2bl w:val="nil"/>
            </w:tcBorders>
            <w:shd w:val="clear" w:color="auto" w:fill="auto"/>
            <w:vAlign w:val="center"/>
          </w:tcPr>
          <w:p w14:paraId="59D619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标本盒≥180 mm×150 mm×50 mm，每种类型不少于 5 种，耐用， 不易损坏， 便于保存，适合观察</w:t>
            </w:r>
          </w:p>
        </w:tc>
        <w:tc>
          <w:tcPr>
            <w:tcW w:w="816" w:type="dxa"/>
            <w:tcBorders>
              <w:tl2br w:val="nil"/>
              <w:tr2bl w:val="nil"/>
            </w:tcBorders>
            <w:shd w:val="clear" w:color="auto" w:fill="auto"/>
            <w:vAlign w:val="center"/>
          </w:tcPr>
          <w:p w14:paraId="69F10A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C585C3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1D7B25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08206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C768E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169</w:t>
            </w:r>
          </w:p>
        </w:tc>
        <w:tc>
          <w:tcPr>
            <w:tcW w:w="1166" w:type="dxa"/>
            <w:tcBorders>
              <w:tl2br w:val="nil"/>
              <w:tr2bl w:val="nil"/>
            </w:tcBorders>
            <w:shd w:val="clear" w:color="auto" w:fill="auto"/>
            <w:vAlign w:val="center"/>
          </w:tcPr>
          <w:p w14:paraId="163B39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溶液导电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演示器</w:t>
            </w:r>
          </w:p>
        </w:tc>
        <w:tc>
          <w:tcPr>
            <w:tcW w:w="8573" w:type="dxa"/>
            <w:tcBorders>
              <w:tl2br w:val="nil"/>
              <w:tr2bl w:val="nil"/>
            </w:tcBorders>
            <w:shd w:val="clear" w:color="auto" w:fill="auto"/>
            <w:vAlign w:val="center"/>
          </w:tcPr>
          <w:p w14:paraId="552A88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电表式， 10 mA， DC6 V，串联电位器 1 kΩ ，电阻 560 Ω 。五组溶液同时比较， 1×7 开关（其中一档校准），采用不锈钢或石墨电极</w:t>
            </w:r>
          </w:p>
        </w:tc>
        <w:tc>
          <w:tcPr>
            <w:tcW w:w="816" w:type="dxa"/>
            <w:tcBorders>
              <w:tl2br w:val="nil"/>
              <w:tr2bl w:val="nil"/>
            </w:tcBorders>
            <w:shd w:val="clear" w:color="auto" w:fill="auto"/>
            <w:vAlign w:val="center"/>
          </w:tcPr>
          <w:p w14:paraId="13B49D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02395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657720E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93BF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F8C0B1A">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170</w:t>
            </w:r>
          </w:p>
        </w:tc>
        <w:tc>
          <w:tcPr>
            <w:tcW w:w="1166" w:type="dxa"/>
            <w:tcBorders>
              <w:tl2br w:val="nil"/>
              <w:tr2bl w:val="nil"/>
            </w:tcBorders>
            <w:shd w:val="clear" w:color="auto" w:fill="auto"/>
            <w:vAlign w:val="center"/>
          </w:tcPr>
          <w:p w14:paraId="4C0EEE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微型溶液导电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实验器</w:t>
            </w:r>
          </w:p>
        </w:tc>
        <w:tc>
          <w:tcPr>
            <w:tcW w:w="8573" w:type="dxa"/>
            <w:tcBorders>
              <w:tl2br w:val="nil"/>
              <w:tr2bl w:val="nil"/>
            </w:tcBorders>
            <w:shd w:val="clear" w:color="auto" w:fill="auto"/>
            <w:vAlign w:val="center"/>
          </w:tcPr>
          <w:p w14:paraId="76FC516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中学化学教学中电解质溶液的实验，使学生了解强电解质与弱电解质的概念，理解电解质溶液导电的实质。仪器为手持便携式，主体采用优质硬质工程塑料，与两根电极采用一体式设计，手握部分外形采用符合人体工程学的波浪形，正面指压式开关，由六个发光二极管组成测量显示，测试不同溶液时，当该溶液导电越强，发光二极管发光个数越多，直至六个全部发亮；反之，当在绝缘状态时全部不亮。背面电池盒两个5号干电池插槽，电极采用不锈钢金属材质，尖端貌状处理避免戳伤学生，不锈钢电极长80mm。</w:t>
            </w:r>
          </w:p>
        </w:tc>
        <w:tc>
          <w:tcPr>
            <w:tcW w:w="816" w:type="dxa"/>
            <w:tcBorders>
              <w:tl2br w:val="nil"/>
              <w:tr2bl w:val="nil"/>
            </w:tcBorders>
            <w:shd w:val="clear" w:color="auto" w:fill="auto"/>
            <w:vAlign w:val="center"/>
          </w:tcPr>
          <w:p w14:paraId="43DCEA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E10C2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514735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674CE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BB449B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171</w:t>
            </w:r>
          </w:p>
        </w:tc>
        <w:tc>
          <w:tcPr>
            <w:tcW w:w="1166" w:type="dxa"/>
            <w:tcBorders>
              <w:tl2br w:val="nil"/>
              <w:tr2bl w:val="nil"/>
            </w:tcBorders>
            <w:shd w:val="clear" w:color="auto" w:fill="auto"/>
            <w:vAlign w:val="center"/>
          </w:tcPr>
          <w:p w14:paraId="1D20DB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水电解演示器</w:t>
            </w:r>
          </w:p>
        </w:tc>
        <w:tc>
          <w:tcPr>
            <w:tcW w:w="8573" w:type="dxa"/>
            <w:tcBorders>
              <w:tl2br w:val="nil"/>
              <w:tr2bl w:val="nil"/>
            </w:tcBorders>
            <w:shd w:val="clear" w:color="auto" w:fill="auto"/>
            <w:vAlign w:val="center"/>
          </w:tcPr>
          <w:p w14:paraId="56BE7E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电解液为 10％NaOH 或者 5％H2SO4 溶液，碱式或酸式。实验时间：制取 30 mL 氢气，使用电压 9 V，时间约 5 min。制取氢气一端的气体出口应采用尖嘴导管。制取氧气一端的气体出口应采用贮气漏斗。贮气漏斗的容积应为 10 mL。加液漏斗容积≥80 mL。电极材料应使电解水时产生的氢气与氧气的体积之比为 2:1，误差≤5％玻璃仪器无明显外观缺陷，便于操作、耐用，电极不易损坏； 刻度清晰耐磨， 示数易于读取</w:t>
            </w:r>
          </w:p>
        </w:tc>
        <w:tc>
          <w:tcPr>
            <w:tcW w:w="816" w:type="dxa"/>
            <w:tcBorders>
              <w:tl2br w:val="nil"/>
              <w:tr2bl w:val="nil"/>
            </w:tcBorders>
            <w:shd w:val="clear" w:color="auto" w:fill="auto"/>
            <w:vAlign w:val="center"/>
          </w:tcPr>
          <w:p w14:paraId="0B47FB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16F5DB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3E9A72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9C4B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072442">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172</w:t>
            </w:r>
          </w:p>
        </w:tc>
        <w:tc>
          <w:tcPr>
            <w:tcW w:w="1166" w:type="dxa"/>
            <w:tcBorders>
              <w:tl2br w:val="nil"/>
              <w:tr2bl w:val="nil"/>
            </w:tcBorders>
            <w:shd w:val="clear" w:color="auto" w:fill="auto"/>
            <w:vAlign w:val="center"/>
          </w:tcPr>
          <w:p w14:paraId="03686D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金刚石结构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模型</w:t>
            </w:r>
          </w:p>
        </w:tc>
        <w:tc>
          <w:tcPr>
            <w:tcW w:w="8573" w:type="dxa"/>
            <w:tcBorders>
              <w:tl2br w:val="nil"/>
              <w:tr2bl w:val="nil"/>
            </w:tcBorders>
            <w:shd w:val="clear" w:color="auto" w:fill="auto"/>
            <w:vAlign w:val="center"/>
          </w:tcPr>
          <w:p w14:paraId="419B912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碳原子： Φ 30 mm 的 4 孔黑色塑料球 30 个；化学键： Φ 3 mm×35 mm 镀镍金属杆 40 根</w:t>
            </w:r>
          </w:p>
        </w:tc>
        <w:tc>
          <w:tcPr>
            <w:tcW w:w="816" w:type="dxa"/>
            <w:tcBorders>
              <w:tl2br w:val="nil"/>
              <w:tr2bl w:val="nil"/>
            </w:tcBorders>
            <w:shd w:val="clear" w:color="auto" w:fill="auto"/>
            <w:vAlign w:val="center"/>
          </w:tcPr>
          <w:p w14:paraId="31CC9D4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5F8F0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31129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514D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2126CB">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173</w:t>
            </w:r>
          </w:p>
        </w:tc>
        <w:tc>
          <w:tcPr>
            <w:tcW w:w="1166" w:type="dxa"/>
            <w:tcBorders>
              <w:tl2br w:val="nil"/>
              <w:tr2bl w:val="nil"/>
            </w:tcBorders>
            <w:shd w:val="clear" w:color="auto" w:fill="auto"/>
            <w:vAlign w:val="center"/>
          </w:tcPr>
          <w:p w14:paraId="0AF5CF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石墨结构模型</w:t>
            </w:r>
          </w:p>
        </w:tc>
        <w:tc>
          <w:tcPr>
            <w:tcW w:w="8573" w:type="dxa"/>
            <w:tcBorders>
              <w:tl2br w:val="nil"/>
              <w:tr2bl w:val="nil"/>
            </w:tcBorders>
            <w:shd w:val="clear" w:color="auto" w:fill="auto"/>
            <w:vAlign w:val="center"/>
          </w:tcPr>
          <w:p w14:paraId="1F57B6E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碳原子： Φ 30 mm 的 5 孔黑色塑料球 39 个；化学键： Φ 3 mm×50 mm 镀镍金属杆 45 根， Φ 3 mm×90 mm 镀镍金属杆 14 根</w:t>
            </w:r>
          </w:p>
        </w:tc>
        <w:tc>
          <w:tcPr>
            <w:tcW w:w="816" w:type="dxa"/>
            <w:tcBorders>
              <w:tl2br w:val="nil"/>
              <w:tr2bl w:val="nil"/>
            </w:tcBorders>
            <w:shd w:val="clear" w:color="auto" w:fill="auto"/>
            <w:vAlign w:val="center"/>
          </w:tcPr>
          <w:p w14:paraId="6F1FE6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61A4E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61B848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A8222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82585F">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174</w:t>
            </w:r>
          </w:p>
        </w:tc>
        <w:tc>
          <w:tcPr>
            <w:tcW w:w="1166" w:type="dxa"/>
            <w:tcBorders>
              <w:tl2br w:val="nil"/>
              <w:tr2bl w:val="nil"/>
            </w:tcBorders>
            <w:shd w:val="clear" w:color="auto" w:fill="auto"/>
            <w:vAlign w:val="center"/>
          </w:tcPr>
          <w:p w14:paraId="74B76C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碳-60结构模型</w:t>
            </w:r>
          </w:p>
        </w:tc>
        <w:tc>
          <w:tcPr>
            <w:tcW w:w="8573" w:type="dxa"/>
            <w:tcBorders>
              <w:tl2br w:val="nil"/>
              <w:tr2bl w:val="nil"/>
            </w:tcBorders>
            <w:shd w:val="clear" w:color="auto" w:fill="auto"/>
            <w:vAlign w:val="center"/>
          </w:tcPr>
          <w:p w14:paraId="32E10F5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碳原子： Φ 30mm 的 3 孔黑色塑料球 60 个；化学键： Φ 6mm×25mm 的镀镍金属杆 90 根</w:t>
            </w:r>
          </w:p>
        </w:tc>
        <w:tc>
          <w:tcPr>
            <w:tcW w:w="816" w:type="dxa"/>
            <w:tcBorders>
              <w:tl2br w:val="nil"/>
              <w:tr2bl w:val="nil"/>
            </w:tcBorders>
            <w:shd w:val="clear" w:color="auto" w:fill="auto"/>
            <w:vAlign w:val="center"/>
          </w:tcPr>
          <w:p w14:paraId="5AD4D6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4465F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7E7B4C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D365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C914C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175</w:t>
            </w:r>
          </w:p>
        </w:tc>
        <w:tc>
          <w:tcPr>
            <w:tcW w:w="1166" w:type="dxa"/>
            <w:tcBorders>
              <w:tl2br w:val="nil"/>
              <w:tr2bl w:val="nil"/>
            </w:tcBorders>
            <w:shd w:val="clear" w:color="auto" w:fill="auto"/>
            <w:vAlign w:val="center"/>
          </w:tcPr>
          <w:p w14:paraId="3D0C97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碘升华凝华管</w:t>
            </w:r>
          </w:p>
        </w:tc>
        <w:tc>
          <w:tcPr>
            <w:tcW w:w="8573" w:type="dxa"/>
            <w:tcBorders>
              <w:tl2br w:val="nil"/>
              <w:tr2bl w:val="nil"/>
            </w:tcBorders>
            <w:shd w:val="clear" w:color="auto" w:fill="auto"/>
            <w:vAlign w:val="center"/>
          </w:tcPr>
          <w:p w14:paraId="558F31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34 mm×28 mm，应采用无色透明硼硅酸盐玻璃制造，手柄与主管应连接平滑牢固，不应偏歪；主管应加碘后密封，两端面呈球面凹形，手柄靠近主管处应密封；玻璃仪器均匀透明无气泡，耐用，不易碎，采用酒精灯加热不易变形</w:t>
            </w:r>
          </w:p>
        </w:tc>
        <w:tc>
          <w:tcPr>
            <w:tcW w:w="816" w:type="dxa"/>
            <w:tcBorders>
              <w:tl2br w:val="nil"/>
              <w:tr2bl w:val="nil"/>
            </w:tcBorders>
            <w:shd w:val="clear" w:color="auto" w:fill="auto"/>
            <w:vAlign w:val="center"/>
          </w:tcPr>
          <w:p w14:paraId="4FD51E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2206F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25DD3A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07F6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F48A1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176</w:t>
            </w:r>
          </w:p>
        </w:tc>
        <w:tc>
          <w:tcPr>
            <w:tcW w:w="1166" w:type="dxa"/>
            <w:tcBorders>
              <w:tl2br w:val="nil"/>
              <w:tr2bl w:val="nil"/>
            </w:tcBorders>
            <w:shd w:val="clear" w:color="auto" w:fill="auto"/>
            <w:vAlign w:val="center"/>
          </w:tcPr>
          <w:p w14:paraId="504D57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分子结构模型</w:t>
            </w:r>
          </w:p>
        </w:tc>
        <w:tc>
          <w:tcPr>
            <w:tcW w:w="8573" w:type="dxa"/>
            <w:tcBorders>
              <w:tl2br w:val="nil"/>
              <w:tr2bl w:val="nil"/>
            </w:tcBorders>
            <w:shd w:val="clear" w:color="auto" w:fill="auto"/>
            <w:vAlign w:val="center"/>
          </w:tcPr>
          <w:p w14:paraId="4C559A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球棍式或比例式； Φ 40 mm 塑料球：碳原子（黑色） 4 个，氧原子（红色） 13 个，氮原子（深蓝色） 2 个，硫原子（黄色） 2 个； Φ 30 mm 塑料球：氢原子（白色） 12 个能够完成水、氢气、氧气、二氧化碳等分子模型的搭建</w:t>
            </w:r>
          </w:p>
        </w:tc>
        <w:tc>
          <w:tcPr>
            <w:tcW w:w="816" w:type="dxa"/>
            <w:tcBorders>
              <w:tl2br w:val="nil"/>
              <w:tr2bl w:val="nil"/>
            </w:tcBorders>
            <w:shd w:val="clear" w:color="auto" w:fill="auto"/>
            <w:vAlign w:val="center"/>
          </w:tcPr>
          <w:p w14:paraId="15CDC1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C0ECD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0260DF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F1A91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4D7CB8">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177</w:t>
            </w:r>
          </w:p>
        </w:tc>
        <w:tc>
          <w:tcPr>
            <w:tcW w:w="1166" w:type="dxa"/>
            <w:tcBorders>
              <w:tl2br w:val="nil"/>
              <w:tr2bl w:val="nil"/>
            </w:tcBorders>
            <w:shd w:val="clear" w:color="auto" w:fill="auto"/>
            <w:vAlign w:val="center"/>
          </w:tcPr>
          <w:p w14:paraId="32C7684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氯化钠晶体结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构模型</w:t>
            </w:r>
          </w:p>
        </w:tc>
        <w:tc>
          <w:tcPr>
            <w:tcW w:w="8573" w:type="dxa"/>
            <w:tcBorders>
              <w:tl2br w:val="nil"/>
              <w:tr2bl w:val="nil"/>
            </w:tcBorders>
            <w:shd w:val="clear" w:color="auto" w:fill="auto"/>
            <w:vAlign w:val="center"/>
          </w:tcPr>
          <w:p w14:paraId="4CCA42B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球棍式，氯原子 Φ 30 mm 的 6 孔绿色塑料球 13个；钠原子 Φ 30 mm 的 6 孔银灰色塑料球 14 个；化学键： Φ 3 mm×60 mm 的镀镍金属杆 54 根</w:t>
            </w:r>
          </w:p>
        </w:tc>
        <w:tc>
          <w:tcPr>
            <w:tcW w:w="816" w:type="dxa"/>
            <w:tcBorders>
              <w:tl2br w:val="nil"/>
              <w:tr2bl w:val="nil"/>
            </w:tcBorders>
            <w:shd w:val="clear" w:color="auto" w:fill="auto"/>
            <w:vAlign w:val="center"/>
          </w:tcPr>
          <w:p w14:paraId="460229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E9E80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1128C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9591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93E0B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178</w:t>
            </w:r>
          </w:p>
        </w:tc>
        <w:tc>
          <w:tcPr>
            <w:tcW w:w="1166" w:type="dxa"/>
            <w:tcBorders>
              <w:tl2br w:val="nil"/>
              <w:tr2bl w:val="nil"/>
            </w:tcBorders>
            <w:shd w:val="clear" w:color="auto" w:fill="auto"/>
            <w:vAlign w:val="center"/>
          </w:tcPr>
          <w:p w14:paraId="7791D5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元素周期表</w:t>
            </w:r>
          </w:p>
        </w:tc>
        <w:tc>
          <w:tcPr>
            <w:tcW w:w="8573" w:type="dxa"/>
            <w:tcBorders>
              <w:tl2br w:val="nil"/>
              <w:tr2bl w:val="nil"/>
            </w:tcBorders>
            <w:shd w:val="clear" w:color="auto" w:fill="auto"/>
            <w:vAlign w:val="center"/>
          </w:tcPr>
          <w:p w14:paraId="775BC2B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带轴， ≥150 cm×110 cm，字迹信息清晰，易于观看</w:t>
            </w:r>
          </w:p>
        </w:tc>
        <w:tc>
          <w:tcPr>
            <w:tcW w:w="816" w:type="dxa"/>
            <w:tcBorders>
              <w:tl2br w:val="nil"/>
              <w:tr2bl w:val="nil"/>
            </w:tcBorders>
            <w:shd w:val="clear" w:color="auto" w:fill="auto"/>
            <w:vAlign w:val="center"/>
          </w:tcPr>
          <w:p w14:paraId="5392AE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DAE3B4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0A9286D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034F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4FDEE7">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179</w:t>
            </w:r>
          </w:p>
        </w:tc>
        <w:tc>
          <w:tcPr>
            <w:tcW w:w="1166" w:type="dxa"/>
            <w:tcBorders>
              <w:tl2br w:val="nil"/>
              <w:tr2bl w:val="nil"/>
            </w:tcBorders>
            <w:shd w:val="clear" w:color="auto" w:fill="auto"/>
            <w:vAlign w:val="center"/>
          </w:tcPr>
          <w:p w14:paraId="04D8ED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原油常见馏分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标本</w:t>
            </w:r>
          </w:p>
        </w:tc>
        <w:tc>
          <w:tcPr>
            <w:tcW w:w="8573" w:type="dxa"/>
            <w:tcBorders>
              <w:tl2br w:val="nil"/>
              <w:tr2bl w:val="nil"/>
            </w:tcBorders>
            <w:shd w:val="clear" w:color="auto" w:fill="auto"/>
            <w:vAlign w:val="center"/>
          </w:tcPr>
          <w:p w14:paraId="4FE70C7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不少于 8 种，耐用，易于储存，便于观察，密封完好，固定牢固</w:t>
            </w:r>
          </w:p>
        </w:tc>
        <w:tc>
          <w:tcPr>
            <w:tcW w:w="816" w:type="dxa"/>
            <w:tcBorders>
              <w:tl2br w:val="nil"/>
              <w:tr2bl w:val="nil"/>
            </w:tcBorders>
            <w:shd w:val="clear" w:color="auto" w:fill="auto"/>
            <w:vAlign w:val="center"/>
          </w:tcPr>
          <w:p w14:paraId="439AE21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01CB9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6F89D72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77DED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8CB1FB5">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180</w:t>
            </w:r>
          </w:p>
        </w:tc>
        <w:tc>
          <w:tcPr>
            <w:tcW w:w="1166" w:type="dxa"/>
            <w:tcBorders>
              <w:tl2br w:val="nil"/>
              <w:tr2bl w:val="nil"/>
            </w:tcBorders>
            <w:shd w:val="clear" w:color="auto" w:fill="auto"/>
            <w:vAlign w:val="center"/>
          </w:tcPr>
          <w:p w14:paraId="09D8ED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炼铁高炉模型</w:t>
            </w:r>
          </w:p>
        </w:tc>
        <w:tc>
          <w:tcPr>
            <w:tcW w:w="8573" w:type="dxa"/>
            <w:tcBorders>
              <w:tl2br w:val="nil"/>
              <w:tr2bl w:val="nil"/>
            </w:tcBorders>
            <w:shd w:val="clear" w:color="auto" w:fill="auto"/>
            <w:vAlign w:val="center"/>
          </w:tcPr>
          <w:p w14:paraId="374864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模型高度≥650 mm。主要结构应用标签注明，标注应准确、清晰、牢固。各部件位置正确、连接牢固，不得因正常震动、碰触而开裂、松脱</w:t>
            </w:r>
          </w:p>
        </w:tc>
        <w:tc>
          <w:tcPr>
            <w:tcW w:w="816" w:type="dxa"/>
            <w:tcBorders>
              <w:tl2br w:val="nil"/>
              <w:tr2bl w:val="nil"/>
            </w:tcBorders>
            <w:shd w:val="clear" w:color="auto" w:fill="auto"/>
            <w:vAlign w:val="center"/>
          </w:tcPr>
          <w:p w14:paraId="14CFEE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08E5A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6CB2F7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4356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B8610E">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181</w:t>
            </w:r>
          </w:p>
        </w:tc>
        <w:tc>
          <w:tcPr>
            <w:tcW w:w="1166" w:type="dxa"/>
            <w:tcBorders>
              <w:tl2br w:val="nil"/>
              <w:tr2bl w:val="nil"/>
            </w:tcBorders>
            <w:shd w:val="clear" w:color="auto" w:fill="auto"/>
            <w:vAlign w:val="center"/>
          </w:tcPr>
          <w:p w14:paraId="405EFB4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合成有机高分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子材料标本</w:t>
            </w:r>
          </w:p>
        </w:tc>
        <w:tc>
          <w:tcPr>
            <w:tcW w:w="8573" w:type="dxa"/>
            <w:tcBorders>
              <w:tl2br w:val="nil"/>
              <w:tr2bl w:val="nil"/>
            </w:tcBorders>
            <w:shd w:val="clear" w:color="auto" w:fill="auto"/>
            <w:vAlign w:val="center"/>
          </w:tcPr>
          <w:p w14:paraId="31BF685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不少于 10 种，材料新颖，标识清楚，固定结实，不易脱落</w:t>
            </w:r>
          </w:p>
        </w:tc>
        <w:tc>
          <w:tcPr>
            <w:tcW w:w="816" w:type="dxa"/>
            <w:tcBorders>
              <w:tl2br w:val="nil"/>
              <w:tr2bl w:val="nil"/>
            </w:tcBorders>
            <w:shd w:val="clear" w:color="auto" w:fill="auto"/>
            <w:vAlign w:val="center"/>
          </w:tcPr>
          <w:p w14:paraId="0910A2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88BB9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0586F6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0DC1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E96C26">
            <w:pPr>
              <w:keepNext w:val="0"/>
              <w:keepLines w:val="0"/>
              <w:widowControl/>
              <w:suppressLineNumbers w:val="0"/>
              <w:jc w:val="righ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4"/>
                <w:szCs w:val="24"/>
                <w:u w:val="none"/>
                <w:lang w:val="en-US" w:eastAsia="zh-CN" w:bidi="ar"/>
              </w:rPr>
              <w:t>182</w:t>
            </w:r>
          </w:p>
        </w:tc>
        <w:tc>
          <w:tcPr>
            <w:tcW w:w="1166" w:type="dxa"/>
            <w:tcBorders>
              <w:tl2br w:val="nil"/>
              <w:tr2bl w:val="nil"/>
            </w:tcBorders>
            <w:shd w:val="clear" w:color="auto" w:fill="auto"/>
            <w:vAlign w:val="center"/>
          </w:tcPr>
          <w:p w14:paraId="6871645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新型无机非金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属材料标本</w:t>
            </w:r>
          </w:p>
        </w:tc>
        <w:tc>
          <w:tcPr>
            <w:tcW w:w="8573" w:type="dxa"/>
            <w:tcBorders>
              <w:tl2br w:val="nil"/>
              <w:tr2bl w:val="nil"/>
            </w:tcBorders>
            <w:shd w:val="clear" w:color="auto" w:fill="auto"/>
            <w:vAlign w:val="center"/>
          </w:tcPr>
          <w:p w14:paraId="411C256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标本盒体积≥180 mm×150 mm×50 mm，包括氧化铝陶瓷、氮化硅陶瓷、光导纤维等，材料新颖，标识清楚，固定结实，不易脱落。陶瓷和玻璃切割整齐，美观</w:t>
            </w:r>
          </w:p>
        </w:tc>
        <w:tc>
          <w:tcPr>
            <w:tcW w:w="816" w:type="dxa"/>
            <w:tcBorders>
              <w:tl2br w:val="nil"/>
              <w:tr2bl w:val="nil"/>
            </w:tcBorders>
            <w:shd w:val="clear" w:color="auto" w:fill="auto"/>
            <w:vAlign w:val="center"/>
          </w:tcPr>
          <w:p w14:paraId="55BEE2B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92D25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0AF0A8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4BFE4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5D1B0EB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6.生物实验室</w:t>
            </w:r>
          </w:p>
        </w:tc>
      </w:tr>
      <w:tr w14:paraId="2F42F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5EC17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1E0B42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学生凳</w:t>
            </w:r>
          </w:p>
        </w:tc>
        <w:tc>
          <w:tcPr>
            <w:tcW w:w="8573" w:type="dxa"/>
            <w:tcBorders>
              <w:tl2br w:val="nil"/>
              <w:tr2bl w:val="nil"/>
            </w:tcBorders>
            <w:shd w:val="clear" w:color="auto" w:fill="auto"/>
            <w:vAlign w:val="center"/>
          </w:tcPr>
          <w:p w14:paraId="2BDF0EA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816" w:type="dxa"/>
            <w:tcBorders>
              <w:tl2br w:val="nil"/>
              <w:tr2bl w:val="nil"/>
            </w:tcBorders>
            <w:shd w:val="clear" w:color="auto" w:fill="auto"/>
            <w:vAlign w:val="center"/>
          </w:tcPr>
          <w:p w14:paraId="5A36E0D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96</w:t>
            </w:r>
          </w:p>
        </w:tc>
        <w:tc>
          <w:tcPr>
            <w:tcW w:w="498" w:type="dxa"/>
            <w:tcBorders>
              <w:tl2br w:val="nil"/>
              <w:tr2bl w:val="nil"/>
            </w:tcBorders>
            <w:shd w:val="clear" w:color="auto" w:fill="auto"/>
            <w:vAlign w:val="center"/>
          </w:tcPr>
          <w:p w14:paraId="3FDAD9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0E665E6">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57250" cy="1028700"/>
                  <wp:effectExtent l="0" t="0" r="0" b="0"/>
                  <wp:docPr id="25"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descr="IMG_256"/>
                          <pic:cNvPicPr>
                            <a:picLocks noChangeAspect="1"/>
                          </pic:cNvPicPr>
                        </pic:nvPicPr>
                        <pic:blipFill>
                          <a:blip r:embed="rId15"/>
                          <a:stretch>
                            <a:fillRect/>
                          </a:stretch>
                        </pic:blipFill>
                        <pic:spPr>
                          <a:xfrm>
                            <a:off x="0" y="0"/>
                            <a:ext cx="857250" cy="1028700"/>
                          </a:xfrm>
                          <a:prstGeom prst="rect">
                            <a:avLst/>
                          </a:prstGeom>
                          <a:noFill/>
                          <a:ln w="9525">
                            <a:noFill/>
                          </a:ln>
                        </pic:spPr>
                      </pic:pic>
                    </a:graphicData>
                  </a:graphic>
                </wp:inline>
              </w:drawing>
            </w:r>
          </w:p>
        </w:tc>
      </w:tr>
      <w:tr w14:paraId="7C2BF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31A3BEA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7.生物仪器室</w:t>
            </w:r>
          </w:p>
        </w:tc>
      </w:tr>
      <w:tr w14:paraId="50C77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9418A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5154C9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灭火毯</w:t>
            </w:r>
          </w:p>
        </w:tc>
        <w:tc>
          <w:tcPr>
            <w:tcW w:w="8573" w:type="dxa"/>
            <w:tcBorders>
              <w:tl2br w:val="nil"/>
              <w:tr2bl w:val="nil"/>
            </w:tcBorders>
            <w:shd w:val="clear" w:color="auto" w:fill="auto"/>
            <w:vAlign w:val="center"/>
          </w:tcPr>
          <w:p w14:paraId="088B47C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玻璃纤维材质，≥1200 mm×1800 mm 。在500℃~1000℃内，产品无变化，耐热性强。经过特殊处理的玻璃纤维锻纹织物如丝绸一样光滑、柔软紧密，快速阻燃，有效灭火。</w:t>
            </w:r>
          </w:p>
        </w:tc>
        <w:tc>
          <w:tcPr>
            <w:tcW w:w="816" w:type="dxa"/>
            <w:tcBorders>
              <w:tl2br w:val="nil"/>
              <w:tr2bl w:val="nil"/>
            </w:tcBorders>
            <w:shd w:val="clear" w:color="auto" w:fill="auto"/>
            <w:vAlign w:val="center"/>
          </w:tcPr>
          <w:p w14:paraId="5113FA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F9184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2C5D21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55772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35F5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 </w:t>
            </w:r>
          </w:p>
        </w:tc>
        <w:tc>
          <w:tcPr>
            <w:tcW w:w="1166" w:type="dxa"/>
            <w:tcBorders>
              <w:tl2br w:val="nil"/>
              <w:tr2bl w:val="nil"/>
            </w:tcBorders>
            <w:shd w:val="clear" w:color="auto" w:fill="auto"/>
            <w:vAlign w:val="center"/>
          </w:tcPr>
          <w:p w14:paraId="2A834E0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简易急救箱</w:t>
            </w:r>
          </w:p>
        </w:tc>
        <w:tc>
          <w:tcPr>
            <w:tcW w:w="8573" w:type="dxa"/>
            <w:tcBorders>
              <w:tl2br w:val="nil"/>
              <w:tr2bl w:val="nil"/>
            </w:tcBorders>
            <w:shd w:val="clear" w:color="auto" w:fill="auto"/>
            <w:vAlign w:val="center"/>
          </w:tcPr>
          <w:p w14:paraId="515D65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化学实验必备用品，用于实验出现事故急救用。配置如下：消毒（剂碘酒1瓶）、烫伤药（烫伤油膏或凡士林1盒）、治疗药品（药棉1包、创口贴5张、绷带1卷、胶布1卷、剪刀1把、医用镊子1个）。</w:t>
            </w:r>
          </w:p>
        </w:tc>
        <w:tc>
          <w:tcPr>
            <w:tcW w:w="816" w:type="dxa"/>
            <w:tcBorders>
              <w:tl2br w:val="nil"/>
              <w:tr2bl w:val="nil"/>
            </w:tcBorders>
            <w:shd w:val="clear" w:color="auto" w:fill="auto"/>
            <w:vAlign w:val="center"/>
          </w:tcPr>
          <w:p w14:paraId="333680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E4130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50A419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1E7A4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7B65D4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 </w:t>
            </w:r>
          </w:p>
        </w:tc>
        <w:tc>
          <w:tcPr>
            <w:tcW w:w="1166" w:type="dxa"/>
            <w:tcBorders>
              <w:tl2br w:val="nil"/>
              <w:tr2bl w:val="nil"/>
            </w:tcBorders>
            <w:shd w:val="clear" w:color="auto" w:fill="auto"/>
            <w:vAlign w:val="center"/>
          </w:tcPr>
          <w:p w14:paraId="127FAC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实验服</w:t>
            </w:r>
          </w:p>
        </w:tc>
        <w:tc>
          <w:tcPr>
            <w:tcW w:w="8573" w:type="dxa"/>
            <w:tcBorders>
              <w:tl2br w:val="nil"/>
              <w:tr2bl w:val="nil"/>
            </w:tcBorders>
            <w:shd w:val="clear" w:color="auto" w:fill="auto"/>
            <w:vAlign w:val="center"/>
          </w:tcPr>
          <w:p w14:paraId="5923CDE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实验室防护用具，白大褂，由白色布料制成，可防酸碱。</w:t>
            </w:r>
          </w:p>
        </w:tc>
        <w:tc>
          <w:tcPr>
            <w:tcW w:w="816" w:type="dxa"/>
            <w:tcBorders>
              <w:tl2br w:val="nil"/>
              <w:tr2bl w:val="nil"/>
            </w:tcBorders>
            <w:shd w:val="clear" w:color="auto" w:fill="auto"/>
            <w:vAlign w:val="center"/>
          </w:tcPr>
          <w:p w14:paraId="619F2C7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5C43A96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4C7764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CECF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B9355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 </w:t>
            </w:r>
          </w:p>
        </w:tc>
        <w:tc>
          <w:tcPr>
            <w:tcW w:w="1166" w:type="dxa"/>
            <w:tcBorders>
              <w:tl2br w:val="nil"/>
              <w:tr2bl w:val="nil"/>
            </w:tcBorders>
            <w:shd w:val="clear" w:color="auto" w:fill="auto"/>
            <w:vAlign w:val="center"/>
          </w:tcPr>
          <w:p w14:paraId="216084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乳胶手套</w:t>
            </w:r>
          </w:p>
        </w:tc>
        <w:tc>
          <w:tcPr>
            <w:tcW w:w="8573" w:type="dxa"/>
            <w:tcBorders>
              <w:tl2br w:val="nil"/>
              <w:tr2bl w:val="nil"/>
            </w:tcBorders>
            <w:shd w:val="clear" w:color="auto" w:fill="auto"/>
            <w:vAlign w:val="center"/>
          </w:tcPr>
          <w:p w14:paraId="6B58311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实验室防护用具，手套经浸塑处理，应耐酸、耐碱、耐油。</w:t>
            </w:r>
          </w:p>
        </w:tc>
        <w:tc>
          <w:tcPr>
            <w:tcW w:w="816" w:type="dxa"/>
            <w:tcBorders>
              <w:tl2br w:val="nil"/>
              <w:tr2bl w:val="nil"/>
            </w:tcBorders>
            <w:shd w:val="clear" w:color="auto" w:fill="auto"/>
            <w:vAlign w:val="center"/>
          </w:tcPr>
          <w:p w14:paraId="7887F1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ECF8C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副</w:t>
            </w:r>
          </w:p>
        </w:tc>
        <w:tc>
          <w:tcPr>
            <w:tcW w:w="2796" w:type="dxa"/>
            <w:tcBorders>
              <w:tl2br w:val="nil"/>
              <w:tr2bl w:val="nil"/>
            </w:tcBorders>
            <w:shd w:val="clear" w:color="auto" w:fill="auto"/>
            <w:vAlign w:val="center"/>
          </w:tcPr>
          <w:p w14:paraId="48B5D6F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36822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949A0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 </w:t>
            </w:r>
          </w:p>
        </w:tc>
        <w:tc>
          <w:tcPr>
            <w:tcW w:w="1166" w:type="dxa"/>
            <w:tcBorders>
              <w:tl2br w:val="nil"/>
              <w:tr2bl w:val="nil"/>
            </w:tcBorders>
            <w:shd w:val="clear" w:color="auto" w:fill="auto"/>
            <w:vAlign w:val="center"/>
          </w:tcPr>
          <w:p w14:paraId="532CDC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一次性PE手套</w:t>
            </w:r>
          </w:p>
        </w:tc>
        <w:tc>
          <w:tcPr>
            <w:tcW w:w="8573" w:type="dxa"/>
            <w:tcBorders>
              <w:tl2br w:val="nil"/>
              <w:tr2bl w:val="nil"/>
            </w:tcBorders>
            <w:shd w:val="clear" w:color="auto" w:fill="auto"/>
            <w:vAlign w:val="center"/>
          </w:tcPr>
          <w:p w14:paraId="7E80EC8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塑料材质 ,50只/包</w:t>
            </w:r>
          </w:p>
        </w:tc>
        <w:tc>
          <w:tcPr>
            <w:tcW w:w="816" w:type="dxa"/>
            <w:tcBorders>
              <w:tl2br w:val="nil"/>
              <w:tr2bl w:val="nil"/>
            </w:tcBorders>
            <w:shd w:val="clear" w:color="auto" w:fill="auto"/>
            <w:vAlign w:val="center"/>
          </w:tcPr>
          <w:p w14:paraId="238614C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136E8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包</w:t>
            </w:r>
          </w:p>
        </w:tc>
        <w:tc>
          <w:tcPr>
            <w:tcW w:w="2796" w:type="dxa"/>
            <w:tcBorders>
              <w:tl2br w:val="nil"/>
              <w:tr2bl w:val="nil"/>
            </w:tcBorders>
            <w:shd w:val="clear" w:color="auto" w:fill="auto"/>
            <w:vAlign w:val="center"/>
          </w:tcPr>
          <w:p w14:paraId="1E7527A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274B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976B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 </w:t>
            </w:r>
          </w:p>
        </w:tc>
        <w:tc>
          <w:tcPr>
            <w:tcW w:w="1166" w:type="dxa"/>
            <w:tcBorders>
              <w:tl2br w:val="nil"/>
              <w:tr2bl w:val="nil"/>
            </w:tcBorders>
            <w:shd w:val="clear" w:color="auto" w:fill="auto"/>
            <w:vAlign w:val="center"/>
          </w:tcPr>
          <w:p w14:paraId="18E2C9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电磁炉</w:t>
            </w:r>
          </w:p>
        </w:tc>
        <w:tc>
          <w:tcPr>
            <w:tcW w:w="8573" w:type="dxa"/>
            <w:tcBorders>
              <w:tl2br w:val="nil"/>
              <w:tr2bl w:val="nil"/>
            </w:tcBorders>
            <w:shd w:val="clear" w:color="auto" w:fill="auto"/>
            <w:vAlign w:val="center"/>
          </w:tcPr>
          <w:p w14:paraId="5033FE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功率可调，额定功率≥1600 W</w:t>
            </w:r>
          </w:p>
        </w:tc>
        <w:tc>
          <w:tcPr>
            <w:tcW w:w="816" w:type="dxa"/>
            <w:tcBorders>
              <w:tl2br w:val="nil"/>
              <w:tr2bl w:val="nil"/>
            </w:tcBorders>
            <w:shd w:val="clear" w:color="auto" w:fill="auto"/>
            <w:vAlign w:val="center"/>
          </w:tcPr>
          <w:p w14:paraId="03B84F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75C599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D4C4D7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157F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0BEC1C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 </w:t>
            </w:r>
          </w:p>
        </w:tc>
        <w:tc>
          <w:tcPr>
            <w:tcW w:w="1166" w:type="dxa"/>
            <w:tcBorders>
              <w:tl2br w:val="nil"/>
              <w:tr2bl w:val="nil"/>
            </w:tcBorders>
            <w:shd w:val="clear" w:color="auto" w:fill="auto"/>
            <w:vAlign w:val="center"/>
          </w:tcPr>
          <w:p w14:paraId="4E663C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仪器车</w:t>
            </w:r>
          </w:p>
        </w:tc>
        <w:tc>
          <w:tcPr>
            <w:tcW w:w="8573" w:type="dxa"/>
            <w:tcBorders>
              <w:tl2br w:val="nil"/>
              <w:tr2bl w:val="nil"/>
            </w:tcBorders>
            <w:shd w:val="clear" w:color="auto" w:fill="auto"/>
            <w:vAlign w:val="center"/>
          </w:tcPr>
          <w:p w14:paraId="21720BA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整体规格尺寸≥950×500×900mm，净重≥13kg，车体由不锈钢盆、不锈钢管、车轮组成；不锈钢盆，分上下两层，每层盆面尺寸900×450mm，盆边缘倒角处理，防止刮伤，盆背面带有防震垫装置，单层盆额定载重量50kg，所有连接配件均由不锈钢制作；车架主体采用≥25×25mm的不锈钢方管制成，形似“∩”，高≥800mm；车轮为四个φ100mm的万向脚轮，脚轮可360°任意转动，其中有两只脚轮带刹车装置。</w:t>
            </w:r>
          </w:p>
        </w:tc>
        <w:tc>
          <w:tcPr>
            <w:tcW w:w="816" w:type="dxa"/>
            <w:tcBorders>
              <w:tl2br w:val="nil"/>
              <w:tr2bl w:val="nil"/>
            </w:tcBorders>
            <w:shd w:val="clear" w:color="auto" w:fill="auto"/>
            <w:vAlign w:val="center"/>
          </w:tcPr>
          <w:p w14:paraId="055DDB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D8919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辆</w:t>
            </w:r>
          </w:p>
        </w:tc>
        <w:tc>
          <w:tcPr>
            <w:tcW w:w="2796" w:type="dxa"/>
            <w:tcBorders>
              <w:tl2br w:val="nil"/>
              <w:tr2bl w:val="nil"/>
            </w:tcBorders>
            <w:shd w:val="clear" w:color="auto" w:fill="auto"/>
            <w:vAlign w:val="center"/>
          </w:tcPr>
          <w:p w14:paraId="33BBE41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22E13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57DC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 </w:t>
            </w:r>
          </w:p>
        </w:tc>
        <w:tc>
          <w:tcPr>
            <w:tcW w:w="1166" w:type="dxa"/>
            <w:tcBorders>
              <w:tl2br w:val="nil"/>
              <w:tr2bl w:val="nil"/>
            </w:tcBorders>
            <w:shd w:val="clear" w:color="auto" w:fill="auto"/>
            <w:vAlign w:val="center"/>
          </w:tcPr>
          <w:p w14:paraId="25B2FF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整理箱</w:t>
            </w:r>
          </w:p>
        </w:tc>
        <w:tc>
          <w:tcPr>
            <w:tcW w:w="8573" w:type="dxa"/>
            <w:tcBorders>
              <w:tl2br w:val="nil"/>
              <w:tr2bl w:val="nil"/>
            </w:tcBorders>
            <w:shd w:val="clear" w:color="auto" w:fill="auto"/>
            <w:vAlign w:val="center"/>
          </w:tcPr>
          <w:p w14:paraId="691EAB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储存及分发药品用，矮型，采用移动折叠式箱扣，方便开关。箱体采用PP塑料制成，透明美观，结实耐用。整理箱的储藏格子分三层，一、二层为可伸缩架空层，一层三小格大小不一，第二层分成五小格平行排列，最底层即箱体下部。</w:t>
            </w:r>
          </w:p>
        </w:tc>
        <w:tc>
          <w:tcPr>
            <w:tcW w:w="816" w:type="dxa"/>
            <w:tcBorders>
              <w:tl2br w:val="nil"/>
              <w:tr2bl w:val="nil"/>
            </w:tcBorders>
            <w:shd w:val="clear" w:color="auto" w:fill="auto"/>
            <w:vAlign w:val="center"/>
          </w:tcPr>
          <w:p w14:paraId="58846DA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27A592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08C933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B6645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1CBB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 </w:t>
            </w:r>
          </w:p>
        </w:tc>
        <w:tc>
          <w:tcPr>
            <w:tcW w:w="1166" w:type="dxa"/>
            <w:tcBorders>
              <w:tl2br w:val="nil"/>
              <w:tr2bl w:val="nil"/>
            </w:tcBorders>
            <w:shd w:val="clear" w:color="auto" w:fill="auto"/>
            <w:vAlign w:val="center"/>
          </w:tcPr>
          <w:p w14:paraId="34F128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实验用品提篮</w:t>
            </w:r>
          </w:p>
        </w:tc>
        <w:tc>
          <w:tcPr>
            <w:tcW w:w="8573" w:type="dxa"/>
            <w:tcBorders>
              <w:tl2br w:val="nil"/>
              <w:tr2bl w:val="nil"/>
            </w:tcBorders>
            <w:shd w:val="clear" w:color="auto" w:fill="auto"/>
            <w:vAlign w:val="center"/>
          </w:tcPr>
          <w:p w14:paraId="136AECD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木制，配有提手， 490 mm×360 mm×290 mm</w:t>
            </w:r>
          </w:p>
        </w:tc>
        <w:tc>
          <w:tcPr>
            <w:tcW w:w="816" w:type="dxa"/>
            <w:tcBorders>
              <w:tl2br w:val="nil"/>
              <w:tr2bl w:val="nil"/>
            </w:tcBorders>
            <w:shd w:val="clear" w:color="auto" w:fill="auto"/>
            <w:vAlign w:val="center"/>
          </w:tcPr>
          <w:p w14:paraId="4AEE4A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4F55E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9C5756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57F3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BFE4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 </w:t>
            </w:r>
          </w:p>
        </w:tc>
        <w:tc>
          <w:tcPr>
            <w:tcW w:w="1166" w:type="dxa"/>
            <w:tcBorders>
              <w:tl2br w:val="nil"/>
              <w:tr2bl w:val="nil"/>
            </w:tcBorders>
            <w:shd w:val="clear" w:color="auto" w:fill="auto"/>
            <w:vAlign w:val="center"/>
          </w:tcPr>
          <w:p w14:paraId="4C384E0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低压测电器</w:t>
            </w:r>
          </w:p>
        </w:tc>
        <w:tc>
          <w:tcPr>
            <w:tcW w:w="8573" w:type="dxa"/>
            <w:tcBorders>
              <w:tl2br w:val="nil"/>
              <w:tr2bl w:val="nil"/>
            </w:tcBorders>
            <w:shd w:val="clear" w:color="auto" w:fill="auto"/>
            <w:vAlign w:val="center"/>
          </w:tcPr>
          <w:p w14:paraId="5A2E347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笔式，氖泡式，测电极长≤10 mm，测量范围100 V～500 V，辉光应稳定不闪烁</w:t>
            </w:r>
          </w:p>
        </w:tc>
        <w:tc>
          <w:tcPr>
            <w:tcW w:w="816" w:type="dxa"/>
            <w:tcBorders>
              <w:tl2br w:val="nil"/>
              <w:tr2bl w:val="nil"/>
            </w:tcBorders>
            <w:shd w:val="clear" w:color="auto" w:fill="auto"/>
            <w:vAlign w:val="center"/>
          </w:tcPr>
          <w:p w14:paraId="2137231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81A43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6D0F643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C80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142AC1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 </w:t>
            </w:r>
          </w:p>
        </w:tc>
        <w:tc>
          <w:tcPr>
            <w:tcW w:w="1166" w:type="dxa"/>
            <w:tcBorders>
              <w:tl2br w:val="nil"/>
              <w:tr2bl w:val="nil"/>
            </w:tcBorders>
            <w:shd w:val="clear" w:color="auto" w:fill="auto"/>
            <w:vAlign w:val="center"/>
          </w:tcPr>
          <w:p w14:paraId="2E623C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一字螺丝刀</w:t>
            </w:r>
          </w:p>
        </w:tc>
        <w:tc>
          <w:tcPr>
            <w:tcW w:w="8573" w:type="dxa"/>
            <w:tcBorders>
              <w:tl2br w:val="nil"/>
              <w:tr2bl w:val="nil"/>
            </w:tcBorders>
            <w:shd w:val="clear" w:color="auto" w:fill="auto"/>
            <w:vAlign w:val="center"/>
          </w:tcPr>
          <w:p w14:paraId="795B3B3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长度不小于150mm，塑料手柄，刀身为优质金属制，直径不小于φ5mm，强度高，表面做防锈处理，刀身头部带有磁性。</w:t>
            </w:r>
          </w:p>
        </w:tc>
        <w:tc>
          <w:tcPr>
            <w:tcW w:w="816" w:type="dxa"/>
            <w:tcBorders>
              <w:tl2br w:val="nil"/>
              <w:tr2bl w:val="nil"/>
            </w:tcBorders>
            <w:shd w:val="clear" w:color="auto" w:fill="auto"/>
            <w:vAlign w:val="center"/>
          </w:tcPr>
          <w:p w14:paraId="0D1C80F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01965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3C8377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953D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82A9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 </w:t>
            </w:r>
          </w:p>
        </w:tc>
        <w:tc>
          <w:tcPr>
            <w:tcW w:w="1166" w:type="dxa"/>
            <w:tcBorders>
              <w:tl2br w:val="nil"/>
              <w:tr2bl w:val="nil"/>
            </w:tcBorders>
            <w:shd w:val="clear" w:color="auto" w:fill="auto"/>
            <w:vAlign w:val="center"/>
          </w:tcPr>
          <w:p w14:paraId="5E2613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十字螺丝刀</w:t>
            </w:r>
          </w:p>
        </w:tc>
        <w:tc>
          <w:tcPr>
            <w:tcW w:w="8573" w:type="dxa"/>
            <w:tcBorders>
              <w:tl2br w:val="nil"/>
              <w:tr2bl w:val="nil"/>
            </w:tcBorders>
            <w:shd w:val="clear" w:color="auto" w:fill="auto"/>
            <w:vAlign w:val="center"/>
          </w:tcPr>
          <w:p w14:paraId="11DA04B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长度不小于150mm，塑料手柄，刀身为优质金属制，直径不小于φ5mm，强度高，表面做防锈处理，刀身头部带有磁性。</w:t>
            </w:r>
          </w:p>
        </w:tc>
        <w:tc>
          <w:tcPr>
            <w:tcW w:w="816" w:type="dxa"/>
            <w:tcBorders>
              <w:tl2br w:val="nil"/>
              <w:tr2bl w:val="nil"/>
            </w:tcBorders>
            <w:shd w:val="clear" w:color="auto" w:fill="auto"/>
            <w:vAlign w:val="center"/>
          </w:tcPr>
          <w:p w14:paraId="1E8A36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9DC1B5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DA853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151A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3F96C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 </w:t>
            </w:r>
          </w:p>
        </w:tc>
        <w:tc>
          <w:tcPr>
            <w:tcW w:w="1166" w:type="dxa"/>
            <w:tcBorders>
              <w:tl2br w:val="nil"/>
              <w:tr2bl w:val="nil"/>
            </w:tcBorders>
            <w:shd w:val="clear" w:color="auto" w:fill="auto"/>
            <w:vAlign w:val="center"/>
          </w:tcPr>
          <w:p w14:paraId="499BF1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钢丝钳</w:t>
            </w:r>
          </w:p>
        </w:tc>
        <w:tc>
          <w:tcPr>
            <w:tcW w:w="8573" w:type="dxa"/>
            <w:tcBorders>
              <w:tl2br w:val="nil"/>
              <w:tr2bl w:val="nil"/>
            </w:tcBorders>
            <w:shd w:val="clear" w:color="auto" w:fill="auto"/>
            <w:vAlign w:val="center"/>
          </w:tcPr>
          <w:p w14:paraId="07D7F68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中号，长度不小于180mm，高碳钢精工锻造，镀镍处理，刃口感应淬火，剪切力强，防滑手柄。</w:t>
            </w:r>
          </w:p>
        </w:tc>
        <w:tc>
          <w:tcPr>
            <w:tcW w:w="816" w:type="dxa"/>
            <w:tcBorders>
              <w:tl2br w:val="nil"/>
              <w:tr2bl w:val="nil"/>
            </w:tcBorders>
            <w:shd w:val="clear" w:color="auto" w:fill="auto"/>
            <w:vAlign w:val="center"/>
          </w:tcPr>
          <w:p w14:paraId="572BF1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846C5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D840B6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F91E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AAD1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14 </w:t>
            </w:r>
          </w:p>
        </w:tc>
        <w:tc>
          <w:tcPr>
            <w:tcW w:w="1166" w:type="dxa"/>
            <w:tcBorders>
              <w:tl2br w:val="nil"/>
              <w:tr2bl w:val="nil"/>
            </w:tcBorders>
            <w:shd w:val="clear" w:color="auto" w:fill="auto"/>
            <w:vAlign w:val="center"/>
          </w:tcPr>
          <w:p w14:paraId="249327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钢锤</w:t>
            </w:r>
          </w:p>
        </w:tc>
        <w:tc>
          <w:tcPr>
            <w:tcW w:w="8573" w:type="dxa"/>
            <w:tcBorders>
              <w:tl2br w:val="nil"/>
              <w:tr2bl w:val="nil"/>
            </w:tcBorders>
            <w:shd w:val="clear" w:color="auto" w:fill="auto"/>
            <w:vAlign w:val="center"/>
          </w:tcPr>
          <w:p w14:paraId="7C59A69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0.25 kg，羊角锤</w:t>
            </w:r>
          </w:p>
        </w:tc>
        <w:tc>
          <w:tcPr>
            <w:tcW w:w="816" w:type="dxa"/>
            <w:tcBorders>
              <w:tl2br w:val="nil"/>
              <w:tr2bl w:val="nil"/>
            </w:tcBorders>
            <w:shd w:val="clear" w:color="auto" w:fill="auto"/>
            <w:vAlign w:val="center"/>
          </w:tcPr>
          <w:p w14:paraId="71C16F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526B4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A52525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E717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D7659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15 </w:t>
            </w:r>
          </w:p>
        </w:tc>
        <w:tc>
          <w:tcPr>
            <w:tcW w:w="1166" w:type="dxa"/>
            <w:tcBorders>
              <w:tl2br w:val="nil"/>
              <w:tr2bl w:val="nil"/>
            </w:tcBorders>
            <w:shd w:val="clear" w:color="auto" w:fill="auto"/>
            <w:vAlign w:val="center"/>
          </w:tcPr>
          <w:p w14:paraId="059B952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活扳手</w:t>
            </w:r>
          </w:p>
        </w:tc>
        <w:tc>
          <w:tcPr>
            <w:tcW w:w="8573" w:type="dxa"/>
            <w:tcBorders>
              <w:tl2br w:val="nil"/>
              <w:tr2bl w:val="nil"/>
            </w:tcBorders>
            <w:shd w:val="clear" w:color="auto" w:fill="auto"/>
            <w:vAlign w:val="center"/>
          </w:tcPr>
          <w:p w14:paraId="17CCBAF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中号，金属制，长度不小于150mm，最大开口直径20mm，表面做防锈处理。调节螺栓旋转灵活不卡槽，手柄尾端带有悬挂孔。</w:t>
            </w:r>
          </w:p>
        </w:tc>
        <w:tc>
          <w:tcPr>
            <w:tcW w:w="816" w:type="dxa"/>
            <w:tcBorders>
              <w:tl2br w:val="nil"/>
              <w:tr2bl w:val="nil"/>
            </w:tcBorders>
            <w:shd w:val="clear" w:color="auto" w:fill="auto"/>
            <w:vAlign w:val="center"/>
          </w:tcPr>
          <w:p w14:paraId="2B75E1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850B14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156F7B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739E9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A56C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16 </w:t>
            </w:r>
          </w:p>
        </w:tc>
        <w:tc>
          <w:tcPr>
            <w:tcW w:w="1166" w:type="dxa"/>
            <w:tcBorders>
              <w:tl2br w:val="nil"/>
              <w:tr2bl w:val="nil"/>
            </w:tcBorders>
            <w:shd w:val="clear" w:color="auto" w:fill="auto"/>
            <w:vAlign w:val="center"/>
          </w:tcPr>
          <w:p w14:paraId="3CD3C7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砂轮片</w:t>
            </w:r>
          </w:p>
        </w:tc>
        <w:tc>
          <w:tcPr>
            <w:tcW w:w="8573" w:type="dxa"/>
            <w:tcBorders>
              <w:tl2br w:val="nil"/>
              <w:tr2bl w:val="nil"/>
            </w:tcBorders>
            <w:shd w:val="clear" w:color="auto" w:fill="auto"/>
            <w:vAlign w:val="center"/>
          </w:tcPr>
          <w:p w14:paraId="622D124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断玻璃管用</w:t>
            </w:r>
          </w:p>
        </w:tc>
        <w:tc>
          <w:tcPr>
            <w:tcW w:w="816" w:type="dxa"/>
            <w:tcBorders>
              <w:tl2br w:val="nil"/>
              <w:tr2bl w:val="nil"/>
            </w:tcBorders>
            <w:shd w:val="clear" w:color="auto" w:fill="auto"/>
            <w:vAlign w:val="center"/>
          </w:tcPr>
          <w:p w14:paraId="7D8191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53AE2A2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2804FDB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B045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B467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17 </w:t>
            </w:r>
          </w:p>
        </w:tc>
        <w:tc>
          <w:tcPr>
            <w:tcW w:w="1166" w:type="dxa"/>
            <w:tcBorders>
              <w:tl2br w:val="nil"/>
              <w:tr2bl w:val="nil"/>
            </w:tcBorders>
            <w:shd w:val="clear" w:color="auto" w:fill="auto"/>
            <w:vAlign w:val="center"/>
          </w:tcPr>
          <w:p w14:paraId="10C187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托盘天平</w:t>
            </w:r>
          </w:p>
        </w:tc>
        <w:tc>
          <w:tcPr>
            <w:tcW w:w="8573" w:type="dxa"/>
            <w:tcBorders>
              <w:tl2br w:val="nil"/>
              <w:tr2bl w:val="nil"/>
            </w:tcBorders>
            <w:shd w:val="clear" w:color="auto" w:fill="auto"/>
            <w:vAlign w:val="center"/>
          </w:tcPr>
          <w:p w14:paraId="4689277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称量用具，最大称量200g，分度值0.2g，标尺称量0～5g。仪器为双盘、单杠杆、等臂、非封闭式铝合金横梁结构。托盘天平的刀子由钢或玛瑙制成，秤盘直径不小于80mm，外形规格约为200mm×70mm×135mm。标尺光洁平直，连接部位固紧，分度线均匀，游码起点对准零线，移动时松紧适宜，当杠杆受到轻微冲击时，游码不移位。刀子垂直地紧固。砝码均采用金属制，表面电镀，用塑料盒定位包装，砝码分别为100g、50g、20g×2、10g、5g。</w:t>
            </w:r>
          </w:p>
        </w:tc>
        <w:tc>
          <w:tcPr>
            <w:tcW w:w="816" w:type="dxa"/>
            <w:tcBorders>
              <w:tl2br w:val="nil"/>
              <w:tr2bl w:val="nil"/>
            </w:tcBorders>
            <w:shd w:val="clear" w:color="auto" w:fill="auto"/>
            <w:vAlign w:val="center"/>
          </w:tcPr>
          <w:p w14:paraId="10B5C59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13</w:t>
            </w:r>
          </w:p>
        </w:tc>
        <w:tc>
          <w:tcPr>
            <w:tcW w:w="498" w:type="dxa"/>
            <w:tcBorders>
              <w:tl2br w:val="nil"/>
              <w:tr2bl w:val="nil"/>
            </w:tcBorders>
            <w:shd w:val="clear" w:color="auto" w:fill="auto"/>
            <w:vAlign w:val="center"/>
          </w:tcPr>
          <w:p w14:paraId="745A9D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1568575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419A6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743AD2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18 </w:t>
            </w:r>
          </w:p>
        </w:tc>
        <w:tc>
          <w:tcPr>
            <w:tcW w:w="1166" w:type="dxa"/>
            <w:tcBorders>
              <w:tl2br w:val="nil"/>
              <w:tr2bl w:val="nil"/>
            </w:tcBorders>
            <w:shd w:val="clear" w:color="auto" w:fill="auto"/>
            <w:vAlign w:val="center"/>
          </w:tcPr>
          <w:p w14:paraId="1FA800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电子天平</w:t>
            </w:r>
          </w:p>
        </w:tc>
        <w:tc>
          <w:tcPr>
            <w:tcW w:w="8573" w:type="dxa"/>
            <w:tcBorders>
              <w:tl2br w:val="nil"/>
              <w:tr2bl w:val="nil"/>
            </w:tcBorders>
            <w:shd w:val="clear" w:color="auto" w:fill="auto"/>
            <w:vAlign w:val="center"/>
          </w:tcPr>
          <w:p w14:paraId="5B6E08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g, 0.01 g</w:t>
            </w:r>
          </w:p>
        </w:tc>
        <w:tc>
          <w:tcPr>
            <w:tcW w:w="816" w:type="dxa"/>
            <w:tcBorders>
              <w:tl2br w:val="nil"/>
              <w:tr2bl w:val="nil"/>
            </w:tcBorders>
            <w:shd w:val="clear" w:color="auto" w:fill="auto"/>
            <w:vAlign w:val="center"/>
          </w:tcPr>
          <w:p w14:paraId="5D8CD5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C8B97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D5799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D0B75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0C9F9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19 </w:t>
            </w:r>
          </w:p>
        </w:tc>
        <w:tc>
          <w:tcPr>
            <w:tcW w:w="1166" w:type="dxa"/>
            <w:tcBorders>
              <w:tl2br w:val="nil"/>
              <w:tr2bl w:val="nil"/>
            </w:tcBorders>
            <w:shd w:val="clear" w:color="auto" w:fill="auto"/>
            <w:vAlign w:val="center"/>
          </w:tcPr>
          <w:p w14:paraId="591A206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电子秒表</w:t>
            </w:r>
          </w:p>
        </w:tc>
        <w:tc>
          <w:tcPr>
            <w:tcW w:w="8573" w:type="dxa"/>
            <w:tcBorders>
              <w:tl2br w:val="nil"/>
              <w:tr2bl w:val="nil"/>
            </w:tcBorders>
            <w:shd w:val="clear" w:color="auto" w:fill="auto"/>
            <w:vAlign w:val="center"/>
          </w:tcPr>
          <w:p w14:paraId="6343216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专用型，全时段分辨力 0.01 s；有防震、防水功能，电池更换周期≥1.5 年</w:t>
            </w:r>
          </w:p>
        </w:tc>
        <w:tc>
          <w:tcPr>
            <w:tcW w:w="816" w:type="dxa"/>
            <w:tcBorders>
              <w:tl2br w:val="nil"/>
              <w:tr2bl w:val="nil"/>
            </w:tcBorders>
            <w:shd w:val="clear" w:color="auto" w:fill="auto"/>
            <w:vAlign w:val="center"/>
          </w:tcPr>
          <w:p w14:paraId="5C24C1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27D97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943ED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4A379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87B0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20 </w:t>
            </w:r>
          </w:p>
        </w:tc>
        <w:tc>
          <w:tcPr>
            <w:tcW w:w="1166" w:type="dxa"/>
            <w:tcBorders>
              <w:tl2br w:val="nil"/>
              <w:tr2bl w:val="nil"/>
            </w:tcBorders>
            <w:shd w:val="clear" w:color="auto" w:fill="auto"/>
            <w:vAlign w:val="center"/>
          </w:tcPr>
          <w:p w14:paraId="5CC6EB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红液温度计</w:t>
            </w:r>
          </w:p>
        </w:tc>
        <w:tc>
          <w:tcPr>
            <w:tcW w:w="8573" w:type="dxa"/>
            <w:tcBorders>
              <w:tl2br w:val="nil"/>
              <w:tr2bl w:val="nil"/>
            </w:tcBorders>
            <w:shd w:val="clear" w:color="auto" w:fill="auto"/>
            <w:vAlign w:val="center"/>
          </w:tcPr>
          <w:p w14:paraId="02F663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 ℃ ～ 100 ℃ ， 分 度 值 1 ℃ ， 示 值 误 差＜1.5 ℃</w:t>
            </w:r>
          </w:p>
        </w:tc>
        <w:tc>
          <w:tcPr>
            <w:tcW w:w="816" w:type="dxa"/>
            <w:tcBorders>
              <w:tl2br w:val="nil"/>
              <w:tr2bl w:val="nil"/>
            </w:tcBorders>
            <w:shd w:val="clear" w:color="auto" w:fill="auto"/>
            <w:vAlign w:val="center"/>
          </w:tcPr>
          <w:p w14:paraId="3770D2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70A52A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7EB3D40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9C0EC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D8CF37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21 </w:t>
            </w:r>
          </w:p>
        </w:tc>
        <w:tc>
          <w:tcPr>
            <w:tcW w:w="1166" w:type="dxa"/>
            <w:tcBorders>
              <w:tl2br w:val="nil"/>
              <w:tr2bl w:val="nil"/>
            </w:tcBorders>
            <w:shd w:val="clear" w:color="auto" w:fill="auto"/>
            <w:vAlign w:val="center"/>
          </w:tcPr>
          <w:p w14:paraId="0034D87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水银温度计</w:t>
            </w:r>
          </w:p>
        </w:tc>
        <w:tc>
          <w:tcPr>
            <w:tcW w:w="8573" w:type="dxa"/>
            <w:tcBorders>
              <w:tl2br w:val="nil"/>
              <w:tr2bl w:val="nil"/>
            </w:tcBorders>
            <w:shd w:val="clear" w:color="auto" w:fill="auto"/>
            <w:vAlign w:val="center"/>
          </w:tcPr>
          <w:p w14:paraId="08DD1B2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 ℃ ～ 200 ℃ ， 分 度 值 1 ℃ ， 示 值 误 差 ＜0.5 ℃， 有保护套</w:t>
            </w:r>
          </w:p>
        </w:tc>
        <w:tc>
          <w:tcPr>
            <w:tcW w:w="816" w:type="dxa"/>
            <w:tcBorders>
              <w:tl2br w:val="nil"/>
              <w:tr2bl w:val="nil"/>
            </w:tcBorders>
            <w:shd w:val="clear" w:color="auto" w:fill="auto"/>
            <w:vAlign w:val="center"/>
          </w:tcPr>
          <w:p w14:paraId="1703D7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0AEBB9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3D9EB20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1305A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D7C44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22 </w:t>
            </w:r>
          </w:p>
        </w:tc>
        <w:tc>
          <w:tcPr>
            <w:tcW w:w="1166" w:type="dxa"/>
            <w:tcBorders>
              <w:tl2br w:val="nil"/>
              <w:tr2bl w:val="nil"/>
            </w:tcBorders>
            <w:shd w:val="clear" w:color="auto" w:fill="auto"/>
            <w:vAlign w:val="center"/>
          </w:tcPr>
          <w:p w14:paraId="53C21A4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干湿球温度计</w:t>
            </w:r>
          </w:p>
        </w:tc>
        <w:tc>
          <w:tcPr>
            <w:tcW w:w="8573" w:type="dxa"/>
            <w:tcBorders>
              <w:tl2br w:val="nil"/>
              <w:tr2bl w:val="nil"/>
            </w:tcBorders>
            <w:shd w:val="clear" w:color="auto" w:fill="auto"/>
            <w:vAlign w:val="center"/>
          </w:tcPr>
          <w:p w14:paraId="15344B1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 ℃～50 ℃，分度值 0.2 ℃；测量湿度0%～100%</w:t>
            </w:r>
          </w:p>
        </w:tc>
        <w:tc>
          <w:tcPr>
            <w:tcW w:w="816" w:type="dxa"/>
            <w:tcBorders>
              <w:tl2br w:val="nil"/>
              <w:tr2bl w:val="nil"/>
            </w:tcBorders>
            <w:shd w:val="clear" w:color="auto" w:fill="auto"/>
            <w:vAlign w:val="center"/>
          </w:tcPr>
          <w:p w14:paraId="380D9A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5FBCBC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282687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32E6A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693B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23 </w:t>
            </w:r>
          </w:p>
        </w:tc>
        <w:tc>
          <w:tcPr>
            <w:tcW w:w="1166" w:type="dxa"/>
            <w:tcBorders>
              <w:tl2br w:val="nil"/>
              <w:tr2bl w:val="nil"/>
            </w:tcBorders>
            <w:shd w:val="clear" w:color="auto" w:fill="auto"/>
            <w:vAlign w:val="center"/>
          </w:tcPr>
          <w:p w14:paraId="56D000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解剖器</w:t>
            </w:r>
          </w:p>
        </w:tc>
        <w:tc>
          <w:tcPr>
            <w:tcW w:w="8573" w:type="dxa"/>
            <w:tcBorders>
              <w:tl2br w:val="nil"/>
              <w:tr2bl w:val="nil"/>
            </w:tcBorders>
            <w:shd w:val="clear" w:color="auto" w:fill="auto"/>
            <w:vAlign w:val="center"/>
          </w:tcPr>
          <w:p w14:paraId="07AC11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不锈钢材料， 7 件， 包括： 2 把解剖剪（直剪、弯剪各 1） 、 2 个镊子（直头、 弯头各 1） 、 2个解剖刀（圆头、尖头各 1） 、 1 个解剖针</w:t>
            </w:r>
          </w:p>
        </w:tc>
        <w:tc>
          <w:tcPr>
            <w:tcW w:w="816" w:type="dxa"/>
            <w:tcBorders>
              <w:tl2br w:val="nil"/>
              <w:tr2bl w:val="nil"/>
            </w:tcBorders>
            <w:shd w:val="clear" w:color="auto" w:fill="auto"/>
            <w:vAlign w:val="center"/>
          </w:tcPr>
          <w:p w14:paraId="4478D0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432C4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A0F85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87D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F907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24 </w:t>
            </w:r>
          </w:p>
        </w:tc>
        <w:tc>
          <w:tcPr>
            <w:tcW w:w="1166" w:type="dxa"/>
            <w:tcBorders>
              <w:tl2br w:val="nil"/>
              <w:tr2bl w:val="nil"/>
            </w:tcBorders>
            <w:shd w:val="clear" w:color="auto" w:fill="auto"/>
            <w:vAlign w:val="center"/>
          </w:tcPr>
          <w:p w14:paraId="10320C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解剖盘</w:t>
            </w:r>
          </w:p>
        </w:tc>
        <w:tc>
          <w:tcPr>
            <w:tcW w:w="8573" w:type="dxa"/>
            <w:tcBorders>
              <w:tl2br w:val="nil"/>
              <w:tr2bl w:val="nil"/>
            </w:tcBorders>
            <w:shd w:val="clear" w:color="auto" w:fill="auto"/>
            <w:vAlign w:val="center"/>
          </w:tcPr>
          <w:p w14:paraId="3180CCA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260 mm×200 mm×30 mm，蜡盘</w:t>
            </w:r>
          </w:p>
        </w:tc>
        <w:tc>
          <w:tcPr>
            <w:tcW w:w="816" w:type="dxa"/>
            <w:tcBorders>
              <w:tl2br w:val="nil"/>
              <w:tr2bl w:val="nil"/>
            </w:tcBorders>
            <w:shd w:val="clear" w:color="auto" w:fill="auto"/>
            <w:vAlign w:val="center"/>
          </w:tcPr>
          <w:p w14:paraId="220B46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BC5B6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D179C6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FC642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C63EE7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25 </w:t>
            </w:r>
          </w:p>
        </w:tc>
        <w:tc>
          <w:tcPr>
            <w:tcW w:w="1166" w:type="dxa"/>
            <w:tcBorders>
              <w:tl2br w:val="nil"/>
              <w:tr2bl w:val="nil"/>
            </w:tcBorders>
            <w:shd w:val="clear" w:color="auto" w:fill="auto"/>
            <w:vAlign w:val="center"/>
          </w:tcPr>
          <w:p w14:paraId="58DD30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骨剪</w:t>
            </w:r>
          </w:p>
        </w:tc>
        <w:tc>
          <w:tcPr>
            <w:tcW w:w="8573" w:type="dxa"/>
            <w:tcBorders>
              <w:tl2br w:val="nil"/>
              <w:tr2bl w:val="nil"/>
            </w:tcBorders>
            <w:shd w:val="clear" w:color="auto" w:fill="auto"/>
            <w:vAlign w:val="center"/>
          </w:tcPr>
          <w:p w14:paraId="731C895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不锈钢材料， 130 mm</w:t>
            </w:r>
          </w:p>
        </w:tc>
        <w:tc>
          <w:tcPr>
            <w:tcW w:w="816" w:type="dxa"/>
            <w:tcBorders>
              <w:tl2br w:val="nil"/>
              <w:tr2bl w:val="nil"/>
            </w:tcBorders>
            <w:shd w:val="clear" w:color="auto" w:fill="auto"/>
            <w:vAlign w:val="center"/>
          </w:tcPr>
          <w:p w14:paraId="4399A9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3163D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4E3D3D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AB4D2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7C0CD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26 </w:t>
            </w:r>
          </w:p>
        </w:tc>
        <w:tc>
          <w:tcPr>
            <w:tcW w:w="1166" w:type="dxa"/>
            <w:tcBorders>
              <w:tl2br w:val="nil"/>
              <w:tr2bl w:val="nil"/>
            </w:tcBorders>
            <w:shd w:val="clear" w:color="auto" w:fill="auto"/>
            <w:vAlign w:val="center"/>
          </w:tcPr>
          <w:p w14:paraId="24E095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双面刀片</w:t>
            </w:r>
          </w:p>
        </w:tc>
        <w:tc>
          <w:tcPr>
            <w:tcW w:w="8573" w:type="dxa"/>
            <w:tcBorders>
              <w:tl2br w:val="nil"/>
              <w:tr2bl w:val="nil"/>
            </w:tcBorders>
            <w:shd w:val="clear" w:color="auto" w:fill="auto"/>
            <w:vAlign w:val="center"/>
          </w:tcPr>
          <w:p w14:paraId="5F2161A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43 mm×22 mm</w:t>
            </w:r>
          </w:p>
        </w:tc>
        <w:tc>
          <w:tcPr>
            <w:tcW w:w="816" w:type="dxa"/>
            <w:tcBorders>
              <w:tl2br w:val="nil"/>
              <w:tr2bl w:val="nil"/>
            </w:tcBorders>
            <w:shd w:val="clear" w:color="auto" w:fill="auto"/>
            <w:vAlign w:val="center"/>
          </w:tcPr>
          <w:p w14:paraId="25F44EF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326729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包</w:t>
            </w:r>
          </w:p>
        </w:tc>
        <w:tc>
          <w:tcPr>
            <w:tcW w:w="2796" w:type="dxa"/>
            <w:tcBorders>
              <w:tl2br w:val="nil"/>
              <w:tr2bl w:val="nil"/>
            </w:tcBorders>
            <w:shd w:val="clear" w:color="auto" w:fill="auto"/>
            <w:vAlign w:val="center"/>
          </w:tcPr>
          <w:p w14:paraId="38979AA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B2795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6F57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27 </w:t>
            </w:r>
          </w:p>
        </w:tc>
        <w:tc>
          <w:tcPr>
            <w:tcW w:w="1166" w:type="dxa"/>
            <w:tcBorders>
              <w:tl2br w:val="nil"/>
              <w:tr2bl w:val="nil"/>
            </w:tcBorders>
            <w:shd w:val="clear" w:color="auto" w:fill="auto"/>
            <w:vAlign w:val="center"/>
          </w:tcPr>
          <w:p w14:paraId="794EA0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镊子</w:t>
            </w:r>
          </w:p>
        </w:tc>
        <w:tc>
          <w:tcPr>
            <w:tcW w:w="8573" w:type="dxa"/>
            <w:tcBorders>
              <w:tl2br w:val="nil"/>
              <w:tr2bl w:val="nil"/>
            </w:tcBorders>
            <w:shd w:val="clear" w:color="auto" w:fill="auto"/>
            <w:vAlign w:val="center"/>
          </w:tcPr>
          <w:p w14:paraId="5AAFADB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尖头， 140 mm</w:t>
            </w:r>
          </w:p>
        </w:tc>
        <w:tc>
          <w:tcPr>
            <w:tcW w:w="816" w:type="dxa"/>
            <w:tcBorders>
              <w:tl2br w:val="nil"/>
              <w:tr2bl w:val="nil"/>
            </w:tcBorders>
            <w:shd w:val="clear" w:color="auto" w:fill="auto"/>
            <w:vAlign w:val="center"/>
          </w:tcPr>
          <w:p w14:paraId="11AD98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9146F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D48151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DCF1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885A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28 </w:t>
            </w:r>
          </w:p>
        </w:tc>
        <w:tc>
          <w:tcPr>
            <w:tcW w:w="1166" w:type="dxa"/>
            <w:tcBorders>
              <w:tl2br w:val="nil"/>
              <w:tr2bl w:val="nil"/>
            </w:tcBorders>
            <w:shd w:val="clear" w:color="auto" w:fill="auto"/>
            <w:vAlign w:val="center"/>
          </w:tcPr>
          <w:p w14:paraId="18CA09F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镊子</w:t>
            </w:r>
          </w:p>
        </w:tc>
        <w:tc>
          <w:tcPr>
            <w:tcW w:w="8573" w:type="dxa"/>
            <w:tcBorders>
              <w:tl2br w:val="nil"/>
              <w:tr2bl w:val="nil"/>
            </w:tcBorders>
            <w:shd w:val="clear" w:color="auto" w:fill="auto"/>
            <w:vAlign w:val="center"/>
          </w:tcPr>
          <w:p w14:paraId="2A4A358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弯头， 140 mm</w:t>
            </w:r>
          </w:p>
        </w:tc>
        <w:tc>
          <w:tcPr>
            <w:tcW w:w="816" w:type="dxa"/>
            <w:tcBorders>
              <w:tl2br w:val="nil"/>
              <w:tr2bl w:val="nil"/>
            </w:tcBorders>
            <w:shd w:val="clear" w:color="auto" w:fill="auto"/>
            <w:vAlign w:val="center"/>
          </w:tcPr>
          <w:p w14:paraId="59006F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11F81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F2AE8D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57D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F899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29 </w:t>
            </w:r>
          </w:p>
        </w:tc>
        <w:tc>
          <w:tcPr>
            <w:tcW w:w="1166" w:type="dxa"/>
            <w:tcBorders>
              <w:tl2br w:val="nil"/>
              <w:tr2bl w:val="nil"/>
            </w:tcBorders>
            <w:shd w:val="clear" w:color="auto" w:fill="auto"/>
            <w:vAlign w:val="center"/>
          </w:tcPr>
          <w:p w14:paraId="75D13C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解剖针</w:t>
            </w:r>
          </w:p>
        </w:tc>
        <w:tc>
          <w:tcPr>
            <w:tcW w:w="8573" w:type="dxa"/>
            <w:tcBorders>
              <w:tl2br w:val="nil"/>
              <w:tr2bl w:val="nil"/>
            </w:tcBorders>
            <w:shd w:val="clear" w:color="auto" w:fill="auto"/>
            <w:vAlign w:val="center"/>
          </w:tcPr>
          <w:p w14:paraId="27C0560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六菱医用全钢</w:t>
            </w:r>
          </w:p>
        </w:tc>
        <w:tc>
          <w:tcPr>
            <w:tcW w:w="816" w:type="dxa"/>
            <w:tcBorders>
              <w:tl2br w:val="nil"/>
              <w:tr2bl w:val="nil"/>
            </w:tcBorders>
            <w:shd w:val="clear" w:color="auto" w:fill="auto"/>
            <w:vAlign w:val="center"/>
          </w:tcPr>
          <w:p w14:paraId="06A53BC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7A5A0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AF6B40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1358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6BD2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30 </w:t>
            </w:r>
          </w:p>
        </w:tc>
        <w:tc>
          <w:tcPr>
            <w:tcW w:w="1166" w:type="dxa"/>
            <w:tcBorders>
              <w:tl2br w:val="nil"/>
              <w:tr2bl w:val="nil"/>
            </w:tcBorders>
            <w:shd w:val="clear" w:color="auto" w:fill="auto"/>
            <w:vAlign w:val="center"/>
          </w:tcPr>
          <w:p w14:paraId="42AEF4C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教学支架</w:t>
            </w:r>
          </w:p>
        </w:tc>
        <w:tc>
          <w:tcPr>
            <w:tcW w:w="8573" w:type="dxa"/>
            <w:tcBorders>
              <w:tl2br w:val="nil"/>
              <w:tr2bl w:val="nil"/>
            </w:tcBorders>
            <w:shd w:val="clear" w:color="auto" w:fill="auto"/>
            <w:vAlign w:val="center"/>
          </w:tcPr>
          <w:p w14:paraId="7D7BCD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用于固定实验仪器的夹持装置，技术性能要求如下：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1.由底座、立杆、复夹(垂直夹2只、平行夹1只)、烧杯夹、铁环(大、小各1只)组成。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底座规格≥215×145×30mm，重量约为≥1.5Kg，采用环氧树脂台面板制作，模具底座和四个支撑脚一次成型，底座面上带有规则条纹起到防滑作用，整个底座具有防水、防火、防酸、防碱、防有机溶剂、表面光亮、美观大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3.立杆的直径≥11.5mm，杆长≥630mm，一端为螺纹，立杆由优质铁制成，外层电镀。</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4.复夹都为金属制品，不易生锈，烧杯夹为铁制品电镀，烧瓶夹夹身中部由旋转螺丝、回力弹簧、V形螺帽组成，可随意调整夹口直径，夹口内侧带有防滑垫片。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5.大小架框直径分别为：大环直径≥95mm，小环直径≥60mm，铁制外层喷防锈、耐热强化漆。</w:t>
            </w:r>
          </w:p>
        </w:tc>
        <w:tc>
          <w:tcPr>
            <w:tcW w:w="816" w:type="dxa"/>
            <w:tcBorders>
              <w:tl2br w:val="nil"/>
              <w:tr2bl w:val="nil"/>
            </w:tcBorders>
            <w:shd w:val="clear" w:color="auto" w:fill="auto"/>
            <w:vAlign w:val="center"/>
          </w:tcPr>
          <w:p w14:paraId="090FB7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FE5CB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EA768C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978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F02AE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31 </w:t>
            </w:r>
          </w:p>
        </w:tc>
        <w:tc>
          <w:tcPr>
            <w:tcW w:w="1166" w:type="dxa"/>
            <w:tcBorders>
              <w:tl2br w:val="nil"/>
              <w:tr2bl w:val="nil"/>
            </w:tcBorders>
            <w:shd w:val="clear" w:color="auto" w:fill="auto"/>
            <w:vAlign w:val="center"/>
          </w:tcPr>
          <w:p w14:paraId="3E3E29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三脚架</w:t>
            </w:r>
          </w:p>
        </w:tc>
        <w:tc>
          <w:tcPr>
            <w:tcW w:w="8573" w:type="dxa"/>
            <w:tcBorders>
              <w:tl2br w:val="nil"/>
              <w:tr2bl w:val="nil"/>
            </w:tcBorders>
            <w:shd w:val="clear" w:color="auto" w:fill="auto"/>
            <w:vAlign w:val="center"/>
          </w:tcPr>
          <w:p w14:paraId="2DA1AE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合金圆环、合金酒精灯托盘、托盘高度调节杆和3只支脚组成。酒精灯托盘可以上下自由调节。合金圆环最大外径不小于11cm，圆环内圈有三个向圆心延伸且带凹凸纹路的支撑杆，可满足不同大小烧器的使用，并起到对石棉网的支撑作用，合金酒精灯托盘直径不小于8cm。</w:t>
            </w:r>
          </w:p>
        </w:tc>
        <w:tc>
          <w:tcPr>
            <w:tcW w:w="816" w:type="dxa"/>
            <w:tcBorders>
              <w:tl2br w:val="nil"/>
              <w:tr2bl w:val="nil"/>
            </w:tcBorders>
            <w:shd w:val="clear" w:color="auto" w:fill="auto"/>
            <w:vAlign w:val="center"/>
          </w:tcPr>
          <w:p w14:paraId="700546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35B96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DF4782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0335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2716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32 </w:t>
            </w:r>
          </w:p>
        </w:tc>
        <w:tc>
          <w:tcPr>
            <w:tcW w:w="1166" w:type="dxa"/>
            <w:tcBorders>
              <w:tl2br w:val="nil"/>
              <w:tr2bl w:val="nil"/>
            </w:tcBorders>
            <w:shd w:val="clear" w:color="auto" w:fill="auto"/>
            <w:vAlign w:val="center"/>
          </w:tcPr>
          <w:p w14:paraId="20675D0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试管架</w:t>
            </w:r>
          </w:p>
        </w:tc>
        <w:tc>
          <w:tcPr>
            <w:tcW w:w="8573" w:type="dxa"/>
            <w:tcBorders>
              <w:tl2br w:val="nil"/>
              <w:tr2bl w:val="nil"/>
            </w:tcBorders>
            <w:shd w:val="clear" w:color="auto" w:fill="auto"/>
            <w:vAlign w:val="center"/>
          </w:tcPr>
          <w:p w14:paraId="16E0D7B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木质，8孔、8架。架身表面无毛刺、无裂痕、木材经脱脂干燥处理，表面涂有清漆。</w:t>
            </w:r>
          </w:p>
        </w:tc>
        <w:tc>
          <w:tcPr>
            <w:tcW w:w="816" w:type="dxa"/>
            <w:tcBorders>
              <w:tl2br w:val="nil"/>
              <w:tr2bl w:val="nil"/>
            </w:tcBorders>
            <w:shd w:val="clear" w:color="auto" w:fill="auto"/>
            <w:vAlign w:val="center"/>
          </w:tcPr>
          <w:p w14:paraId="3D597C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74203F4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F2B63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2A2EF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0727F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33 </w:t>
            </w:r>
          </w:p>
        </w:tc>
        <w:tc>
          <w:tcPr>
            <w:tcW w:w="1166" w:type="dxa"/>
            <w:tcBorders>
              <w:tl2br w:val="nil"/>
              <w:tr2bl w:val="nil"/>
            </w:tcBorders>
            <w:shd w:val="clear" w:color="auto" w:fill="auto"/>
            <w:vAlign w:val="center"/>
          </w:tcPr>
          <w:p w14:paraId="64E458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63C16B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 mL，透明钠钙玻璃制，分度线、数字和标志应完整、清晰和耐久，容积为 20 ℃时充满量筒刻度线所容纳体积</w:t>
            </w:r>
          </w:p>
        </w:tc>
        <w:tc>
          <w:tcPr>
            <w:tcW w:w="816" w:type="dxa"/>
            <w:tcBorders>
              <w:tl2br w:val="nil"/>
              <w:tr2bl w:val="nil"/>
            </w:tcBorders>
            <w:shd w:val="clear" w:color="auto" w:fill="auto"/>
            <w:vAlign w:val="center"/>
          </w:tcPr>
          <w:p w14:paraId="62F01A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49D87FE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83EB25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8644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EE47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34 </w:t>
            </w:r>
          </w:p>
        </w:tc>
        <w:tc>
          <w:tcPr>
            <w:tcW w:w="1166" w:type="dxa"/>
            <w:tcBorders>
              <w:tl2br w:val="nil"/>
              <w:tr2bl w:val="nil"/>
            </w:tcBorders>
            <w:shd w:val="clear" w:color="auto" w:fill="auto"/>
            <w:vAlign w:val="center"/>
          </w:tcPr>
          <w:p w14:paraId="039DAF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04C8FE9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 ，透明钠钙玻璃制，分度线、数字和标志应完整、清晰和耐久，容积为 20 ℃时充满量筒刻度线所容纳体积</w:t>
            </w:r>
          </w:p>
        </w:tc>
        <w:tc>
          <w:tcPr>
            <w:tcW w:w="816" w:type="dxa"/>
            <w:tcBorders>
              <w:tl2br w:val="nil"/>
              <w:tr2bl w:val="nil"/>
            </w:tcBorders>
            <w:shd w:val="clear" w:color="auto" w:fill="auto"/>
            <w:vAlign w:val="center"/>
          </w:tcPr>
          <w:p w14:paraId="6A10E5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3F4081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B5C1A7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BCEF6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A6DE1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35 </w:t>
            </w:r>
          </w:p>
        </w:tc>
        <w:tc>
          <w:tcPr>
            <w:tcW w:w="1166" w:type="dxa"/>
            <w:tcBorders>
              <w:tl2br w:val="nil"/>
              <w:tr2bl w:val="nil"/>
            </w:tcBorders>
            <w:shd w:val="clear" w:color="auto" w:fill="auto"/>
            <w:vAlign w:val="center"/>
          </w:tcPr>
          <w:p w14:paraId="3AEE34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0F5667E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mL ，透明钠钙玻璃制，分度线、数字和标志应完整、清晰和耐久，容积为 20 ℃时充满量筒刻度线所容纳体积</w:t>
            </w:r>
          </w:p>
        </w:tc>
        <w:tc>
          <w:tcPr>
            <w:tcW w:w="816" w:type="dxa"/>
            <w:tcBorders>
              <w:tl2br w:val="nil"/>
              <w:tr2bl w:val="nil"/>
            </w:tcBorders>
            <w:shd w:val="clear" w:color="auto" w:fill="auto"/>
            <w:vAlign w:val="center"/>
          </w:tcPr>
          <w:p w14:paraId="6FA1FF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5EE3FB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E26AB9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ADF71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4529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36 </w:t>
            </w:r>
          </w:p>
        </w:tc>
        <w:tc>
          <w:tcPr>
            <w:tcW w:w="1166" w:type="dxa"/>
            <w:tcBorders>
              <w:tl2br w:val="nil"/>
              <w:tr2bl w:val="nil"/>
            </w:tcBorders>
            <w:shd w:val="clear" w:color="auto" w:fill="auto"/>
            <w:vAlign w:val="center"/>
          </w:tcPr>
          <w:p w14:paraId="42FF32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量筒</w:t>
            </w:r>
          </w:p>
        </w:tc>
        <w:tc>
          <w:tcPr>
            <w:tcW w:w="8573" w:type="dxa"/>
            <w:tcBorders>
              <w:tl2br w:val="nil"/>
              <w:tr2bl w:val="nil"/>
            </w:tcBorders>
            <w:shd w:val="clear" w:color="auto" w:fill="auto"/>
            <w:vAlign w:val="center"/>
          </w:tcPr>
          <w:p w14:paraId="5A98F7E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，透明钠钙玻璃制，分度线、数字和标志应完整、清晰和耐久，容积为 20 ℃时充满量筒刻度线所容纳体积</w:t>
            </w:r>
          </w:p>
        </w:tc>
        <w:tc>
          <w:tcPr>
            <w:tcW w:w="816" w:type="dxa"/>
            <w:tcBorders>
              <w:tl2br w:val="nil"/>
              <w:tr2bl w:val="nil"/>
            </w:tcBorders>
            <w:shd w:val="clear" w:color="auto" w:fill="auto"/>
            <w:vAlign w:val="center"/>
          </w:tcPr>
          <w:p w14:paraId="5059AE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2A59B9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0A129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557B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F718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37 </w:t>
            </w:r>
          </w:p>
        </w:tc>
        <w:tc>
          <w:tcPr>
            <w:tcW w:w="1166" w:type="dxa"/>
            <w:tcBorders>
              <w:tl2br w:val="nil"/>
              <w:tr2bl w:val="nil"/>
            </w:tcBorders>
            <w:shd w:val="clear" w:color="auto" w:fill="auto"/>
            <w:vAlign w:val="center"/>
          </w:tcPr>
          <w:p w14:paraId="3060B5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3FF5E83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12 mm×70 mm，透明硼硅酸盐玻璃制</w:t>
            </w:r>
          </w:p>
        </w:tc>
        <w:tc>
          <w:tcPr>
            <w:tcW w:w="816" w:type="dxa"/>
            <w:tcBorders>
              <w:tl2br w:val="nil"/>
              <w:tr2bl w:val="nil"/>
            </w:tcBorders>
            <w:shd w:val="clear" w:color="auto" w:fill="auto"/>
            <w:vAlign w:val="center"/>
          </w:tcPr>
          <w:p w14:paraId="4F27B23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7A7B8A0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4C8A3A2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183FF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1A3EE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38 </w:t>
            </w:r>
          </w:p>
        </w:tc>
        <w:tc>
          <w:tcPr>
            <w:tcW w:w="1166" w:type="dxa"/>
            <w:tcBorders>
              <w:tl2br w:val="nil"/>
              <w:tr2bl w:val="nil"/>
            </w:tcBorders>
            <w:shd w:val="clear" w:color="auto" w:fill="auto"/>
            <w:vAlign w:val="center"/>
          </w:tcPr>
          <w:p w14:paraId="04EAA0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w:t>
            </w:r>
          </w:p>
        </w:tc>
        <w:tc>
          <w:tcPr>
            <w:tcW w:w="8573" w:type="dxa"/>
            <w:tcBorders>
              <w:tl2br w:val="nil"/>
              <w:tr2bl w:val="nil"/>
            </w:tcBorders>
            <w:shd w:val="clear" w:color="auto" w:fill="auto"/>
            <w:vAlign w:val="center"/>
          </w:tcPr>
          <w:p w14:paraId="3861B3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15 mm×150 mm，透明硼硅酸盐玻璃制</w:t>
            </w:r>
          </w:p>
        </w:tc>
        <w:tc>
          <w:tcPr>
            <w:tcW w:w="816" w:type="dxa"/>
            <w:tcBorders>
              <w:tl2br w:val="nil"/>
              <w:tr2bl w:val="nil"/>
            </w:tcBorders>
            <w:shd w:val="clear" w:color="auto" w:fill="auto"/>
            <w:vAlign w:val="center"/>
          </w:tcPr>
          <w:p w14:paraId="437FC1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w:t>
            </w:r>
          </w:p>
        </w:tc>
        <w:tc>
          <w:tcPr>
            <w:tcW w:w="498" w:type="dxa"/>
            <w:tcBorders>
              <w:tl2br w:val="nil"/>
              <w:tr2bl w:val="nil"/>
            </w:tcBorders>
            <w:shd w:val="clear" w:color="auto" w:fill="auto"/>
            <w:vAlign w:val="center"/>
          </w:tcPr>
          <w:p w14:paraId="7AE741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7435590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20573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8DD33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39 </w:t>
            </w:r>
          </w:p>
        </w:tc>
        <w:tc>
          <w:tcPr>
            <w:tcW w:w="1166" w:type="dxa"/>
            <w:tcBorders>
              <w:tl2br w:val="nil"/>
              <w:tr2bl w:val="nil"/>
            </w:tcBorders>
            <w:shd w:val="clear" w:color="auto" w:fill="auto"/>
            <w:vAlign w:val="center"/>
          </w:tcPr>
          <w:p w14:paraId="663144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3A6F1D1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 mL ，透明硼硅酸盐玻璃制，烧杯的满口容量应超过标称容量的 10%或烧杯的满口容量和标称容量的两液面间距不应少于 10 mm，并应采用容量差值较大的一种</w:t>
            </w:r>
          </w:p>
        </w:tc>
        <w:tc>
          <w:tcPr>
            <w:tcW w:w="816" w:type="dxa"/>
            <w:tcBorders>
              <w:tl2br w:val="nil"/>
              <w:tr2bl w:val="nil"/>
            </w:tcBorders>
            <w:shd w:val="clear" w:color="auto" w:fill="auto"/>
            <w:vAlign w:val="center"/>
          </w:tcPr>
          <w:p w14:paraId="0A8797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14CCA75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736802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41F3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C58BF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40 </w:t>
            </w:r>
          </w:p>
        </w:tc>
        <w:tc>
          <w:tcPr>
            <w:tcW w:w="1166" w:type="dxa"/>
            <w:tcBorders>
              <w:tl2br w:val="nil"/>
              <w:tr2bl w:val="nil"/>
            </w:tcBorders>
            <w:shd w:val="clear" w:color="auto" w:fill="auto"/>
            <w:vAlign w:val="center"/>
          </w:tcPr>
          <w:p w14:paraId="0B3923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545388C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mL  ，透明硼硅酸盐玻璃制，烧杯的满口容量应超过标称容量的 10%或烧杯的满口容量和标称容量的两液面间距不应少于 10 mm，并应采用容量差值较大的一种</w:t>
            </w:r>
          </w:p>
        </w:tc>
        <w:tc>
          <w:tcPr>
            <w:tcW w:w="816" w:type="dxa"/>
            <w:tcBorders>
              <w:tl2br w:val="nil"/>
              <w:tr2bl w:val="nil"/>
            </w:tcBorders>
            <w:shd w:val="clear" w:color="auto" w:fill="auto"/>
            <w:vAlign w:val="center"/>
          </w:tcPr>
          <w:p w14:paraId="1DEE5C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75C4C5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AD525B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818A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16F6C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41 </w:t>
            </w:r>
          </w:p>
        </w:tc>
        <w:tc>
          <w:tcPr>
            <w:tcW w:w="1166" w:type="dxa"/>
            <w:tcBorders>
              <w:tl2br w:val="nil"/>
              <w:tr2bl w:val="nil"/>
            </w:tcBorders>
            <w:shd w:val="clear" w:color="auto" w:fill="auto"/>
            <w:vAlign w:val="center"/>
          </w:tcPr>
          <w:p w14:paraId="52136D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71D387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250mL，采用透明硼硅酸盐玻璃制，烧杯的满口量应超过标称容量的10%。</w:t>
            </w:r>
            <w:r>
              <w:rPr>
                <w:rFonts w:hint="eastAsia" w:ascii="宋体" w:hAnsi="宋体" w:eastAsia="宋体" w:cs="宋体"/>
                <w:i w:val="0"/>
                <w:iCs w:val="0"/>
                <w:color w:val="000000"/>
                <w:kern w:val="0"/>
                <w:sz w:val="20"/>
                <w:szCs w:val="20"/>
                <w:u w:val="none"/>
                <w:lang w:val="en-US" w:eastAsia="zh-CN" w:bidi="ar"/>
              </w:rPr>
              <w:br w:type="textWrapping"/>
            </w:r>
          </w:p>
        </w:tc>
        <w:tc>
          <w:tcPr>
            <w:tcW w:w="816" w:type="dxa"/>
            <w:tcBorders>
              <w:tl2br w:val="nil"/>
              <w:tr2bl w:val="nil"/>
            </w:tcBorders>
            <w:shd w:val="clear" w:color="auto" w:fill="auto"/>
            <w:vAlign w:val="center"/>
          </w:tcPr>
          <w:p w14:paraId="5D3A13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5AB9C2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A8BBE1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D817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BB66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42 </w:t>
            </w:r>
          </w:p>
        </w:tc>
        <w:tc>
          <w:tcPr>
            <w:tcW w:w="1166" w:type="dxa"/>
            <w:tcBorders>
              <w:tl2br w:val="nil"/>
              <w:tr2bl w:val="nil"/>
            </w:tcBorders>
            <w:shd w:val="clear" w:color="auto" w:fill="auto"/>
            <w:vAlign w:val="center"/>
          </w:tcPr>
          <w:p w14:paraId="0D300E9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烧杯</w:t>
            </w:r>
          </w:p>
        </w:tc>
        <w:tc>
          <w:tcPr>
            <w:tcW w:w="8573" w:type="dxa"/>
            <w:tcBorders>
              <w:tl2br w:val="nil"/>
              <w:tr2bl w:val="nil"/>
            </w:tcBorders>
            <w:shd w:val="clear" w:color="auto" w:fill="auto"/>
            <w:vAlign w:val="center"/>
          </w:tcPr>
          <w:p w14:paraId="33B9071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mL，透明硼硅酸盐玻璃制，烧杯的满口容量应超过标称容量的 10%或烧杯的满口容量和标称容量的两液面间距不应少于 10 mm，并应采用容量差值较大的一种</w:t>
            </w:r>
          </w:p>
        </w:tc>
        <w:tc>
          <w:tcPr>
            <w:tcW w:w="816" w:type="dxa"/>
            <w:tcBorders>
              <w:tl2br w:val="nil"/>
              <w:tr2bl w:val="nil"/>
            </w:tcBorders>
            <w:shd w:val="clear" w:color="auto" w:fill="auto"/>
            <w:vAlign w:val="center"/>
          </w:tcPr>
          <w:p w14:paraId="099DD8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4A835E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12032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DD014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19DD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43 </w:t>
            </w:r>
          </w:p>
        </w:tc>
        <w:tc>
          <w:tcPr>
            <w:tcW w:w="1166" w:type="dxa"/>
            <w:tcBorders>
              <w:tl2br w:val="nil"/>
              <w:tr2bl w:val="nil"/>
            </w:tcBorders>
            <w:shd w:val="clear" w:color="auto" w:fill="auto"/>
            <w:vAlign w:val="center"/>
          </w:tcPr>
          <w:p w14:paraId="7F6CF21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锥形瓶</w:t>
            </w:r>
          </w:p>
        </w:tc>
        <w:tc>
          <w:tcPr>
            <w:tcW w:w="8573" w:type="dxa"/>
            <w:tcBorders>
              <w:tl2br w:val="nil"/>
              <w:tr2bl w:val="nil"/>
            </w:tcBorders>
            <w:shd w:val="clear" w:color="auto" w:fill="auto"/>
            <w:vAlign w:val="center"/>
          </w:tcPr>
          <w:p w14:paraId="7A4A7F7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100mL，透明硼硅酸盐玻璃制，放在平台上应直立不摇晃、不转动</w:t>
            </w:r>
          </w:p>
        </w:tc>
        <w:tc>
          <w:tcPr>
            <w:tcW w:w="816" w:type="dxa"/>
            <w:tcBorders>
              <w:tl2br w:val="nil"/>
              <w:tr2bl w:val="nil"/>
            </w:tcBorders>
            <w:shd w:val="clear" w:color="auto" w:fill="auto"/>
            <w:vAlign w:val="center"/>
          </w:tcPr>
          <w:p w14:paraId="280ECA1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653276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8A48D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DCD1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7908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44 </w:t>
            </w:r>
          </w:p>
        </w:tc>
        <w:tc>
          <w:tcPr>
            <w:tcW w:w="1166" w:type="dxa"/>
            <w:tcBorders>
              <w:tl2br w:val="nil"/>
              <w:tr2bl w:val="nil"/>
            </w:tcBorders>
            <w:shd w:val="clear" w:color="auto" w:fill="auto"/>
            <w:vAlign w:val="center"/>
          </w:tcPr>
          <w:p w14:paraId="68FF49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锥形瓶</w:t>
            </w:r>
          </w:p>
        </w:tc>
        <w:tc>
          <w:tcPr>
            <w:tcW w:w="8573" w:type="dxa"/>
            <w:tcBorders>
              <w:tl2br w:val="nil"/>
              <w:tr2bl w:val="nil"/>
            </w:tcBorders>
            <w:shd w:val="clear" w:color="auto" w:fill="auto"/>
            <w:vAlign w:val="center"/>
          </w:tcPr>
          <w:p w14:paraId="5686F4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250mL ，透明硼硅酸盐玻璃制，放在平台上应直立不摇晃、不转动</w:t>
            </w:r>
          </w:p>
        </w:tc>
        <w:tc>
          <w:tcPr>
            <w:tcW w:w="816" w:type="dxa"/>
            <w:tcBorders>
              <w:tl2br w:val="nil"/>
              <w:tr2bl w:val="nil"/>
            </w:tcBorders>
            <w:shd w:val="clear" w:color="auto" w:fill="auto"/>
            <w:vAlign w:val="center"/>
          </w:tcPr>
          <w:p w14:paraId="001D02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31B38B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4DA211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F195B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B515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45 </w:t>
            </w:r>
          </w:p>
        </w:tc>
        <w:tc>
          <w:tcPr>
            <w:tcW w:w="1166" w:type="dxa"/>
            <w:tcBorders>
              <w:tl2br w:val="nil"/>
              <w:tr2bl w:val="nil"/>
            </w:tcBorders>
            <w:shd w:val="clear" w:color="auto" w:fill="auto"/>
            <w:vAlign w:val="center"/>
          </w:tcPr>
          <w:p w14:paraId="71F8B5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2E78601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125mL，透明钠钙玻璃制，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6230F2B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w:t>
            </w:r>
          </w:p>
        </w:tc>
        <w:tc>
          <w:tcPr>
            <w:tcW w:w="498" w:type="dxa"/>
            <w:tcBorders>
              <w:tl2br w:val="nil"/>
              <w:tr2bl w:val="nil"/>
            </w:tcBorders>
            <w:shd w:val="clear" w:color="auto" w:fill="auto"/>
            <w:vAlign w:val="center"/>
          </w:tcPr>
          <w:p w14:paraId="0F4CF40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0C3A68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24766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BB98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46 </w:t>
            </w:r>
          </w:p>
        </w:tc>
        <w:tc>
          <w:tcPr>
            <w:tcW w:w="1166" w:type="dxa"/>
            <w:tcBorders>
              <w:tl2br w:val="nil"/>
              <w:tr2bl w:val="nil"/>
            </w:tcBorders>
            <w:shd w:val="clear" w:color="auto" w:fill="auto"/>
            <w:vAlign w:val="center"/>
          </w:tcPr>
          <w:p w14:paraId="373A34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广口瓶</w:t>
            </w:r>
          </w:p>
        </w:tc>
        <w:tc>
          <w:tcPr>
            <w:tcW w:w="8573" w:type="dxa"/>
            <w:tcBorders>
              <w:tl2br w:val="nil"/>
              <w:tr2bl w:val="nil"/>
            </w:tcBorders>
            <w:shd w:val="clear" w:color="auto" w:fill="auto"/>
            <w:vAlign w:val="center"/>
          </w:tcPr>
          <w:p w14:paraId="6014327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1955E01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w:t>
            </w:r>
          </w:p>
        </w:tc>
        <w:tc>
          <w:tcPr>
            <w:tcW w:w="498" w:type="dxa"/>
            <w:tcBorders>
              <w:tl2br w:val="nil"/>
              <w:tr2bl w:val="nil"/>
            </w:tcBorders>
            <w:shd w:val="clear" w:color="auto" w:fill="auto"/>
            <w:vAlign w:val="center"/>
          </w:tcPr>
          <w:p w14:paraId="3CBC75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31DB8B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7C43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ABF3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47 </w:t>
            </w:r>
          </w:p>
        </w:tc>
        <w:tc>
          <w:tcPr>
            <w:tcW w:w="1166" w:type="dxa"/>
            <w:tcBorders>
              <w:tl2br w:val="nil"/>
              <w:tr2bl w:val="nil"/>
            </w:tcBorders>
            <w:shd w:val="clear" w:color="auto" w:fill="auto"/>
            <w:vAlign w:val="center"/>
          </w:tcPr>
          <w:p w14:paraId="70C584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730A032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05F99B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7487D6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A7E580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590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32B7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48 </w:t>
            </w:r>
          </w:p>
        </w:tc>
        <w:tc>
          <w:tcPr>
            <w:tcW w:w="1166" w:type="dxa"/>
            <w:tcBorders>
              <w:tl2br w:val="nil"/>
              <w:tr2bl w:val="nil"/>
            </w:tcBorders>
            <w:shd w:val="clear" w:color="auto" w:fill="auto"/>
            <w:vAlign w:val="center"/>
          </w:tcPr>
          <w:p w14:paraId="6145B9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细口瓶</w:t>
            </w:r>
          </w:p>
        </w:tc>
        <w:tc>
          <w:tcPr>
            <w:tcW w:w="8573" w:type="dxa"/>
            <w:tcBorders>
              <w:tl2br w:val="nil"/>
              <w:tr2bl w:val="nil"/>
            </w:tcBorders>
            <w:shd w:val="clear" w:color="auto" w:fill="auto"/>
            <w:vAlign w:val="center"/>
          </w:tcPr>
          <w:p w14:paraId="6AA2AC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500 mL ，透明钠钙玻璃制， 瓶塞与瓶口紧实，不晃动；口部应圆整光滑，底部应平整，放置平台上不应摇晃或转动</w:t>
            </w:r>
          </w:p>
        </w:tc>
        <w:tc>
          <w:tcPr>
            <w:tcW w:w="816" w:type="dxa"/>
            <w:tcBorders>
              <w:tl2br w:val="nil"/>
              <w:tr2bl w:val="nil"/>
            </w:tcBorders>
            <w:shd w:val="clear" w:color="auto" w:fill="auto"/>
            <w:vAlign w:val="center"/>
          </w:tcPr>
          <w:p w14:paraId="445FA6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3935186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972FB2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C9B0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BB60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49 </w:t>
            </w:r>
          </w:p>
        </w:tc>
        <w:tc>
          <w:tcPr>
            <w:tcW w:w="1166" w:type="dxa"/>
            <w:tcBorders>
              <w:tl2br w:val="nil"/>
              <w:tr2bl w:val="nil"/>
            </w:tcBorders>
            <w:shd w:val="clear" w:color="auto" w:fill="auto"/>
            <w:vAlign w:val="center"/>
          </w:tcPr>
          <w:p w14:paraId="0B2008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滴瓶</w:t>
            </w:r>
          </w:p>
        </w:tc>
        <w:tc>
          <w:tcPr>
            <w:tcW w:w="8573" w:type="dxa"/>
            <w:tcBorders>
              <w:tl2br w:val="nil"/>
              <w:tr2bl w:val="nil"/>
            </w:tcBorders>
            <w:shd w:val="clear" w:color="auto" w:fill="auto"/>
            <w:vAlign w:val="center"/>
          </w:tcPr>
          <w:p w14:paraId="335C2F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 mL，透明钠钙玻璃制，瓶口细磨，磨砂面应均匀细腻，滴管应附橡胶帽，吸放弹性好，开口直径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19D335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349FE2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6E0536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D68A6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8785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50 </w:t>
            </w:r>
          </w:p>
        </w:tc>
        <w:tc>
          <w:tcPr>
            <w:tcW w:w="1166" w:type="dxa"/>
            <w:tcBorders>
              <w:tl2br w:val="nil"/>
              <w:tr2bl w:val="nil"/>
            </w:tcBorders>
            <w:shd w:val="clear" w:color="auto" w:fill="auto"/>
            <w:vAlign w:val="center"/>
          </w:tcPr>
          <w:p w14:paraId="4B8380F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滴瓶</w:t>
            </w:r>
          </w:p>
        </w:tc>
        <w:tc>
          <w:tcPr>
            <w:tcW w:w="8573" w:type="dxa"/>
            <w:tcBorders>
              <w:tl2br w:val="nil"/>
              <w:tr2bl w:val="nil"/>
            </w:tcBorders>
            <w:shd w:val="clear" w:color="auto" w:fill="auto"/>
            <w:vAlign w:val="center"/>
          </w:tcPr>
          <w:p w14:paraId="19A6E0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60mL，瓶身晶莹剔透、质地均匀、无气泡、夹杂物、划伤、线道、雾斑，表面无翘曲、缺口、毛刺等质量缺陷，角度方正；产品外观要求色彩协调、规整光洁；表面不应有明显的擦伤、划痕和碰撞的坑疤；玻璃器件应外形端正，厚薄均匀，内外表面清洁无划痕。</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2、瓶身可定制试剂名称，试剂名称非印刷字、非贴纸</w:t>
            </w:r>
            <w:r>
              <w:rPr>
                <w:rFonts w:hint="eastAsia" w:ascii="宋体" w:hAnsi="宋体" w:cs="宋体"/>
                <w:i w:val="0"/>
                <w:iCs w:val="0"/>
                <w:color w:val="000000"/>
                <w:kern w:val="0"/>
                <w:sz w:val="20"/>
                <w:szCs w:val="20"/>
                <w:u w:val="none"/>
                <w:lang w:val="en-US" w:eastAsia="zh-CN" w:bidi="ar"/>
              </w:rPr>
              <w:t>。</w:t>
            </w:r>
          </w:p>
        </w:tc>
        <w:tc>
          <w:tcPr>
            <w:tcW w:w="816" w:type="dxa"/>
            <w:tcBorders>
              <w:tl2br w:val="nil"/>
              <w:tr2bl w:val="nil"/>
            </w:tcBorders>
            <w:shd w:val="clear" w:color="auto" w:fill="auto"/>
            <w:vAlign w:val="center"/>
          </w:tcPr>
          <w:p w14:paraId="19568A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42706C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3F1BA0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6295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F16AB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51 </w:t>
            </w:r>
          </w:p>
        </w:tc>
        <w:tc>
          <w:tcPr>
            <w:tcW w:w="1166" w:type="dxa"/>
            <w:tcBorders>
              <w:tl2br w:val="nil"/>
              <w:tr2bl w:val="nil"/>
            </w:tcBorders>
            <w:shd w:val="clear" w:color="auto" w:fill="auto"/>
            <w:vAlign w:val="center"/>
          </w:tcPr>
          <w:p w14:paraId="644E56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茶色滴瓶</w:t>
            </w:r>
          </w:p>
        </w:tc>
        <w:tc>
          <w:tcPr>
            <w:tcW w:w="8573" w:type="dxa"/>
            <w:tcBorders>
              <w:tl2br w:val="nil"/>
              <w:tr2bl w:val="nil"/>
            </w:tcBorders>
            <w:shd w:val="clear" w:color="auto" w:fill="auto"/>
            <w:vAlign w:val="center"/>
          </w:tcPr>
          <w:p w14:paraId="0B58B1A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 mL ，黄棕色钠钙玻璃制，瓶口细磨，磨砂面应均匀细腻，滴管应附橡胶帽，吸放弹性好，开口直径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613708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2BB7E0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840575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82B6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6C4D16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52 </w:t>
            </w:r>
          </w:p>
        </w:tc>
        <w:tc>
          <w:tcPr>
            <w:tcW w:w="1166" w:type="dxa"/>
            <w:tcBorders>
              <w:tl2br w:val="nil"/>
              <w:tr2bl w:val="nil"/>
            </w:tcBorders>
            <w:shd w:val="clear" w:color="auto" w:fill="auto"/>
            <w:vAlign w:val="center"/>
          </w:tcPr>
          <w:p w14:paraId="1B3095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茶色滴瓶</w:t>
            </w:r>
          </w:p>
        </w:tc>
        <w:tc>
          <w:tcPr>
            <w:tcW w:w="8573" w:type="dxa"/>
            <w:tcBorders>
              <w:tl2br w:val="nil"/>
              <w:tr2bl w:val="nil"/>
            </w:tcBorders>
            <w:shd w:val="clear" w:color="auto" w:fill="auto"/>
            <w:vAlign w:val="center"/>
          </w:tcPr>
          <w:p w14:paraId="6ED4E2E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mL ，黄棕色钠钙玻璃制，瓶口细磨，磨砂面应均匀细腻，滴管应附橡胶帽，吸放弹性好，开口直径 6 mm，与滴管口套合牢固稳定</w:t>
            </w:r>
          </w:p>
        </w:tc>
        <w:tc>
          <w:tcPr>
            <w:tcW w:w="816" w:type="dxa"/>
            <w:tcBorders>
              <w:tl2br w:val="nil"/>
              <w:tr2bl w:val="nil"/>
            </w:tcBorders>
            <w:shd w:val="clear" w:color="auto" w:fill="auto"/>
            <w:vAlign w:val="center"/>
          </w:tcPr>
          <w:p w14:paraId="308B0A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150</w:t>
            </w:r>
          </w:p>
        </w:tc>
        <w:tc>
          <w:tcPr>
            <w:tcW w:w="498" w:type="dxa"/>
            <w:tcBorders>
              <w:tl2br w:val="nil"/>
              <w:tr2bl w:val="nil"/>
            </w:tcBorders>
            <w:shd w:val="clear" w:color="auto" w:fill="auto"/>
            <w:vAlign w:val="center"/>
          </w:tcPr>
          <w:p w14:paraId="2A5BDA1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6641FE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D14F1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C9BD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53 </w:t>
            </w:r>
          </w:p>
        </w:tc>
        <w:tc>
          <w:tcPr>
            <w:tcW w:w="1166" w:type="dxa"/>
            <w:tcBorders>
              <w:tl2br w:val="nil"/>
              <w:tr2bl w:val="nil"/>
            </w:tcBorders>
            <w:shd w:val="clear" w:color="auto" w:fill="auto"/>
            <w:vAlign w:val="center"/>
          </w:tcPr>
          <w:p w14:paraId="76A5F8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培养皿</w:t>
            </w:r>
          </w:p>
        </w:tc>
        <w:tc>
          <w:tcPr>
            <w:tcW w:w="8573" w:type="dxa"/>
            <w:tcBorders>
              <w:tl2br w:val="nil"/>
              <w:tr2bl w:val="nil"/>
            </w:tcBorders>
            <w:shd w:val="clear" w:color="auto" w:fill="auto"/>
            <w:vAlign w:val="center"/>
          </w:tcPr>
          <w:p w14:paraId="7987773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mm，玻璃薄厚均匀、耐高温高压</w:t>
            </w:r>
          </w:p>
        </w:tc>
        <w:tc>
          <w:tcPr>
            <w:tcW w:w="816" w:type="dxa"/>
            <w:tcBorders>
              <w:tl2br w:val="nil"/>
              <w:tr2bl w:val="nil"/>
            </w:tcBorders>
            <w:shd w:val="clear" w:color="auto" w:fill="auto"/>
            <w:vAlign w:val="center"/>
          </w:tcPr>
          <w:p w14:paraId="751B19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w:t>
            </w:r>
          </w:p>
        </w:tc>
        <w:tc>
          <w:tcPr>
            <w:tcW w:w="498" w:type="dxa"/>
            <w:tcBorders>
              <w:tl2br w:val="nil"/>
              <w:tr2bl w:val="nil"/>
            </w:tcBorders>
            <w:shd w:val="clear" w:color="auto" w:fill="auto"/>
            <w:vAlign w:val="center"/>
          </w:tcPr>
          <w:p w14:paraId="4253E4F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4A4EA9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68B3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45A1B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54 </w:t>
            </w:r>
          </w:p>
        </w:tc>
        <w:tc>
          <w:tcPr>
            <w:tcW w:w="1166" w:type="dxa"/>
            <w:tcBorders>
              <w:tl2br w:val="nil"/>
              <w:tr2bl w:val="nil"/>
            </w:tcBorders>
            <w:shd w:val="clear" w:color="auto" w:fill="auto"/>
            <w:vAlign w:val="center"/>
          </w:tcPr>
          <w:p w14:paraId="732875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培养皿</w:t>
            </w:r>
          </w:p>
        </w:tc>
        <w:tc>
          <w:tcPr>
            <w:tcW w:w="8573" w:type="dxa"/>
            <w:tcBorders>
              <w:tl2br w:val="nil"/>
              <w:tr2bl w:val="nil"/>
            </w:tcBorders>
            <w:shd w:val="clear" w:color="auto" w:fill="auto"/>
            <w:vAlign w:val="center"/>
          </w:tcPr>
          <w:p w14:paraId="5A18AFB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90 mm ，玻璃薄厚均匀、耐高温高压</w:t>
            </w:r>
          </w:p>
        </w:tc>
        <w:tc>
          <w:tcPr>
            <w:tcW w:w="816" w:type="dxa"/>
            <w:tcBorders>
              <w:tl2br w:val="nil"/>
              <w:tr2bl w:val="nil"/>
            </w:tcBorders>
            <w:shd w:val="clear" w:color="auto" w:fill="auto"/>
            <w:vAlign w:val="center"/>
          </w:tcPr>
          <w:p w14:paraId="756E3A7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120</w:t>
            </w:r>
          </w:p>
        </w:tc>
        <w:tc>
          <w:tcPr>
            <w:tcW w:w="498" w:type="dxa"/>
            <w:tcBorders>
              <w:tl2br w:val="nil"/>
              <w:tr2bl w:val="nil"/>
            </w:tcBorders>
            <w:shd w:val="clear" w:color="auto" w:fill="auto"/>
            <w:vAlign w:val="center"/>
          </w:tcPr>
          <w:p w14:paraId="4B3A8E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1C0D1A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2E6B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8C0C1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55 </w:t>
            </w:r>
          </w:p>
        </w:tc>
        <w:tc>
          <w:tcPr>
            <w:tcW w:w="1166" w:type="dxa"/>
            <w:tcBorders>
              <w:tl2br w:val="nil"/>
              <w:tr2bl w:val="nil"/>
            </w:tcBorders>
            <w:shd w:val="clear" w:color="auto" w:fill="auto"/>
            <w:vAlign w:val="center"/>
          </w:tcPr>
          <w:p w14:paraId="154DA1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漏斗</w:t>
            </w:r>
          </w:p>
        </w:tc>
        <w:tc>
          <w:tcPr>
            <w:tcW w:w="8573" w:type="dxa"/>
            <w:tcBorders>
              <w:tl2br w:val="nil"/>
              <w:tr2bl w:val="nil"/>
            </w:tcBorders>
            <w:shd w:val="clear" w:color="auto" w:fill="auto"/>
            <w:vAlign w:val="center"/>
          </w:tcPr>
          <w:p w14:paraId="6E7C19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 mm， 直径准确，锥度适中</w:t>
            </w:r>
          </w:p>
        </w:tc>
        <w:tc>
          <w:tcPr>
            <w:tcW w:w="816" w:type="dxa"/>
            <w:tcBorders>
              <w:tl2br w:val="nil"/>
              <w:tr2bl w:val="nil"/>
            </w:tcBorders>
            <w:shd w:val="clear" w:color="auto" w:fill="auto"/>
            <w:vAlign w:val="center"/>
          </w:tcPr>
          <w:p w14:paraId="0CD7AE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53AD3EE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4DE8C2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BE4F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500A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56 </w:t>
            </w:r>
          </w:p>
        </w:tc>
        <w:tc>
          <w:tcPr>
            <w:tcW w:w="1166" w:type="dxa"/>
            <w:tcBorders>
              <w:tl2br w:val="nil"/>
              <w:tr2bl w:val="nil"/>
            </w:tcBorders>
            <w:shd w:val="clear" w:color="auto" w:fill="auto"/>
            <w:vAlign w:val="center"/>
          </w:tcPr>
          <w:p w14:paraId="007EE07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三通连接管</w:t>
            </w:r>
          </w:p>
        </w:tc>
        <w:tc>
          <w:tcPr>
            <w:tcW w:w="8573" w:type="dxa"/>
            <w:tcBorders>
              <w:tl2br w:val="nil"/>
              <w:tr2bl w:val="nil"/>
            </w:tcBorders>
            <w:shd w:val="clear" w:color="auto" w:fill="auto"/>
            <w:vAlign w:val="center"/>
          </w:tcPr>
          <w:p w14:paraId="4205A84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Y 形， Φ 7 mm～Φ 8 mm，连接完好，管口应作打磨或烧结处理</w:t>
            </w:r>
          </w:p>
        </w:tc>
        <w:tc>
          <w:tcPr>
            <w:tcW w:w="816" w:type="dxa"/>
            <w:tcBorders>
              <w:tl2br w:val="nil"/>
              <w:tr2bl w:val="nil"/>
            </w:tcBorders>
            <w:shd w:val="clear" w:color="auto" w:fill="auto"/>
            <w:vAlign w:val="center"/>
          </w:tcPr>
          <w:p w14:paraId="44D141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6C3A2B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03D0B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058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F400C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57 </w:t>
            </w:r>
          </w:p>
        </w:tc>
        <w:tc>
          <w:tcPr>
            <w:tcW w:w="1166" w:type="dxa"/>
            <w:tcBorders>
              <w:tl2br w:val="nil"/>
              <w:tr2bl w:val="nil"/>
            </w:tcBorders>
            <w:shd w:val="clear" w:color="auto" w:fill="auto"/>
            <w:vAlign w:val="center"/>
          </w:tcPr>
          <w:p w14:paraId="2194AA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滴管</w:t>
            </w:r>
          </w:p>
        </w:tc>
        <w:tc>
          <w:tcPr>
            <w:tcW w:w="8573" w:type="dxa"/>
            <w:tcBorders>
              <w:tl2br w:val="nil"/>
              <w:tr2bl w:val="nil"/>
            </w:tcBorders>
            <w:shd w:val="clear" w:color="auto" w:fill="auto"/>
            <w:vAlign w:val="center"/>
          </w:tcPr>
          <w:p w14:paraId="1FF8A1D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mm，直形，滴管尖嘴口径 1 mm，上端有防滑脱翻口，翻口处直径比滴管直径略多 1 mm～2 mm</w:t>
            </w:r>
          </w:p>
        </w:tc>
        <w:tc>
          <w:tcPr>
            <w:tcW w:w="816" w:type="dxa"/>
            <w:tcBorders>
              <w:tl2br w:val="nil"/>
              <w:tr2bl w:val="nil"/>
            </w:tcBorders>
            <w:shd w:val="clear" w:color="auto" w:fill="auto"/>
            <w:vAlign w:val="center"/>
          </w:tcPr>
          <w:p w14:paraId="13F674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300</w:t>
            </w:r>
          </w:p>
        </w:tc>
        <w:tc>
          <w:tcPr>
            <w:tcW w:w="498" w:type="dxa"/>
            <w:tcBorders>
              <w:tl2br w:val="nil"/>
              <w:tr2bl w:val="nil"/>
            </w:tcBorders>
            <w:shd w:val="clear" w:color="auto" w:fill="auto"/>
            <w:vAlign w:val="center"/>
          </w:tcPr>
          <w:p w14:paraId="325881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6DB5DC7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CC15A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C08271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58 </w:t>
            </w:r>
          </w:p>
        </w:tc>
        <w:tc>
          <w:tcPr>
            <w:tcW w:w="1166" w:type="dxa"/>
            <w:tcBorders>
              <w:tl2br w:val="nil"/>
              <w:tr2bl w:val="nil"/>
            </w:tcBorders>
            <w:shd w:val="clear" w:color="auto" w:fill="auto"/>
            <w:vAlign w:val="center"/>
          </w:tcPr>
          <w:p w14:paraId="4A107F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玻璃钟罩</w:t>
            </w:r>
          </w:p>
        </w:tc>
        <w:tc>
          <w:tcPr>
            <w:tcW w:w="8573" w:type="dxa"/>
            <w:tcBorders>
              <w:tl2br w:val="nil"/>
              <w:tr2bl w:val="nil"/>
            </w:tcBorders>
            <w:shd w:val="clear" w:color="auto" w:fill="auto"/>
            <w:vAlign w:val="center"/>
          </w:tcPr>
          <w:p w14:paraId="3A8E361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150 mm×280 mm，玻璃壁厚度＞3 mm</w:t>
            </w:r>
          </w:p>
        </w:tc>
        <w:tc>
          <w:tcPr>
            <w:tcW w:w="816" w:type="dxa"/>
            <w:tcBorders>
              <w:tl2br w:val="nil"/>
              <w:tr2bl w:val="nil"/>
            </w:tcBorders>
            <w:shd w:val="clear" w:color="auto" w:fill="auto"/>
            <w:vAlign w:val="center"/>
          </w:tcPr>
          <w:p w14:paraId="7061E7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A5D57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837C5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053C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1F400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59 </w:t>
            </w:r>
          </w:p>
        </w:tc>
        <w:tc>
          <w:tcPr>
            <w:tcW w:w="1166" w:type="dxa"/>
            <w:tcBorders>
              <w:tl2br w:val="nil"/>
              <w:tr2bl w:val="nil"/>
            </w:tcBorders>
            <w:shd w:val="clear" w:color="auto" w:fill="auto"/>
            <w:vAlign w:val="center"/>
          </w:tcPr>
          <w:p w14:paraId="1EF358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载玻片</w:t>
            </w:r>
          </w:p>
        </w:tc>
        <w:tc>
          <w:tcPr>
            <w:tcW w:w="8573" w:type="dxa"/>
            <w:tcBorders>
              <w:tl2br w:val="nil"/>
              <w:tr2bl w:val="nil"/>
            </w:tcBorders>
            <w:shd w:val="clear" w:color="auto" w:fill="auto"/>
            <w:vAlign w:val="center"/>
          </w:tcPr>
          <w:p w14:paraId="053EF0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无色透明，平整</w:t>
            </w:r>
          </w:p>
        </w:tc>
        <w:tc>
          <w:tcPr>
            <w:tcW w:w="816" w:type="dxa"/>
            <w:tcBorders>
              <w:tl2br w:val="nil"/>
              <w:tr2bl w:val="nil"/>
            </w:tcBorders>
            <w:shd w:val="clear" w:color="auto" w:fill="auto"/>
            <w:vAlign w:val="center"/>
          </w:tcPr>
          <w:p w14:paraId="09E3EB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6DF85E2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50B6C2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0628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B29B3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60 </w:t>
            </w:r>
          </w:p>
        </w:tc>
        <w:tc>
          <w:tcPr>
            <w:tcW w:w="1166" w:type="dxa"/>
            <w:tcBorders>
              <w:tl2br w:val="nil"/>
              <w:tr2bl w:val="nil"/>
            </w:tcBorders>
            <w:shd w:val="clear" w:color="auto" w:fill="auto"/>
            <w:vAlign w:val="center"/>
          </w:tcPr>
          <w:p w14:paraId="5AE920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盖玻片</w:t>
            </w:r>
          </w:p>
        </w:tc>
        <w:tc>
          <w:tcPr>
            <w:tcW w:w="8573" w:type="dxa"/>
            <w:tcBorders>
              <w:tl2br w:val="nil"/>
              <w:tr2bl w:val="nil"/>
            </w:tcBorders>
            <w:shd w:val="clear" w:color="auto" w:fill="auto"/>
            <w:vAlign w:val="center"/>
          </w:tcPr>
          <w:p w14:paraId="7A897B0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无色透明， 50片/包</w:t>
            </w:r>
          </w:p>
        </w:tc>
        <w:tc>
          <w:tcPr>
            <w:tcW w:w="816" w:type="dxa"/>
            <w:tcBorders>
              <w:tl2br w:val="nil"/>
              <w:tr2bl w:val="nil"/>
            </w:tcBorders>
            <w:shd w:val="clear" w:color="auto" w:fill="auto"/>
            <w:vAlign w:val="center"/>
          </w:tcPr>
          <w:p w14:paraId="1B5D99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2AD353A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包</w:t>
            </w:r>
          </w:p>
        </w:tc>
        <w:tc>
          <w:tcPr>
            <w:tcW w:w="2796" w:type="dxa"/>
            <w:tcBorders>
              <w:tl2br w:val="nil"/>
              <w:tr2bl w:val="nil"/>
            </w:tcBorders>
            <w:shd w:val="clear" w:color="auto" w:fill="auto"/>
            <w:vAlign w:val="center"/>
          </w:tcPr>
          <w:p w14:paraId="22147F2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2C266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2D894C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61 </w:t>
            </w:r>
          </w:p>
        </w:tc>
        <w:tc>
          <w:tcPr>
            <w:tcW w:w="1166" w:type="dxa"/>
            <w:tcBorders>
              <w:tl2br w:val="nil"/>
              <w:tr2bl w:val="nil"/>
            </w:tcBorders>
            <w:shd w:val="clear" w:color="auto" w:fill="auto"/>
            <w:vAlign w:val="center"/>
          </w:tcPr>
          <w:p w14:paraId="0D9D827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玻璃管</w:t>
            </w:r>
          </w:p>
        </w:tc>
        <w:tc>
          <w:tcPr>
            <w:tcW w:w="8573" w:type="dxa"/>
            <w:tcBorders>
              <w:tl2br w:val="nil"/>
              <w:tr2bl w:val="nil"/>
            </w:tcBorders>
            <w:shd w:val="clear" w:color="auto" w:fill="auto"/>
            <w:vAlign w:val="center"/>
          </w:tcPr>
          <w:p w14:paraId="329B7E1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5 mm～Φ 6 mm，中性料，管口应打磨或烧结，避免划伤事故</w:t>
            </w:r>
          </w:p>
        </w:tc>
        <w:tc>
          <w:tcPr>
            <w:tcW w:w="816" w:type="dxa"/>
            <w:tcBorders>
              <w:tl2br w:val="nil"/>
              <w:tr2bl w:val="nil"/>
            </w:tcBorders>
            <w:shd w:val="clear" w:color="auto" w:fill="auto"/>
            <w:vAlign w:val="center"/>
          </w:tcPr>
          <w:p w14:paraId="1701C9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71C4F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51AE6F1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0E8F0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BC71C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62 </w:t>
            </w:r>
          </w:p>
        </w:tc>
        <w:tc>
          <w:tcPr>
            <w:tcW w:w="1166" w:type="dxa"/>
            <w:tcBorders>
              <w:tl2br w:val="nil"/>
              <w:tr2bl w:val="nil"/>
            </w:tcBorders>
            <w:shd w:val="clear" w:color="auto" w:fill="auto"/>
            <w:vAlign w:val="center"/>
          </w:tcPr>
          <w:p w14:paraId="7A3D6F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玻璃弯管</w:t>
            </w:r>
          </w:p>
        </w:tc>
        <w:tc>
          <w:tcPr>
            <w:tcW w:w="8573" w:type="dxa"/>
            <w:tcBorders>
              <w:tl2br w:val="nil"/>
              <w:tr2bl w:val="nil"/>
            </w:tcBorders>
            <w:shd w:val="clear" w:color="auto" w:fill="auto"/>
            <w:vAlign w:val="center"/>
          </w:tcPr>
          <w:p w14:paraId="0A381D6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7 mm～Φ 8 mm，一端长度为 6 cm～7 cm，一端长度约 20 cm，形状为直角和钝角两种，管口应打磨或烧结，避免划伤事故</w:t>
            </w:r>
          </w:p>
        </w:tc>
        <w:tc>
          <w:tcPr>
            <w:tcW w:w="816" w:type="dxa"/>
            <w:tcBorders>
              <w:tl2br w:val="nil"/>
              <w:tr2bl w:val="nil"/>
            </w:tcBorders>
            <w:shd w:val="clear" w:color="auto" w:fill="auto"/>
            <w:vAlign w:val="center"/>
          </w:tcPr>
          <w:p w14:paraId="05DC76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0.5</w:t>
            </w:r>
          </w:p>
        </w:tc>
        <w:tc>
          <w:tcPr>
            <w:tcW w:w="498" w:type="dxa"/>
            <w:tcBorders>
              <w:tl2br w:val="nil"/>
              <w:tr2bl w:val="nil"/>
            </w:tcBorders>
            <w:shd w:val="clear" w:color="auto" w:fill="auto"/>
            <w:vAlign w:val="center"/>
          </w:tcPr>
          <w:p w14:paraId="0277C5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5DC568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1517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1F0DF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63 </w:t>
            </w:r>
          </w:p>
        </w:tc>
        <w:tc>
          <w:tcPr>
            <w:tcW w:w="1166" w:type="dxa"/>
            <w:tcBorders>
              <w:tl2br w:val="nil"/>
              <w:tr2bl w:val="nil"/>
            </w:tcBorders>
            <w:shd w:val="clear" w:color="auto" w:fill="auto"/>
            <w:vAlign w:val="center"/>
          </w:tcPr>
          <w:p w14:paraId="1E899D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玻璃棒</w:t>
            </w:r>
          </w:p>
        </w:tc>
        <w:tc>
          <w:tcPr>
            <w:tcW w:w="8573" w:type="dxa"/>
            <w:tcBorders>
              <w:tl2br w:val="nil"/>
              <w:tr2bl w:val="nil"/>
            </w:tcBorders>
            <w:shd w:val="clear" w:color="auto" w:fill="auto"/>
            <w:vAlign w:val="center"/>
          </w:tcPr>
          <w:p w14:paraId="72D9BE2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 mm～Φ 4 mm， 粗细均匀</w:t>
            </w:r>
          </w:p>
        </w:tc>
        <w:tc>
          <w:tcPr>
            <w:tcW w:w="816" w:type="dxa"/>
            <w:tcBorders>
              <w:tl2br w:val="nil"/>
              <w:tr2bl w:val="nil"/>
            </w:tcBorders>
            <w:shd w:val="clear" w:color="auto" w:fill="auto"/>
            <w:vAlign w:val="center"/>
          </w:tcPr>
          <w:p w14:paraId="799732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193A2B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513C0CE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4AC0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44A27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64 </w:t>
            </w:r>
          </w:p>
        </w:tc>
        <w:tc>
          <w:tcPr>
            <w:tcW w:w="1166" w:type="dxa"/>
            <w:tcBorders>
              <w:tl2br w:val="nil"/>
              <w:tr2bl w:val="nil"/>
            </w:tcBorders>
            <w:shd w:val="clear" w:color="auto" w:fill="auto"/>
            <w:vAlign w:val="center"/>
          </w:tcPr>
          <w:p w14:paraId="779E8A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试管夹</w:t>
            </w:r>
          </w:p>
        </w:tc>
        <w:tc>
          <w:tcPr>
            <w:tcW w:w="8573" w:type="dxa"/>
            <w:tcBorders>
              <w:tl2br w:val="nil"/>
              <w:tr2bl w:val="nil"/>
            </w:tcBorders>
            <w:shd w:val="clear" w:color="auto" w:fill="auto"/>
            <w:vAlign w:val="center"/>
          </w:tcPr>
          <w:p w14:paraId="3A1B09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木制或竹制，长度≥200 mm，宽度 20 mm，厚度 20 mm；试管夹闭口缝≤1 mm，开口距≥25 mm；毡块黏结牢固，试管夹弹簧作防锈处理，试管夹持部位圆弧内径≤15 mm</w:t>
            </w:r>
          </w:p>
        </w:tc>
        <w:tc>
          <w:tcPr>
            <w:tcW w:w="816" w:type="dxa"/>
            <w:tcBorders>
              <w:tl2br w:val="nil"/>
              <w:tr2bl w:val="nil"/>
            </w:tcBorders>
            <w:shd w:val="clear" w:color="auto" w:fill="auto"/>
            <w:vAlign w:val="center"/>
          </w:tcPr>
          <w:p w14:paraId="27DBC9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3C5ACC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3F747A3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6756B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32241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65 </w:t>
            </w:r>
          </w:p>
        </w:tc>
        <w:tc>
          <w:tcPr>
            <w:tcW w:w="1166" w:type="dxa"/>
            <w:tcBorders>
              <w:tl2br w:val="nil"/>
              <w:tr2bl w:val="nil"/>
            </w:tcBorders>
            <w:shd w:val="clear" w:color="auto" w:fill="auto"/>
            <w:vAlign w:val="center"/>
          </w:tcPr>
          <w:p w14:paraId="5257EB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止水皮管夹</w:t>
            </w:r>
          </w:p>
        </w:tc>
        <w:tc>
          <w:tcPr>
            <w:tcW w:w="8573" w:type="dxa"/>
            <w:tcBorders>
              <w:tl2br w:val="nil"/>
              <w:tr2bl w:val="nil"/>
            </w:tcBorders>
            <w:shd w:val="clear" w:color="auto" w:fill="auto"/>
            <w:vAlign w:val="center"/>
          </w:tcPr>
          <w:p w14:paraId="5412D9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3 mm 钢丝制成，作防锈处理，夹持角度≥60º，弹性好， 不漏液</w:t>
            </w:r>
          </w:p>
        </w:tc>
        <w:tc>
          <w:tcPr>
            <w:tcW w:w="816" w:type="dxa"/>
            <w:tcBorders>
              <w:tl2br w:val="nil"/>
              <w:tr2bl w:val="nil"/>
            </w:tcBorders>
            <w:shd w:val="clear" w:color="auto" w:fill="auto"/>
            <w:vAlign w:val="center"/>
          </w:tcPr>
          <w:p w14:paraId="46E46C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6BE09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B7D541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01183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3D7DB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66 </w:t>
            </w:r>
          </w:p>
        </w:tc>
        <w:tc>
          <w:tcPr>
            <w:tcW w:w="1166" w:type="dxa"/>
            <w:tcBorders>
              <w:tl2br w:val="nil"/>
              <w:tr2bl w:val="nil"/>
            </w:tcBorders>
            <w:shd w:val="clear" w:color="auto" w:fill="auto"/>
            <w:vAlign w:val="center"/>
          </w:tcPr>
          <w:p w14:paraId="52C164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陶土网</w:t>
            </w:r>
          </w:p>
        </w:tc>
        <w:tc>
          <w:tcPr>
            <w:tcW w:w="8573" w:type="dxa"/>
            <w:tcBorders>
              <w:tl2br w:val="nil"/>
              <w:tr2bl w:val="nil"/>
            </w:tcBorders>
            <w:shd w:val="clear" w:color="auto" w:fill="auto"/>
            <w:vAlign w:val="center"/>
          </w:tcPr>
          <w:p w14:paraId="097776B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功能等同于石棉网，尺寸≥125 mm×125 mm，耐火材料为陶土</w:t>
            </w:r>
          </w:p>
        </w:tc>
        <w:tc>
          <w:tcPr>
            <w:tcW w:w="816" w:type="dxa"/>
            <w:tcBorders>
              <w:tl2br w:val="nil"/>
              <w:tr2bl w:val="nil"/>
            </w:tcBorders>
            <w:shd w:val="clear" w:color="auto" w:fill="auto"/>
            <w:vAlign w:val="center"/>
          </w:tcPr>
          <w:p w14:paraId="51B6EDF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6E034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53208D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268F6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7F7D3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67 </w:t>
            </w:r>
          </w:p>
        </w:tc>
        <w:tc>
          <w:tcPr>
            <w:tcW w:w="1166" w:type="dxa"/>
            <w:tcBorders>
              <w:tl2br w:val="nil"/>
              <w:tr2bl w:val="nil"/>
            </w:tcBorders>
            <w:shd w:val="clear" w:color="auto" w:fill="auto"/>
            <w:vAlign w:val="center"/>
          </w:tcPr>
          <w:p w14:paraId="6D6471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燃烧匙</w:t>
            </w:r>
          </w:p>
        </w:tc>
        <w:tc>
          <w:tcPr>
            <w:tcW w:w="8573" w:type="dxa"/>
            <w:tcBorders>
              <w:tl2br w:val="nil"/>
              <w:tr2bl w:val="nil"/>
            </w:tcBorders>
            <w:shd w:val="clear" w:color="auto" w:fill="auto"/>
            <w:vAlign w:val="center"/>
          </w:tcPr>
          <w:p w14:paraId="3A253C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铜勺，勺Φ 18 mm，深 10 mm，铁柄，柄长 300 mm，长柄和铜勺连接稳定结实</w:t>
            </w:r>
          </w:p>
        </w:tc>
        <w:tc>
          <w:tcPr>
            <w:tcW w:w="816" w:type="dxa"/>
            <w:tcBorders>
              <w:tl2br w:val="nil"/>
              <w:tr2bl w:val="nil"/>
            </w:tcBorders>
            <w:shd w:val="clear" w:color="auto" w:fill="auto"/>
            <w:vAlign w:val="center"/>
          </w:tcPr>
          <w:p w14:paraId="0A34D2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492B295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1A8EC78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C695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F4D54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68 </w:t>
            </w:r>
          </w:p>
        </w:tc>
        <w:tc>
          <w:tcPr>
            <w:tcW w:w="1166" w:type="dxa"/>
            <w:tcBorders>
              <w:tl2br w:val="nil"/>
              <w:tr2bl w:val="nil"/>
            </w:tcBorders>
            <w:shd w:val="clear" w:color="auto" w:fill="auto"/>
            <w:vAlign w:val="center"/>
          </w:tcPr>
          <w:p w14:paraId="6F4BDB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药匙</w:t>
            </w:r>
          </w:p>
        </w:tc>
        <w:tc>
          <w:tcPr>
            <w:tcW w:w="8573" w:type="dxa"/>
            <w:tcBorders>
              <w:tl2br w:val="nil"/>
              <w:tr2bl w:val="nil"/>
            </w:tcBorders>
            <w:shd w:val="clear" w:color="auto" w:fill="auto"/>
            <w:vAlign w:val="center"/>
          </w:tcPr>
          <w:p w14:paraId="4B0AF3F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长度≥13 cm， 带小勺，材质可选金属、牛角、塑料</w:t>
            </w:r>
          </w:p>
        </w:tc>
        <w:tc>
          <w:tcPr>
            <w:tcW w:w="816" w:type="dxa"/>
            <w:tcBorders>
              <w:tl2br w:val="nil"/>
              <w:tr2bl w:val="nil"/>
            </w:tcBorders>
            <w:shd w:val="clear" w:color="auto" w:fill="auto"/>
            <w:vAlign w:val="center"/>
          </w:tcPr>
          <w:p w14:paraId="224858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1A5C3A1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9912B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C078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41C3F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69 </w:t>
            </w:r>
          </w:p>
        </w:tc>
        <w:tc>
          <w:tcPr>
            <w:tcW w:w="1166" w:type="dxa"/>
            <w:tcBorders>
              <w:tl2br w:val="nil"/>
              <w:tr2bl w:val="nil"/>
            </w:tcBorders>
            <w:shd w:val="clear" w:color="auto" w:fill="auto"/>
            <w:vAlign w:val="center"/>
          </w:tcPr>
          <w:p w14:paraId="6B40A7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橡胶塞</w:t>
            </w:r>
          </w:p>
        </w:tc>
        <w:tc>
          <w:tcPr>
            <w:tcW w:w="8573" w:type="dxa"/>
            <w:tcBorders>
              <w:tl2br w:val="nil"/>
              <w:tr2bl w:val="nil"/>
            </w:tcBorders>
            <w:shd w:val="clear" w:color="auto" w:fill="auto"/>
            <w:vAlign w:val="center"/>
          </w:tcPr>
          <w:p w14:paraId="71D95A0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000、 00、 0～10 号，白色，质地均匀</w:t>
            </w:r>
          </w:p>
        </w:tc>
        <w:tc>
          <w:tcPr>
            <w:tcW w:w="816" w:type="dxa"/>
            <w:tcBorders>
              <w:tl2br w:val="nil"/>
              <w:tr2bl w:val="nil"/>
            </w:tcBorders>
            <w:shd w:val="clear" w:color="auto" w:fill="auto"/>
            <w:vAlign w:val="center"/>
          </w:tcPr>
          <w:p w14:paraId="70832FB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66CCA3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1092324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955C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839F1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70 </w:t>
            </w:r>
          </w:p>
        </w:tc>
        <w:tc>
          <w:tcPr>
            <w:tcW w:w="1166" w:type="dxa"/>
            <w:tcBorders>
              <w:tl2br w:val="nil"/>
              <w:tr2bl w:val="nil"/>
            </w:tcBorders>
            <w:shd w:val="clear" w:color="auto" w:fill="auto"/>
            <w:vAlign w:val="center"/>
          </w:tcPr>
          <w:p w14:paraId="757D65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橡胶管</w:t>
            </w:r>
          </w:p>
        </w:tc>
        <w:tc>
          <w:tcPr>
            <w:tcW w:w="8573" w:type="dxa"/>
            <w:tcBorders>
              <w:tl2br w:val="nil"/>
              <w:tr2bl w:val="nil"/>
            </w:tcBorders>
            <w:shd w:val="clear" w:color="auto" w:fill="auto"/>
            <w:vAlign w:val="center"/>
          </w:tcPr>
          <w:p w14:paraId="279D628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外径 9 mm，内径 6 mm，乳白色，具有耐油、耐酸碱、耐压等特性</w:t>
            </w:r>
          </w:p>
        </w:tc>
        <w:tc>
          <w:tcPr>
            <w:tcW w:w="816" w:type="dxa"/>
            <w:tcBorders>
              <w:tl2br w:val="nil"/>
              <w:tr2bl w:val="nil"/>
            </w:tcBorders>
            <w:shd w:val="clear" w:color="auto" w:fill="auto"/>
            <w:vAlign w:val="center"/>
          </w:tcPr>
          <w:p w14:paraId="039930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51BE4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kg</w:t>
            </w:r>
          </w:p>
        </w:tc>
        <w:tc>
          <w:tcPr>
            <w:tcW w:w="2796" w:type="dxa"/>
            <w:tcBorders>
              <w:tl2br w:val="nil"/>
              <w:tr2bl w:val="nil"/>
            </w:tcBorders>
            <w:shd w:val="clear" w:color="auto" w:fill="auto"/>
            <w:vAlign w:val="center"/>
          </w:tcPr>
          <w:p w14:paraId="576CB5E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C4B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8E67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71 </w:t>
            </w:r>
          </w:p>
        </w:tc>
        <w:tc>
          <w:tcPr>
            <w:tcW w:w="1166" w:type="dxa"/>
            <w:tcBorders>
              <w:tl2br w:val="nil"/>
              <w:tr2bl w:val="nil"/>
            </w:tcBorders>
            <w:shd w:val="clear" w:color="auto" w:fill="auto"/>
            <w:vAlign w:val="center"/>
          </w:tcPr>
          <w:p w14:paraId="136016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试管刷</w:t>
            </w:r>
          </w:p>
        </w:tc>
        <w:tc>
          <w:tcPr>
            <w:tcW w:w="8573" w:type="dxa"/>
            <w:tcBorders>
              <w:tl2br w:val="nil"/>
              <w:tr2bl w:val="nil"/>
            </w:tcBorders>
            <w:shd w:val="clear" w:color="auto" w:fill="auto"/>
            <w:vAlign w:val="center"/>
          </w:tcPr>
          <w:p w14:paraId="32EB5F2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12 mm，手持部分顶端应为环状，顶部要有刷丝，铁丝不可外露</w:t>
            </w:r>
          </w:p>
        </w:tc>
        <w:tc>
          <w:tcPr>
            <w:tcW w:w="816" w:type="dxa"/>
            <w:tcBorders>
              <w:tl2br w:val="nil"/>
              <w:tr2bl w:val="nil"/>
            </w:tcBorders>
            <w:shd w:val="clear" w:color="auto" w:fill="auto"/>
            <w:vAlign w:val="center"/>
          </w:tcPr>
          <w:p w14:paraId="04FD50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57AD39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5CCB69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56E6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877645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72 </w:t>
            </w:r>
          </w:p>
        </w:tc>
        <w:tc>
          <w:tcPr>
            <w:tcW w:w="1166" w:type="dxa"/>
            <w:tcBorders>
              <w:tl2br w:val="nil"/>
              <w:tr2bl w:val="nil"/>
            </w:tcBorders>
            <w:shd w:val="clear" w:color="auto" w:fill="auto"/>
            <w:vAlign w:val="center"/>
          </w:tcPr>
          <w:p w14:paraId="7A4563D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试管刷</w:t>
            </w:r>
          </w:p>
        </w:tc>
        <w:tc>
          <w:tcPr>
            <w:tcW w:w="8573" w:type="dxa"/>
            <w:tcBorders>
              <w:tl2br w:val="nil"/>
              <w:tr2bl w:val="nil"/>
            </w:tcBorders>
            <w:shd w:val="clear" w:color="auto" w:fill="auto"/>
            <w:vAlign w:val="center"/>
          </w:tcPr>
          <w:p w14:paraId="1689C36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Φ 18 mm ，手持部分顶端应为环状，顶部要有刷丝，铁丝不可外露</w:t>
            </w:r>
          </w:p>
        </w:tc>
        <w:tc>
          <w:tcPr>
            <w:tcW w:w="816" w:type="dxa"/>
            <w:tcBorders>
              <w:tl2br w:val="nil"/>
              <w:tr2bl w:val="nil"/>
            </w:tcBorders>
            <w:shd w:val="clear" w:color="auto" w:fill="auto"/>
            <w:vAlign w:val="center"/>
          </w:tcPr>
          <w:p w14:paraId="4D8CBA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7F4D6B2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A11E68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AAF4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3D78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73 </w:t>
            </w:r>
          </w:p>
        </w:tc>
        <w:tc>
          <w:tcPr>
            <w:tcW w:w="1166" w:type="dxa"/>
            <w:tcBorders>
              <w:tl2br w:val="nil"/>
              <w:tr2bl w:val="nil"/>
            </w:tcBorders>
            <w:shd w:val="clear" w:color="auto" w:fill="auto"/>
            <w:vAlign w:val="center"/>
          </w:tcPr>
          <w:p w14:paraId="2D125BC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研钵</w:t>
            </w:r>
          </w:p>
        </w:tc>
        <w:tc>
          <w:tcPr>
            <w:tcW w:w="8573" w:type="dxa"/>
            <w:tcBorders>
              <w:tl2br w:val="nil"/>
              <w:tr2bl w:val="nil"/>
            </w:tcBorders>
            <w:shd w:val="clear" w:color="auto" w:fill="auto"/>
            <w:vAlign w:val="center"/>
          </w:tcPr>
          <w:p w14:paraId="3DA4873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100 mm， 瓷或玻璃制，配有研杵，内部粗糙便于研磨，外部光滑</w:t>
            </w:r>
          </w:p>
        </w:tc>
        <w:tc>
          <w:tcPr>
            <w:tcW w:w="816" w:type="dxa"/>
            <w:tcBorders>
              <w:tl2br w:val="nil"/>
              <w:tr2bl w:val="nil"/>
            </w:tcBorders>
            <w:shd w:val="clear" w:color="auto" w:fill="auto"/>
            <w:vAlign w:val="center"/>
          </w:tcPr>
          <w:p w14:paraId="01384AD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30</w:t>
            </w:r>
          </w:p>
        </w:tc>
        <w:tc>
          <w:tcPr>
            <w:tcW w:w="498" w:type="dxa"/>
            <w:tcBorders>
              <w:tl2br w:val="nil"/>
              <w:tr2bl w:val="nil"/>
            </w:tcBorders>
            <w:shd w:val="clear" w:color="auto" w:fill="auto"/>
            <w:vAlign w:val="center"/>
          </w:tcPr>
          <w:p w14:paraId="2BBF6E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558C9D5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44E8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CA187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74 </w:t>
            </w:r>
          </w:p>
        </w:tc>
        <w:tc>
          <w:tcPr>
            <w:tcW w:w="1166" w:type="dxa"/>
            <w:tcBorders>
              <w:tl2br w:val="nil"/>
              <w:tr2bl w:val="nil"/>
            </w:tcBorders>
            <w:shd w:val="clear" w:color="auto" w:fill="auto"/>
            <w:vAlign w:val="center"/>
          </w:tcPr>
          <w:p w14:paraId="1F61AA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枝剪</w:t>
            </w:r>
          </w:p>
        </w:tc>
        <w:tc>
          <w:tcPr>
            <w:tcW w:w="8573" w:type="dxa"/>
            <w:tcBorders>
              <w:tl2br w:val="nil"/>
              <w:tr2bl w:val="nil"/>
            </w:tcBorders>
            <w:shd w:val="clear" w:color="auto" w:fill="auto"/>
            <w:vAlign w:val="center"/>
          </w:tcPr>
          <w:p w14:paraId="778BDDA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高碳钢</w:t>
            </w:r>
          </w:p>
        </w:tc>
        <w:tc>
          <w:tcPr>
            <w:tcW w:w="816" w:type="dxa"/>
            <w:tcBorders>
              <w:tl2br w:val="nil"/>
              <w:tr2bl w:val="nil"/>
            </w:tcBorders>
            <w:shd w:val="clear" w:color="auto" w:fill="auto"/>
            <w:vAlign w:val="center"/>
          </w:tcPr>
          <w:p w14:paraId="45850F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7DCF096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10BBA7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A8BC7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0AB7F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75 </w:t>
            </w:r>
          </w:p>
        </w:tc>
        <w:tc>
          <w:tcPr>
            <w:tcW w:w="1166" w:type="dxa"/>
            <w:tcBorders>
              <w:tl2br w:val="nil"/>
              <w:tr2bl w:val="nil"/>
            </w:tcBorders>
            <w:shd w:val="clear" w:color="auto" w:fill="auto"/>
            <w:vAlign w:val="center"/>
          </w:tcPr>
          <w:p w14:paraId="4C79FBC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水网</w:t>
            </w:r>
          </w:p>
        </w:tc>
        <w:tc>
          <w:tcPr>
            <w:tcW w:w="8573" w:type="dxa"/>
            <w:tcBorders>
              <w:tl2br w:val="nil"/>
              <w:tr2bl w:val="nil"/>
            </w:tcBorders>
            <w:shd w:val="clear" w:color="auto" w:fill="auto"/>
            <w:vAlign w:val="center"/>
          </w:tcPr>
          <w:p w14:paraId="405EE6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网口内径 50 cm，网身长 145 cm，网目孔径≤1 mm</w:t>
            </w:r>
          </w:p>
        </w:tc>
        <w:tc>
          <w:tcPr>
            <w:tcW w:w="816" w:type="dxa"/>
            <w:tcBorders>
              <w:tl2br w:val="nil"/>
              <w:tr2bl w:val="nil"/>
            </w:tcBorders>
            <w:shd w:val="clear" w:color="auto" w:fill="auto"/>
            <w:vAlign w:val="center"/>
          </w:tcPr>
          <w:p w14:paraId="4BFAFA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19B0D2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3D9D0E2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EB57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D11793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76 </w:t>
            </w:r>
          </w:p>
        </w:tc>
        <w:tc>
          <w:tcPr>
            <w:tcW w:w="1166" w:type="dxa"/>
            <w:tcBorders>
              <w:tl2br w:val="nil"/>
              <w:tr2bl w:val="nil"/>
            </w:tcBorders>
            <w:shd w:val="clear" w:color="auto" w:fill="auto"/>
            <w:vAlign w:val="center"/>
          </w:tcPr>
          <w:p w14:paraId="3CF1FE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标记笔</w:t>
            </w:r>
          </w:p>
        </w:tc>
        <w:tc>
          <w:tcPr>
            <w:tcW w:w="8573" w:type="dxa"/>
            <w:tcBorders>
              <w:tl2br w:val="nil"/>
              <w:tr2bl w:val="nil"/>
            </w:tcBorders>
            <w:shd w:val="clear" w:color="auto" w:fill="auto"/>
            <w:vAlign w:val="center"/>
          </w:tcPr>
          <w:p w14:paraId="61E715E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双头，油性墨水</w:t>
            </w:r>
          </w:p>
        </w:tc>
        <w:tc>
          <w:tcPr>
            <w:tcW w:w="816" w:type="dxa"/>
            <w:tcBorders>
              <w:tl2br w:val="nil"/>
              <w:tr2bl w:val="nil"/>
            </w:tcBorders>
            <w:shd w:val="clear" w:color="auto" w:fill="auto"/>
            <w:vAlign w:val="center"/>
          </w:tcPr>
          <w:p w14:paraId="009D84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01C6FA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支</w:t>
            </w:r>
          </w:p>
        </w:tc>
        <w:tc>
          <w:tcPr>
            <w:tcW w:w="2796" w:type="dxa"/>
            <w:tcBorders>
              <w:tl2br w:val="nil"/>
              <w:tr2bl w:val="nil"/>
            </w:tcBorders>
            <w:shd w:val="clear" w:color="auto" w:fill="auto"/>
            <w:vAlign w:val="center"/>
          </w:tcPr>
          <w:p w14:paraId="453638A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ABB0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CB46D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77 </w:t>
            </w:r>
          </w:p>
        </w:tc>
        <w:tc>
          <w:tcPr>
            <w:tcW w:w="1166" w:type="dxa"/>
            <w:tcBorders>
              <w:tl2br w:val="nil"/>
              <w:tr2bl w:val="nil"/>
            </w:tcBorders>
            <w:shd w:val="clear" w:color="auto" w:fill="auto"/>
            <w:vAlign w:val="center"/>
          </w:tcPr>
          <w:p w14:paraId="2227B1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pH广泛试纸</w:t>
            </w:r>
          </w:p>
        </w:tc>
        <w:tc>
          <w:tcPr>
            <w:tcW w:w="8573" w:type="dxa"/>
            <w:tcBorders>
              <w:tl2br w:val="nil"/>
              <w:tr2bl w:val="nil"/>
            </w:tcBorders>
            <w:shd w:val="clear" w:color="auto" w:fill="auto"/>
            <w:vAlign w:val="center"/>
          </w:tcPr>
          <w:p w14:paraId="5C7C1D0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测定范围：1～14，附有标准比色卡。</w:t>
            </w:r>
          </w:p>
        </w:tc>
        <w:tc>
          <w:tcPr>
            <w:tcW w:w="816" w:type="dxa"/>
            <w:tcBorders>
              <w:tl2br w:val="nil"/>
              <w:tr2bl w:val="nil"/>
            </w:tcBorders>
            <w:shd w:val="clear" w:color="auto" w:fill="auto"/>
            <w:vAlign w:val="center"/>
          </w:tcPr>
          <w:p w14:paraId="42ED2A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25</w:t>
            </w:r>
          </w:p>
        </w:tc>
        <w:tc>
          <w:tcPr>
            <w:tcW w:w="498" w:type="dxa"/>
            <w:tcBorders>
              <w:tl2br w:val="nil"/>
              <w:tr2bl w:val="nil"/>
            </w:tcBorders>
            <w:shd w:val="clear" w:color="auto" w:fill="auto"/>
            <w:vAlign w:val="center"/>
          </w:tcPr>
          <w:p w14:paraId="68810D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本</w:t>
            </w:r>
          </w:p>
        </w:tc>
        <w:tc>
          <w:tcPr>
            <w:tcW w:w="2796" w:type="dxa"/>
            <w:tcBorders>
              <w:tl2br w:val="nil"/>
              <w:tr2bl w:val="nil"/>
            </w:tcBorders>
            <w:shd w:val="clear" w:color="auto" w:fill="auto"/>
            <w:vAlign w:val="center"/>
          </w:tcPr>
          <w:p w14:paraId="433D028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2230B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BCB35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78 </w:t>
            </w:r>
          </w:p>
        </w:tc>
        <w:tc>
          <w:tcPr>
            <w:tcW w:w="1166" w:type="dxa"/>
            <w:tcBorders>
              <w:tl2br w:val="nil"/>
              <w:tr2bl w:val="nil"/>
            </w:tcBorders>
            <w:shd w:val="clear" w:color="auto" w:fill="auto"/>
            <w:vAlign w:val="center"/>
          </w:tcPr>
          <w:p w14:paraId="34EA31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定性滤纸</w:t>
            </w:r>
          </w:p>
        </w:tc>
        <w:tc>
          <w:tcPr>
            <w:tcW w:w="8573" w:type="dxa"/>
            <w:tcBorders>
              <w:tl2br w:val="nil"/>
              <w:tr2bl w:val="nil"/>
            </w:tcBorders>
            <w:shd w:val="clear" w:color="auto" w:fill="auto"/>
            <w:vAlign w:val="center"/>
          </w:tcPr>
          <w:p w14:paraId="0D92E2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作为过滤介质，使溶液与固体分离。</w:t>
            </w:r>
          </w:p>
        </w:tc>
        <w:tc>
          <w:tcPr>
            <w:tcW w:w="816" w:type="dxa"/>
            <w:tcBorders>
              <w:tl2br w:val="nil"/>
              <w:tr2bl w:val="nil"/>
            </w:tcBorders>
            <w:shd w:val="clear" w:color="auto" w:fill="auto"/>
            <w:vAlign w:val="center"/>
          </w:tcPr>
          <w:p w14:paraId="3088544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41AC0B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6C3036C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EE11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4071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79 </w:t>
            </w:r>
          </w:p>
        </w:tc>
        <w:tc>
          <w:tcPr>
            <w:tcW w:w="1166" w:type="dxa"/>
            <w:tcBorders>
              <w:tl2br w:val="nil"/>
              <w:tr2bl w:val="nil"/>
            </w:tcBorders>
            <w:shd w:val="clear" w:color="auto" w:fill="auto"/>
            <w:vAlign w:val="center"/>
          </w:tcPr>
          <w:p w14:paraId="14E5AA7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字母装片</w:t>
            </w:r>
          </w:p>
        </w:tc>
        <w:tc>
          <w:tcPr>
            <w:tcW w:w="8573" w:type="dxa"/>
            <w:tcBorders>
              <w:tl2br w:val="nil"/>
              <w:tr2bl w:val="nil"/>
            </w:tcBorders>
            <w:shd w:val="clear" w:color="auto" w:fill="auto"/>
            <w:vAlign w:val="center"/>
          </w:tcPr>
          <w:p w14:paraId="0C298D4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“e”或“b”，多重染色</w:t>
            </w:r>
          </w:p>
        </w:tc>
        <w:tc>
          <w:tcPr>
            <w:tcW w:w="816" w:type="dxa"/>
            <w:tcBorders>
              <w:tl2br w:val="nil"/>
              <w:tr2bl w:val="nil"/>
            </w:tcBorders>
            <w:shd w:val="clear" w:color="auto" w:fill="auto"/>
            <w:vAlign w:val="center"/>
          </w:tcPr>
          <w:p w14:paraId="2CDB736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50BDAE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1554787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8011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67C2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80 </w:t>
            </w:r>
          </w:p>
        </w:tc>
        <w:tc>
          <w:tcPr>
            <w:tcW w:w="1166" w:type="dxa"/>
            <w:tcBorders>
              <w:tl2br w:val="nil"/>
              <w:tr2bl w:val="nil"/>
            </w:tcBorders>
            <w:shd w:val="clear" w:color="auto" w:fill="auto"/>
            <w:vAlign w:val="center"/>
          </w:tcPr>
          <w:p w14:paraId="4EB9A30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双目立体显微镜</w:t>
            </w:r>
          </w:p>
        </w:tc>
        <w:tc>
          <w:tcPr>
            <w:tcW w:w="8573" w:type="dxa"/>
            <w:tcBorders>
              <w:tl2br w:val="nil"/>
              <w:tr2bl w:val="nil"/>
            </w:tcBorders>
            <w:shd w:val="clear" w:color="auto" w:fill="auto"/>
            <w:vAlign w:val="center"/>
          </w:tcPr>
          <w:p w14:paraId="6E66361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生物学实验仪器，用于观察解剖等实验，双目直镜筒，放大倍数不低于40×。显微镜工作距离为55mm，配置广角目镜WF10×、物镜4×，配有眼罩一对；显微镜的可粗调范围40mm，载物台为φ60mm的黑板工作台。</w:t>
            </w:r>
          </w:p>
        </w:tc>
        <w:tc>
          <w:tcPr>
            <w:tcW w:w="816" w:type="dxa"/>
            <w:tcBorders>
              <w:tl2br w:val="nil"/>
              <w:tr2bl w:val="nil"/>
            </w:tcBorders>
            <w:shd w:val="clear" w:color="auto" w:fill="auto"/>
            <w:vAlign w:val="center"/>
          </w:tcPr>
          <w:p w14:paraId="2A082C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0BC0FAF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398559A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1C62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6F75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81 </w:t>
            </w:r>
          </w:p>
        </w:tc>
        <w:tc>
          <w:tcPr>
            <w:tcW w:w="1166" w:type="dxa"/>
            <w:tcBorders>
              <w:tl2br w:val="nil"/>
              <w:tr2bl w:val="nil"/>
            </w:tcBorders>
            <w:shd w:val="clear" w:color="auto" w:fill="auto"/>
            <w:vAlign w:val="center"/>
          </w:tcPr>
          <w:p w14:paraId="4968E6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放大镜</w:t>
            </w:r>
          </w:p>
        </w:tc>
        <w:tc>
          <w:tcPr>
            <w:tcW w:w="8573" w:type="dxa"/>
            <w:tcBorders>
              <w:tl2br w:val="nil"/>
              <w:tr2bl w:val="nil"/>
            </w:tcBorders>
            <w:shd w:val="clear" w:color="auto" w:fill="auto"/>
            <w:vAlign w:val="center"/>
          </w:tcPr>
          <w:p w14:paraId="294710F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手持式，有效通光孔径≥40 mm， 5 倍</w:t>
            </w:r>
          </w:p>
        </w:tc>
        <w:tc>
          <w:tcPr>
            <w:tcW w:w="816" w:type="dxa"/>
            <w:tcBorders>
              <w:tl2br w:val="nil"/>
              <w:tr2bl w:val="nil"/>
            </w:tcBorders>
            <w:shd w:val="clear" w:color="auto" w:fill="auto"/>
            <w:vAlign w:val="center"/>
          </w:tcPr>
          <w:p w14:paraId="598782D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530755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450178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DEDBD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5180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82 </w:t>
            </w:r>
          </w:p>
        </w:tc>
        <w:tc>
          <w:tcPr>
            <w:tcW w:w="1166" w:type="dxa"/>
            <w:tcBorders>
              <w:tl2br w:val="nil"/>
              <w:tr2bl w:val="nil"/>
            </w:tcBorders>
            <w:shd w:val="clear" w:color="auto" w:fill="auto"/>
            <w:vAlign w:val="center"/>
          </w:tcPr>
          <w:p w14:paraId="4EA6F4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洋葱鳞片叶表皮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装片</w:t>
            </w:r>
          </w:p>
        </w:tc>
        <w:tc>
          <w:tcPr>
            <w:tcW w:w="8573" w:type="dxa"/>
            <w:tcBorders>
              <w:tl2br w:val="nil"/>
              <w:tr2bl w:val="nil"/>
            </w:tcBorders>
            <w:shd w:val="clear" w:color="auto" w:fill="auto"/>
            <w:vAlign w:val="center"/>
          </w:tcPr>
          <w:p w14:paraId="27E8026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细胞质着色均匀，细胞核明显，细胞界限清晰</w:t>
            </w:r>
          </w:p>
        </w:tc>
        <w:tc>
          <w:tcPr>
            <w:tcW w:w="816" w:type="dxa"/>
            <w:tcBorders>
              <w:tl2br w:val="nil"/>
              <w:tr2bl w:val="nil"/>
            </w:tcBorders>
            <w:shd w:val="clear" w:color="auto" w:fill="auto"/>
            <w:vAlign w:val="center"/>
          </w:tcPr>
          <w:p w14:paraId="40CB7E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3F61A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5BAC888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3E44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635BB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83 </w:t>
            </w:r>
          </w:p>
        </w:tc>
        <w:tc>
          <w:tcPr>
            <w:tcW w:w="1166" w:type="dxa"/>
            <w:tcBorders>
              <w:tl2br w:val="nil"/>
              <w:tr2bl w:val="nil"/>
            </w:tcBorders>
            <w:shd w:val="clear" w:color="auto" w:fill="auto"/>
            <w:vAlign w:val="center"/>
          </w:tcPr>
          <w:p w14:paraId="42D8AC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植物细胞模型</w:t>
            </w:r>
          </w:p>
        </w:tc>
        <w:tc>
          <w:tcPr>
            <w:tcW w:w="8573" w:type="dxa"/>
            <w:tcBorders>
              <w:tl2br w:val="nil"/>
              <w:tr2bl w:val="nil"/>
            </w:tcBorders>
            <w:shd w:val="clear" w:color="auto" w:fill="auto"/>
            <w:vAlign w:val="center"/>
          </w:tcPr>
          <w:p w14:paraId="36F633D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以洋葱表皮细胞为参考材料，示细胞壁、细胞膜、细胞质、细胞核、核仁和液泡等结构</w:t>
            </w:r>
          </w:p>
        </w:tc>
        <w:tc>
          <w:tcPr>
            <w:tcW w:w="816" w:type="dxa"/>
            <w:tcBorders>
              <w:tl2br w:val="nil"/>
              <w:tr2bl w:val="nil"/>
            </w:tcBorders>
            <w:shd w:val="clear" w:color="auto" w:fill="auto"/>
            <w:vAlign w:val="center"/>
          </w:tcPr>
          <w:p w14:paraId="0D03474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86E311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21D50E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4F643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8891F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84 </w:t>
            </w:r>
          </w:p>
        </w:tc>
        <w:tc>
          <w:tcPr>
            <w:tcW w:w="1166" w:type="dxa"/>
            <w:tcBorders>
              <w:tl2br w:val="nil"/>
              <w:tr2bl w:val="nil"/>
            </w:tcBorders>
            <w:shd w:val="clear" w:color="auto" w:fill="auto"/>
            <w:vAlign w:val="center"/>
          </w:tcPr>
          <w:p w14:paraId="0E673A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动物细胞模型</w:t>
            </w:r>
          </w:p>
        </w:tc>
        <w:tc>
          <w:tcPr>
            <w:tcW w:w="8573" w:type="dxa"/>
            <w:tcBorders>
              <w:tl2br w:val="nil"/>
              <w:tr2bl w:val="nil"/>
            </w:tcBorders>
            <w:shd w:val="clear" w:color="auto" w:fill="auto"/>
            <w:vAlign w:val="center"/>
          </w:tcPr>
          <w:p w14:paraId="23A0CA7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示细胞膜、细胞质、细胞核、核仁等结构</w:t>
            </w:r>
          </w:p>
        </w:tc>
        <w:tc>
          <w:tcPr>
            <w:tcW w:w="816" w:type="dxa"/>
            <w:tcBorders>
              <w:tl2br w:val="nil"/>
              <w:tr2bl w:val="nil"/>
            </w:tcBorders>
            <w:shd w:val="clear" w:color="auto" w:fill="auto"/>
            <w:vAlign w:val="center"/>
          </w:tcPr>
          <w:p w14:paraId="46EB1A1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F58C9A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13341E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603E2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9C72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85 </w:t>
            </w:r>
          </w:p>
        </w:tc>
        <w:tc>
          <w:tcPr>
            <w:tcW w:w="1166" w:type="dxa"/>
            <w:tcBorders>
              <w:tl2br w:val="nil"/>
              <w:tr2bl w:val="nil"/>
            </w:tcBorders>
            <w:shd w:val="clear" w:color="auto" w:fill="auto"/>
            <w:vAlign w:val="center"/>
          </w:tcPr>
          <w:p w14:paraId="771B938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草履虫模型</w:t>
            </w:r>
          </w:p>
        </w:tc>
        <w:tc>
          <w:tcPr>
            <w:tcW w:w="8573" w:type="dxa"/>
            <w:tcBorders>
              <w:tl2br w:val="nil"/>
              <w:tr2bl w:val="nil"/>
            </w:tcBorders>
            <w:shd w:val="clear" w:color="auto" w:fill="auto"/>
            <w:vAlign w:val="center"/>
          </w:tcPr>
          <w:p w14:paraId="1193102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草履虫纵剖模型，各部着色应协调，并能相互区分</w:t>
            </w:r>
          </w:p>
        </w:tc>
        <w:tc>
          <w:tcPr>
            <w:tcW w:w="816" w:type="dxa"/>
            <w:tcBorders>
              <w:tl2br w:val="nil"/>
              <w:tr2bl w:val="nil"/>
            </w:tcBorders>
            <w:shd w:val="clear" w:color="auto" w:fill="auto"/>
            <w:vAlign w:val="center"/>
          </w:tcPr>
          <w:p w14:paraId="6208E7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F6E46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454470F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0196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AF67B4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86 </w:t>
            </w:r>
          </w:p>
        </w:tc>
        <w:tc>
          <w:tcPr>
            <w:tcW w:w="1166" w:type="dxa"/>
            <w:tcBorders>
              <w:tl2br w:val="nil"/>
              <w:tr2bl w:val="nil"/>
            </w:tcBorders>
            <w:shd w:val="clear" w:color="auto" w:fill="auto"/>
            <w:vAlign w:val="center"/>
          </w:tcPr>
          <w:p w14:paraId="71F4943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植物细胞有丝</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分裂切片</w:t>
            </w:r>
          </w:p>
        </w:tc>
        <w:tc>
          <w:tcPr>
            <w:tcW w:w="8573" w:type="dxa"/>
            <w:tcBorders>
              <w:tl2br w:val="nil"/>
              <w:tr2bl w:val="nil"/>
            </w:tcBorders>
            <w:shd w:val="clear" w:color="auto" w:fill="auto"/>
            <w:vAlign w:val="center"/>
          </w:tcPr>
          <w:p w14:paraId="07DA92C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洋葱根尖纵切，应显示处于分裂前期、中期、后期、末期的细胞，分裂各期染色体的形态特征典型，分裂中期和后期纺锤丝隐约可见，细胞核、核仁、染色体应着色明显，细胞质色淡</w:t>
            </w:r>
          </w:p>
        </w:tc>
        <w:tc>
          <w:tcPr>
            <w:tcW w:w="816" w:type="dxa"/>
            <w:tcBorders>
              <w:tl2br w:val="nil"/>
              <w:tr2bl w:val="nil"/>
            </w:tcBorders>
            <w:shd w:val="clear" w:color="auto" w:fill="auto"/>
            <w:vAlign w:val="center"/>
          </w:tcPr>
          <w:p w14:paraId="0EDF48F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26FB69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4CED23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6731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6651E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87 </w:t>
            </w:r>
          </w:p>
        </w:tc>
        <w:tc>
          <w:tcPr>
            <w:tcW w:w="1166" w:type="dxa"/>
            <w:tcBorders>
              <w:tl2br w:val="nil"/>
              <w:tr2bl w:val="nil"/>
            </w:tcBorders>
            <w:shd w:val="clear" w:color="auto" w:fill="auto"/>
            <w:vAlign w:val="center"/>
          </w:tcPr>
          <w:p w14:paraId="26B6F2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单层扁平上皮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装片</w:t>
            </w:r>
          </w:p>
        </w:tc>
        <w:tc>
          <w:tcPr>
            <w:tcW w:w="8573" w:type="dxa"/>
            <w:tcBorders>
              <w:tl2br w:val="nil"/>
              <w:tr2bl w:val="nil"/>
            </w:tcBorders>
            <w:shd w:val="clear" w:color="auto" w:fill="auto"/>
            <w:vAlign w:val="center"/>
          </w:tcPr>
          <w:p w14:paraId="2B665A6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取材于动物的肠系膜等，应能看清由边缘不规则而呈锯齿状的扁平细胞组成的单层上皮</w:t>
            </w:r>
          </w:p>
        </w:tc>
        <w:tc>
          <w:tcPr>
            <w:tcW w:w="816" w:type="dxa"/>
            <w:tcBorders>
              <w:tl2br w:val="nil"/>
              <w:tr2bl w:val="nil"/>
            </w:tcBorders>
            <w:shd w:val="clear" w:color="auto" w:fill="auto"/>
            <w:vAlign w:val="center"/>
          </w:tcPr>
          <w:p w14:paraId="32D0D1D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3CDE18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1909F27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00B73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2E88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88 </w:t>
            </w:r>
          </w:p>
        </w:tc>
        <w:tc>
          <w:tcPr>
            <w:tcW w:w="1166" w:type="dxa"/>
            <w:tcBorders>
              <w:tl2br w:val="nil"/>
              <w:tr2bl w:val="nil"/>
            </w:tcBorders>
            <w:shd w:val="clear" w:color="auto" w:fill="auto"/>
            <w:vAlign w:val="center"/>
          </w:tcPr>
          <w:p w14:paraId="2FE33A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复层扁平上皮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装片</w:t>
            </w:r>
          </w:p>
        </w:tc>
        <w:tc>
          <w:tcPr>
            <w:tcW w:w="8573" w:type="dxa"/>
            <w:tcBorders>
              <w:tl2br w:val="nil"/>
              <w:tr2bl w:val="nil"/>
            </w:tcBorders>
            <w:shd w:val="clear" w:color="auto" w:fill="auto"/>
            <w:vAlign w:val="center"/>
          </w:tcPr>
          <w:p w14:paraId="216347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取材于幼小哺乳动物的食道或上颚，细胞核、细胞质着色对比应明显，上皮细胞界限应清晰</w:t>
            </w:r>
          </w:p>
        </w:tc>
        <w:tc>
          <w:tcPr>
            <w:tcW w:w="816" w:type="dxa"/>
            <w:tcBorders>
              <w:tl2br w:val="nil"/>
              <w:tr2bl w:val="nil"/>
            </w:tcBorders>
            <w:shd w:val="clear" w:color="auto" w:fill="auto"/>
            <w:vAlign w:val="center"/>
          </w:tcPr>
          <w:p w14:paraId="689C65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498" w:type="dxa"/>
            <w:tcBorders>
              <w:tl2br w:val="nil"/>
              <w:tr2bl w:val="nil"/>
            </w:tcBorders>
            <w:shd w:val="clear" w:color="auto" w:fill="auto"/>
            <w:vAlign w:val="center"/>
          </w:tcPr>
          <w:p w14:paraId="64E9DD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5ADC874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5C8C8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7D1C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89 </w:t>
            </w:r>
          </w:p>
        </w:tc>
        <w:tc>
          <w:tcPr>
            <w:tcW w:w="1166" w:type="dxa"/>
            <w:tcBorders>
              <w:tl2br w:val="nil"/>
              <w:tr2bl w:val="nil"/>
            </w:tcBorders>
            <w:shd w:val="clear" w:color="auto" w:fill="auto"/>
            <w:vAlign w:val="center"/>
          </w:tcPr>
          <w:p w14:paraId="1F69AD5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纤维结缔组织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切片</w:t>
            </w:r>
          </w:p>
        </w:tc>
        <w:tc>
          <w:tcPr>
            <w:tcW w:w="8573" w:type="dxa"/>
            <w:tcBorders>
              <w:tl2br w:val="nil"/>
              <w:tr2bl w:val="nil"/>
            </w:tcBorders>
            <w:shd w:val="clear" w:color="auto" w:fill="auto"/>
            <w:vAlign w:val="center"/>
          </w:tcPr>
          <w:p w14:paraId="102F99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腱纵切，取材于哺乳动物或两栖动物的跟腱或尾腱，应能看清平行排列的胶原纤维束和呈不规则四边形的腱细胞</w:t>
            </w:r>
          </w:p>
        </w:tc>
        <w:tc>
          <w:tcPr>
            <w:tcW w:w="816" w:type="dxa"/>
            <w:tcBorders>
              <w:tl2br w:val="nil"/>
              <w:tr2bl w:val="nil"/>
            </w:tcBorders>
            <w:shd w:val="clear" w:color="auto" w:fill="auto"/>
            <w:vAlign w:val="center"/>
          </w:tcPr>
          <w:p w14:paraId="4BD7A9C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4576FD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1DA18B1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1F0E3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D7F2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90 </w:t>
            </w:r>
          </w:p>
        </w:tc>
        <w:tc>
          <w:tcPr>
            <w:tcW w:w="1166" w:type="dxa"/>
            <w:tcBorders>
              <w:tl2br w:val="nil"/>
              <w:tr2bl w:val="nil"/>
            </w:tcBorders>
            <w:shd w:val="clear" w:color="auto" w:fill="auto"/>
            <w:vAlign w:val="center"/>
          </w:tcPr>
          <w:p w14:paraId="4F46871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疏松结缔组织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装片</w:t>
            </w:r>
          </w:p>
        </w:tc>
        <w:tc>
          <w:tcPr>
            <w:tcW w:w="8573" w:type="dxa"/>
            <w:tcBorders>
              <w:tl2br w:val="nil"/>
              <w:tr2bl w:val="nil"/>
            </w:tcBorders>
            <w:shd w:val="clear" w:color="auto" w:fill="auto"/>
            <w:vAlign w:val="center"/>
          </w:tcPr>
          <w:p w14:paraId="63C97D8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取材于哺乳细胞的皮下结缔组织，应能看清纵横交错的胶原纤维和弹力纤维以及大量的成纤维细胞</w:t>
            </w:r>
          </w:p>
        </w:tc>
        <w:tc>
          <w:tcPr>
            <w:tcW w:w="816" w:type="dxa"/>
            <w:tcBorders>
              <w:tl2br w:val="nil"/>
              <w:tr2bl w:val="nil"/>
            </w:tcBorders>
            <w:shd w:val="clear" w:color="auto" w:fill="auto"/>
            <w:vAlign w:val="center"/>
          </w:tcPr>
          <w:p w14:paraId="333C599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3ABE1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40D981F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AFA44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10C36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91 </w:t>
            </w:r>
          </w:p>
        </w:tc>
        <w:tc>
          <w:tcPr>
            <w:tcW w:w="1166" w:type="dxa"/>
            <w:tcBorders>
              <w:tl2br w:val="nil"/>
              <w:tr2bl w:val="nil"/>
            </w:tcBorders>
            <w:shd w:val="clear" w:color="auto" w:fill="auto"/>
            <w:vAlign w:val="center"/>
          </w:tcPr>
          <w:p w14:paraId="7B77B2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骨骼肌纵横切</w:t>
            </w:r>
          </w:p>
        </w:tc>
        <w:tc>
          <w:tcPr>
            <w:tcW w:w="8573" w:type="dxa"/>
            <w:tcBorders>
              <w:tl2br w:val="nil"/>
              <w:tr2bl w:val="nil"/>
            </w:tcBorders>
            <w:shd w:val="clear" w:color="auto" w:fill="auto"/>
            <w:vAlign w:val="center"/>
          </w:tcPr>
          <w:p w14:paraId="04A25A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取材于哺乳动物的膈肌，应能看清肌外膜、肌束膜、肌纤维膜、肌纤维及其细胞核和小血管等</w:t>
            </w:r>
          </w:p>
        </w:tc>
        <w:tc>
          <w:tcPr>
            <w:tcW w:w="816" w:type="dxa"/>
            <w:tcBorders>
              <w:tl2br w:val="nil"/>
              <w:tr2bl w:val="nil"/>
            </w:tcBorders>
            <w:shd w:val="clear" w:color="auto" w:fill="auto"/>
            <w:vAlign w:val="center"/>
          </w:tcPr>
          <w:p w14:paraId="2765E1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1EEB56A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34DC3FB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7D4F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6A64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92 </w:t>
            </w:r>
          </w:p>
        </w:tc>
        <w:tc>
          <w:tcPr>
            <w:tcW w:w="1166" w:type="dxa"/>
            <w:tcBorders>
              <w:tl2br w:val="nil"/>
              <w:tr2bl w:val="nil"/>
            </w:tcBorders>
            <w:shd w:val="clear" w:color="auto" w:fill="auto"/>
            <w:vAlign w:val="center"/>
          </w:tcPr>
          <w:p w14:paraId="120770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平滑肌分离装片</w:t>
            </w:r>
          </w:p>
        </w:tc>
        <w:tc>
          <w:tcPr>
            <w:tcW w:w="8573" w:type="dxa"/>
            <w:tcBorders>
              <w:tl2br w:val="nil"/>
              <w:tr2bl w:val="nil"/>
            </w:tcBorders>
            <w:shd w:val="clear" w:color="auto" w:fill="auto"/>
            <w:vAlign w:val="center"/>
          </w:tcPr>
          <w:p w14:paraId="2FB11C7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取材于两栖动物或哺乳动物消化管的基层，应能看清大部分被分离成单个的长梭形平滑肌细胞</w:t>
            </w:r>
          </w:p>
        </w:tc>
        <w:tc>
          <w:tcPr>
            <w:tcW w:w="816" w:type="dxa"/>
            <w:tcBorders>
              <w:tl2br w:val="nil"/>
              <w:tr2bl w:val="nil"/>
            </w:tcBorders>
            <w:shd w:val="clear" w:color="auto" w:fill="auto"/>
            <w:vAlign w:val="center"/>
          </w:tcPr>
          <w:p w14:paraId="4A9927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59E663C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E3A287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0BAF6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3E7A1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93 </w:t>
            </w:r>
          </w:p>
        </w:tc>
        <w:tc>
          <w:tcPr>
            <w:tcW w:w="1166" w:type="dxa"/>
            <w:tcBorders>
              <w:tl2br w:val="nil"/>
              <w:tr2bl w:val="nil"/>
            </w:tcBorders>
            <w:shd w:val="clear" w:color="auto" w:fill="auto"/>
            <w:vAlign w:val="center"/>
          </w:tcPr>
          <w:p w14:paraId="40DF0D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心肌切片</w:t>
            </w:r>
          </w:p>
        </w:tc>
        <w:tc>
          <w:tcPr>
            <w:tcW w:w="8573" w:type="dxa"/>
            <w:tcBorders>
              <w:tl2br w:val="nil"/>
              <w:tr2bl w:val="nil"/>
            </w:tcBorders>
            <w:shd w:val="clear" w:color="auto" w:fill="auto"/>
            <w:vAlign w:val="center"/>
          </w:tcPr>
          <w:p w14:paraId="67F64C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取材于哺乳动物的心脏，应能看清柱状并具有分枝的肌纤维（肌细胞）</w:t>
            </w:r>
          </w:p>
        </w:tc>
        <w:tc>
          <w:tcPr>
            <w:tcW w:w="816" w:type="dxa"/>
            <w:tcBorders>
              <w:tl2br w:val="nil"/>
              <w:tr2bl w:val="nil"/>
            </w:tcBorders>
            <w:shd w:val="clear" w:color="auto" w:fill="auto"/>
            <w:vAlign w:val="center"/>
          </w:tcPr>
          <w:p w14:paraId="61C2790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4579ACF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4AE5382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39F5E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85C3BA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94 </w:t>
            </w:r>
          </w:p>
        </w:tc>
        <w:tc>
          <w:tcPr>
            <w:tcW w:w="1166" w:type="dxa"/>
            <w:tcBorders>
              <w:tl2br w:val="nil"/>
              <w:tr2bl w:val="nil"/>
            </w:tcBorders>
            <w:shd w:val="clear" w:color="auto" w:fill="auto"/>
            <w:vAlign w:val="center"/>
          </w:tcPr>
          <w:p w14:paraId="69D033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运动神经元装片</w:t>
            </w:r>
          </w:p>
        </w:tc>
        <w:tc>
          <w:tcPr>
            <w:tcW w:w="8573" w:type="dxa"/>
            <w:tcBorders>
              <w:tl2br w:val="nil"/>
              <w:tr2bl w:val="nil"/>
            </w:tcBorders>
            <w:shd w:val="clear" w:color="auto" w:fill="auto"/>
            <w:vAlign w:val="center"/>
          </w:tcPr>
          <w:p w14:paraId="27BC563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应能看清运动神经元的细胞体和突起、细胞核以及少量的神经纤维</w:t>
            </w:r>
          </w:p>
        </w:tc>
        <w:tc>
          <w:tcPr>
            <w:tcW w:w="816" w:type="dxa"/>
            <w:tcBorders>
              <w:tl2br w:val="nil"/>
              <w:tr2bl w:val="nil"/>
            </w:tcBorders>
            <w:shd w:val="clear" w:color="auto" w:fill="auto"/>
            <w:vAlign w:val="center"/>
          </w:tcPr>
          <w:p w14:paraId="62FDF4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154B42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E40AB4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C07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3623C7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95 </w:t>
            </w:r>
          </w:p>
        </w:tc>
        <w:tc>
          <w:tcPr>
            <w:tcW w:w="1166" w:type="dxa"/>
            <w:tcBorders>
              <w:tl2br w:val="nil"/>
              <w:tr2bl w:val="nil"/>
            </w:tcBorders>
            <w:shd w:val="clear" w:color="auto" w:fill="auto"/>
            <w:vAlign w:val="center"/>
          </w:tcPr>
          <w:p w14:paraId="7D43A98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玉米种子纵切</w:t>
            </w:r>
          </w:p>
        </w:tc>
        <w:tc>
          <w:tcPr>
            <w:tcW w:w="8573" w:type="dxa"/>
            <w:tcBorders>
              <w:tl2br w:val="nil"/>
              <w:tr2bl w:val="nil"/>
            </w:tcBorders>
            <w:shd w:val="clear" w:color="auto" w:fill="auto"/>
            <w:vAlign w:val="center"/>
          </w:tcPr>
          <w:p w14:paraId="1A1C567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应显示子叶、胚芽、胚芽鞘、胚轴、胚根和胚根鞘</w:t>
            </w:r>
          </w:p>
        </w:tc>
        <w:tc>
          <w:tcPr>
            <w:tcW w:w="816" w:type="dxa"/>
            <w:tcBorders>
              <w:tl2br w:val="nil"/>
              <w:tr2bl w:val="nil"/>
            </w:tcBorders>
            <w:shd w:val="clear" w:color="auto" w:fill="auto"/>
            <w:vAlign w:val="center"/>
          </w:tcPr>
          <w:p w14:paraId="1669F9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B0F48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21E20F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4B6F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A448D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96 </w:t>
            </w:r>
          </w:p>
        </w:tc>
        <w:tc>
          <w:tcPr>
            <w:tcW w:w="1166" w:type="dxa"/>
            <w:tcBorders>
              <w:tl2br w:val="nil"/>
              <w:tr2bl w:val="nil"/>
            </w:tcBorders>
            <w:shd w:val="clear" w:color="auto" w:fill="auto"/>
            <w:vAlign w:val="center"/>
          </w:tcPr>
          <w:p w14:paraId="024E99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根纵剖模型</w:t>
            </w:r>
          </w:p>
        </w:tc>
        <w:tc>
          <w:tcPr>
            <w:tcW w:w="8573" w:type="dxa"/>
            <w:tcBorders>
              <w:tl2br w:val="nil"/>
              <w:tr2bl w:val="nil"/>
            </w:tcBorders>
            <w:shd w:val="clear" w:color="auto" w:fill="auto"/>
            <w:vAlign w:val="center"/>
          </w:tcPr>
          <w:p w14:paraId="05B7FCB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应以单子叶植物玉米的根尖为参考材料，示根尖的解剖结构，根尖中部做不同方向的纵剖面，突出维管柱，示根冠、分生区、伸长区、成熟区和原形成层等</w:t>
            </w:r>
          </w:p>
        </w:tc>
        <w:tc>
          <w:tcPr>
            <w:tcW w:w="816" w:type="dxa"/>
            <w:tcBorders>
              <w:tl2br w:val="nil"/>
              <w:tr2bl w:val="nil"/>
            </w:tcBorders>
            <w:shd w:val="clear" w:color="auto" w:fill="auto"/>
            <w:vAlign w:val="center"/>
          </w:tcPr>
          <w:p w14:paraId="3B45EA8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F9DAFE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2A029A8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4804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8A121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97 </w:t>
            </w:r>
          </w:p>
        </w:tc>
        <w:tc>
          <w:tcPr>
            <w:tcW w:w="1166" w:type="dxa"/>
            <w:tcBorders>
              <w:tl2br w:val="nil"/>
              <w:tr2bl w:val="nil"/>
            </w:tcBorders>
            <w:shd w:val="clear" w:color="auto" w:fill="auto"/>
            <w:vAlign w:val="center"/>
          </w:tcPr>
          <w:p w14:paraId="5A0980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植物根尖纵切</w:t>
            </w:r>
          </w:p>
        </w:tc>
        <w:tc>
          <w:tcPr>
            <w:tcW w:w="8573" w:type="dxa"/>
            <w:tcBorders>
              <w:tl2br w:val="nil"/>
              <w:tr2bl w:val="nil"/>
            </w:tcBorders>
            <w:shd w:val="clear" w:color="auto" w:fill="auto"/>
            <w:vAlign w:val="center"/>
          </w:tcPr>
          <w:p w14:paraId="47424B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应取材于玉米根，取材部位为根冠至根毛区，应明显显示根冠、分生区、伸长区、根毛区和原形成层等</w:t>
            </w:r>
          </w:p>
        </w:tc>
        <w:tc>
          <w:tcPr>
            <w:tcW w:w="816" w:type="dxa"/>
            <w:tcBorders>
              <w:tl2br w:val="nil"/>
              <w:tr2bl w:val="nil"/>
            </w:tcBorders>
            <w:shd w:val="clear" w:color="auto" w:fill="auto"/>
            <w:vAlign w:val="center"/>
          </w:tcPr>
          <w:p w14:paraId="7F0AE5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14514C8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E08AA2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81EB2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4268E8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98 </w:t>
            </w:r>
          </w:p>
        </w:tc>
        <w:tc>
          <w:tcPr>
            <w:tcW w:w="1166" w:type="dxa"/>
            <w:tcBorders>
              <w:tl2br w:val="nil"/>
              <w:tr2bl w:val="nil"/>
            </w:tcBorders>
            <w:shd w:val="clear" w:color="auto" w:fill="auto"/>
            <w:vAlign w:val="center"/>
          </w:tcPr>
          <w:p w14:paraId="241A28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顶芽纵切</w:t>
            </w:r>
          </w:p>
        </w:tc>
        <w:tc>
          <w:tcPr>
            <w:tcW w:w="8573" w:type="dxa"/>
            <w:tcBorders>
              <w:tl2br w:val="nil"/>
              <w:tr2bl w:val="nil"/>
            </w:tcBorders>
            <w:shd w:val="clear" w:color="auto" w:fill="auto"/>
            <w:vAlign w:val="center"/>
          </w:tcPr>
          <w:p w14:paraId="734CC51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应取材于黑藻顶芽，应能看清生长锥、叶原基、幼叶、腋芽原基和芽轴，生长锥及幼叶处细胞不应有明显的“质壁分离”现象</w:t>
            </w:r>
          </w:p>
        </w:tc>
        <w:tc>
          <w:tcPr>
            <w:tcW w:w="816" w:type="dxa"/>
            <w:tcBorders>
              <w:tl2br w:val="nil"/>
              <w:tr2bl w:val="nil"/>
            </w:tcBorders>
            <w:shd w:val="clear" w:color="auto" w:fill="auto"/>
            <w:vAlign w:val="center"/>
          </w:tcPr>
          <w:p w14:paraId="4F14E22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21D17A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6411E06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EA00A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C3E6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99 </w:t>
            </w:r>
          </w:p>
        </w:tc>
        <w:tc>
          <w:tcPr>
            <w:tcW w:w="1166" w:type="dxa"/>
            <w:tcBorders>
              <w:tl2br w:val="nil"/>
              <w:tr2bl w:val="nil"/>
            </w:tcBorders>
            <w:shd w:val="clear" w:color="auto" w:fill="auto"/>
            <w:vAlign w:val="center"/>
          </w:tcPr>
          <w:p w14:paraId="3667C1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单子叶植物</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茎模型</w:t>
            </w:r>
          </w:p>
        </w:tc>
        <w:tc>
          <w:tcPr>
            <w:tcW w:w="8573" w:type="dxa"/>
            <w:tcBorders>
              <w:tl2br w:val="nil"/>
              <w:tr2bl w:val="nil"/>
            </w:tcBorders>
            <w:shd w:val="clear" w:color="auto" w:fill="auto"/>
            <w:vAlign w:val="center"/>
          </w:tcPr>
          <w:p w14:paraId="04175EC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应明显显示表皮、机械组织、薄壁细胞、维管束、维管束鞘、环纹导管、螺纹导管、孔纹导管、筛管和伴胞、气道，各结构应位置准确，修饰自然、正确</w:t>
            </w:r>
          </w:p>
        </w:tc>
        <w:tc>
          <w:tcPr>
            <w:tcW w:w="816" w:type="dxa"/>
            <w:tcBorders>
              <w:tl2br w:val="nil"/>
              <w:tr2bl w:val="nil"/>
            </w:tcBorders>
            <w:shd w:val="clear" w:color="auto" w:fill="auto"/>
            <w:vAlign w:val="center"/>
          </w:tcPr>
          <w:p w14:paraId="2F7E03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87363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57ACB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C91FB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07752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 </w:t>
            </w:r>
          </w:p>
        </w:tc>
        <w:tc>
          <w:tcPr>
            <w:tcW w:w="1166" w:type="dxa"/>
            <w:tcBorders>
              <w:tl2br w:val="nil"/>
              <w:tr2bl w:val="nil"/>
            </w:tcBorders>
            <w:shd w:val="clear" w:color="auto" w:fill="auto"/>
            <w:vAlign w:val="center"/>
          </w:tcPr>
          <w:p w14:paraId="3F343A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双子叶草本植物</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茎模型</w:t>
            </w:r>
          </w:p>
        </w:tc>
        <w:tc>
          <w:tcPr>
            <w:tcW w:w="8573" w:type="dxa"/>
            <w:tcBorders>
              <w:tl2br w:val="nil"/>
              <w:tr2bl w:val="nil"/>
            </w:tcBorders>
            <w:shd w:val="clear" w:color="auto" w:fill="auto"/>
            <w:vAlign w:val="center"/>
          </w:tcPr>
          <w:p w14:paraId="712C829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应以向日葵茎为参考材料，示双子叶草本植物茎纵、横切面的结构，应示角质层、表皮、厚角组织、薄壁组织、维管束、髓、髓射线、环纹导管、螺纹导管、孔纹导管、筛管和伴胞、形成层各部位</w:t>
            </w:r>
          </w:p>
        </w:tc>
        <w:tc>
          <w:tcPr>
            <w:tcW w:w="816" w:type="dxa"/>
            <w:tcBorders>
              <w:tl2br w:val="nil"/>
              <w:tr2bl w:val="nil"/>
            </w:tcBorders>
            <w:shd w:val="clear" w:color="auto" w:fill="auto"/>
            <w:vAlign w:val="center"/>
          </w:tcPr>
          <w:p w14:paraId="13CB88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863123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E547B9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1EC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1FFE9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101 </w:t>
            </w:r>
          </w:p>
        </w:tc>
        <w:tc>
          <w:tcPr>
            <w:tcW w:w="1166" w:type="dxa"/>
            <w:tcBorders>
              <w:tl2br w:val="nil"/>
              <w:tr2bl w:val="nil"/>
            </w:tcBorders>
            <w:shd w:val="clear" w:color="auto" w:fill="auto"/>
            <w:vAlign w:val="center"/>
          </w:tcPr>
          <w:p w14:paraId="5033E02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导管、筛管结构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模型</w:t>
            </w:r>
          </w:p>
        </w:tc>
        <w:tc>
          <w:tcPr>
            <w:tcW w:w="8573" w:type="dxa"/>
            <w:tcBorders>
              <w:tl2br w:val="nil"/>
              <w:tr2bl w:val="nil"/>
            </w:tcBorders>
            <w:shd w:val="clear" w:color="auto" w:fill="auto"/>
            <w:vAlign w:val="center"/>
          </w:tcPr>
          <w:p w14:paraId="604951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显微结构的立体放大模型，包括环纹导管、螺纹导管、网纹导管、孔纹导管及筛管，形态结构应正确、自然</w:t>
            </w:r>
          </w:p>
        </w:tc>
        <w:tc>
          <w:tcPr>
            <w:tcW w:w="816" w:type="dxa"/>
            <w:tcBorders>
              <w:tl2br w:val="nil"/>
              <w:tr2bl w:val="nil"/>
            </w:tcBorders>
            <w:shd w:val="clear" w:color="auto" w:fill="auto"/>
            <w:vAlign w:val="center"/>
          </w:tcPr>
          <w:p w14:paraId="05A0A1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FC07E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F0F6F2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B58E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318AA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102 </w:t>
            </w:r>
          </w:p>
        </w:tc>
        <w:tc>
          <w:tcPr>
            <w:tcW w:w="1166" w:type="dxa"/>
            <w:tcBorders>
              <w:tl2br w:val="nil"/>
              <w:tr2bl w:val="nil"/>
            </w:tcBorders>
            <w:shd w:val="clear" w:color="auto" w:fill="auto"/>
            <w:vAlign w:val="center"/>
          </w:tcPr>
          <w:p w14:paraId="3DA0F3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木本双子叶植物</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茎横切</w:t>
            </w:r>
          </w:p>
        </w:tc>
        <w:tc>
          <w:tcPr>
            <w:tcW w:w="8573" w:type="dxa"/>
            <w:tcBorders>
              <w:tl2br w:val="nil"/>
              <w:tr2bl w:val="nil"/>
            </w:tcBorders>
            <w:shd w:val="clear" w:color="auto" w:fill="auto"/>
            <w:vAlign w:val="center"/>
          </w:tcPr>
          <w:p w14:paraId="16C93D4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取材于三年生椴木枝，应能看清表皮、木栓层、厚角组织、皮层、韧皮部、形成层、木质部、髓部和髓射线</w:t>
            </w:r>
          </w:p>
        </w:tc>
        <w:tc>
          <w:tcPr>
            <w:tcW w:w="816" w:type="dxa"/>
            <w:tcBorders>
              <w:tl2br w:val="nil"/>
              <w:tr2bl w:val="nil"/>
            </w:tcBorders>
            <w:shd w:val="clear" w:color="auto" w:fill="auto"/>
            <w:vAlign w:val="center"/>
          </w:tcPr>
          <w:p w14:paraId="71EBF6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25FB66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2A67B2E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644C3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3F6F7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103 </w:t>
            </w:r>
          </w:p>
        </w:tc>
        <w:tc>
          <w:tcPr>
            <w:tcW w:w="1166" w:type="dxa"/>
            <w:tcBorders>
              <w:tl2br w:val="nil"/>
              <w:tr2bl w:val="nil"/>
            </w:tcBorders>
            <w:shd w:val="clear" w:color="auto" w:fill="auto"/>
            <w:vAlign w:val="center"/>
          </w:tcPr>
          <w:p w14:paraId="3F6B1B8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南瓜茎纵切</w:t>
            </w:r>
          </w:p>
        </w:tc>
        <w:tc>
          <w:tcPr>
            <w:tcW w:w="8573" w:type="dxa"/>
            <w:tcBorders>
              <w:tl2br w:val="nil"/>
              <w:tr2bl w:val="nil"/>
            </w:tcBorders>
            <w:shd w:val="clear" w:color="auto" w:fill="auto"/>
            <w:vAlign w:val="center"/>
          </w:tcPr>
          <w:p w14:paraId="302FA5E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应能看清皮层、机械组织、薄壁组织、双韧维管束和髓腔，在双韧维管束的纵断面上应能看清网纹导管或环纹导管或螺纹导管中的两种和筛管、筛板等结构</w:t>
            </w:r>
          </w:p>
        </w:tc>
        <w:tc>
          <w:tcPr>
            <w:tcW w:w="816" w:type="dxa"/>
            <w:tcBorders>
              <w:tl2br w:val="nil"/>
              <w:tr2bl w:val="nil"/>
            </w:tcBorders>
            <w:shd w:val="clear" w:color="auto" w:fill="auto"/>
            <w:vAlign w:val="center"/>
          </w:tcPr>
          <w:p w14:paraId="3EBE6EF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26B27E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19B5DC9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F7F7B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0073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104 </w:t>
            </w:r>
          </w:p>
        </w:tc>
        <w:tc>
          <w:tcPr>
            <w:tcW w:w="1166" w:type="dxa"/>
            <w:tcBorders>
              <w:tl2br w:val="nil"/>
              <w:tr2bl w:val="nil"/>
            </w:tcBorders>
            <w:shd w:val="clear" w:color="auto" w:fill="auto"/>
            <w:vAlign w:val="center"/>
          </w:tcPr>
          <w:p w14:paraId="6FDAA75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叶构造模型</w:t>
            </w:r>
          </w:p>
        </w:tc>
        <w:tc>
          <w:tcPr>
            <w:tcW w:w="8573" w:type="dxa"/>
            <w:tcBorders>
              <w:tl2br w:val="nil"/>
              <w:tr2bl w:val="nil"/>
            </w:tcBorders>
            <w:shd w:val="clear" w:color="auto" w:fill="auto"/>
            <w:vAlign w:val="center"/>
          </w:tcPr>
          <w:p w14:paraId="77D0A80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以蚕豆叶为参考材料，示双子叶植物叶的构造，示上表皮、下表皮、栅栏组织、海绵组织、主脉、侧脉、木质部、韧皮部、形成层、气孔等部位</w:t>
            </w:r>
          </w:p>
        </w:tc>
        <w:tc>
          <w:tcPr>
            <w:tcW w:w="816" w:type="dxa"/>
            <w:tcBorders>
              <w:tl2br w:val="nil"/>
              <w:tr2bl w:val="nil"/>
            </w:tcBorders>
            <w:shd w:val="clear" w:color="auto" w:fill="auto"/>
            <w:vAlign w:val="center"/>
          </w:tcPr>
          <w:p w14:paraId="6F5FD36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20CBA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7C11E96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F2453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6793A4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105 </w:t>
            </w:r>
          </w:p>
        </w:tc>
        <w:tc>
          <w:tcPr>
            <w:tcW w:w="1166" w:type="dxa"/>
            <w:tcBorders>
              <w:tl2br w:val="nil"/>
              <w:tr2bl w:val="nil"/>
            </w:tcBorders>
            <w:shd w:val="clear" w:color="auto" w:fill="auto"/>
            <w:vAlign w:val="center"/>
          </w:tcPr>
          <w:p w14:paraId="4080E31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迎春叶横切</w:t>
            </w:r>
          </w:p>
        </w:tc>
        <w:tc>
          <w:tcPr>
            <w:tcW w:w="8573" w:type="dxa"/>
            <w:tcBorders>
              <w:tl2br w:val="nil"/>
              <w:tr2bl w:val="nil"/>
            </w:tcBorders>
            <w:shd w:val="clear" w:color="auto" w:fill="auto"/>
            <w:vAlign w:val="center"/>
          </w:tcPr>
          <w:p w14:paraId="6D2C61C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应显示叶片横断面的上下表皮、栅栏组织、海绵组织及叶脉等</w:t>
            </w:r>
          </w:p>
        </w:tc>
        <w:tc>
          <w:tcPr>
            <w:tcW w:w="816" w:type="dxa"/>
            <w:tcBorders>
              <w:tl2br w:val="nil"/>
              <w:tr2bl w:val="nil"/>
            </w:tcBorders>
            <w:shd w:val="clear" w:color="auto" w:fill="auto"/>
            <w:vAlign w:val="center"/>
          </w:tcPr>
          <w:p w14:paraId="74B9887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AD0B5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7F62393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5D7B15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751EE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106 </w:t>
            </w:r>
          </w:p>
        </w:tc>
        <w:tc>
          <w:tcPr>
            <w:tcW w:w="1166" w:type="dxa"/>
            <w:tcBorders>
              <w:tl2br w:val="nil"/>
              <w:tr2bl w:val="nil"/>
            </w:tcBorders>
            <w:shd w:val="clear" w:color="auto" w:fill="auto"/>
            <w:vAlign w:val="center"/>
          </w:tcPr>
          <w:p w14:paraId="56E7E2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人体半身模型</w:t>
            </w:r>
          </w:p>
        </w:tc>
        <w:tc>
          <w:tcPr>
            <w:tcW w:w="8573" w:type="dxa"/>
            <w:tcBorders>
              <w:tl2br w:val="nil"/>
              <w:tr2bl w:val="nil"/>
            </w:tcBorders>
            <w:shd w:val="clear" w:color="auto" w:fill="auto"/>
            <w:vAlign w:val="center"/>
          </w:tcPr>
          <w:p w14:paraId="69F330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自然大，橡胶制，示消化系统、呼吸系统、泌尿系统</w:t>
            </w:r>
          </w:p>
        </w:tc>
        <w:tc>
          <w:tcPr>
            <w:tcW w:w="816" w:type="dxa"/>
            <w:tcBorders>
              <w:tl2br w:val="nil"/>
              <w:tr2bl w:val="nil"/>
            </w:tcBorders>
            <w:shd w:val="clear" w:color="auto" w:fill="auto"/>
            <w:vAlign w:val="center"/>
          </w:tcPr>
          <w:p w14:paraId="6914EB2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CFE8A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56EC1A9">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7D6BC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84DBC5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107 </w:t>
            </w:r>
          </w:p>
        </w:tc>
        <w:tc>
          <w:tcPr>
            <w:tcW w:w="1166" w:type="dxa"/>
            <w:tcBorders>
              <w:tl2br w:val="nil"/>
              <w:tr2bl w:val="nil"/>
            </w:tcBorders>
            <w:shd w:val="clear" w:color="auto" w:fill="auto"/>
            <w:vAlign w:val="center"/>
          </w:tcPr>
          <w:p w14:paraId="345947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小肠切片</w:t>
            </w:r>
          </w:p>
        </w:tc>
        <w:tc>
          <w:tcPr>
            <w:tcW w:w="8573" w:type="dxa"/>
            <w:tcBorders>
              <w:tl2br w:val="nil"/>
              <w:tr2bl w:val="nil"/>
            </w:tcBorders>
            <w:shd w:val="clear" w:color="auto" w:fill="auto"/>
            <w:vAlign w:val="center"/>
          </w:tcPr>
          <w:p w14:paraId="6FF78B4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应能看清粘膜，包括绒毛、粘膜肌层和肠腺，粘膜下层、肌层和浆膜等</w:t>
            </w:r>
          </w:p>
        </w:tc>
        <w:tc>
          <w:tcPr>
            <w:tcW w:w="816" w:type="dxa"/>
            <w:tcBorders>
              <w:tl2br w:val="nil"/>
              <w:tr2bl w:val="nil"/>
            </w:tcBorders>
            <w:shd w:val="clear" w:color="auto" w:fill="auto"/>
            <w:vAlign w:val="center"/>
          </w:tcPr>
          <w:p w14:paraId="78A88E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05D4A4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450F2CC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1E19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312D0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108 </w:t>
            </w:r>
          </w:p>
        </w:tc>
        <w:tc>
          <w:tcPr>
            <w:tcW w:w="1166" w:type="dxa"/>
            <w:tcBorders>
              <w:tl2br w:val="nil"/>
              <w:tr2bl w:val="nil"/>
            </w:tcBorders>
            <w:shd w:val="clear" w:color="auto" w:fill="auto"/>
            <w:vAlign w:val="center"/>
          </w:tcPr>
          <w:p w14:paraId="660DA8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喉解剖模型</w:t>
            </w:r>
          </w:p>
        </w:tc>
        <w:tc>
          <w:tcPr>
            <w:tcW w:w="8573" w:type="dxa"/>
            <w:tcBorders>
              <w:tl2br w:val="nil"/>
              <w:tr2bl w:val="nil"/>
            </w:tcBorders>
            <w:shd w:val="clear" w:color="auto" w:fill="auto"/>
            <w:vAlign w:val="center"/>
          </w:tcPr>
          <w:p w14:paraId="3F5A60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应正确显示喉软骨、喉肌、喉腔、喉口等结构特征</w:t>
            </w:r>
          </w:p>
        </w:tc>
        <w:tc>
          <w:tcPr>
            <w:tcW w:w="816" w:type="dxa"/>
            <w:tcBorders>
              <w:tl2br w:val="nil"/>
              <w:tr2bl w:val="nil"/>
            </w:tcBorders>
            <w:shd w:val="clear" w:color="auto" w:fill="auto"/>
            <w:vAlign w:val="center"/>
          </w:tcPr>
          <w:p w14:paraId="2CD9144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7F98A1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6CE03BF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6331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B6BA5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109 </w:t>
            </w:r>
          </w:p>
        </w:tc>
        <w:tc>
          <w:tcPr>
            <w:tcW w:w="1166" w:type="dxa"/>
            <w:tcBorders>
              <w:tl2br w:val="nil"/>
              <w:tr2bl w:val="nil"/>
            </w:tcBorders>
            <w:shd w:val="clear" w:color="auto" w:fill="auto"/>
            <w:vAlign w:val="center"/>
          </w:tcPr>
          <w:p w14:paraId="74E908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肺泡模型</w:t>
            </w:r>
          </w:p>
        </w:tc>
        <w:tc>
          <w:tcPr>
            <w:tcW w:w="8573" w:type="dxa"/>
            <w:tcBorders>
              <w:tl2br w:val="nil"/>
              <w:tr2bl w:val="nil"/>
            </w:tcBorders>
            <w:shd w:val="clear" w:color="auto" w:fill="auto"/>
            <w:vAlign w:val="center"/>
          </w:tcPr>
          <w:p w14:paraId="499926C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应正确显示细支气管、呼吸性细支气管、肺泡管、肺泡囊、肺泡、肺泡隔、肺动脉、肺静脉、肺泡毛细血管网、支气管动脉、支气管静脉、平滑肌、弹性纤维等结构特征</w:t>
            </w:r>
          </w:p>
        </w:tc>
        <w:tc>
          <w:tcPr>
            <w:tcW w:w="816" w:type="dxa"/>
            <w:tcBorders>
              <w:tl2br w:val="nil"/>
              <w:tr2bl w:val="nil"/>
            </w:tcBorders>
            <w:shd w:val="clear" w:color="auto" w:fill="auto"/>
            <w:vAlign w:val="center"/>
          </w:tcPr>
          <w:p w14:paraId="74D7A5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E5F77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1F2E589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8F1A0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12BF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110 </w:t>
            </w:r>
          </w:p>
        </w:tc>
        <w:tc>
          <w:tcPr>
            <w:tcW w:w="1166" w:type="dxa"/>
            <w:tcBorders>
              <w:tl2br w:val="nil"/>
              <w:tr2bl w:val="nil"/>
            </w:tcBorders>
            <w:shd w:val="clear" w:color="auto" w:fill="auto"/>
            <w:vAlign w:val="center"/>
          </w:tcPr>
          <w:p w14:paraId="4643F5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膈肌运动模拟器</w:t>
            </w:r>
          </w:p>
        </w:tc>
        <w:tc>
          <w:tcPr>
            <w:tcW w:w="8573" w:type="dxa"/>
            <w:tcBorders>
              <w:tl2br w:val="nil"/>
              <w:tr2bl w:val="nil"/>
            </w:tcBorders>
            <w:shd w:val="clear" w:color="auto" w:fill="auto"/>
            <w:vAlign w:val="center"/>
          </w:tcPr>
          <w:p w14:paraId="0C0A94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高度 250 mm±15 mm，宽度或直径 220 mm±15 mm，膈的直径（或长径）≥170 mm；应模拟显示胸腔、膈、气管、支气管、肺（或肺泡）等结构</w:t>
            </w:r>
          </w:p>
        </w:tc>
        <w:tc>
          <w:tcPr>
            <w:tcW w:w="816" w:type="dxa"/>
            <w:tcBorders>
              <w:tl2br w:val="nil"/>
              <w:tr2bl w:val="nil"/>
            </w:tcBorders>
            <w:shd w:val="clear" w:color="auto" w:fill="auto"/>
            <w:vAlign w:val="center"/>
          </w:tcPr>
          <w:p w14:paraId="6A30B4D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897F70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AEC160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F81B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18631D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111 </w:t>
            </w:r>
          </w:p>
        </w:tc>
        <w:tc>
          <w:tcPr>
            <w:tcW w:w="1166" w:type="dxa"/>
            <w:tcBorders>
              <w:tl2br w:val="nil"/>
              <w:tr2bl w:val="nil"/>
            </w:tcBorders>
            <w:shd w:val="clear" w:color="auto" w:fill="auto"/>
            <w:vAlign w:val="center"/>
          </w:tcPr>
          <w:p w14:paraId="0890AF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人血涂片</w:t>
            </w:r>
          </w:p>
        </w:tc>
        <w:tc>
          <w:tcPr>
            <w:tcW w:w="8573" w:type="dxa"/>
            <w:tcBorders>
              <w:tl2br w:val="nil"/>
              <w:tr2bl w:val="nil"/>
            </w:tcBorders>
            <w:shd w:val="clear" w:color="auto" w:fill="auto"/>
            <w:vAlign w:val="center"/>
          </w:tcPr>
          <w:p w14:paraId="12712DF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染色均匀，能看清红血细胞和白血细胞，细胞不重叠、无变形和自溶现象</w:t>
            </w:r>
          </w:p>
        </w:tc>
        <w:tc>
          <w:tcPr>
            <w:tcW w:w="816" w:type="dxa"/>
            <w:tcBorders>
              <w:tl2br w:val="nil"/>
              <w:tr2bl w:val="nil"/>
            </w:tcBorders>
            <w:shd w:val="clear" w:color="auto" w:fill="auto"/>
            <w:vAlign w:val="center"/>
          </w:tcPr>
          <w:p w14:paraId="7E8200E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431E8C2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4DED911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D90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E5A642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112 </w:t>
            </w:r>
          </w:p>
        </w:tc>
        <w:tc>
          <w:tcPr>
            <w:tcW w:w="1166" w:type="dxa"/>
            <w:tcBorders>
              <w:tl2br w:val="nil"/>
              <w:tr2bl w:val="nil"/>
            </w:tcBorders>
            <w:shd w:val="clear" w:color="auto" w:fill="auto"/>
            <w:vAlign w:val="center"/>
          </w:tcPr>
          <w:p w14:paraId="4626F00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动静脉血管横切</w:t>
            </w:r>
          </w:p>
        </w:tc>
        <w:tc>
          <w:tcPr>
            <w:tcW w:w="8573" w:type="dxa"/>
            <w:tcBorders>
              <w:tl2br w:val="nil"/>
              <w:tr2bl w:val="nil"/>
            </w:tcBorders>
            <w:shd w:val="clear" w:color="auto" w:fill="auto"/>
            <w:vAlign w:val="center"/>
          </w:tcPr>
          <w:p w14:paraId="7502613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取材于哺乳动物的腹主动脉和下腔静脉，内皮应 90%以上完整</w:t>
            </w:r>
          </w:p>
        </w:tc>
        <w:tc>
          <w:tcPr>
            <w:tcW w:w="816" w:type="dxa"/>
            <w:tcBorders>
              <w:tl2br w:val="nil"/>
              <w:tr2bl w:val="nil"/>
            </w:tcBorders>
            <w:shd w:val="clear" w:color="auto" w:fill="auto"/>
            <w:vAlign w:val="center"/>
          </w:tcPr>
          <w:p w14:paraId="421DCA5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701C4E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284C5E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4E6A6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F21D1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113 </w:t>
            </w:r>
          </w:p>
        </w:tc>
        <w:tc>
          <w:tcPr>
            <w:tcW w:w="1166" w:type="dxa"/>
            <w:tcBorders>
              <w:tl2br w:val="nil"/>
              <w:tr2bl w:val="nil"/>
            </w:tcBorders>
            <w:shd w:val="clear" w:color="auto" w:fill="auto"/>
            <w:vAlign w:val="center"/>
          </w:tcPr>
          <w:p w14:paraId="707898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心脏解剖模型</w:t>
            </w:r>
          </w:p>
        </w:tc>
        <w:tc>
          <w:tcPr>
            <w:tcW w:w="8573" w:type="dxa"/>
            <w:tcBorders>
              <w:tl2br w:val="nil"/>
              <w:tr2bl w:val="nil"/>
            </w:tcBorders>
            <w:shd w:val="clear" w:color="auto" w:fill="auto"/>
            <w:vAlign w:val="center"/>
          </w:tcPr>
          <w:p w14:paraId="59F08AC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三倍自然大，示上腔静脉、下腔静脉、主动脉、肺动脉、动脉韧带、左冠状动脉、右冠状动脉、冠状窦， 左心房、右心房、左心室、右心室、二尖瓣、三尖瓣、主动脉瓣、肺动脉瓣、卵圆窝、冠状窦口</w:t>
            </w:r>
          </w:p>
        </w:tc>
        <w:tc>
          <w:tcPr>
            <w:tcW w:w="816" w:type="dxa"/>
            <w:tcBorders>
              <w:tl2br w:val="nil"/>
              <w:tr2bl w:val="nil"/>
            </w:tcBorders>
            <w:shd w:val="clear" w:color="auto" w:fill="auto"/>
            <w:vAlign w:val="center"/>
          </w:tcPr>
          <w:p w14:paraId="678C12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70B368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05553C1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30CE9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83437A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114 </w:t>
            </w:r>
          </w:p>
        </w:tc>
        <w:tc>
          <w:tcPr>
            <w:tcW w:w="1166" w:type="dxa"/>
            <w:tcBorders>
              <w:tl2br w:val="nil"/>
              <w:tr2bl w:val="nil"/>
            </w:tcBorders>
            <w:shd w:val="clear" w:color="auto" w:fill="auto"/>
            <w:vAlign w:val="center"/>
          </w:tcPr>
          <w:p w14:paraId="20AD42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心脏解剖模型</w:t>
            </w:r>
          </w:p>
        </w:tc>
        <w:tc>
          <w:tcPr>
            <w:tcW w:w="8573" w:type="dxa"/>
            <w:tcBorders>
              <w:tl2br w:val="nil"/>
              <w:tr2bl w:val="nil"/>
            </w:tcBorders>
            <w:shd w:val="clear" w:color="auto" w:fill="auto"/>
            <w:vAlign w:val="center"/>
          </w:tcPr>
          <w:p w14:paraId="7260932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自然大，示上腔静脉、下腔静脉、主动脉、肺动脉、左心房、右心房、左心室、右心室</w:t>
            </w:r>
          </w:p>
        </w:tc>
        <w:tc>
          <w:tcPr>
            <w:tcW w:w="816" w:type="dxa"/>
            <w:tcBorders>
              <w:tl2br w:val="nil"/>
              <w:tr2bl w:val="nil"/>
            </w:tcBorders>
            <w:shd w:val="clear" w:color="auto" w:fill="auto"/>
            <w:vAlign w:val="center"/>
          </w:tcPr>
          <w:p w14:paraId="2D2F8B2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13</w:t>
            </w:r>
          </w:p>
        </w:tc>
        <w:tc>
          <w:tcPr>
            <w:tcW w:w="498" w:type="dxa"/>
            <w:tcBorders>
              <w:tl2br w:val="nil"/>
              <w:tr2bl w:val="nil"/>
            </w:tcBorders>
            <w:shd w:val="clear" w:color="auto" w:fill="auto"/>
            <w:vAlign w:val="center"/>
          </w:tcPr>
          <w:p w14:paraId="56A2EF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F809AF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CF5A7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B5E097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115 </w:t>
            </w:r>
          </w:p>
        </w:tc>
        <w:tc>
          <w:tcPr>
            <w:tcW w:w="1166" w:type="dxa"/>
            <w:tcBorders>
              <w:tl2br w:val="nil"/>
              <w:tr2bl w:val="nil"/>
            </w:tcBorders>
            <w:shd w:val="clear" w:color="auto" w:fill="auto"/>
            <w:vAlign w:val="center"/>
          </w:tcPr>
          <w:p w14:paraId="7D2703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男性泌尿生殖系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统模型</w:t>
            </w:r>
          </w:p>
        </w:tc>
        <w:tc>
          <w:tcPr>
            <w:tcW w:w="8573" w:type="dxa"/>
            <w:tcBorders>
              <w:tl2br w:val="nil"/>
              <w:tr2bl w:val="nil"/>
            </w:tcBorders>
            <w:shd w:val="clear" w:color="auto" w:fill="auto"/>
            <w:vAlign w:val="center"/>
          </w:tcPr>
          <w:p w14:paraId="4DF98E0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自然大，结构清晰，位置精准，比例适宜</w:t>
            </w:r>
          </w:p>
        </w:tc>
        <w:tc>
          <w:tcPr>
            <w:tcW w:w="816" w:type="dxa"/>
            <w:tcBorders>
              <w:tl2br w:val="nil"/>
              <w:tr2bl w:val="nil"/>
            </w:tcBorders>
            <w:shd w:val="clear" w:color="auto" w:fill="auto"/>
            <w:vAlign w:val="center"/>
          </w:tcPr>
          <w:p w14:paraId="637F8F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F3950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A3A04E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2A82F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A6904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116 </w:t>
            </w:r>
          </w:p>
        </w:tc>
        <w:tc>
          <w:tcPr>
            <w:tcW w:w="1166" w:type="dxa"/>
            <w:tcBorders>
              <w:tl2br w:val="nil"/>
              <w:tr2bl w:val="nil"/>
            </w:tcBorders>
            <w:shd w:val="clear" w:color="auto" w:fill="auto"/>
            <w:vAlign w:val="center"/>
          </w:tcPr>
          <w:p w14:paraId="068906E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女性泌尿生殖系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统模型</w:t>
            </w:r>
          </w:p>
        </w:tc>
        <w:tc>
          <w:tcPr>
            <w:tcW w:w="8573" w:type="dxa"/>
            <w:tcBorders>
              <w:tl2br w:val="nil"/>
              <w:tr2bl w:val="nil"/>
            </w:tcBorders>
            <w:shd w:val="clear" w:color="auto" w:fill="auto"/>
            <w:vAlign w:val="center"/>
          </w:tcPr>
          <w:p w14:paraId="04006AA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自然大，结构清晰，位置精准，比例适宜</w:t>
            </w:r>
          </w:p>
        </w:tc>
        <w:tc>
          <w:tcPr>
            <w:tcW w:w="816" w:type="dxa"/>
            <w:tcBorders>
              <w:tl2br w:val="nil"/>
              <w:tr2bl w:val="nil"/>
            </w:tcBorders>
            <w:shd w:val="clear" w:color="auto" w:fill="auto"/>
            <w:vAlign w:val="center"/>
          </w:tcPr>
          <w:p w14:paraId="6FE3F0E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B7643E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07C971F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BE5A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C048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117 </w:t>
            </w:r>
          </w:p>
        </w:tc>
        <w:tc>
          <w:tcPr>
            <w:tcW w:w="1166" w:type="dxa"/>
            <w:tcBorders>
              <w:tl2br w:val="nil"/>
              <w:tr2bl w:val="nil"/>
            </w:tcBorders>
            <w:shd w:val="clear" w:color="auto" w:fill="auto"/>
            <w:vAlign w:val="center"/>
          </w:tcPr>
          <w:p w14:paraId="6A60732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肾单位、肾小体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模型</w:t>
            </w:r>
          </w:p>
        </w:tc>
        <w:tc>
          <w:tcPr>
            <w:tcW w:w="8573" w:type="dxa"/>
            <w:tcBorders>
              <w:tl2br w:val="nil"/>
              <w:tr2bl w:val="nil"/>
            </w:tcBorders>
            <w:shd w:val="clear" w:color="auto" w:fill="auto"/>
            <w:vAlign w:val="center"/>
          </w:tcPr>
          <w:p w14:paraId="5B71C8E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肾单位模型≥400 mm×240 mm，示肾小体、肾小管和集合管等；肾小体模型直径≥100 mm，半剖，示肾小球、肾小囊、入球小动脉和出球小动脉等</w:t>
            </w:r>
          </w:p>
        </w:tc>
        <w:tc>
          <w:tcPr>
            <w:tcW w:w="816" w:type="dxa"/>
            <w:tcBorders>
              <w:tl2br w:val="nil"/>
              <w:tr2bl w:val="nil"/>
            </w:tcBorders>
            <w:shd w:val="clear" w:color="auto" w:fill="auto"/>
            <w:vAlign w:val="center"/>
          </w:tcPr>
          <w:p w14:paraId="03EB174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EE5D5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7E105A5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1E9C5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87E704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118 </w:t>
            </w:r>
          </w:p>
        </w:tc>
        <w:tc>
          <w:tcPr>
            <w:tcW w:w="1166" w:type="dxa"/>
            <w:tcBorders>
              <w:tl2br w:val="nil"/>
              <w:tr2bl w:val="nil"/>
            </w:tcBorders>
            <w:shd w:val="clear" w:color="auto" w:fill="auto"/>
            <w:vAlign w:val="center"/>
          </w:tcPr>
          <w:p w14:paraId="12139C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眼球解剖模型</w:t>
            </w:r>
          </w:p>
        </w:tc>
        <w:tc>
          <w:tcPr>
            <w:tcW w:w="8573" w:type="dxa"/>
            <w:tcBorders>
              <w:tl2br w:val="nil"/>
              <w:tr2bl w:val="nil"/>
            </w:tcBorders>
            <w:shd w:val="clear" w:color="auto" w:fill="auto"/>
            <w:vAlign w:val="center"/>
          </w:tcPr>
          <w:p w14:paraId="798F2AA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 倍自然大，应采用硬质热塑性塑料制作，角膜、虹膜应完整显示，两者和眼球内的晶状体、玻璃体分别可拆下，各部的肌肉、膜壁、血管和神经等的形态结构、位置、比例、颜色均应正确自然</w:t>
            </w:r>
          </w:p>
        </w:tc>
        <w:tc>
          <w:tcPr>
            <w:tcW w:w="816" w:type="dxa"/>
            <w:tcBorders>
              <w:tl2br w:val="nil"/>
              <w:tr2bl w:val="nil"/>
            </w:tcBorders>
            <w:shd w:val="clear" w:color="auto" w:fill="auto"/>
            <w:vAlign w:val="center"/>
          </w:tcPr>
          <w:p w14:paraId="6B0090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13</w:t>
            </w:r>
          </w:p>
        </w:tc>
        <w:tc>
          <w:tcPr>
            <w:tcW w:w="498" w:type="dxa"/>
            <w:tcBorders>
              <w:tl2br w:val="nil"/>
              <w:tr2bl w:val="nil"/>
            </w:tcBorders>
            <w:shd w:val="clear" w:color="auto" w:fill="auto"/>
            <w:vAlign w:val="center"/>
          </w:tcPr>
          <w:p w14:paraId="2C7F8B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15C049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8ED59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E151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119 </w:t>
            </w:r>
          </w:p>
        </w:tc>
        <w:tc>
          <w:tcPr>
            <w:tcW w:w="1166" w:type="dxa"/>
            <w:tcBorders>
              <w:tl2br w:val="nil"/>
              <w:tr2bl w:val="nil"/>
            </w:tcBorders>
            <w:shd w:val="clear" w:color="auto" w:fill="auto"/>
            <w:vAlign w:val="center"/>
          </w:tcPr>
          <w:p w14:paraId="15FC184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眼球仪</w:t>
            </w:r>
          </w:p>
        </w:tc>
        <w:tc>
          <w:tcPr>
            <w:tcW w:w="8573" w:type="dxa"/>
            <w:tcBorders>
              <w:tl2br w:val="nil"/>
              <w:tr2bl w:val="nil"/>
            </w:tcBorders>
            <w:shd w:val="clear" w:color="auto" w:fill="auto"/>
            <w:vAlign w:val="center"/>
          </w:tcPr>
          <w:p w14:paraId="2428370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由放大的成人眼球模型、晶状体曲度调节器、光源、矫正镜盘、视网膜成像显示屏及手持式显示屏等组成</w:t>
            </w:r>
          </w:p>
        </w:tc>
        <w:tc>
          <w:tcPr>
            <w:tcW w:w="816" w:type="dxa"/>
            <w:tcBorders>
              <w:tl2br w:val="nil"/>
              <w:tr2bl w:val="nil"/>
            </w:tcBorders>
            <w:shd w:val="clear" w:color="auto" w:fill="auto"/>
            <w:vAlign w:val="center"/>
          </w:tcPr>
          <w:p w14:paraId="23EB0D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D4B98C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0029280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2A9D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D2FC5C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120 </w:t>
            </w:r>
          </w:p>
        </w:tc>
        <w:tc>
          <w:tcPr>
            <w:tcW w:w="1166" w:type="dxa"/>
            <w:tcBorders>
              <w:tl2br w:val="nil"/>
              <w:tr2bl w:val="nil"/>
            </w:tcBorders>
            <w:shd w:val="clear" w:color="auto" w:fill="auto"/>
            <w:vAlign w:val="center"/>
          </w:tcPr>
          <w:p w14:paraId="690EE8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耳解剖模型</w:t>
            </w:r>
          </w:p>
        </w:tc>
        <w:tc>
          <w:tcPr>
            <w:tcW w:w="8573" w:type="dxa"/>
            <w:tcBorders>
              <w:tl2br w:val="nil"/>
              <w:tr2bl w:val="nil"/>
            </w:tcBorders>
            <w:shd w:val="clear" w:color="auto" w:fill="auto"/>
            <w:vAlign w:val="center"/>
          </w:tcPr>
          <w:p w14:paraId="0069F1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 倍自然大，应完整显示外耳道、鼓膜、听小骨、鼓室、咽鼓管、鼓膜张肌、乳突窦、前庭、骨半规管、耳蜗、前庭窗、蜗窗、前庭蜗神经等结构</w:t>
            </w:r>
          </w:p>
        </w:tc>
        <w:tc>
          <w:tcPr>
            <w:tcW w:w="816" w:type="dxa"/>
            <w:tcBorders>
              <w:tl2br w:val="nil"/>
              <w:tr2bl w:val="nil"/>
            </w:tcBorders>
            <w:shd w:val="clear" w:color="auto" w:fill="auto"/>
            <w:vAlign w:val="center"/>
          </w:tcPr>
          <w:p w14:paraId="49A344A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00BAA0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F3851F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2490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8F2263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121 </w:t>
            </w:r>
          </w:p>
        </w:tc>
        <w:tc>
          <w:tcPr>
            <w:tcW w:w="1166" w:type="dxa"/>
            <w:tcBorders>
              <w:tl2br w:val="nil"/>
              <w:tr2bl w:val="nil"/>
            </w:tcBorders>
            <w:shd w:val="clear" w:color="auto" w:fill="auto"/>
            <w:vAlign w:val="center"/>
          </w:tcPr>
          <w:p w14:paraId="48C7CE9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脑解剖模型</w:t>
            </w:r>
          </w:p>
        </w:tc>
        <w:tc>
          <w:tcPr>
            <w:tcW w:w="8573" w:type="dxa"/>
            <w:tcBorders>
              <w:tl2br w:val="nil"/>
              <w:tr2bl w:val="nil"/>
            </w:tcBorders>
            <w:shd w:val="clear" w:color="auto" w:fill="auto"/>
            <w:vAlign w:val="center"/>
          </w:tcPr>
          <w:p w14:paraId="39EDF1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自然大，大脑做正中矢状切面，左侧脑半球经外侧沟向枕部再做水平切面，并保留完整的脑干形态，应示大脑、小脑、延髓、脑桥、上下丘、胼胝体、透明隔、嗅球、视神经、动眼神经等部位</w:t>
            </w:r>
          </w:p>
        </w:tc>
        <w:tc>
          <w:tcPr>
            <w:tcW w:w="816" w:type="dxa"/>
            <w:tcBorders>
              <w:tl2br w:val="nil"/>
              <w:tr2bl w:val="nil"/>
            </w:tcBorders>
            <w:shd w:val="clear" w:color="auto" w:fill="auto"/>
            <w:vAlign w:val="center"/>
          </w:tcPr>
          <w:p w14:paraId="7F12241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4AF756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234CE40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AA4FD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B6B4E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122 </w:t>
            </w:r>
          </w:p>
        </w:tc>
        <w:tc>
          <w:tcPr>
            <w:tcW w:w="1166" w:type="dxa"/>
            <w:tcBorders>
              <w:tl2br w:val="nil"/>
              <w:tr2bl w:val="nil"/>
            </w:tcBorders>
            <w:shd w:val="clear" w:color="auto" w:fill="auto"/>
            <w:vAlign w:val="center"/>
          </w:tcPr>
          <w:p w14:paraId="5F26C25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脊髓横切</w:t>
            </w:r>
          </w:p>
        </w:tc>
        <w:tc>
          <w:tcPr>
            <w:tcW w:w="8573" w:type="dxa"/>
            <w:tcBorders>
              <w:tl2br w:val="nil"/>
              <w:tr2bl w:val="nil"/>
            </w:tcBorders>
            <w:shd w:val="clear" w:color="auto" w:fill="auto"/>
            <w:vAlign w:val="center"/>
          </w:tcPr>
          <w:p w14:paraId="5A87647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应能看清被膜、灰质和白质</w:t>
            </w:r>
          </w:p>
        </w:tc>
        <w:tc>
          <w:tcPr>
            <w:tcW w:w="816" w:type="dxa"/>
            <w:tcBorders>
              <w:tl2br w:val="nil"/>
              <w:tr2bl w:val="nil"/>
            </w:tcBorders>
            <w:shd w:val="clear" w:color="auto" w:fill="auto"/>
            <w:vAlign w:val="center"/>
          </w:tcPr>
          <w:p w14:paraId="76C975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13</w:t>
            </w:r>
          </w:p>
        </w:tc>
        <w:tc>
          <w:tcPr>
            <w:tcW w:w="498" w:type="dxa"/>
            <w:tcBorders>
              <w:tl2br w:val="nil"/>
              <w:tr2bl w:val="nil"/>
            </w:tcBorders>
            <w:shd w:val="clear" w:color="auto" w:fill="auto"/>
            <w:vAlign w:val="center"/>
          </w:tcPr>
          <w:p w14:paraId="3E08C5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144F31E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CD3D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0C77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123 </w:t>
            </w:r>
          </w:p>
        </w:tc>
        <w:tc>
          <w:tcPr>
            <w:tcW w:w="1166" w:type="dxa"/>
            <w:tcBorders>
              <w:tl2br w:val="nil"/>
              <w:tr2bl w:val="nil"/>
            </w:tcBorders>
            <w:shd w:val="clear" w:color="auto" w:fill="auto"/>
            <w:vAlign w:val="center"/>
          </w:tcPr>
          <w:p w14:paraId="3609901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橡皮锤</w:t>
            </w:r>
          </w:p>
        </w:tc>
        <w:tc>
          <w:tcPr>
            <w:tcW w:w="8573" w:type="dxa"/>
            <w:tcBorders>
              <w:tl2br w:val="nil"/>
              <w:tr2bl w:val="nil"/>
            </w:tcBorders>
            <w:shd w:val="clear" w:color="auto" w:fill="auto"/>
            <w:vAlign w:val="center"/>
          </w:tcPr>
          <w:p w14:paraId="7C2A1F2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用于生物教学课堂实验中做膝跳反射用。</w:t>
            </w:r>
          </w:p>
        </w:tc>
        <w:tc>
          <w:tcPr>
            <w:tcW w:w="816" w:type="dxa"/>
            <w:tcBorders>
              <w:tl2br w:val="nil"/>
              <w:tr2bl w:val="nil"/>
            </w:tcBorders>
            <w:shd w:val="clear" w:color="auto" w:fill="auto"/>
            <w:vAlign w:val="center"/>
          </w:tcPr>
          <w:p w14:paraId="2397E9B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4F5B08E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CA0FB3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43FED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CDEB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124 </w:t>
            </w:r>
          </w:p>
        </w:tc>
        <w:tc>
          <w:tcPr>
            <w:tcW w:w="1166" w:type="dxa"/>
            <w:tcBorders>
              <w:tl2br w:val="nil"/>
              <w:tr2bl w:val="nil"/>
            </w:tcBorders>
            <w:shd w:val="clear" w:color="auto" w:fill="auto"/>
            <w:vAlign w:val="center"/>
          </w:tcPr>
          <w:p w14:paraId="1986F5A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人体骨骼模型</w:t>
            </w:r>
          </w:p>
        </w:tc>
        <w:tc>
          <w:tcPr>
            <w:tcW w:w="8573" w:type="dxa"/>
            <w:tcBorders>
              <w:tl2br w:val="nil"/>
              <w:tr2bl w:val="nil"/>
            </w:tcBorders>
            <w:shd w:val="clear" w:color="auto" w:fill="auto"/>
            <w:vAlign w:val="center"/>
          </w:tcPr>
          <w:p w14:paraId="63E3267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850 mm，各部分骨的形态特征，应正确清晰，富有真实感，骨缝应清楚，骨性鼻腔，眶及所有孔，管、沟、裂显示应正确自然</w:t>
            </w:r>
          </w:p>
        </w:tc>
        <w:tc>
          <w:tcPr>
            <w:tcW w:w="816" w:type="dxa"/>
            <w:tcBorders>
              <w:tl2br w:val="nil"/>
              <w:tr2bl w:val="nil"/>
            </w:tcBorders>
            <w:shd w:val="clear" w:color="auto" w:fill="auto"/>
            <w:vAlign w:val="center"/>
          </w:tcPr>
          <w:p w14:paraId="491723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3926D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7F4C14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7BCBB9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9C4BB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125 </w:t>
            </w:r>
          </w:p>
        </w:tc>
        <w:tc>
          <w:tcPr>
            <w:tcW w:w="1166" w:type="dxa"/>
            <w:tcBorders>
              <w:tl2br w:val="nil"/>
              <w:tr2bl w:val="nil"/>
            </w:tcBorders>
            <w:shd w:val="clear" w:color="auto" w:fill="auto"/>
            <w:vAlign w:val="center"/>
          </w:tcPr>
          <w:p w14:paraId="6A9A95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人体肌肉模型</w:t>
            </w:r>
          </w:p>
        </w:tc>
        <w:tc>
          <w:tcPr>
            <w:tcW w:w="8573" w:type="dxa"/>
            <w:tcBorders>
              <w:tl2br w:val="nil"/>
              <w:tr2bl w:val="nil"/>
            </w:tcBorders>
            <w:shd w:val="clear" w:color="auto" w:fill="auto"/>
            <w:vAlign w:val="center"/>
          </w:tcPr>
          <w:p w14:paraId="666697A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850 mm 全身，示浅层肌及部分深层肌</w:t>
            </w:r>
          </w:p>
        </w:tc>
        <w:tc>
          <w:tcPr>
            <w:tcW w:w="816" w:type="dxa"/>
            <w:tcBorders>
              <w:tl2br w:val="nil"/>
              <w:tr2bl w:val="nil"/>
            </w:tcBorders>
            <w:shd w:val="clear" w:color="auto" w:fill="auto"/>
            <w:vAlign w:val="center"/>
          </w:tcPr>
          <w:p w14:paraId="3A71785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14DBF7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FBBE16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4A36E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8DB5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126 </w:t>
            </w:r>
          </w:p>
        </w:tc>
        <w:tc>
          <w:tcPr>
            <w:tcW w:w="1166" w:type="dxa"/>
            <w:tcBorders>
              <w:tl2br w:val="nil"/>
              <w:tr2bl w:val="nil"/>
            </w:tcBorders>
            <w:shd w:val="clear" w:color="auto" w:fill="auto"/>
            <w:vAlign w:val="center"/>
          </w:tcPr>
          <w:p w14:paraId="7509A73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家蚕生活史标本</w:t>
            </w:r>
          </w:p>
        </w:tc>
        <w:tc>
          <w:tcPr>
            <w:tcW w:w="8573" w:type="dxa"/>
            <w:tcBorders>
              <w:tl2br w:val="nil"/>
              <w:tr2bl w:val="nil"/>
            </w:tcBorders>
            <w:shd w:val="clear" w:color="auto" w:fill="auto"/>
            <w:vAlign w:val="center"/>
          </w:tcPr>
          <w:p w14:paraId="348AF2E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干制或包埋</w:t>
            </w:r>
          </w:p>
        </w:tc>
        <w:tc>
          <w:tcPr>
            <w:tcW w:w="816" w:type="dxa"/>
            <w:tcBorders>
              <w:tl2br w:val="nil"/>
              <w:tr2bl w:val="nil"/>
            </w:tcBorders>
            <w:shd w:val="clear" w:color="auto" w:fill="auto"/>
            <w:vAlign w:val="center"/>
          </w:tcPr>
          <w:p w14:paraId="0BE085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CAC89B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7A45AEF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0BA1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519D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127 </w:t>
            </w:r>
          </w:p>
        </w:tc>
        <w:tc>
          <w:tcPr>
            <w:tcW w:w="1166" w:type="dxa"/>
            <w:tcBorders>
              <w:tl2br w:val="nil"/>
              <w:tr2bl w:val="nil"/>
            </w:tcBorders>
            <w:shd w:val="clear" w:color="auto" w:fill="auto"/>
            <w:vAlign w:val="center"/>
          </w:tcPr>
          <w:p w14:paraId="19D03D2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蝗虫生活史标本</w:t>
            </w:r>
          </w:p>
        </w:tc>
        <w:tc>
          <w:tcPr>
            <w:tcW w:w="8573" w:type="dxa"/>
            <w:tcBorders>
              <w:tl2br w:val="nil"/>
              <w:tr2bl w:val="nil"/>
            </w:tcBorders>
            <w:shd w:val="clear" w:color="auto" w:fill="auto"/>
            <w:vAlign w:val="center"/>
          </w:tcPr>
          <w:p w14:paraId="6A8CE82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干制或包埋</w:t>
            </w:r>
          </w:p>
        </w:tc>
        <w:tc>
          <w:tcPr>
            <w:tcW w:w="816" w:type="dxa"/>
            <w:tcBorders>
              <w:tl2br w:val="nil"/>
              <w:tr2bl w:val="nil"/>
            </w:tcBorders>
            <w:shd w:val="clear" w:color="auto" w:fill="auto"/>
            <w:vAlign w:val="center"/>
          </w:tcPr>
          <w:p w14:paraId="2A7057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18E0BB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2C3A033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A4500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8436B9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128 </w:t>
            </w:r>
          </w:p>
        </w:tc>
        <w:tc>
          <w:tcPr>
            <w:tcW w:w="1166" w:type="dxa"/>
            <w:tcBorders>
              <w:tl2br w:val="nil"/>
              <w:tr2bl w:val="nil"/>
            </w:tcBorders>
            <w:shd w:val="clear" w:color="auto" w:fill="auto"/>
            <w:vAlign w:val="center"/>
          </w:tcPr>
          <w:p w14:paraId="52F72A9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蜜蜂生活史标本</w:t>
            </w:r>
          </w:p>
        </w:tc>
        <w:tc>
          <w:tcPr>
            <w:tcW w:w="8573" w:type="dxa"/>
            <w:tcBorders>
              <w:tl2br w:val="nil"/>
              <w:tr2bl w:val="nil"/>
            </w:tcBorders>
            <w:shd w:val="clear" w:color="auto" w:fill="auto"/>
            <w:vAlign w:val="center"/>
          </w:tcPr>
          <w:p w14:paraId="0C94044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干制或包埋</w:t>
            </w:r>
          </w:p>
        </w:tc>
        <w:tc>
          <w:tcPr>
            <w:tcW w:w="816" w:type="dxa"/>
            <w:tcBorders>
              <w:tl2br w:val="nil"/>
              <w:tr2bl w:val="nil"/>
            </w:tcBorders>
            <w:shd w:val="clear" w:color="auto" w:fill="auto"/>
            <w:vAlign w:val="center"/>
          </w:tcPr>
          <w:p w14:paraId="6D73AE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F99E8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7D7E0E1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18894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EF49ED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129 </w:t>
            </w:r>
          </w:p>
        </w:tc>
        <w:tc>
          <w:tcPr>
            <w:tcW w:w="1166" w:type="dxa"/>
            <w:tcBorders>
              <w:tl2br w:val="nil"/>
              <w:tr2bl w:val="nil"/>
            </w:tcBorders>
            <w:shd w:val="clear" w:color="auto" w:fill="auto"/>
            <w:vAlign w:val="center"/>
          </w:tcPr>
          <w:p w14:paraId="11A40E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菜粉蝶生活史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标本</w:t>
            </w:r>
          </w:p>
        </w:tc>
        <w:tc>
          <w:tcPr>
            <w:tcW w:w="8573" w:type="dxa"/>
            <w:tcBorders>
              <w:tl2br w:val="nil"/>
              <w:tr2bl w:val="nil"/>
            </w:tcBorders>
            <w:shd w:val="clear" w:color="auto" w:fill="auto"/>
            <w:vAlign w:val="center"/>
          </w:tcPr>
          <w:p w14:paraId="6DD966E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干制或包埋</w:t>
            </w:r>
          </w:p>
        </w:tc>
        <w:tc>
          <w:tcPr>
            <w:tcW w:w="816" w:type="dxa"/>
            <w:tcBorders>
              <w:tl2br w:val="nil"/>
              <w:tr2bl w:val="nil"/>
            </w:tcBorders>
            <w:shd w:val="clear" w:color="auto" w:fill="auto"/>
            <w:vAlign w:val="center"/>
          </w:tcPr>
          <w:p w14:paraId="5DD1FB9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233A1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03B615F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F8450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628C1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130 </w:t>
            </w:r>
          </w:p>
        </w:tc>
        <w:tc>
          <w:tcPr>
            <w:tcW w:w="1166" w:type="dxa"/>
            <w:tcBorders>
              <w:tl2br w:val="nil"/>
              <w:tr2bl w:val="nil"/>
            </w:tcBorders>
            <w:shd w:val="clear" w:color="auto" w:fill="auto"/>
            <w:vAlign w:val="center"/>
          </w:tcPr>
          <w:p w14:paraId="2352E8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蛙发育顺序标本</w:t>
            </w:r>
          </w:p>
        </w:tc>
        <w:tc>
          <w:tcPr>
            <w:tcW w:w="8573" w:type="dxa"/>
            <w:tcBorders>
              <w:tl2br w:val="nil"/>
              <w:tr2bl w:val="nil"/>
            </w:tcBorders>
            <w:shd w:val="clear" w:color="auto" w:fill="auto"/>
            <w:vAlign w:val="center"/>
          </w:tcPr>
          <w:p w14:paraId="71EF4B1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浸制 c或包埋</w:t>
            </w:r>
          </w:p>
        </w:tc>
        <w:tc>
          <w:tcPr>
            <w:tcW w:w="816" w:type="dxa"/>
            <w:tcBorders>
              <w:tl2br w:val="nil"/>
              <w:tr2bl w:val="nil"/>
            </w:tcBorders>
            <w:shd w:val="clear" w:color="auto" w:fill="auto"/>
            <w:vAlign w:val="center"/>
          </w:tcPr>
          <w:p w14:paraId="26C928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16BF2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瓶/块</w:t>
            </w:r>
          </w:p>
        </w:tc>
        <w:tc>
          <w:tcPr>
            <w:tcW w:w="2796" w:type="dxa"/>
            <w:tcBorders>
              <w:tl2br w:val="nil"/>
              <w:tr2bl w:val="nil"/>
            </w:tcBorders>
            <w:shd w:val="clear" w:color="auto" w:fill="auto"/>
            <w:vAlign w:val="center"/>
          </w:tcPr>
          <w:p w14:paraId="46E390C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5BA2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61021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131 </w:t>
            </w:r>
          </w:p>
        </w:tc>
        <w:tc>
          <w:tcPr>
            <w:tcW w:w="1166" w:type="dxa"/>
            <w:tcBorders>
              <w:tl2br w:val="nil"/>
              <w:tr2bl w:val="nil"/>
            </w:tcBorders>
            <w:shd w:val="clear" w:color="auto" w:fill="auto"/>
            <w:vAlign w:val="center"/>
          </w:tcPr>
          <w:p w14:paraId="76096D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正常人染色体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装片</w:t>
            </w:r>
          </w:p>
        </w:tc>
        <w:tc>
          <w:tcPr>
            <w:tcW w:w="8573" w:type="dxa"/>
            <w:tcBorders>
              <w:tl2br w:val="nil"/>
              <w:tr2bl w:val="nil"/>
            </w:tcBorders>
            <w:shd w:val="clear" w:color="auto" w:fill="auto"/>
            <w:vAlign w:val="center"/>
          </w:tcPr>
          <w:p w14:paraId="0A88568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多重染色</w:t>
            </w:r>
          </w:p>
        </w:tc>
        <w:tc>
          <w:tcPr>
            <w:tcW w:w="816" w:type="dxa"/>
            <w:tcBorders>
              <w:tl2br w:val="nil"/>
              <w:tr2bl w:val="nil"/>
            </w:tcBorders>
            <w:shd w:val="clear" w:color="auto" w:fill="auto"/>
            <w:vAlign w:val="center"/>
          </w:tcPr>
          <w:p w14:paraId="3FD3177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0249F3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776633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081FE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D20E8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132 </w:t>
            </w:r>
          </w:p>
        </w:tc>
        <w:tc>
          <w:tcPr>
            <w:tcW w:w="1166" w:type="dxa"/>
            <w:tcBorders>
              <w:tl2br w:val="nil"/>
              <w:tr2bl w:val="nil"/>
            </w:tcBorders>
            <w:shd w:val="clear" w:color="auto" w:fill="auto"/>
            <w:vAlign w:val="center"/>
          </w:tcPr>
          <w:p w14:paraId="645F3F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蛔虫标本</w:t>
            </w:r>
          </w:p>
        </w:tc>
        <w:tc>
          <w:tcPr>
            <w:tcW w:w="8573" w:type="dxa"/>
            <w:tcBorders>
              <w:tl2br w:val="nil"/>
              <w:tr2bl w:val="nil"/>
            </w:tcBorders>
            <w:shd w:val="clear" w:color="auto" w:fill="auto"/>
            <w:vAlign w:val="center"/>
          </w:tcPr>
          <w:p w14:paraId="73D98CB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雌、 雄各一条，浸制 c或包埋</w:t>
            </w:r>
          </w:p>
        </w:tc>
        <w:tc>
          <w:tcPr>
            <w:tcW w:w="816" w:type="dxa"/>
            <w:tcBorders>
              <w:tl2br w:val="nil"/>
              <w:tr2bl w:val="nil"/>
            </w:tcBorders>
            <w:shd w:val="clear" w:color="auto" w:fill="auto"/>
            <w:vAlign w:val="center"/>
          </w:tcPr>
          <w:p w14:paraId="585F36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414ED4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瓶/块</w:t>
            </w:r>
          </w:p>
        </w:tc>
        <w:tc>
          <w:tcPr>
            <w:tcW w:w="2796" w:type="dxa"/>
            <w:tcBorders>
              <w:tl2br w:val="nil"/>
              <w:tr2bl w:val="nil"/>
            </w:tcBorders>
            <w:shd w:val="clear" w:color="auto" w:fill="auto"/>
            <w:vAlign w:val="center"/>
          </w:tcPr>
          <w:p w14:paraId="27C212D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312846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5EBC50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133 </w:t>
            </w:r>
          </w:p>
        </w:tc>
        <w:tc>
          <w:tcPr>
            <w:tcW w:w="1166" w:type="dxa"/>
            <w:tcBorders>
              <w:tl2br w:val="nil"/>
              <w:tr2bl w:val="nil"/>
            </w:tcBorders>
            <w:shd w:val="clear" w:color="auto" w:fill="auto"/>
            <w:vAlign w:val="center"/>
          </w:tcPr>
          <w:p w14:paraId="021CA2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节肢动物标本</w:t>
            </w:r>
          </w:p>
        </w:tc>
        <w:tc>
          <w:tcPr>
            <w:tcW w:w="8573" w:type="dxa"/>
            <w:tcBorders>
              <w:tl2br w:val="nil"/>
              <w:tr2bl w:val="nil"/>
            </w:tcBorders>
            <w:shd w:val="clear" w:color="auto" w:fill="auto"/>
            <w:vAlign w:val="center"/>
          </w:tcPr>
          <w:p w14:paraId="1182462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常见六种以上，干制或包埋</w:t>
            </w:r>
          </w:p>
        </w:tc>
        <w:tc>
          <w:tcPr>
            <w:tcW w:w="816" w:type="dxa"/>
            <w:tcBorders>
              <w:tl2br w:val="nil"/>
              <w:tr2bl w:val="nil"/>
            </w:tcBorders>
            <w:shd w:val="clear" w:color="auto" w:fill="auto"/>
            <w:vAlign w:val="center"/>
          </w:tcPr>
          <w:p w14:paraId="238E7B0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4EABE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3CE5084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3596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96BF1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134 </w:t>
            </w:r>
          </w:p>
        </w:tc>
        <w:tc>
          <w:tcPr>
            <w:tcW w:w="1166" w:type="dxa"/>
            <w:tcBorders>
              <w:tl2br w:val="nil"/>
              <w:tr2bl w:val="nil"/>
            </w:tcBorders>
            <w:shd w:val="clear" w:color="auto" w:fill="auto"/>
            <w:vAlign w:val="center"/>
          </w:tcPr>
          <w:p w14:paraId="5A12C3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昆虫标本</w:t>
            </w:r>
          </w:p>
        </w:tc>
        <w:tc>
          <w:tcPr>
            <w:tcW w:w="8573" w:type="dxa"/>
            <w:tcBorders>
              <w:tl2br w:val="nil"/>
              <w:tr2bl w:val="nil"/>
            </w:tcBorders>
            <w:shd w:val="clear" w:color="auto" w:fill="auto"/>
            <w:vAlign w:val="center"/>
          </w:tcPr>
          <w:p w14:paraId="48CE098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常见六种以上，干制或包埋</w:t>
            </w:r>
          </w:p>
        </w:tc>
        <w:tc>
          <w:tcPr>
            <w:tcW w:w="816" w:type="dxa"/>
            <w:tcBorders>
              <w:tl2br w:val="nil"/>
              <w:tr2bl w:val="nil"/>
            </w:tcBorders>
            <w:shd w:val="clear" w:color="auto" w:fill="auto"/>
            <w:vAlign w:val="center"/>
          </w:tcPr>
          <w:p w14:paraId="6C441F6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30C3E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盒/块</w:t>
            </w:r>
          </w:p>
        </w:tc>
        <w:tc>
          <w:tcPr>
            <w:tcW w:w="2796" w:type="dxa"/>
            <w:tcBorders>
              <w:tl2br w:val="nil"/>
              <w:tr2bl w:val="nil"/>
            </w:tcBorders>
            <w:shd w:val="clear" w:color="auto" w:fill="auto"/>
            <w:vAlign w:val="center"/>
          </w:tcPr>
          <w:p w14:paraId="25916C5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4A2488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4BEC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135 </w:t>
            </w:r>
          </w:p>
        </w:tc>
        <w:tc>
          <w:tcPr>
            <w:tcW w:w="1166" w:type="dxa"/>
            <w:tcBorders>
              <w:tl2br w:val="nil"/>
              <w:tr2bl w:val="nil"/>
            </w:tcBorders>
            <w:shd w:val="clear" w:color="auto" w:fill="auto"/>
            <w:vAlign w:val="center"/>
          </w:tcPr>
          <w:p w14:paraId="5D90FB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细菌三型涂片</w:t>
            </w:r>
          </w:p>
        </w:tc>
        <w:tc>
          <w:tcPr>
            <w:tcW w:w="8573" w:type="dxa"/>
            <w:tcBorders>
              <w:tl2br w:val="nil"/>
              <w:tr2bl w:val="nil"/>
            </w:tcBorders>
            <w:shd w:val="clear" w:color="auto" w:fill="auto"/>
            <w:vAlign w:val="center"/>
          </w:tcPr>
          <w:p w14:paraId="234778D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示球菌、杆菌、螺旋菌三种形态</w:t>
            </w:r>
          </w:p>
        </w:tc>
        <w:tc>
          <w:tcPr>
            <w:tcW w:w="816" w:type="dxa"/>
            <w:tcBorders>
              <w:tl2br w:val="nil"/>
              <w:tr2bl w:val="nil"/>
            </w:tcBorders>
            <w:shd w:val="clear" w:color="auto" w:fill="auto"/>
            <w:vAlign w:val="center"/>
          </w:tcPr>
          <w:p w14:paraId="524DDE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52123E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321504F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0C4F0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4A3C1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136 </w:t>
            </w:r>
          </w:p>
        </w:tc>
        <w:tc>
          <w:tcPr>
            <w:tcW w:w="1166" w:type="dxa"/>
            <w:tcBorders>
              <w:tl2br w:val="nil"/>
              <w:tr2bl w:val="nil"/>
            </w:tcBorders>
            <w:shd w:val="clear" w:color="auto" w:fill="auto"/>
            <w:vAlign w:val="center"/>
          </w:tcPr>
          <w:p w14:paraId="758E59C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酵母菌装片</w:t>
            </w:r>
          </w:p>
        </w:tc>
        <w:tc>
          <w:tcPr>
            <w:tcW w:w="8573" w:type="dxa"/>
            <w:tcBorders>
              <w:tl2br w:val="nil"/>
              <w:tr2bl w:val="nil"/>
            </w:tcBorders>
            <w:shd w:val="clear" w:color="auto" w:fill="auto"/>
            <w:vAlign w:val="center"/>
          </w:tcPr>
          <w:p w14:paraId="646BBB2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应能看清细胞壁、细胞核、细胞质、液泡和细胞膜等结构，可见芽体</w:t>
            </w:r>
          </w:p>
        </w:tc>
        <w:tc>
          <w:tcPr>
            <w:tcW w:w="816" w:type="dxa"/>
            <w:tcBorders>
              <w:tl2br w:val="nil"/>
              <w:tr2bl w:val="nil"/>
            </w:tcBorders>
            <w:shd w:val="clear" w:color="auto" w:fill="auto"/>
            <w:vAlign w:val="center"/>
          </w:tcPr>
          <w:p w14:paraId="73E3A3B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1263276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451E01B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155872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D9EFD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137 </w:t>
            </w:r>
          </w:p>
        </w:tc>
        <w:tc>
          <w:tcPr>
            <w:tcW w:w="1166" w:type="dxa"/>
            <w:tcBorders>
              <w:tl2br w:val="nil"/>
              <w:tr2bl w:val="nil"/>
            </w:tcBorders>
            <w:shd w:val="clear" w:color="auto" w:fill="auto"/>
            <w:vAlign w:val="center"/>
          </w:tcPr>
          <w:p w14:paraId="7BB43A0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青霉装片</w:t>
            </w:r>
          </w:p>
        </w:tc>
        <w:tc>
          <w:tcPr>
            <w:tcW w:w="8573" w:type="dxa"/>
            <w:tcBorders>
              <w:tl2br w:val="nil"/>
              <w:tr2bl w:val="nil"/>
            </w:tcBorders>
            <w:shd w:val="clear" w:color="auto" w:fill="auto"/>
            <w:vAlign w:val="center"/>
          </w:tcPr>
          <w:p w14:paraId="33068EF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应能看清分生孢子梗和顶端的扫帚枝，菌丝、孢子梗、孢子应无收缩</w:t>
            </w:r>
          </w:p>
        </w:tc>
        <w:tc>
          <w:tcPr>
            <w:tcW w:w="816" w:type="dxa"/>
            <w:tcBorders>
              <w:tl2br w:val="nil"/>
              <w:tr2bl w:val="nil"/>
            </w:tcBorders>
            <w:shd w:val="clear" w:color="auto" w:fill="auto"/>
            <w:vAlign w:val="center"/>
          </w:tcPr>
          <w:p w14:paraId="106584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2A7CEB2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64F83B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29BE67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B6CEB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138 </w:t>
            </w:r>
          </w:p>
        </w:tc>
        <w:tc>
          <w:tcPr>
            <w:tcW w:w="1166" w:type="dxa"/>
            <w:tcBorders>
              <w:tl2br w:val="nil"/>
              <w:tr2bl w:val="nil"/>
            </w:tcBorders>
            <w:shd w:val="clear" w:color="auto" w:fill="auto"/>
            <w:vAlign w:val="center"/>
          </w:tcPr>
          <w:p w14:paraId="623A44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曲霉装片</w:t>
            </w:r>
          </w:p>
        </w:tc>
        <w:tc>
          <w:tcPr>
            <w:tcW w:w="8573" w:type="dxa"/>
            <w:tcBorders>
              <w:tl2br w:val="nil"/>
              <w:tr2bl w:val="nil"/>
            </w:tcBorders>
            <w:shd w:val="clear" w:color="auto" w:fill="auto"/>
            <w:vAlign w:val="center"/>
          </w:tcPr>
          <w:p w14:paraId="033C82C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应能看清营养菌丝及其上的分生孢子梗、顶囊和顶端的分生孢子</w:t>
            </w:r>
          </w:p>
        </w:tc>
        <w:tc>
          <w:tcPr>
            <w:tcW w:w="816" w:type="dxa"/>
            <w:tcBorders>
              <w:tl2br w:val="nil"/>
              <w:tr2bl w:val="nil"/>
            </w:tcBorders>
            <w:shd w:val="clear" w:color="auto" w:fill="auto"/>
            <w:vAlign w:val="center"/>
          </w:tcPr>
          <w:p w14:paraId="27A259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60</w:t>
            </w:r>
          </w:p>
        </w:tc>
        <w:tc>
          <w:tcPr>
            <w:tcW w:w="498" w:type="dxa"/>
            <w:tcBorders>
              <w:tl2br w:val="nil"/>
              <w:tr2bl w:val="nil"/>
            </w:tcBorders>
            <w:shd w:val="clear" w:color="auto" w:fill="auto"/>
            <w:vAlign w:val="center"/>
          </w:tcPr>
          <w:p w14:paraId="6B8F274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片</w:t>
            </w:r>
          </w:p>
        </w:tc>
        <w:tc>
          <w:tcPr>
            <w:tcW w:w="2796" w:type="dxa"/>
            <w:tcBorders>
              <w:tl2br w:val="nil"/>
              <w:tr2bl w:val="nil"/>
            </w:tcBorders>
            <w:shd w:val="clear" w:color="auto" w:fill="auto"/>
            <w:vAlign w:val="center"/>
          </w:tcPr>
          <w:p w14:paraId="0593F2E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p>
        </w:tc>
      </w:tr>
      <w:tr w14:paraId="625B63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7A524A9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cs="宋体"/>
                <w:b/>
                <w:bCs/>
                <w:color w:val="auto"/>
                <w:kern w:val="2"/>
                <w:sz w:val="30"/>
                <w:szCs w:val="20"/>
                <w:lang w:val="en-US" w:eastAsia="zh-CN" w:bidi="ar-SA"/>
              </w:rPr>
              <w:t>8.</w:t>
            </w:r>
            <w:r>
              <w:rPr>
                <w:rFonts w:hint="eastAsia" w:ascii="宋体" w:hAnsi="宋体" w:eastAsia="宋体" w:cs="宋体"/>
                <w:b/>
                <w:bCs/>
                <w:color w:val="auto"/>
                <w:kern w:val="2"/>
                <w:sz w:val="30"/>
                <w:szCs w:val="20"/>
                <w:lang w:val="en-US" w:eastAsia="zh-CN" w:bidi="ar-SA"/>
              </w:rPr>
              <w:t>地理实验室</w:t>
            </w:r>
          </w:p>
        </w:tc>
      </w:tr>
      <w:tr w14:paraId="20D6CA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B2771F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 </w:t>
            </w:r>
          </w:p>
        </w:tc>
        <w:tc>
          <w:tcPr>
            <w:tcW w:w="1166" w:type="dxa"/>
            <w:tcBorders>
              <w:tl2br w:val="nil"/>
              <w:tr2bl w:val="nil"/>
            </w:tcBorders>
            <w:shd w:val="clear" w:color="auto" w:fill="auto"/>
            <w:vAlign w:val="center"/>
          </w:tcPr>
          <w:p w14:paraId="74DFCD4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教师演示台</w:t>
            </w:r>
          </w:p>
        </w:tc>
        <w:tc>
          <w:tcPr>
            <w:tcW w:w="8573" w:type="dxa"/>
            <w:tcBorders>
              <w:tl2br w:val="nil"/>
              <w:tr2bl w:val="nil"/>
            </w:tcBorders>
            <w:shd w:val="clear" w:color="auto" w:fill="auto"/>
            <w:vAlign w:val="center"/>
          </w:tcPr>
          <w:p w14:paraId="3C835BB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2.台面：采用≥12.7mm厚双面理化膜实芯理化板。台面需倒圆边，经机械打磨，表面光滑平整，需具有耐强酸碱、防腐蚀、防静电、耐辐射、耐磨、抗污染、易清洁、耐冲击、耐高温、防水、防火等特点。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3.桌架：采用一级无缝镀锌钢管, 立脚≥38*38*1.2mm、拉档≥20*30*1.2mm，表面经过十道防锈前处理,,喷雾式自动喷涂。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4.柜体：采用≥18mm厚三聚氰胺防潮双贴面板，(基板为E1级环保板)，板材所有截面（厚度≥1MM）PVC机器封边。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5.五金配件：采用304不锈钢拉手、铰链、三节导轨等。</w:t>
            </w:r>
          </w:p>
        </w:tc>
        <w:tc>
          <w:tcPr>
            <w:tcW w:w="816" w:type="dxa"/>
            <w:tcBorders>
              <w:tl2br w:val="nil"/>
              <w:tr2bl w:val="nil"/>
            </w:tcBorders>
            <w:shd w:val="clear" w:color="auto" w:fill="auto"/>
            <w:vAlign w:val="center"/>
          </w:tcPr>
          <w:p w14:paraId="6F18054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6CDC8C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738CC596">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362075" cy="819150"/>
                  <wp:effectExtent l="0" t="0" r="9525" b="0"/>
                  <wp:docPr id="1"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IMG_256"/>
                          <pic:cNvPicPr>
                            <a:picLocks noChangeAspect="1"/>
                          </pic:cNvPicPr>
                        </pic:nvPicPr>
                        <pic:blipFill>
                          <a:blip r:embed="rId18"/>
                          <a:stretch>
                            <a:fillRect/>
                          </a:stretch>
                        </pic:blipFill>
                        <pic:spPr>
                          <a:xfrm>
                            <a:off x="0" y="0"/>
                            <a:ext cx="1362075" cy="819150"/>
                          </a:xfrm>
                          <a:prstGeom prst="rect">
                            <a:avLst/>
                          </a:prstGeom>
                          <a:noFill/>
                          <a:ln w="9525">
                            <a:noFill/>
                          </a:ln>
                        </pic:spPr>
                      </pic:pic>
                    </a:graphicData>
                  </a:graphic>
                </wp:inline>
              </w:drawing>
            </w:r>
          </w:p>
        </w:tc>
      </w:tr>
      <w:tr w14:paraId="2BBC1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6500E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2 </w:t>
            </w:r>
          </w:p>
        </w:tc>
        <w:tc>
          <w:tcPr>
            <w:tcW w:w="1166" w:type="dxa"/>
            <w:tcBorders>
              <w:tl2br w:val="nil"/>
              <w:tr2bl w:val="nil"/>
            </w:tcBorders>
            <w:shd w:val="clear" w:color="auto" w:fill="auto"/>
            <w:vAlign w:val="center"/>
          </w:tcPr>
          <w:p w14:paraId="63DA555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六边型学生实验桌</w:t>
            </w:r>
          </w:p>
        </w:tc>
        <w:tc>
          <w:tcPr>
            <w:tcW w:w="8573" w:type="dxa"/>
            <w:tcBorders>
              <w:tl2br w:val="nil"/>
              <w:tr2bl w:val="nil"/>
            </w:tcBorders>
            <w:shd w:val="clear" w:color="auto" w:fill="auto"/>
            <w:vAlign w:val="center"/>
          </w:tcPr>
          <w:p w14:paraId="58B48469">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1.规格：≥1400*1212*780mm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2.台面：采用12.7mm厚双面膜实芯理化板台面，表面具备合理的耐酸碱性能、耐冲击、韧性强等特点。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身框架：采用符合国家标准的立柱为双层圆管铝合金，截面直径≥50mm，外层壁厚≥1.2㎜。横档≥1.2mm厚方形铝合金，，管外件经细纹加工，美观、大方；型材表面经高压静电喷涂环氧树脂防护层，耐酸碱耐腐蚀处理，其保护层附着力经落物撞击测试合格。连接件采用ABS材料模具成型制作，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4.桌身内衬板：基材采用优质三聚氰胺防潮双贴面板，(基板为E1级环保板)；板材所有截面优质PVC机器封边，粘力强、密封性好、外形美观、经久耐用。组装接缝严密，连接牢固，无松动现象。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5.采用ABS工程塑料模具成型制作而成，具有高度可调、耐磨、防潮、耐腐蚀等特点。</w:t>
            </w:r>
          </w:p>
        </w:tc>
        <w:tc>
          <w:tcPr>
            <w:tcW w:w="816" w:type="dxa"/>
            <w:tcBorders>
              <w:tl2br w:val="nil"/>
              <w:tr2bl w:val="nil"/>
            </w:tcBorders>
            <w:shd w:val="clear" w:color="auto" w:fill="auto"/>
            <w:vAlign w:val="center"/>
          </w:tcPr>
          <w:p w14:paraId="5F0D391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3A1E080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095C8EF5">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371600" cy="952500"/>
                  <wp:effectExtent l="0" t="0" r="0" b="0"/>
                  <wp:docPr id="3" name="图片 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descr="IMG_257"/>
                          <pic:cNvPicPr>
                            <a:picLocks noChangeAspect="1"/>
                          </pic:cNvPicPr>
                        </pic:nvPicPr>
                        <pic:blipFill>
                          <a:blip r:embed="rId19"/>
                          <a:stretch>
                            <a:fillRect/>
                          </a:stretch>
                        </pic:blipFill>
                        <pic:spPr>
                          <a:xfrm>
                            <a:off x="0" y="0"/>
                            <a:ext cx="1371600" cy="952500"/>
                          </a:xfrm>
                          <a:prstGeom prst="rect">
                            <a:avLst/>
                          </a:prstGeom>
                          <a:noFill/>
                          <a:ln w="9525">
                            <a:noFill/>
                          </a:ln>
                        </pic:spPr>
                      </pic:pic>
                    </a:graphicData>
                  </a:graphic>
                </wp:inline>
              </w:drawing>
            </w:r>
          </w:p>
        </w:tc>
      </w:tr>
      <w:tr w14:paraId="0F0444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8BFF3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3 </w:t>
            </w:r>
          </w:p>
        </w:tc>
        <w:tc>
          <w:tcPr>
            <w:tcW w:w="1166" w:type="dxa"/>
            <w:tcBorders>
              <w:tl2br w:val="nil"/>
              <w:tr2bl w:val="nil"/>
            </w:tcBorders>
            <w:shd w:val="clear" w:color="auto" w:fill="auto"/>
            <w:vAlign w:val="center"/>
          </w:tcPr>
          <w:p w14:paraId="3D83AA0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悬挂凳</w:t>
            </w:r>
          </w:p>
        </w:tc>
        <w:tc>
          <w:tcPr>
            <w:tcW w:w="8573" w:type="dxa"/>
            <w:tcBorders>
              <w:tl2br w:val="nil"/>
              <w:tr2bl w:val="nil"/>
            </w:tcBorders>
            <w:shd w:val="clear" w:color="auto" w:fill="auto"/>
            <w:vAlign w:val="center"/>
          </w:tcPr>
          <w:p w14:paraId="31C1F9A6">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优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816" w:type="dxa"/>
            <w:tcBorders>
              <w:tl2br w:val="nil"/>
              <w:tr2bl w:val="nil"/>
            </w:tcBorders>
            <w:shd w:val="clear" w:color="auto" w:fill="auto"/>
            <w:vAlign w:val="center"/>
          </w:tcPr>
          <w:p w14:paraId="5F1E595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48</w:t>
            </w:r>
          </w:p>
        </w:tc>
        <w:tc>
          <w:tcPr>
            <w:tcW w:w="498" w:type="dxa"/>
            <w:tcBorders>
              <w:tl2br w:val="nil"/>
              <w:tr2bl w:val="nil"/>
            </w:tcBorders>
            <w:shd w:val="clear" w:color="auto" w:fill="auto"/>
            <w:vAlign w:val="center"/>
          </w:tcPr>
          <w:p w14:paraId="0C2A7CA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840BF3A">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742950" cy="952500"/>
                  <wp:effectExtent l="0" t="0" r="0" b="0"/>
                  <wp:docPr id="7" name="图片 1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descr="IMG_258"/>
                          <pic:cNvPicPr>
                            <a:picLocks noChangeAspect="1"/>
                          </pic:cNvPicPr>
                        </pic:nvPicPr>
                        <pic:blipFill>
                          <a:blip r:embed="rId20"/>
                          <a:stretch>
                            <a:fillRect/>
                          </a:stretch>
                        </pic:blipFill>
                        <pic:spPr>
                          <a:xfrm>
                            <a:off x="0" y="0"/>
                            <a:ext cx="742950" cy="952500"/>
                          </a:xfrm>
                          <a:prstGeom prst="rect">
                            <a:avLst/>
                          </a:prstGeom>
                          <a:noFill/>
                          <a:ln w="9525">
                            <a:noFill/>
                          </a:ln>
                        </pic:spPr>
                      </pic:pic>
                    </a:graphicData>
                  </a:graphic>
                </wp:inline>
              </w:drawing>
            </w:r>
          </w:p>
        </w:tc>
      </w:tr>
      <w:tr w14:paraId="53D292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C6132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4 </w:t>
            </w:r>
          </w:p>
        </w:tc>
        <w:tc>
          <w:tcPr>
            <w:tcW w:w="1166" w:type="dxa"/>
            <w:tcBorders>
              <w:tl2br w:val="nil"/>
              <w:tr2bl w:val="nil"/>
            </w:tcBorders>
            <w:shd w:val="clear" w:color="auto" w:fill="auto"/>
            <w:vAlign w:val="center"/>
          </w:tcPr>
          <w:p w14:paraId="5D3D728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模型柜</w:t>
            </w:r>
          </w:p>
        </w:tc>
        <w:tc>
          <w:tcPr>
            <w:tcW w:w="8573" w:type="dxa"/>
            <w:tcBorders>
              <w:tl2br w:val="nil"/>
              <w:tr2bl w:val="nil"/>
            </w:tcBorders>
            <w:shd w:val="clear" w:color="auto" w:fill="auto"/>
            <w:vAlign w:val="center"/>
          </w:tcPr>
          <w:p w14:paraId="2D083AB1">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1、规格：≥800*500*900mm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（上柜：≥800*500*450mm，下柜：≥800*500*450mm）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2、材质：下部为双开门柜子，金属拉手，超静音铰链，柜子内部隔板为可移动式，便于存放大件模型；上部为铝合金玻璃罩，配钢化玻璃</w:t>
            </w:r>
          </w:p>
        </w:tc>
        <w:tc>
          <w:tcPr>
            <w:tcW w:w="816" w:type="dxa"/>
            <w:tcBorders>
              <w:tl2br w:val="nil"/>
              <w:tr2bl w:val="nil"/>
            </w:tcBorders>
            <w:shd w:val="clear" w:color="auto" w:fill="auto"/>
            <w:vAlign w:val="center"/>
          </w:tcPr>
          <w:p w14:paraId="2BB97F9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0C6D5F1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center"/>
          </w:tcPr>
          <w:p w14:paraId="1C3E5591">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231140</wp:posOffset>
                  </wp:positionH>
                  <wp:positionV relativeFrom="paragraph">
                    <wp:posOffset>6350</wp:posOffset>
                  </wp:positionV>
                  <wp:extent cx="652145" cy="742950"/>
                  <wp:effectExtent l="0" t="0" r="14605" b="0"/>
                  <wp:wrapSquare wrapText="bothSides"/>
                  <wp:docPr id="8" name="ID_4E25FE5293534FA2B75A0742F288F4FA"/>
                  <wp:cNvGraphicFramePr/>
                  <a:graphic xmlns:a="http://schemas.openxmlformats.org/drawingml/2006/main">
                    <a:graphicData uri="http://schemas.openxmlformats.org/drawingml/2006/picture">
                      <pic:pic xmlns:pic="http://schemas.openxmlformats.org/drawingml/2006/picture">
                        <pic:nvPicPr>
                          <pic:cNvPr id="8" name="ID_4E25FE5293534FA2B75A0742F288F4FA"/>
                          <pic:cNvPicPr/>
                        </pic:nvPicPr>
                        <pic:blipFill>
                          <a:blip r:embed="rId21"/>
                          <a:stretch>
                            <a:fillRect/>
                          </a:stretch>
                        </pic:blipFill>
                        <pic:spPr>
                          <a:xfrm>
                            <a:off x="0" y="0"/>
                            <a:ext cx="652145" cy="742950"/>
                          </a:xfrm>
                          <a:prstGeom prst="rect">
                            <a:avLst/>
                          </a:prstGeom>
                          <a:noFill/>
                          <a:ln>
                            <a:noFill/>
                          </a:ln>
                        </pic:spPr>
                      </pic:pic>
                    </a:graphicData>
                  </a:graphic>
                </wp:anchor>
              </w:drawing>
            </w:r>
          </w:p>
        </w:tc>
      </w:tr>
      <w:tr w14:paraId="0A7791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23CDE4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5 </w:t>
            </w:r>
          </w:p>
        </w:tc>
        <w:tc>
          <w:tcPr>
            <w:tcW w:w="1166" w:type="dxa"/>
            <w:tcBorders>
              <w:tl2br w:val="nil"/>
              <w:tr2bl w:val="nil"/>
            </w:tcBorders>
            <w:shd w:val="clear" w:color="auto" w:fill="auto"/>
            <w:vAlign w:val="center"/>
          </w:tcPr>
          <w:p w14:paraId="68F27A6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平面政区地球仪</w:t>
            </w:r>
          </w:p>
        </w:tc>
        <w:tc>
          <w:tcPr>
            <w:tcW w:w="8573" w:type="dxa"/>
            <w:tcBorders>
              <w:tl2br w:val="nil"/>
              <w:tr2bl w:val="nil"/>
            </w:tcBorders>
            <w:shd w:val="clear" w:color="auto" w:fill="auto"/>
            <w:vAlign w:val="center"/>
          </w:tcPr>
          <w:p w14:paraId="1BF979EA">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≥Φ32cm （1：4000万）</w:t>
            </w:r>
          </w:p>
        </w:tc>
        <w:tc>
          <w:tcPr>
            <w:tcW w:w="816" w:type="dxa"/>
            <w:tcBorders>
              <w:tl2br w:val="nil"/>
              <w:tr2bl w:val="nil"/>
            </w:tcBorders>
            <w:shd w:val="clear" w:color="auto" w:fill="auto"/>
            <w:vAlign w:val="center"/>
          </w:tcPr>
          <w:p w14:paraId="5F767A3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3AE0B2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3C6F1E7C">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19150" cy="933450"/>
                  <wp:effectExtent l="0" t="0" r="0" b="0"/>
                  <wp:docPr id="9" name="图片 1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descr="IMG_259"/>
                          <pic:cNvPicPr>
                            <a:picLocks noChangeAspect="1"/>
                          </pic:cNvPicPr>
                        </pic:nvPicPr>
                        <pic:blipFill>
                          <a:blip r:embed="rId22"/>
                          <a:stretch>
                            <a:fillRect/>
                          </a:stretch>
                        </pic:blipFill>
                        <pic:spPr>
                          <a:xfrm>
                            <a:off x="0" y="0"/>
                            <a:ext cx="819150" cy="933450"/>
                          </a:xfrm>
                          <a:prstGeom prst="rect">
                            <a:avLst/>
                          </a:prstGeom>
                          <a:noFill/>
                          <a:ln w="9525">
                            <a:noFill/>
                          </a:ln>
                        </pic:spPr>
                      </pic:pic>
                    </a:graphicData>
                  </a:graphic>
                </wp:inline>
              </w:drawing>
            </w:r>
          </w:p>
        </w:tc>
      </w:tr>
      <w:tr w14:paraId="62B3D0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86" w:type="dxa"/>
            <w:tcBorders>
              <w:tl2br w:val="nil"/>
              <w:tr2bl w:val="nil"/>
            </w:tcBorders>
            <w:shd w:val="clear" w:color="auto" w:fill="auto"/>
            <w:vAlign w:val="center"/>
          </w:tcPr>
          <w:p w14:paraId="7A89237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6 </w:t>
            </w:r>
          </w:p>
        </w:tc>
        <w:tc>
          <w:tcPr>
            <w:tcW w:w="1166" w:type="dxa"/>
            <w:tcBorders>
              <w:tl2br w:val="nil"/>
              <w:tr2bl w:val="nil"/>
            </w:tcBorders>
            <w:shd w:val="clear" w:color="auto" w:fill="auto"/>
            <w:vAlign w:val="center"/>
          </w:tcPr>
          <w:p w14:paraId="178E5F4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平面地形地球仪</w:t>
            </w:r>
          </w:p>
        </w:tc>
        <w:tc>
          <w:tcPr>
            <w:tcW w:w="8573" w:type="dxa"/>
            <w:tcBorders>
              <w:tl2br w:val="nil"/>
              <w:tr2bl w:val="nil"/>
            </w:tcBorders>
            <w:shd w:val="clear" w:color="auto" w:fill="auto"/>
            <w:vAlign w:val="center"/>
          </w:tcPr>
          <w:p w14:paraId="766A6AA0">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≥Φ32cm（1：4000万）</w:t>
            </w:r>
          </w:p>
        </w:tc>
        <w:tc>
          <w:tcPr>
            <w:tcW w:w="816" w:type="dxa"/>
            <w:tcBorders>
              <w:tl2br w:val="nil"/>
              <w:tr2bl w:val="nil"/>
            </w:tcBorders>
            <w:shd w:val="clear" w:color="auto" w:fill="auto"/>
            <w:vAlign w:val="center"/>
          </w:tcPr>
          <w:p w14:paraId="6F59E7D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D0486A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0C13A8A">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19150" cy="933450"/>
                  <wp:effectExtent l="0" t="0" r="0" b="0"/>
                  <wp:docPr id="10" name="图片 1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descr="IMG_260"/>
                          <pic:cNvPicPr>
                            <a:picLocks noChangeAspect="1"/>
                          </pic:cNvPicPr>
                        </pic:nvPicPr>
                        <pic:blipFill>
                          <a:blip r:embed="rId22"/>
                          <a:stretch>
                            <a:fillRect/>
                          </a:stretch>
                        </pic:blipFill>
                        <pic:spPr>
                          <a:xfrm>
                            <a:off x="0" y="0"/>
                            <a:ext cx="819150" cy="933450"/>
                          </a:xfrm>
                          <a:prstGeom prst="rect">
                            <a:avLst/>
                          </a:prstGeom>
                          <a:noFill/>
                          <a:ln w="9525">
                            <a:noFill/>
                          </a:ln>
                        </pic:spPr>
                      </pic:pic>
                    </a:graphicData>
                  </a:graphic>
                </wp:inline>
              </w:drawing>
            </w:r>
          </w:p>
        </w:tc>
      </w:tr>
      <w:tr w14:paraId="3186B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96025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7 </w:t>
            </w:r>
          </w:p>
        </w:tc>
        <w:tc>
          <w:tcPr>
            <w:tcW w:w="1166" w:type="dxa"/>
            <w:tcBorders>
              <w:tl2br w:val="nil"/>
              <w:tr2bl w:val="nil"/>
            </w:tcBorders>
            <w:shd w:val="clear" w:color="auto" w:fill="auto"/>
            <w:vAlign w:val="center"/>
          </w:tcPr>
          <w:p w14:paraId="488E290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地质构造地貌模型</w:t>
            </w:r>
          </w:p>
        </w:tc>
        <w:tc>
          <w:tcPr>
            <w:tcW w:w="8573" w:type="dxa"/>
            <w:tcBorders>
              <w:tl2br w:val="nil"/>
              <w:tr2bl w:val="nil"/>
            </w:tcBorders>
            <w:shd w:val="clear" w:color="auto" w:fill="auto"/>
            <w:vAlign w:val="center"/>
          </w:tcPr>
          <w:p w14:paraId="60B04D51">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高分子材料,以有色无机物为填充料,阻燃性好,采用多层网状玻璃纤维布,一次性高压成形,平均厚度5mm以上。具有密度高、强度高、收缩性好,不易龟裂变形。表面使用进口烤漆,不易褪色。教学元素：断层带陡崖、地垒山、地堑谷、背斜山、向斜谷逆向地貌的向斜成山，背斜成谷。断块山、单面山、断层、一线天。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5B18885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82143D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658B930">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95400" cy="800100"/>
                  <wp:effectExtent l="0" t="0" r="0" b="0"/>
                  <wp:docPr id="12" name="图片 1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IMG_261"/>
                          <pic:cNvPicPr>
                            <a:picLocks noChangeAspect="1"/>
                          </pic:cNvPicPr>
                        </pic:nvPicPr>
                        <pic:blipFill>
                          <a:blip r:embed="rId23"/>
                          <a:stretch>
                            <a:fillRect/>
                          </a:stretch>
                        </pic:blipFill>
                        <pic:spPr>
                          <a:xfrm>
                            <a:off x="0" y="0"/>
                            <a:ext cx="1295400" cy="800100"/>
                          </a:xfrm>
                          <a:prstGeom prst="rect">
                            <a:avLst/>
                          </a:prstGeom>
                          <a:noFill/>
                          <a:ln w="9525">
                            <a:noFill/>
                          </a:ln>
                        </pic:spPr>
                      </pic:pic>
                    </a:graphicData>
                  </a:graphic>
                </wp:inline>
              </w:drawing>
            </w:r>
          </w:p>
        </w:tc>
      </w:tr>
      <w:tr w14:paraId="3C8418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061AAB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8 </w:t>
            </w:r>
          </w:p>
        </w:tc>
        <w:tc>
          <w:tcPr>
            <w:tcW w:w="1166" w:type="dxa"/>
            <w:tcBorders>
              <w:tl2br w:val="nil"/>
              <w:tr2bl w:val="nil"/>
            </w:tcBorders>
            <w:shd w:val="clear" w:color="auto" w:fill="auto"/>
            <w:vAlign w:val="center"/>
          </w:tcPr>
          <w:p w14:paraId="3500B22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黄土地貌模型</w:t>
            </w:r>
          </w:p>
        </w:tc>
        <w:tc>
          <w:tcPr>
            <w:tcW w:w="8573" w:type="dxa"/>
            <w:tcBorders>
              <w:tl2br w:val="nil"/>
              <w:tr2bl w:val="nil"/>
            </w:tcBorders>
            <w:shd w:val="clear" w:color="auto" w:fill="auto"/>
            <w:vAlign w:val="center"/>
          </w:tcPr>
          <w:p w14:paraId="5974618A">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总高240mm高分子材料,以有色无机物为填充料,阻燃性好,采用多层网状玻璃纤维布,一次性高压成形,平均厚度5mm以上。具有密度高、强度高、收缩性好,不易龟裂变形。表面使用进口烤漆,不易褪色。教学元素：冲沟、河谷（沟谷）、黄土梁、黄土茆、黄土塬、缓坡、陡坡、川、窑洞及人工改造的平原、梯地（在茆上有同心园梯地）、滑坡、泥石流。产品色泽鲜艳、清晰、自然；艺术造型讲究，肌理细腻，模型逼真，具有较高的艺术价值。</w:t>
            </w:r>
          </w:p>
        </w:tc>
        <w:tc>
          <w:tcPr>
            <w:tcW w:w="816" w:type="dxa"/>
            <w:tcBorders>
              <w:tl2br w:val="nil"/>
              <w:tr2bl w:val="nil"/>
            </w:tcBorders>
            <w:shd w:val="clear" w:color="auto" w:fill="auto"/>
            <w:vAlign w:val="center"/>
          </w:tcPr>
          <w:p w14:paraId="72902EF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B69B29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D0875B0">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47775" cy="771525"/>
                  <wp:effectExtent l="0" t="0" r="9525" b="9525"/>
                  <wp:docPr id="13" name="图片 1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 descr="IMG_262"/>
                          <pic:cNvPicPr>
                            <a:picLocks noChangeAspect="1"/>
                          </pic:cNvPicPr>
                        </pic:nvPicPr>
                        <pic:blipFill>
                          <a:blip r:embed="rId24"/>
                          <a:stretch>
                            <a:fillRect/>
                          </a:stretch>
                        </pic:blipFill>
                        <pic:spPr>
                          <a:xfrm>
                            <a:off x="0" y="0"/>
                            <a:ext cx="1247775" cy="771525"/>
                          </a:xfrm>
                          <a:prstGeom prst="rect">
                            <a:avLst/>
                          </a:prstGeom>
                          <a:noFill/>
                          <a:ln w="9525">
                            <a:noFill/>
                          </a:ln>
                        </pic:spPr>
                      </pic:pic>
                    </a:graphicData>
                  </a:graphic>
                </wp:inline>
              </w:drawing>
            </w:r>
          </w:p>
        </w:tc>
      </w:tr>
      <w:tr w14:paraId="13CE44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CC284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9 </w:t>
            </w:r>
          </w:p>
        </w:tc>
        <w:tc>
          <w:tcPr>
            <w:tcW w:w="1166" w:type="dxa"/>
            <w:tcBorders>
              <w:tl2br w:val="nil"/>
              <w:tr2bl w:val="nil"/>
            </w:tcBorders>
            <w:shd w:val="clear" w:color="auto" w:fill="auto"/>
            <w:vAlign w:val="center"/>
          </w:tcPr>
          <w:p w14:paraId="4061643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冰川地貌模型</w:t>
            </w:r>
          </w:p>
        </w:tc>
        <w:tc>
          <w:tcPr>
            <w:tcW w:w="8573" w:type="dxa"/>
            <w:tcBorders>
              <w:tl2br w:val="nil"/>
              <w:tr2bl w:val="nil"/>
            </w:tcBorders>
            <w:shd w:val="clear" w:color="auto" w:fill="auto"/>
            <w:vAlign w:val="center"/>
          </w:tcPr>
          <w:p w14:paraId="312E189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高分子材料,以有色无机物为填充料,阻燃性好,采用多层网状玻璃纤维布,一次性高压成形,平均厚度5mm以上。具有密度高、强度高、收缩性好,不易龟裂变形。表面使用进口烤漆,不易褪色。教学元素：U形谷、冰碛、冰碛湖、冰斗、角峰、冰脊、漂砾、悬谷、冰舌、冰川槽谷、冰坎、漂砾。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49FB0AC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AB7245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7A9971FE">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85875" cy="790575"/>
                  <wp:effectExtent l="0" t="0" r="9525" b="9525"/>
                  <wp:docPr id="15" name="图片 1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63"/>
                          <pic:cNvPicPr>
                            <a:picLocks noChangeAspect="1"/>
                          </pic:cNvPicPr>
                        </pic:nvPicPr>
                        <pic:blipFill>
                          <a:blip r:embed="rId25"/>
                          <a:stretch>
                            <a:fillRect/>
                          </a:stretch>
                        </pic:blipFill>
                        <pic:spPr>
                          <a:xfrm>
                            <a:off x="0" y="0"/>
                            <a:ext cx="1285875" cy="790575"/>
                          </a:xfrm>
                          <a:prstGeom prst="rect">
                            <a:avLst/>
                          </a:prstGeom>
                          <a:noFill/>
                          <a:ln w="9525">
                            <a:noFill/>
                          </a:ln>
                        </pic:spPr>
                      </pic:pic>
                    </a:graphicData>
                  </a:graphic>
                </wp:inline>
              </w:drawing>
            </w:r>
          </w:p>
        </w:tc>
      </w:tr>
      <w:tr w14:paraId="5BDCDF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6C56A0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10 </w:t>
            </w:r>
          </w:p>
        </w:tc>
        <w:tc>
          <w:tcPr>
            <w:tcW w:w="1166" w:type="dxa"/>
            <w:tcBorders>
              <w:tl2br w:val="nil"/>
              <w:tr2bl w:val="nil"/>
            </w:tcBorders>
            <w:shd w:val="clear" w:color="auto" w:fill="auto"/>
            <w:vAlign w:val="center"/>
          </w:tcPr>
          <w:p w14:paraId="563F3DE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海岸地貌模型</w:t>
            </w:r>
          </w:p>
        </w:tc>
        <w:tc>
          <w:tcPr>
            <w:tcW w:w="8573" w:type="dxa"/>
            <w:tcBorders>
              <w:tl2br w:val="nil"/>
              <w:tr2bl w:val="nil"/>
            </w:tcBorders>
            <w:shd w:val="clear" w:color="auto" w:fill="auto"/>
            <w:vAlign w:val="center"/>
          </w:tcPr>
          <w:p w14:paraId="1EA88AE3">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845mm×545mm高分子材料,以有色无机物为填充料,阻燃性好,采用多层网状玻璃纤维布,一次性高压成形,平均厚度5mm以上。具有密度高、强度高、收缩性好,不易龟裂变形。表面使用进口烤漆,不易褪色。教学元素：巨红色的几乎呈水平状的砂砾岩层、垂直节理发育形成丹崖、齐峰，有棒状高90mm、城堡状长200mm宽120mm高65mm、宝塔状高65mm，形成巨大陡崖、石墙、石窗、镂空一体成型130mm、巷谷、针状、柱状、棒状、方山状长80mm宽80mm高55mm、河流、船。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19C1F1B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95B9E5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D3E2740">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47775" cy="762000"/>
                  <wp:effectExtent l="0" t="0" r="9525" b="0"/>
                  <wp:docPr id="16" name="图片 1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descr="IMG_264"/>
                          <pic:cNvPicPr>
                            <a:picLocks noChangeAspect="1"/>
                          </pic:cNvPicPr>
                        </pic:nvPicPr>
                        <pic:blipFill>
                          <a:blip r:embed="rId26"/>
                          <a:stretch>
                            <a:fillRect/>
                          </a:stretch>
                        </pic:blipFill>
                        <pic:spPr>
                          <a:xfrm>
                            <a:off x="0" y="0"/>
                            <a:ext cx="1247775" cy="762000"/>
                          </a:xfrm>
                          <a:prstGeom prst="rect">
                            <a:avLst/>
                          </a:prstGeom>
                          <a:noFill/>
                          <a:ln w="9525">
                            <a:noFill/>
                          </a:ln>
                        </pic:spPr>
                      </pic:pic>
                    </a:graphicData>
                  </a:graphic>
                </wp:inline>
              </w:drawing>
            </w:r>
          </w:p>
        </w:tc>
      </w:tr>
      <w:tr w14:paraId="369FA6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C0062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11 </w:t>
            </w:r>
          </w:p>
        </w:tc>
        <w:tc>
          <w:tcPr>
            <w:tcW w:w="1166" w:type="dxa"/>
            <w:tcBorders>
              <w:tl2br w:val="nil"/>
              <w:tr2bl w:val="nil"/>
            </w:tcBorders>
            <w:shd w:val="clear" w:color="auto" w:fill="auto"/>
            <w:vAlign w:val="center"/>
          </w:tcPr>
          <w:p w14:paraId="4E316CE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丹霞地貌模型</w:t>
            </w:r>
          </w:p>
        </w:tc>
        <w:tc>
          <w:tcPr>
            <w:tcW w:w="8573" w:type="dxa"/>
            <w:tcBorders>
              <w:tl2br w:val="nil"/>
              <w:tr2bl w:val="nil"/>
            </w:tcBorders>
            <w:shd w:val="clear" w:color="auto" w:fill="auto"/>
            <w:vAlign w:val="center"/>
          </w:tcPr>
          <w:p w14:paraId="644CCAA9">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高分子材料,以有色无机物为填充料,阻燃性好,采用多层网状玻璃纤维布,一次性高压成形,平均厚度5mm以上。具有密度高、强度高、收缩性好,不易龟裂变形。表面使用进口烤漆,不易褪色。教学元素：巨红色的几乎呈水平状的砂砾岩层、垂直节理发育形成丹崖、齐峰，有直立状高90mm、城堡状长200mm宽120mm高65mm、宝塔状高65mm，形成巨大陡崖、石墙、石窗、石桥130mm、巷谷、针状、柱状、棒状、方山状长80mm宽70mm高60mm、河流、船。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3FCBBF4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C04369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08DA349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171575" cy="723900"/>
                  <wp:effectExtent l="0" t="0" r="9525" b="0"/>
                  <wp:docPr id="18" name="图片 1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descr="IMG_265"/>
                          <pic:cNvPicPr>
                            <a:picLocks noChangeAspect="1"/>
                          </pic:cNvPicPr>
                        </pic:nvPicPr>
                        <pic:blipFill>
                          <a:blip r:embed="rId27"/>
                          <a:stretch>
                            <a:fillRect/>
                          </a:stretch>
                        </pic:blipFill>
                        <pic:spPr>
                          <a:xfrm>
                            <a:off x="0" y="0"/>
                            <a:ext cx="1171575" cy="723900"/>
                          </a:xfrm>
                          <a:prstGeom prst="rect">
                            <a:avLst/>
                          </a:prstGeom>
                          <a:noFill/>
                          <a:ln w="9525">
                            <a:noFill/>
                          </a:ln>
                        </pic:spPr>
                      </pic:pic>
                    </a:graphicData>
                  </a:graphic>
                </wp:inline>
              </w:drawing>
            </w:r>
          </w:p>
        </w:tc>
      </w:tr>
      <w:tr w14:paraId="4803E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5F218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12 </w:t>
            </w:r>
          </w:p>
        </w:tc>
        <w:tc>
          <w:tcPr>
            <w:tcW w:w="1166" w:type="dxa"/>
            <w:tcBorders>
              <w:tl2br w:val="nil"/>
              <w:tr2bl w:val="nil"/>
            </w:tcBorders>
            <w:shd w:val="clear" w:color="auto" w:fill="auto"/>
            <w:vAlign w:val="center"/>
          </w:tcPr>
          <w:p w14:paraId="036B6E6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喀</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斯特地貌模型</w:t>
            </w:r>
            <w:r>
              <w:rPr>
                <w:rFonts w:hint="eastAsia" w:ascii="宋体" w:hAnsi="宋体" w:cs="宋体"/>
                <w:b/>
                <w:bCs/>
                <w:i w:val="0"/>
                <w:iCs w:val="0"/>
                <w:color w:val="000000" w:themeColor="text1"/>
                <w:kern w:val="0"/>
                <w:sz w:val="20"/>
                <w:szCs w:val="20"/>
                <w:u w:val="none"/>
                <w:lang w:val="en-US" w:eastAsia="zh-CN" w:bidi="ar"/>
                <w14:textFill>
                  <w14:solidFill>
                    <w14:schemeClr w14:val="tx1"/>
                  </w14:solidFill>
                </w14:textFill>
              </w:rPr>
              <w:t>（提供样品1件）</w:t>
            </w:r>
          </w:p>
        </w:tc>
        <w:tc>
          <w:tcPr>
            <w:tcW w:w="8573" w:type="dxa"/>
            <w:tcBorders>
              <w:tl2br w:val="nil"/>
              <w:tr2bl w:val="nil"/>
            </w:tcBorders>
            <w:shd w:val="clear" w:color="auto" w:fill="auto"/>
            <w:vAlign w:val="center"/>
          </w:tcPr>
          <w:p w14:paraId="45FA11F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845mm×550mm高分子材料,以有色无机物为填充料,阻燃性好,采用多层网状玻璃纤维布,一次性高压成形,平均厚度5mm以上。具有密度高、强度高、收缩性好,不易龟裂变形。表面使用进口烤漆,不易褪色。内容包含石林面积长300mm×宽160mm最高石林95mm、洼地坝子长120mm×宽45mm×高25mm、落水洞宽12mm高70mm、天生桥长90mm×宽40mm×高35mm、峰林11个长最高65mm最底25mm、地面河总长1700mm最宽28mm、石芽1个高25mm、漏斗长65mm×宽35mm×高23mm、石灰岩残峰6个最高110mm；地下则分布有溶洞、暗河长约110mm、钟乳石1个高30mm、石笋1个高30mm、洞穴边石坝（莲花池）长75mm×宽50mm、水平干洞长170mm最宽25mm、石柱1个高40mm、地下湖长160mm、地下河长50mm、地下瀑布长83mm。产品色泽鲜艳、清晰、自然；艺术造型讲究，肌理细腻，模型逼真，具有较高的艺术价值。</w:t>
            </w:r>
          </w:p>
        </w:tc>
        <w:tc>
          <w:tcPr>
            <w:tcW w:w="816" w:type="dxa"/>
            <w:tcBorders>
              <w:tl2br w:val="nil"/>
              <w:tr2bl w:val="nil"/>
            </w:tcBorders>
            <w:shd w:val="clear" w:color="auto" w:fill="auto"/>
            <w:vAlign w:val="center"/>
          </w:tcPr>
          <w:p w14:paraId="7B105F1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4AB41C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34580297">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00150" cy="723900"/>
                  <wp:effectExtent l="0" t="0" r="0" b="0"/>
                  <wp:docPr id="19" name="图片 2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descr="IMG_266"/>
                          <pic:cNvPicPr>
                            <a:picLocks noChangeAspect="1"/>
                          </pic:cNvPicPr>
                        </pic:nvPicPr>
                        <pic:blipFill>
                          <a:blip r:embed="rId28"/>
                          <a:stretch>
                            <a:fillRect/>
                          </a:stretch>
                        </pic:blipFill>
                        <pic:spPr>
                          <a:xfrm>
                            <a:off x="0" y="0"/>
                            <a:ext cx="1200150" cy="723900"/>
                          </a:xfrm>
                          <a:prstGeom prst="rect">
                            <a:avLst/>
                          </a:prstGeom>
                          <a:noFill/>
                          <a:ln w="9525">
                            <a:noFill/>
                          </a:ln>
                        </pic:spPr>
                      </pic:pic>
                    </a:graphicData>
                  </a:graphic>
                </wp:inline>
              </w:drawing>
            </w:r>
          </w:p>
        </w:tc>
      </w:tr>
      <w:tr w14:paraId="772EF3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A3B76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13 </w:t>
            </w:r>
          </w:p>
        </w:tc>
        <w:tc>
          <w:tcPr>
            <w:tcW w:w="1166" w:type="dxa"/>
            <w:tcBorders>
              <w:tl2br w:val="nil"/>
              <w:tr2bl w:val="nil"/>
            </w:tcBorders>
            <w:shd w:val="clear" w:color="auto" w:fill="auto"/>
            <w:vAlign w:val="center"/>
          </w:tcPr>
          <w:p w14:paraId="2474C3A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火山地貌模型</w:t>
            </w:r>
          </w:p>
        </w:tc>
        <w:tc>
          <w:tcPr>
            <w:tcW w:w="8573" w:type="dxa"/>
            <w:tcBorders>
              <w:tl2br w:val="nil"/>
              <w:tr2bl w:val="nil"/>
            </w:tcBorders>
            <w:shd w:val="clear" w:color="auto" w:fill="auto"/>
            <w:vAlign w:val="center"/>
          </w:tcPr>
          <w:p w14:paraId="724C923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高分子材料,以有色无机物为填充料,阻燃性好,采用多层网状玻璃纤维布,一次性高压成形,平均厚度5mm以上。具有密度高、强度高、收缩性好,不易龟裂变形。表面使用进口烤漆,不易褪色。教学元素：两类火山口（盾形，锥形）典型火山的剖面（火山口、火山通道、岩浆）的两大熔岩流，熔岩丘、堰寒湖、梯状熔岩、死火山（天池）、活火山、温泉、泥塘。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3EC4AF1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58467E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454CBDF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76350" cy="781050"/>
                  <wp:effectExtent l="0" t="0" r="0" b="0"/>
                  <wp:docPr id="22" name="图片 2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67"/>
                          <pic:cNvPicPr>
                            <a:picLocks noChangeAspect="1"/>
                          </pic:cNvPicPr>
                        </pic:nvPicPr>
                        <pic:blipFill>
                          <a:blip r:embed="rId29"/>
                          <a:stretch>
                            <a:fillRect/>
                          </a:stretch>
                        </pic:blipFill>
                        <pic:spPr>
                          <a:xfrm>
                            <a:off x="0" y="0"/>
                            <a:ext cx="1276350" cy="781050"/>
                          </a:xfrm>
                          <a:prstGeom prst="rect">
                            <a:avLst/>
                          </a:prstGeom>
                          <a:noFill/>
                          <a:ln w="9525">
                            <a:noFill/>
                          </a:ln>
                        </pic:spPr>
                      </pic:pic>
                    </a:graphicData>
                  </a:graphic>
                </wp:inline>
              </w:drawing>
            </w:r>
          </w:p>
        </w:tc>
      </w:tr>
      <w:tr w14:paraId="0C892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C6787D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14 </w:t>
            </w:r>
          </w:p>
        </w:tc>
        <w:tc>
          <w:tcPr>
            <w:tcW w:w="1166" w:type="dxa"/>
            <w:tcBorders>
              <w:tl2br w:val="nil"/>
              <w:tr2bl w:val="nil"/>
            </w:tcBorders>
            <w:shd w:val="clear" w:color="auto" w:fill="auto"/>
            <w:vAlign w:val="center"/>
          </w:tcPr>
          <w:p w14:paraId="21967FE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风蚀地貌模型</w:t>
            </w:r>
          </w:p>
        </w:tc>
        <w:tc>
          <w:tcPr>
            <w:tcW w:w="8573" w:type="dxa"/>
            <w:tcBorders>
              <w:tl2br w:val="nil"/>
              <w:tr2bl w:val="nil"/>
            </w:tcBorders>
            <w:shd w:val="clear" w:color="auto" w:fill="auto"/>
            <w:vAlign w:val="center"/>
          </w:tcPr>
          <w:p w14:paraId="1728DE6E">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850mm×550mm高分子材料,以有色无机物为填充料,阻燃性好,采用多层网状玻璃纤维布,一次性高压成形,平均厚度5mm以上。具有密度高、强度高、收缩性好,不易龟裂变形。表面使用进口烤漆,不易褪色。教学元素：风蚀城堡、风蚀磨菇、风蚀柱、风蚀洞穴、风蚀洼地、戈壁、沙漠绿洲、沙漠盆地、岩漠、干谷、干盐湖；风积地貌如：新月形沙丘、沙垄等。产品色泽鲜艳、清晰、自然；艺术造型讲究，肌理细腻，模型逼真，具有很强的视觉冲击力和较高的艺术欣赏价值。</w:t>
            </w:r>
          </w:p>
        </w:tc>
        <w:tc>
          <w:tcPr>
            <w:tcW w:w="816" w:type="dxa"/>
            <w:tcBorders>
              <w:tl2br w:val="nil"/>
              <w:tr2bl w:val="nil"/>
            </w:tcBorders>
            <w:shd w:val="clear" w:color="auto" w:fill="auto"/>
            <w:vAlign w:val="center"/>
          </w:tcPr>
          <w:p w14:paraId="1590413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73982A2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503AB033">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57300" cy="771525"/>
                  <wp:effectExtent l="0" t="0" r="0" b="9525"/>
                  <wp:docPr id="24" name="图片 2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descr="IMG_268"/>
                          <pic:cNvPicPr>
                            <a:picLocks noChangeAspect="1"/>
                          </pic:cNvPicPr>
                        </pic:nvPicPr>
                        <pic:blipFill>
                          <a:blip r:embed="rId30"/>
                          <a:stretch>
                            <a:fillRect/>
                          </a:stretch>
                        </pic:blipFill>
                        <pic:spPr>
                          <a:xfrm>
                            <a:off x="0" y="0"/>
                            <a:ext cx="1257300" cy="771525"/>
                          </a:xfrm>
                          <a:prstGeom prst="rect">
                            <a:avLst/>
                          </a:prstGeom>
                          <a:noFill/>
                          <a:ln w="9525">
                            <a:noFill/>
                          </a:ln>
                        </pic:spPr>
                      </pic:pic>
                    </a:graphicData>
                  </a:graphic>
                </wp:inline>
              </w:drawing>
            </w:r>
          </w:p>
        </w:tc>
      </w:tr>
      <w:tr w14:paraId="2EE9D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5D9E6DCD">
            <w:pPr>
              <w:keepNext w:val="0"/>
              <w:keepLines w:val="0"/>
              <w:widowControl/>
              <w:suppressLineNumbers w:val="0"/>
              <w:jc w:val="left"/>
              <w:textAlignment w:val="center"/>
              <w:rPr>
                <w:rFonts w:hint="eastAsia" w:ascii="宋体" w:hAnsi="宋体" w:eastAsia="宋体" w:cs="宋体"/>
                <w:i w:val="0"/>
                <w:iCs w:val="0"/>
                <w:strike/>
                <w:dstrike w:val="0"/>
                <w:color w:val="000000"/>
                <w:kern w:val="0"/>
                <w:sz w:val="20"/>
                <w:szCs w:val="20"/>
                <w:u w:val="none"/>
                <w:lang w:val="en-US" w:eastAsia="zh-CN" w:bidi="ar"/>
              </w:rPr>
            </w:pPr>
            <w:r>
              <w:rPr>
                <w:rFonts w:hint="eastAsia" w:ascii="宋体" w:hAnsi="宋体" w:cs="宋体"/>
                <w:b/>
                <w:bCs/>
                <w:strike w:val="0"/>
                <w:dstrike w:val="0"/>
                <w:color w:val="auto"/>
                <w:sz w:val="28"/>
                <w:szCs w:val="36"/>
                <w:vertAlign w:val="baseline"/>
                <w:lang w:val="en-US" w:eastAsia="zh-CN"/>
              </w:rPr>
              <w:t>9.</w:t>
            </w:r>
            <w:r>
              <w:rPr>
                <w:rFonts w:hint="eastAsia" w:ascii="宋体" w:hAnsi="宋体" w:eastAsia="宋体" w:cs="宋体"/>
                <w:b/>
                <w:bCs/>
                <w:strike w:val="0"/>
                <w:dstrike w:val="0"/>
                <w:color w:val="auto"/>
                <w:sz w:val="28"/>
                <w:szCs w:val="36"/>
                <w:vertAlign w:val="baseline"/>
                <w:lang w:val="en-US" w:eastAsia="zh-CN"/>
              </w:rPr>
              <w:t>美术教室1</w:t>
            </w:r>
          </w:p>
        </w:tc>
      </w:tr>
      <w:tr w14:paraId="3BCCDA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35AB90">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1166" w:type="dxa"/>
            <w:tcBorders>
              <w:tl2br w:val="nil"/>
              <w:tr2bl w:val="nil"/>
            </w:tcBorders>
            <w:shd w:val="clear" w:color="auto" w:fill="auto"/>
            <w:vAlign w:val="center"/>
          </w:tcPr>
          <w:p w14:paraId="439F574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教师演示台</w:t>
            </w:r>
          </w:p>
        </w:tc>
        <w:tc>
          <w:tcPr>
            <w:tcW w:w="8573" w:type="dxa"/>
            <w:tcBorders>
              <w:tl2br w:val="nil"/>
              <w:tr2bl w:val="nil"/>
            </w:tcBorders>
            <w:shd w:val="clear" w:color="auto" w:fill="auto"/>
            <w:vAlign w:val="center"/>
          </w:tcPr>
          <w:p w14:paraId="4057F150">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1.规格：≥2000*700*850mm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2.台面：采用≥25mm三</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)，板材所有截面厚度≥2.0mmPVC机器封边，粘力强、密封性好、外形美观、经久耐用。组装接缝严密，连接牢</w:t>
            </w:r>
            <w:r>
              <w:rPr>
                <w:rFonts w:hint="eastAsia" w:ascii="宋体" w:hAnsi="宋体" w:eastAsia="宋体" w:cs="宋体"/>
                <w:i w:val="0"/>
                <w:iCs w:val="0"/>
                <w:color w:val="000000"/>
                <w:kern w:val="0"/>
                <w:sz w:val="20"/>
                <w:szCs w:val="20"/>
                <w:u w:val="none"/>
                <w:lang w:val="en-US" w:eastAsia="zh-CN" w:bidi="ar"/>
              </w:rPr>
              <w:t>固，无松动现象。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2.五金配件：采用304不锈钢拉手、铰链、三节导轨等，所有五金配件全部经过防锈、防腐处理。</w:t>
            </w:r>
          </w:p>
        </w:tc>
        <w:tc>
          <w:tcPr>
            <w:tcW w:w="816" w:type="dxa"/>
            <w:tcBorders>
              <w:tl2br w:val="nil"/>
              <w:tr2bl w:val="nil"/>
            </w:tcBorders>
            <w:shd w:val="clear" w:color="auto" w:fill="auto"/>
            <w:vAlign w:val="center"/>
          </w:tcPr>
          <w:p w14:paraId="1DFD8611">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FDE161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4216019C">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981075" cy="552450"/>
                  <wp:effectExtent l="0" t="0" r="9525" b="0"/>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31"/>
                          <a:stretch>
                            <a:fillRect/>
                          </a:stretch>
                        </pic:blipFill>
                        <pic:spPr>
                          <a:xfrm>
                            <a:off x="0" y="0"/>
                            <a:ext cx="981075" cy="552450"/>
                          </a:xfrm>
                          <a:prstGeom prst="rect">
                            <a:avLst/>
                          </a:prstGeom>
                          <a:noFill/>
                          <a:ln w="9525">
                            <a:noFill/>
                          </a:ln>
                        </pic:spPr>
                      </pic:pic>
                    </a:graphicData>
                  </a:graphic>
                </wp:inline>
              </w:drawing>
            </w:r>
          </w:p>
        </w:tc>
      </w:tr>
      <w:tr w14:paraId="2D2A56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2FEE9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1166" w:type="dxa"/>
            <w:tcBorders>
              <w:tl2br w:val="nil"/>
              <w:tr2bl w:val="nil"/>
            </w:tcBorders>
            <w:shd w:val="clear" w:color="auto" w:fill="auto"/>
            <w:vAlign w:val="center"/>
          </w:tcPr>
          <w:p w14:paraId="1CA26E2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学生桌</w:t>
            </w:r>
          </w:p>
        </w:tc>
        <w:tc>
          <w:tcPr>
            <w:tcW w:w="8573" w:type="dxa"/>
            <w:tcBorders>
              <w:tl2br w:val="nil"/>
              <w:tr2bl w:val="nil"/>
            </w:tcBorders>
            <w:shd w:val="clear" w:color="auto" w:fill="auto"/>
            <w:vAlign w:val="center"/>
          </w:tcPr>
          <w:p w14:paraId="71C7B96E">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1、规格：≥1800*1000*720mm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2、结构：全木结构（卯榫方式连接）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(1)台面：采用≥18mm厚橡胶木指接板，四周围边整体可视厚度100mm，四角倒圆角，防止学生磕碰。表面环保清水油漆处理，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（2）桌脚：采用≥60*60mm橡胶木原木脚；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（3）工艺：边缘抛圆处理，外表面和内表面以及手指可触及的隐蔽处，均不得有锐利的棱角、毛刺及小五金部件露出的锐利尖锐；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（4）油漆： 环保水性漆，甲醛释放量等各项技术指标达到国际E1级环保标准。</w:t>
            </w:r>
          </w:p>
        </w:tc>
        <w:tc>
          <w:tcPr>
            <w:tcW w:w="816" w:type="dxa"/>
            <w:tcBorders>
              <w:tl2br w:val="nil"/>
              <w:tr2bl w:val="nil"/>
            </w:tcBorders>
            <w:shd w:val="clear" w:color="auto" w:fill="auto"/>
            <w:vAlign w:val="center"/>
          </w:tcPr>
          <w:p w14:paraId="222E3D3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40A627F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6BDB6C4D">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981075" cy="638175"/>
                  <wp:effectExtent l="0" t="0" r="9525" b="9525"/>
                  <wp:docPr id="2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56"/>
                          <pic:cNvPicPr>
                            <a:picLocks noChangeAspect="1"/>
                          </pic:cNvPicPr>
                        </pic:nvPicPr>
                        <pic:blipFill>
                          <a:blip r:embed="rId32"/>
                          <a:stretch>
                            <a:fillRect/>
                          </a:stretch>
                        </pic:blipFill>
                        <pic:spPr>
                          <a:xfrm>
                            <a:off x="0" y="0"/>
                            <a:ext cx="981075" cy="638175"/>
                          </a:xfrm>
                          <a:prstGeom prst="rect">
                            <a:avLst/>
                          </a:prstGeom>
                          <a:noFill/>
                          <a:ln w="9525">
                            <a:noFill/>
                          </a:ln>
                        </pic:spPr>
                      </pic:pic>
                    </a:graphicData>
                  </a:graphic>
                </wp:inline>
              </w:drawing>
            </w:r>
          </w:p>
        </w:tc>
      </w:tr>
      <w:tr w14:paraId="57D6B7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E3B7C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c>
          <w:tcPr>
            <w:tcW w:w="1166" w:type="dxa"/>
            <w:tcBorders>
              <w:tl2br w:val="nil"/>
              <w:tr2bl w:val="nil"/>
            </w:tcBorders>
            <w:shd w:val="clear" w:color="auto" w:fill="auto"/>
            <w:vAlign w:val="center"/>
          </w:tcPr>
          <w:p w14:paraId="796D46F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学生凳</w:t>
            </w:r>
          </w:p>
        </w:tc>
        <w:tc>
          <w:tcPr>
            <w:tcW w:w="8573" w:type="dxa"/>
            <w:tcBorders>
              <w:tl2br w:val="nil"/>
              <w:tr2bl w:val="nil"/>
            </w:tcBorders>
            <w:shd w:val="clear" w:color="auto" w:fill="auto"/>
            <w:vAlign w:val="center"/>
          </w:tcPr>
          <w:p w14:paraId="3D713AB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1.规格：≥320*320*420mm（卯榫方式连接）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2.台面：采用≥18mm厚橡胶木指接板，表面环保清水油漆处理。四角倒圆角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凳脚：采用不≥30*30mm实木脚，表面环保清水油漆处理。</w:t>
            </w:r>
          </w:p>
        </w:tc>
        <w:tc>
          <w:tcPr>
            <w:tcW w:w="816" w:type="dxa"/>
            <w:tcBorders>
              <w:tl2br w:val="nil"/>
              <w:tr2bl w:val="nil"/>
            </w:tcBorders>
            <w:shd w:val="clear" w:color="auto" w:fill="auto"/>
            <w:vAlign w:val="center"/>
          </w:tcPr>
          <w:p w14:paraId="2DD1128F">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1D7D2113">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67B53723">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981075" cy="828675"/>
                  <wp:effectExtent l="0" t="0" r="9525" b="9525"/>
                  <wp:docPr id="2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IMG_256"/>
                          <pic:cNvPicPr>
                            <a:picLocks noChangeAspect="1"/>
                          </pic:cNvPicPr>
                        </pic:nvPicPr>
                        <pic:blipFill>
                          <a:blip r:embed="rId33"/>
                          <a:stretch>
                            <a:fillRect/>
                          </a:stretch>
                        </pic:blipFill>
                        <pic:spPr>
                          <a:xfrm>
                            <a:off x="0" y="0"/>
                            <a:ext cx="981075" cy="828675"/>
                          </a:xfrm>
                          <a:prstGeom prst="rect">
                            <a:avLst/>
                          </a:prstGeom>
                          <a:noFill/>
                          <a:ln w="9525">
                            <a:noFill/>
                          </a:ln>
                        </pic:spPr>
                      </pic:pic>
                    </a:graphicData>
                  </a:graphic>
                </wp:inline>
              </w:drawing>
            </w:r>
          </w:p>
        </w:tc>
      </w:tr>
      <w:tr w14:paraId="6D9BF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D9C3E4">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504CBE4E">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石膏板吊顶</w:t>
            </w:r>
          </w:p>
        </w:tc>
        <w:tc>
          <w:tcPr>
            <w:tcW w:w="8573" w:type="dxa"/>
            <w:tcBorders>
              <w:tl2br w:val="nil"/>
              <w:tr2bl w:val="nil"/>
            </w:tcBorders>
            <w:shd w:val="clear" w:color="auto" w:fill="auto"/>
            <w:vAlign w:val="center"/>
          </w:tcPr>
          <w:p w14:paraId="743DBF57">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顶面四周轻钢龙骨支架，一层纸面石膏板，吊顶乳胶漆三底两遍，造型定制。</w:t>
            </w:r>
          </w:p>
        </w:tc>
        <w:tc>
          <w:tcPr>
            <w:tcW w:w="816" w:type="dxa"/>
            <w:tcBorders>
              <w:tl2br w:val="nil"/>
              <w:tr2bl w:val="nil"/>
            </w:tcBorders>
            <w:shd w:val="clear" w:color="auto" w:fill="auto"/>
            <w:vAlign w:val="center"/>
          </w:tcPr>
          <w:p w14:paraId="0F507E61">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28.00 </w:t>
            </w:r>
          </w:p>
        </w:tc>
        <w:tc>
          <w:tcPr>
            <w:tcW w:w="498" w:type="dxa"/>
            <w:tcBorders>
              <w:tl2br w:val="nil"/>
              <w:tr2bl w:val="nil"/>
            </w:tcBorders>
            <w:shd w:val="clear" w:color="auto" w:fill="auto"/>
            <w:vAlign w:val="center"/>
          </w:tcPr>
          <w:p w14:paraId="1BCCCE8E">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31F0CBB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4DB7D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3E1436">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062DBEE0">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铝方通吊顶</w:t>
            </w:r>
          </w:p>
        </w:tc>
        <w:tc>
          <w:tcPr>
            <w:tcW w:w="8573" w:type="dxa"/>
            <w:tcBorders>
              <w:tl2br w:val="nil"/>
              <w:tr2bl w:val="nil"/>
            </w:tcBorders>
            <w:shd w:val="clear" w:color="auto" w:fill="auto"/>
            <w:vAlign w:val="center"/>
          </w:tcPr>
          <w:p w14:paraId="6D1D0F40">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铝方通吊顶,规格不小于≧75mm*40mm，间距≤100mm,厚度不少于0.5mm，颜色按需定制，材料达到E1级标准。</w:t>
            </w:r>
          </w:p>
        </w:tc>
        <w:tc>
          <w:tcPr>
            <w:tcW w:w="816" w:type="dxa"/>
            <w:tcBorders>
              <w:tl2br w:val="nil"/>
              <w:tr2bl w:val="nil"/>
            </w:tcBorders>
            <w:shd w:val="clear" w:color="auto" w:fill="auto"/>
            <w:vAlign w:val="center"/>
          </w:tcPr>
          <w:p w14:paraId="6B01CFC9">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cs="宋体"/>
                <w:i w:val="0"/>
                <w:iCs w:val="0"/>
                <w:strike w:val="0"/>
                <w:dstrike w:val="0"/>
                <w:color w:val="000000" w:themeColor="text1"/>
                <w:kern w:val="0"/>
                <w:sz w:val="20"/>
                <w:szCs w:val="20"/>
                <w:u w:val="none"/>
                <w:lang w:val="en-US" w:eastAsia="zh-CN" w:bidi="ar"/>
                <w14:textFill>
                  <w14:solidFill>
                    <w14:schemeClr w14:val="tx1"/>
                  </w14:solidFill>
                </w14:textFill>
              </w:rPr>
              <w:t>72.80</w:t>
            </w:r>
          </w:p>
        </w:tc>
        <w:tc>
          <w:tcPr>
            <w:tcW w:w="498" w:type="dxa"/>
            <w:tcBorders>
              <w:tl2br w:val="nil"/>
              <w:tr2bl w:val="nil"/>
            </w:tcBorders>
            <w:shd w:val="clear" w:color="auto" w:fill="auto"/>
            <w:vAlign w:val="center"/>
          </w:tcPr>
          <w:p w14:paraId="5753FA3B">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56D3559D">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3F6DB4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CB1383">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43759077">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涂料</w:t>
            </w:r>
          </w:p>
        </w:tc>
        <w:tc>
          <w:tcPr>
            <w:tcW w:w="8573" w:type="dxa"/>
            <w:tcBorders>
              <w:tl2br w:val="nil"/>
              <w:tr2bl w:val="nil"/>
            </w:tcBorders>
            <w:shd w:val="clear" w:color="auto" w:fill="auto"/>
            <w:vAlign w:val="center"/>
          </w:tcPr>
          <w:p w14:paraId="6AB63FA7">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石膏板接缝处满嵌接缝膏，不少于两道抗裂网格布，拉法基和石膏覆盖，找平腻子两道找平，特细滑石粉罩面，360目砂纸打磨。喷涂或滚涂一底两面立邦时时丽环保乳胶漆。</w:t>
            </w:r>
          </w:p>
        </w:tc>
        <w:tc>
          <w:tcPr>
            <w:tcW w:w="816" w:type="dxa"/>
            <w:tcBorders>
              <w:tl2br w:val="nil"/>
              <w:tr2bl w:val="nil"/>
            </w:tcBorders>
            <w:shd w:val="clear" w:color="auto" w:fill="auto"/>
            <w:vAlign w:val="center"/>
          </w:tcPr>
          <w:p w14:paraId="1E109990">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187.00 </w:t>
            </w:r>
          </w:p>
        </w:tc>
        <w:tc>
          <w:tcPr>
            <w:tcW w:w="498" w:type="dxa"/>
            <w:tcBorders>
              <w:tl2br w:val="nil"/>
              <w:tr2bl w:val="nil"/>
            </w:tcBorders>
            <w:shd w:val="clear" w:color="auto" w:fill="auto"/>
            <w:vAlign w:val="center"/>
          </w:tcPr>
          <w:p w14:paraId="4D51C268">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6A3942E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0CCDBC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425A807">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7</w:t>
            </w:r>
          </w:p>
        </w:tc>
        <w:tc>
          <w:tcPr>
            <w:tcW w:w="1166" w:type="dxa"/>
            <w:tcBorders>
              <w:tl2br w:val="nil"/>
              <w:tr2bl w:val="nil"/>
            </w:tcBorders>
            <w:shd w:val="clear" w:color="auto" w:fill="auto"/>
            <w:vAlign w:val="center"/>
          </w:tcPr>
          <w:p w14:paraId="0E002D39">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4FBEC0C1">
            <w:pPr>
              <w:keepNext w:val="0"/>
              <w:keepLines w:val="0"/>
              <w:widowControl/>
              <w:suppressLineNumbers w:val="0"/>
              <w:jc w:val="left"/>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7F4570B9">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4F819E48">
            <w:pPr>
              <w:keepNext w:val="0"/>
              <w:keepLines w:val="0"/>
              <w:widowControl/>
              <w:suppressLineNumbers w:val="0"/>
              <w:jc w:val="center"/>
              <w:textAlignment w:val="center"/>
              <w:rPr>
                <w:rFonts w:hint="eastAsia" w:ascii="宋体" w:hAnsi="宋体" w:eastAsia="宋体" w:cs="宋体"/>
                <w: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1E71772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019EEE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74ABFC">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8</w:t>
            </w:r>
          </w:p>
        </w:tc>
        <w:tc>
          <w:tcPr>
            <w:tcW w:w="1166" w:type="dxa"/>
            <w:tcBorders>
              <w:tl2br w:val="nil"/>
              <w:tr2bl w:val="nil"/>
            </w:tcBorders>
            <w:shd w:val="clear" w:color="auto" w:fill="auto"/>
            <w:vAlign w:val="center"/>
          </w:tcPr>
          <w:p w14:paraId="04C3F457">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顶面LED筒灯</w:t>
            </w:r>
          </w:p>
        </w:tc>
        <w:tc>
          <w:tcPr>
            <w:tcW w:w="8573" w:type="dxa"/>
            <w:tcBorders>
              <w:tl2br w:val="nil"/>
              <w:tr2bl w:val="nil"/>
            </w:tcBorders>
            <w:shd w:val="clear" w:color="auto" w:fill="auto"/>
            <w:vAlign w:val="center"/>
          </w:tcPr>
          <w:p w14:paraId="78B73199">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加厚铝材，明亮耐用，高亮LED芯片，输入电压：AC220V，光色色温：3000K-6000K。灯光线路采用黑色专用套管，整体灯光亮度符合国家中小学专用教室照明设计规范。</w:t>
            </w:r>
          </w:p>
        </w:tc>
        <w:tc>
          <w:tcPr>
            <w:tcW w:w="816" w:type="dxa"/>
            <w:tcBorders>
              <w:tl2br w:val="nil"/>
              <w:tr2bl w:val="nil"/>
            </w:tcBorders>
            <w:shd w:val="clear" w:color="auto" w:fill="auto"/>
            <w:vAlign w:val="center"/>
          </w:tcPr>
          <w:p w14:paraId="7DB5C94C">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20</w:t>
            </w:r>
          </w:p>
        </w:tc>
        <w:tc>
          <w:tcPr>
            <w:tcW w:w="498" w:type="dxa"/>
            <w:tcBorders>
              <w:tl2br w:val="nil"/>
              <w:tr2bl w:val="nil"/>
            </w:tcBorders>
            <w:shd w:val="clear" w:color="auto" w:fill="auto"/>
            <w:vAlign w:val="center"/>
          </w:tcPr>
          <w:p w14:paraId="01BFA1FF">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4C624E2D">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33FFFD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6FE0FF2">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w:t>
            </w:r>
          </w:p>
        </w:tc>
        <w:tc>
          <w:tcPr>
            <w:tcW w:w="1166" w:type="dxa"/>
            <w:tcBorders>
              <w:tl2br w:val="nil"/>
              <w:tr2bl w:val="nil"/>
            </w:tcBorders>
            <w:shd w:val="clear" w:color="auto" w:fill="auto"/>
            <w:vAlign w:val="center"/>
          </w:tcPr>
          <w:p w14:paraId="7DBCB0F4">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顶面LED条形灯</w:t>
            </w:r>
          </w:p>
        </w:tc>
        <w:tc>
          <w:tcPr>
            <w:tcW w:w="8573" w:type="dxa"/>
            <w:tcBorders>
              <w:tl2br w:val="nil"/>
              <w:tr2bl w:val="nil"/>
            </w:tcBorders>
            <w:shd w:val="clear" w:color="auto" w:fill="auto"/>
            <w:vAlign w:val="center"/>
          </w:tcPr>
          <w:p w14:paraId="194E6139">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1.LED环保条形灯，LED灯具尺寸：≥1200mm*100mm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2.外壳材质：1.4mm黑色铝材灯框，亚克力白色灯罩；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4.光源功率：≥18W ；光通量：≥1190Lm ；显色指数：≥80；灯光线路采用黑色专用套管，整体灯光亮度符合国家中小学专用教室照明设计规范。</w:t>
            </w:r>
          </w:p>
        </w:tc>
        <w:tc>
          <w:tcPr>
            <w:tcW w:w="816" w:type="dxa"/>
            <w:tcBorders>
              <w:tl2br w:val="nil"/>
              <w:tr2bl w:val="nil"/>
            </w:tcBorders>
            <w:shd w:val="clear" w:color="auto" w:fill="auto"/>
            <w:vAlign w:val="center"/>
          </w:tcPr>
          <w:p w14:paraId="16A7A836">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498" w:type="dxa"/>
            <w:tcBorders>
              <w:tl2br w:val="nil"/>
              <w:tr2bl w:val="nil"/>
            </w:tcBorders>
            <w:shd w:val="clear" w:color="auto" w:fill="auto"/>
            <w:vAlign w:val="center"/>
          </w:tcPr>
          <w:p w14:paraId="7A02D81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盏</w:t>
            </w:r>
          </w:p>
        </w:tc>
        <w:tc>
          <w:tcPr>
            <w:tcW w:w="2796" w:type="dxa"/>
            <w:tcBorders>
              <w:tl2br w:val="nil"/>
              <w:tr2bl w:val="nil"/>
            </w:tcBorders>
            <w:shd w:val="clear" w:color="auto" w:fill="auto"/>
            <w:vAlign w:val="center"/>
          </w:tcPr>
          <w:p w14:paraId="489139B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41EDE1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6520410">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1166" w:type="dxa"/>
            <w:tcBorders>
              <w:tl2br w:val="nil"/>
              <w:tr2bl w:val="nil"/>
            </w:tcBorders>
            <w:shd w:val="clear" w:color="auto" w:fill="auto"/>
            <w:vAlign w:val="center"/>
          </w:tcPr>
          <w:p w14:paraId="3BA1C8D8">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8573" w:type="dxa"/>
            <w:tcBorders>
              <w:tl2br w:val="nil"/>
              <w:tr2bl w:val="nil"/>
            </w:tcBorders>
            <w:shd w:val="clear" w:color="auto" w:fill="auto"/>
            <w:vAlign w:val="center"/>
          </w:tcPr>
          <w:p w14:paraId="06794FC5">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25F824BC">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498" w:type="dxa"/>
            <w:tcBorders>
              <w:tl2br w:val="nil"/>
              <w:tr2bl w:val="nil"/>
            </w:tcBorders>
            <w:shd w:val="clear" w:color="auto" w:fill="auto"/>
            <w:vAlign w:val="center"/>
          </w:tcPr>
          <w:p w14:paraId="7199DB0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17A1E4C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063048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D33B14">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w:t>
            </w:r>
          </w:p>
        </w:tc>
        <w:tc>
          <w:tcPr>
            <w:tcW w:w="1166" w:type="dxa"/>
            <w:tcBorders>
              <w:tl2br w:val="nil"/>
              <w:tr2bl w:val="nil"/>
            </w:tcBorders>
            <w:shd w:val="clear" w:color="auto" w:fill="auto"/>
            <w:vAlign w:val="center"/>
          </w:tcPr>
          <w:p w14:paraId="386190C2">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展示墙</w:t>
            </w:r>
          </w:p>
        </w:tc>
        <w:tc>
          <w:tcPr>
            <w:tcW w:w="8573" w:type="dxa"/>
            <w:tcBorders>
              <w:tl2br w:val="nil"/>
              <w:tr2bl w:val="nil"/>
            </w:tcBorders>
            <w:shd w:val="clear" w:color="auto" w:fill="auto"/>
            <w:vAlign w:val="center"/>
          </w:tcPr>
          <w:p w14:paraId="23F8F2DB">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多层实木框架，局部石膏板饰面，内部≥12mm聚酯纤维毛毡装饰。</w:t>
            </w:r>
          </w:p>
        </w:tc>
        <w:tc>
          <w:tcPr>
            <w:tcW w:w="816" w:type="dxa"/>
            <w:tcBorders>
              <w:tl2br w:val="nil"/>
              <w:tr2bl w:val="nil"/>
            </w:tcBorders>
            <w:shd w:val="clear" w:color="auto" w:fill="auto"/>
            <w:vAlign w:val="center"/>
          </w:tcPr>
          <w:p w14:paraId="293FB6FE">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14.50 </w:t>
            </w:r>
          </w:p>
        </w:tc>
        <w:tc>
          <w:tcPr>
            <w:tcW w:w="498" w:type="dxa"/>
            <w:tcBorders>
              <w:tl2br w:val="nil"/>
              <w:tr2bl w:val="nil"/>
            </w:tcBorders>
            <w:shd w:val="clear" w:color="auto" w:fill="auto"/>
            <w:vAlign w:val="center"/>
          </w:tcPr>
          <w:p w14:paraId="168AD10D">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M2</w:t>
            </w:r>
          </w:p>
        </w:tc>
        <w:tc>
          <w:tcPr>
            <w:tcW w:w="2796" w:type="dxa"/>
            <w:tcBorders>
              <w:tl2br w:val="nil"/>
              <w:tr2bl w:val="nil"/>
            </w:tcBorders>
            <w:shd w:val="clear" w:color="auto" w:fill="auto"/>
            <w:vAlign w:val="center"/>
          </w:tcPr>
          <w:p w14:paraId="2A62B18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2C7EB0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39B2FC0">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1166" w:type="dxa"/>
            <w:tcBorders>
              <w:tl2br w:val="nil"/>
              <w:tr2bl w:val="nil"/>
            </w:tcBorders>
            <w:shd w:val="clear" w:color="auto" w:fill="auto"/>
            <w:vAlign w:val="center"/>
          </w:tcPr>
          <w:p w14:paraId="6C7C09B5">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8573" w:type="dxa"/>
            <w:tcBorders>
              <w:tl2br w:val="nil"/>
              <w:tr2bl w:val="nil"/>
            </w:tcBorders>
            <w:shd w:val="clear" w:color="auto" w:fill="auto"/>
            <w:vAlign w:val="center"/>
          </w:tcPr>
          <w:p w14:paraId="7F85CA5F">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816" w:type="dxa"/>
            <w:tcBorders>
              <w:tl2br w:val="nil"/>
              <w:tr2bl w:val="nil"/>
            </w:tcBorders>
            <w:shd w:val="clear" w:color="auto" w:fill="auto"/>
            <w:vAlign w:val="center"/>
          </w:tcPr>
          <w:p w14:paraId="09F5A8CD">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498" w:type="dxa"/>
            <w:tcBorders>
              <w:tl2br w:val="nil"/>
              <w:tr2bl w:val="nil"/>
            </w:tcBorders>
            <w:shd w:val="clear" w:color="auto" w:fill="auto"/>
            <w:vAlign w:val="center"/>
          </w:tcPr>
          <w:p w14:paraId="3EF7A3D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项</w:t>
            </w:r>
          </w:p>
        </w:tc>
        <w:tc>
          <w:tcPr>
            <w:tcW w:w="2796" w:type="dxa"/>
            <w:tcBorders>
              <w:tl2br w:val="nil"/>
              <w:tr2bl w:val="nil"/>
            </w:tcBorders>
            <w:shd w:val="clear" w:color="auto" w:fill="auto"/>
            <w:vAlign w:val="center"/>
          </w:tcPr>
          <w:p w14:paraId="2DF007A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4A3CF6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45C27E8">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w:t>
            </w:r>
          </w:p>
        </w:tc>
        <w:tc>
          <w:tcPr>
            <w:tcW w:w="1166" w:type="dxa"/>
            <w:tcBorders>
              <w:tl2br w:val="nil"/>
              <w:tr2bl w:val="nil"/>
            </w:tcBorders>
            <w:shd w:val="clear" w:color="auto" w:fill="auto"/>
            <w:vAlign w:val="center"/>
          </w:tcPr>
          <w:p w14:paraId="19A5AC98">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8573" w:type="dxa"/>
            <w:tcBorders>
              <w:tl2br w:val="nil"/>
              <w:tr2bl w:val="nil"/>
            </w:tcBorders>
            <w:shd w:val="clear" w:color="auto" w:fill="auto"/>
            <w:vAlign w:val="center"/>
          </w:tcPr>
          <w:p w14:paraId="36EA5FC6">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816" w:type="dxa"/>
            <w:tcBorders>
              <w:tl2br w:val="nil"/>
              <w:tr2bl w:val="nil"/>
            </w:tcBorders>
            <w:shd w:val="clear" w:color="auto" w:fill="auto"/>
            <w:vAlign w:val="center"/>
          </w:tcPr>
          <w:p w14:paraId="6D088B76">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354009B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米</w:t>
            </w:r>
          </w:p>
        </w:tc>
        <w:tc>
          <w:tcPr>
            <w:tcW w:w="2796" w:type="dxa"/>
            <w:tcBorders>
              <w:tl2br w:val="nil"/>
              <w:tr2bl w:val="nil"/>
            </w:tcBorders>
            <w:shd w:val="clear" w:color="auto" w:fill="auto"/>
            <w:vAlign w:val="center"/>
          </w:tcPr>
          <w:p w14:paraId="654A767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p>
        </w:tc>
      </w:tr>
      <w:tr w14:paraId="2025A5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2C13D24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b/>
                <w:bCs/>
                <w:color w:val="000000" w:themeColor="text1"/>
                <w:sz w:val="28"/>
                <w:szCs w:val="36"/>
                <w:vertAlign w:val="baseline"/>
                <w:lang w:val="en-US" w:eastAsia="zh-CN"/>
                <w14:textFill>
                  <w14:solidFill>
                    <w14:schemeClr w14:val="tx1"/>
                  </w14:solidFill>
                </w14:textFill>
              </w:rPr>
              <w:t>10.</w:t>
            </w:r>
            <w:r>
              <w:rPr>
                <w:rFonts w:hint="eastAsia" w:ascii="宋体" w:hAnsi="宋体" w:eastAsia="宋体" w:cs="宋体"/>
                <w:b/>
                <w:bCs/>
                <w:color w:val="000000" w:themeColor="text1"/>
                <w:sz w:val="28"/>
                <w:szCs w:val="36"/>
                <w:vertAlign w:val="baseline"/>
                <w:lang w:val="en-US" w:eastAsia="zh-CN"/>
                <w14:textFill>
                  <w14:solidFill>
                    <w14:schemeClr w14:val="tx1"/>
                  </w14:solidFill>
                </w14:textFill>
              </w:rPr>
              <w:t>美术教室2</w:t>
            </w:r>
          </w:p>
        </w:tc>
      </w:tr>
      <w:tr w14:paraId="6B90C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ECF5FF2">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2C9CBF74">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8573" w:type="dxa"/>
            <w:tcBorders>
              <w:tl2br w:val="nil"/>
              <w:tr2bl w:val="nil"/>
            </w:tcBorders>
            <w:shd w:val="clear" w:color="auto" w:fill="auto"/>
            <w:vAlign w:val="center"/>
          </w:tcPr>
          <w:p w14:paraId="2D43BC40">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2.台面：采用≥25mm三聚氰胺防潮双贴面板(基板为E1级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)，板材所有截面厚度≥2.0mmPVC机器封边，粘力强、密封性好、外形美观、经久耐用。组装接缝严密，连接牢固，无松动现象。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2.五金配件：采用304不锈钢拉手、铰链、三节导轨等，所有五金配件全部经过防锈、防腐处理。</w:t>
            </w:r>
          </w:p>
        </w:tc>
        <w:tc>
          <w:tcPr>
            <w:tcW w:w="816" w:type="dxa"/>
            <w:tcBorders>
              <w:tl2br w:val="nil"/>
              <w:tr2bl w:val="nil"/>
            </w:tcBorders>
            <w:shd w:val="clear" w:color="auto" w:fill="auto"/>
            <w:vAlign w:val="center"/>
          </w:tcPr>
          <w:p w14:paraId="0C32A25D">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596FA4A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7D94CDEF">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38200" cy="476250"/>
                  <wp:effectExtent l="0" t="0" r="0" b="0"/>
                  <wp:docPr id="29"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descr="IMG_256"/>
                          <pic:cNvPicPr>
                            <a:picLocks noChangeAspect="1"/>
                          </pic:cNvPicPr>
                        </pic:nvPicPr>
                        <pic:blipFill>
                          <a:blip r:embed="rId34"/>
                          <a:stretch>
                            <a:fillRect/>
                          </a:stretch>
                        </pic:blipFill>
                        <pic:spPr>
                          <a:xfrm>
                            <a:off x="0" y="0"/>
                            <a:ext cx="838200" cy="476250"/>
                          </a:xfrm>
                          <a:prstGeom prst="rect">
                            <a:avLst/>
                          </a:prstGeom>
                          <a:noFill/>
                          <a:ln w="9525">
                            <a:noFill/>
                          </a:ln>
                        </pic:spPr>
                      </pic:pic>
                    </a:graphicData>
                  </a:graphic>
                </wp:inline>
              </w:drawing>
            </w:r>
          </w:p>
        </w:tc>
      </w:tr>
      <w:tr w14:paraId="7459A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0573A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1166" w:type="dxa"/>
            <w:tcBorders>
              <w:tl2br w:val="nil"/>
              <w:tr2bl w:val="nil"/>
            </w:tcBorders>
            <w:shd w:val="clear" w:color="auto" w:fill="auto"/>
            <w:vAlign w:val="center"/>
          </w:tcPr>
          <w:p w14:paraId="7A690D8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学生桌</w:t>
            </w:r>
          </w:p>
        </w:tc>
        <w:tc>
          <w:tcPr>
            <w:tcW w:w="8573" w:type="dxa"/>
            <w:tcBorders>
              <w:tl2br w:val="nil"/>
              <w:tr2bl w:val="nil"/>
            </w:tcBorders>
            <w:shd w:val="clear" w:color="auto" w:fill="auto"/>
            <w:vAlign w:val="center"/>
          </w:tcPr>
          <w:p w14:paraId="29AE4BB6">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1、规格：≥1800*1000*720mm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2、结构：全木结构（卯榫方式连接）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(1)台面：采用≥18mm厚橡胶木指接板，四周围边整体可视厚度100mm，四角倒圆角，防止学生磕碰。表面环保清水油漆处理，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（2）桌脚：采用≥60*60mm橡胶木原木脚；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（3）工艺：边缘抛圆处理，外表面和内表面以及手指可触及的隐蔽处，均不得有锐利的棱角、毛刺及小五金部件露出的锐利尖锐；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（4）油漆： 环保水性漆，甲醛释放量等各项技术指标达到国际E1级环保标准。</w:t>
            </w:r>
          </w:p>
        </w:tc>
        <w:tc>
          <w:tcPr>
            <w:tcW w:w="816" w:type="dxa"/>
            <w:tcBorders>
              <w:tl2br w:val="nil"/>
              <w:tr2bl w:val="nil"/>
            </w:tcBorders>
            <w:shd w:val="clear" w:color="auto" w:fill="auto"/>
            <w:vAlign w:val="center"/>
          </w:tcPr>
          <w:p w14:paraId="5BC00C8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c>
          <w:tcPr>
            <w:tcW w:w="498" w:type="dxa"/>
            <w:tcBorders>
              <w:tl2br w:val="nil"/>
              <w:tr2bl w:val="nil"/>
            </w:tcBorders>
            <w:shd w:val="clear" w:color="auto" w:fill="auto"/>
            <w:vAlign w:val="center"/>
          </w:tcPr>
          <w:p w14:paraId="443F519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49F6430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723900" cy="476250"/>
                  <wp:effectExtent l="0" t="0" r="0" b="0"/>
                  <wp:docPr id="30" name="图片 2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descr="IMG_257"/>
                          <pic:cNvPicPr>
                            <a:picLocks noChangeAspect="1"/>
                          </pic:cNvPicPr>
                        </pic:nvPicPr>
                        <pic:blipFill>
                          <a:blip r:embed="rId35"/>
                          <a:stretch>
                            <a:fillRect/>
                          </a:stretch>
                        </pic:blipFill>
                        <pic:spPr>
                          <a:xfrm>
                            <a:off x="0" y="0"/>
                            <a:ext cx="723900" cy="476250"/>
                          </a:xfrm>
                          <a:prstGeom prst="rect">
                            <a:avLst/>
                          </a:prstGeom>
                          <a:noFill/>
                          <a:ln w="9525">
                            <a:noFill/>
                          </a:ln>
                        </pic:spPr>
                      </pic:pic>
                    </a:graphicData>
                  </a:graphic>
                </wp:inline>
              </w:drawing>
            </w:r>
          </w:p>
        </w:tc>
      </w:tr>
      <w:tr w14:paraId="62E227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52183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c>
          <w:tcPr>
            <w:tcW w:w="1166" w:type="dxa"/>
            <w:tcBorders>
              <w:tl2br w:val="nil"/>
              <w:tr2bl w:val="nil"/>
            </w:tcBorders>
            <w:shd w:val="clear" w:color="auto" w:fill="auto"/>
            <w:vAlign w:val="center"/>
          </w:tcPr>
          <w:p w14:paraId="0726CF31">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学生凳</w:t>
            </w:r>
          </w:p>
        </w:tc>
        <w:tc>
          <w:tcPr>
            <w:tcW w:w="8573" w:type="dxa"/>
            <w:tcBorders>
              <w:tl2br w:val="nil"/>
              <w:tr2bl w:val="nil"/>
            </w:tcBorders>
            <w:shd w:val="clear" w:color="auto" w:fill="auto"/>
            <w:vAlign w:val="center"/>
          </w:tcPr>
          <w:p w14:paraId="00B5A578">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1.规格：≥320*320*420mm（卯榫方式连接）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2.台面：采用≥18mm厚橡胶木指接板，表面环保清水油漆处理。四角倒圆角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凳脚：采用不≥30*30mm实木脚，表面环保清水油漆处理。</w:t>
            </w:r>
          </w:p>
        </w:tc>
        <w:tc>
          <w:tcPr>
            <w:tcW w:w="816" w:type="dxa"/>
            <w:tcBorders>
              <w:tl2br w:val="nil"/>
              <w:tr2bl w:val="nil"/>
            </w:tcBorders>
            <w:shd w:val="clear" w:color="auto" w:fill="auto"/>
            <w:vAlign w:val="center"/>
          </w:tcPr>
          <w:p w14:paraId="74E631FC">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48</w:t>
            </w:r>
          </w:p>
        </w:tc>
        <w:tc>
          <w:tcPr>
            <w:tcW w:w="498" w:type="dxa"/>
            <w:tcBorders>
              <w:tl2br w:val="nil"/>
              <w:tr2bl w:val="nil"/>
            </w:tcBorders>
            <w:shd w:val="clear" w:color="auto" w:fill="auto"/>
            <w:vAlign w:val="center"/>
          </w:tcPr>
          <w:p w14:paraId="2F4F292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49DF9B94">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52450" cy="476250"/>
                  <wp:effectExtent l="0" t="0" r="0" b="0"/>
                  <wp:docPr id="31" name="图片 2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IMG_258"/>
                          <pic:cNvPicPr>
                            <a:picLocks noChangeAspect="1"/>
                          </pic:cNvPicPr>
                        </pic:nvPicPr>
                        <pic:blipFill>
                          <a:blip r:embed="rId36"/>
                          <a:stretch>
                            <a:fillRect/>
                          </a:stretch>
                        </pic:blipFill>
                        <pic:spPr>
                          <a:xfrm>
                            <a:off x="0" y="0"/>
                            <a:ext cx="552450" cy="476250"/>
                          </a:xfrm>
                          <a:prstGeom prst="rect">
                            <a:avLst/>
                          </a:prstGeom>
                          <a:noFill/>
                          <a:ln w="9525">
                            <a:noFill/>
                          </a:ln>
                        </pic:spPr>
                      </pic:pic>
                    </a:graphicData>
                  </a:graphic>
                </wp:inline>
              </w:drawing>
            </w:r>
          </w:p>
        </w:tc>
      </w:tr>
      <w:tr w14:paraId="7FC3A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5E91D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1166" w:type="dxa"/>
            <w:tcBorders>
              <w:tl2br w:val="nil"/>
              <w:tr2bl w:val="nil"/>
            </w:tcBorders>
            <w:shd w:val="clear" w:color="auto" w:fill="auto"/>
            <w:vAlign w:val="center"/>
          </w:tcPr>
          <w:p w14:paraId="71890FB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篆刻工具</w:t>
            </w:r>
          </w:p>
        </w:tc>
        <w:tc>
          <w:tcPr>
            <w:tcW w:w="8573" w:type="dxa"/>
            <w:tcBorders>
              <w:tl2br w:val="nil"/>
              <w:tr2bl w:val="nil"/>
            </w:tcBorders>
            <w:shd w:val="clear" w:color="auto" w:fill="auto"/>
            <w:vAlign w:val="center"/>
          </w:tcPr>
          <w:p w14:paraId="3B11BD77">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篆刻刀、 印床、章料、 印泥、砂纸</w:t>
            </w:r>
          </w:p>
        </w:tc>
        <w:tc>
          <w:tcPr>
            <w:tcW w:w="816" w:type="dxa"/>
            <w:tcBorders>
              <w:tl2br w:val="nil"/>
              <w:tr2bl w:val="nil"/>
            </w:tcBorders>
            <w:shd w:val="clear" w:color="auto" w:fill="auto"/>
            <w:vAlign w:val="center"/>
          </w:tcPr>
          <w:p w14:paraId="5A314DA1">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50</w:t>
            </w:r>
          </w:p>
        </w:tc>
        <w:tc>
          <w:tcPr>
            <w:tcW w:w="498" w:type="dxa"/>
            <w:tcBorders>
              <w:tl2br w:val="nil"/>
              <w:tr2bl w:val="nil"/>
            </w:tcBorders>
            <w:shd w:val="clear" w:color="auto" w:fill="auto"/>
            <w:vAlign w:val="center"/>
          </w:tcPr>
          <w:p w14:paraId="31F6C0F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92D74AA">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95350" cy="476250"/>
                  <wp:effectExtent l="0" t="0" r="0" b="0"/>
                  <wp:docPr id="32" name="图片 2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descr="IMG_259"/>
                          <pic:cNvPicPr>
                            <a:picLocks noChangeAspect="1"/>
                          </pic:cNvPicPr>
                        </pic:nvPicPr>
                        <pic:blipFill>
                          <a:blip r:embed="rId37"/>
                          <a:stretch>
                            <a:fillRect/>
                          </a:stretch>
                        </pic:blipFill>
                        <pic:spPr>
                          <a:xfrm>
                            <a:off x="0" y="0"/>
                            <a:ext cx="895350" cy="476250"/>
                          </a:xfrm>
                          <a:prstGeom prst="rect">
                            <a:avLst/>
                          </a:prstGeom>
                          <a:noFill/>
                          <a:ln w="9525">
                            <a:noFill/>
                          </a:ln>
                        </pic:spPr>
                      </pic:pic>
                    </a:graphicData>
                  </a:graphic>
                </wp:inline>
              </w:drawing>
            </w:r>
          </w:p>
        </w:tc>
      </w:tr>
      <w:tr w14:paraId="571E4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398BA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w:t>
            </w:r>
          </w:p>
        </w:tc>
        <w:tc>
          <w:tcPr>
            <w:tcW w:w="1166" w:type="dxa"/>
            <w:tcBorders>
              <w:tl2br w:val="nil"/>
              <w:tr2bl w:val="nil"/>
            </w:tcBorders>
            <w:shd w:val="clear" w:color="auto" w:fill="auto"/>
            <w:vAlign w:val="center"/>
          </w:tcPr>
          <w:p w14:paraId="6F66FE2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民间美术欣赏及写生样本</w:t>
            </w:r>
          </w:p>
        </w:tc>
        <w:tc>
          <w:tcPr>
            <w:tcW w:w="8573" w:type="dxa"/>
            <w:tcBorders>
              <w:tl2br w:val="nil"/>
              <w:tr2bl w:val="nil"/>
            </w:tcBorders>
            <w:shd w:val="clear" w:color="auto" w:fill="auto"/>
            <w:vAlign w:val="center"/>
          </w:tcPr>
          <w:p w14:paraId="6A44C12F">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中国结、京剧脸谱、扎染、蜡染、皮影、年画、木板年画、剪纸、面具、泥塑、玩具、风车、纹样、风筝、唐三彩、彩陶器、瓷器</w:t>
            </w:r>
          </w:p>
        </w:tc>
        <w:tc>
          <w:tcPr>
            <w:tcW w:w="816" w:type="dxa"/>
            <w:tcBorders>
              <w:tl2br w:val="nil"/>
              <w:tr2bl w:val="nil"/>
            </w:tcBorders>
            <w:shd w:val="clear" w:color="auto" w:fill="auto"/>
            <w:vAlign w:val="center"/>
          </w:tcPr>
          <w:p w14:paraId="61186E90">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3E22C0F">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23C0D0E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71500" cy="476250"/>
                  <wp:effectExtent l="0" t="0" r="0" b="0"/>
                  <wp:docPr id="33" name="图片 2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descr="IMG_260"/>
                          <pic:cNvPicPr>
                            <a:picLocks noChangeAspect="1"/>
                          </pic:cNvPicPr>
                        </pic:nvPicPr>
                        <pic:blipFill>
                          <a:blip r:embed="rId38"/>
                          <a:stretch>
                            <a:fillRect/>
                          </a:stretch>
                        </pic:blipFill>
                        <pic:spPr>
                          <a:xfrm>
                            <a:off x="0" y="0"/>
                            <a:ext cx="571500" cy="476250"/>
                          </a:xfrm>
                          <a:prstGeom prst="rect">
                            <a:avLst/>
                          </a:prstGeom>
                          <a:noFill/>
                          <a:ln w="9525">
                            <a:noFill/>
                          </a:ln>
                        </pic:spPr>
                      </pic:pic>
                    </a:graphicData>
                  </a:graphic>
                </wp:inline>
              </w:drawing>
            </w:r>
          </w:p>
        </w:tc>
      </w:tr>
      <w:tr w14:paraId="1C63B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26ABB87">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6</w:t>
            </w:r>
          </w:p>
        </w:tc>
        <w:tc>
          <w:tcPr>
            <w:tcW w:w="1166" w:type="dxa"/>
            <w:tcBorders>
              <w:tl2br w:val="nil"/>
              <w:tr2bl w:val="nil"/>
            </w:tcBorders>
            <w:shd w:val="clear" w:color="auto" w:fill="auto"/>
            <w:vAlign w:val="center"/>
          </w:tcPr>
          <w:p w14:paraId="6D26C03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彩铅画笔</w:t>
            </w:r>
          </w:p>
        </w:tc>
        <w:tc>
          <w:tcPr>
            <w:tcW w:w="8573" w:type="dxa"/>
            <w:tcBorders>
              <w:tl2br w:val="nil"/>
              <w:tr2bl w:val="nil"/>
            </w:tcBorders>
            <w:shd w:val="clear" w:color="auto" w:fill="auto"/>
            <w:vAlign w:val="center"/>
          </w:tcPr>
          <w:p w14:paraId="5396D476">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24色彩铅笔一套</w:t>
            </w:r>
          </w:p>
        </w:tc>
        <w:tc>
          <w:tcPr>
            <w:tcW w:w="816" w:type="dxa"/>
            <w:tcBorders>
              <w:tl2br w:val="nil"/>
              <w:tr2bl w:val="nil"/>
            </w:tcBorders>
            <w:shd w:val="clear" w:color="auto" w:fill="auto"/>
            <w:vAlign w:val="center"/>
          </w:tcPr>
          <w:p w14:paraId="43F60987">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12A0329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F14443C">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28650" cy="476250"/>
                  <wp:effectExtent l="0" t="0" r="0" b="0"/>
                  <wp:docPr id="34" name="图片 2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descr="IMG_261"/>
                          <pic:cNvPicPr>
                            <a:picLocks noChangeAspect="1"/>
                          </pic:cNvPicPr>
                        </pic:nvPicPr>
                        <pic:blipFill>
                          <a:blip r:embed="rId39"/>
                          <a:stretch>
                            <a:fillRect/>
                          </a:stretch>
                        </pic:blipFill>
                        <pic:spPr>
                          <a:xfrm>
                            <a:off x="0" y="0"/>
                            <a:ext cx="628650" cy="476250"/>
                          </a:xfrm>
                          <a:prstGeom prst="rect">
                            <a:avLst/>
                          </a:prstGeom>
                          <a:noFill/>
                          <a:ln w="9525">
                            <a:noFill/>
                          </a:ln>
                        </pic:spPr>
                      </pic:pic>
                    </a:graphicData>
                  </a:graphic>
                </wp:inline>
              </w:drawing>
            </w:r>
          </w:p>
        </w:tc>
      </w:tr>
      <w:tr w14:paraId="763FC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4725EFF">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7</w:t>
            </w:r>
          </w:p>
        </w:tc>
        <w:tc>
          <w:tcPr>
            <w:tcW w:w="1166" w:type="dxa"/>
            <w:tcBorders>
              <w:tl2br w:val="nil"/>
              <w:tr2bl w:val="nil"/>
            </w:tcBorders>
            <w:shd w:val="clear" w:color="auto" w:fill="auto"/>
            <w:vAlign w:val="center"/>
          </w:tcPr>
          <w:p w14:paraId="6F62A78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油彩棒</w:t>
            </w:r>
          </w:p>
        </w:tc>
        <w:tc>
          <w:tcPr>
            <w:tcW w:w="8573" w:type="dxa"/>
            <w:tcBorders>
              <w:tl2br w:val="nil"/>
              <w:tr2bl w:val="nil"/>
            </w:tcBorders>
            <w:shd w:val="clear" w:color="auto" w:fill="auto"/>
            <w:vAlign w:val="center"/>
          </w:tcPr>
          <w:p w14:paraId="32C7405E">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24色重彩油画棒一套</w:t>
            </w:r>
          </w:p>
        </w:tc>
        <w:tc>
          <w:tcPr>
            <w:tcW w:w="816" w:type="dxa"/>
            <w:tcBorders>
              <w:tl2br w:val="nil"/>
              <w:tr2bl w:val="nil"/>
            </w:tcBorders>
            <w:shd w:val="clear" w:color="auto" w:fill="auto"/>
            <w:vAlign w:val="center"/>
          </w:tcPr>
          <w:p w14:paraId="29DF8B17">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1B4B43AF">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6E40066F">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28650" cy="476250"/>
                  <wp:effectExtent l="0" t="0" r="0" b="0"/>
                  <wp:docPr id="35" name="图片 2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descr="IMG_262"/>
                          <pic:cNvPicPr>
                            <a:picLocks noChangeAspect="1"/>
                          </pic:cNvPicPr>
                        </pic:nvPicPr>
                        <pic:blipFill>
                          <a:blip r:embed="rId40"/>
                          <a:stretch>
                            <a:fillRect/>
                          </a:stretch>
                        </pic:blipFill>
                        <pic:spPr>
                          <a:xfrm>
                            <a:off x="0" y="0"/>
                            <a:ext cx="628650" cy="476250"/>
                          </a:xfrm>
                          <a:prstGeom prst="rect">
                            <a:avLst/>
                          </a:prstGeom>
                          <a:noFill/>
                          <a:ln w="9525">
                            <a:noFill/>
                          </a:ln>
                        </pic:spPr>
                      </pic:pic>
                    </a:graphicData>
                  </a:graphic>
                </wp:inline>
              </w:drawing>
            </w:r>
          </w:p>
        </w:tc>
      </w:tr>
      <w:tr w14:paraId="215F64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4ABE733">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c>
          <w:tcPr>
            <w:tcW w:w="1166" w:type="dxa"/>
            <w:tcBorders>
              <w:tl2br w:val="nil"/>
              <w:tr2bl w:val="nil"/>
            </w:tcBorders>
            <w:shd w:val="clear" w:color="auto" w:fill="auto"/>
            <w:vAlign w:val="center"/>
          </w:tcPr>
          <w:p w14:paraId="30F56798">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水彩笔</w:t>
            </w:r>
          </w:p>
        </w:tc>
        <w:tc>
          <w:tcPr>
            <w:tcW w:w="8573" w:type="dxa"/>
            <w:tcBorders>
              <w:tl2br w:val="nil"/>
              <w:tr2bl w:val="nil"/>
            </w:tcBorders>
            <w:shd w:val="clear" w:color="auto" w:fill="auto"/>
            <w:vAlign w:val="center"/>
          </w:tcPr>
          <w:p w14:paraId="6D11F9F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24色水彩笔一套</w:t>
            </w:r>
          </w:p>
        </w:tc>
        <w:tc>
          <w:tcPr>
            <w:tcW w:w="816" w:type="dxa"/>
            <w:tcBorders>
              <w:tl2br w:val="nil"/>
              <w:tr2bl w:val="nil"/>
            </w:tcBorders>
            <w:shd w:val="clear" w:color="auto" w:fill="auto"/>
            <w:vAlign w:val="center"/>
          </w:tcPr>
          <w:p w14:paraId="305E349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3F048664">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A00FCFF">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781050" cy="476250"/>
                  <wp:effectExtent l="0" t="0" r="0" b="0"/>
                  <wp:docPr id="36" name="图片 3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 descr="IMG_263"/>
                          <pic:cNvPicPr>
                            <a:picLocks noChangeAspect="1"/>
                          </pic:cNvPicPr>
                        </pic:nvPicPr>
                        <pic:blipFill>
                          <a:blip r:embed="rId41"/>
                          <a:stretch>
                            <a:fillRect/>
                          </a:stretch>
                        </pic:blipFill>
                        <pic:spPr>
                          <a:xfrm>
                            <a:off x="0" y="0"/>
                            <a:ext cx="781050" cy="476250"/>
                          </a:xfrm>
                          <a:prstGeom prst="rect">
                            <a:avLst/>
                          </a:prstGeom>
                          <a:noFill/>
                          <a:ln w="9525">
                            <a:noFill/>
                          </a:ln>
                        </pic:spPr>
                      </pic:pic>
                    </a:graphicData>
                  </a:graphic>
                </wp:inline>
              </w:drawing>
            </w:r>
          </w:p>
        </w:tc>
      </w:tr>
      <w:tr w14:paraId="666B0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77A6CD4">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9</w:t>
            </w:r>
          </w:p>
        </w:tc>
        <w:tc>
          <w:tcPr>
            <w:tcW w:w="1166" w:type="dxa"/>
            <w:tcBorders>
              <w:tl2br w:val="nil"/>
              <w:tr2bl w:val="nil"/>
            </w:tcBorders>
            <w:shd w:val="clear" w:color="auto" w:fill="auto"/>
            <w:vAlign w:val="center"/>
          </w:tcPr>
          <w:p w14:paraId="00CBC0C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折叠水桶</w:t>
            </w:r>
          </w:p>
        </w:tc>
        <w:tc>
          <w:tcPr>
            <w:tcW w:w="8573" w:type="dxa"/>
            <w:tcBorders>
              <w:tl2br w:val="nil"/>
              <w:tr2bl w:val="nil"/>
            </w:tcBorders>
            <w:shd w:val="clear" w:color="auto" w:fill="auto"/>
            <w:vAlign w:val="center"/>
          </w:tcPr>
          <w:p w14:paraId="21F16071">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2000ml小 可折叠</w:t>
            </w:r>
          </w:p>
        </w:tc>
        <w:tc>
          <w:tcPr>
            <w:tcW w:w="816" w:type="dxa"/>
            <w:tcBorders>
              <w:tl2br w:val="nil"/>
              <w:tr2bl w:val="nil"/>
            </w:tcBorders>
            <w:shd w:val="clear" w:color="auto" w:fill="auto"/>
            <w:vAlign w:val="center"/>
          </w:tcPr>
          <w:p w14:paraId="0137E92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7148EC6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3128E2F">
            <w:pPr>
              <w:rPr>
                <w:rFonts w:hint="eastAsia" w:ascii="宋体" w:hAnsi="宋体" w:eastAsia="宋体" w:cs="宋体"/>
                <w:color w:val="auto"/>
                <w:kern w:val="2"/>
                <w:sz w:val="20"/>
                <w:szCs w:val="22"/>
                <w:vertAlign w:val="baseline"/>
                <w:lang w:val="en-US" w:eastAsia="zh-CN" w:bidi="ar-SA"/>
              </w:rPr>
            </w:pPr>
          </w:p>
        </w:tc>
      </w:tr>
      <w:tr w14:paraId="4884BE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21D05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10</w:t>
            </w:r>
          </w:p>
        </w:tc>
        <w:tc>
          <w:tcPr>
            <w:tcW w:w="1166" w:type="dxa"/>
            <w:tcBorders>
              <w:tl2br w:val="nil"/>
              <w:tr2bl w:val="nil"/>
            </w:tcBorders>
            <w:shd w:val="clear" w:color="auto" w:fill="auto"/>
            <w:vAlign w:val="center"/>
          </w:tcPr>
          <w:p w14:paraId="7C3E4CF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泥工工具</w:t>
            </w:r>
          </w:p>
        </w:tc>
        <w:tc>
          <w:tcPr>
            <w:tcW w:w="8573" w:type="dxa"/>
            <w:tcBorders>
              <w:tl2br w:val="nil"/>
              <w:tr2bl w:val="nil"/>
            </w:tcBorders>
            <w:shd w:val="clear" w:color="auto" w:fill="auto"/>
            <w:vAlign w:val="center"/>
          </w:tcPr>
          <w:p w14:paraId="7064F5B5">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泥塑刀6把、环形刀3把、刮刀2把、切割线1套、刮板1件、拍板1件、型板1块、喷壶1个、海绵1块</w:t>
            </w:r>
          </w:p>
        </w:tc>
        <w:tc>
          <w:tcPr>
            <w:tcW w:w="816" w:type="dxa"/>
            <w:tcBorders>
              <w:tl2br w:val="nil"/>
              <w:tr2bl w:val="nil"/>
            </w:tcBorders>
            <w:shd w:val="clear" w:color="auto" w:fill="auto"/>
            <w:vAlign w:val="center"/>
          </w:tcPr>
          <w:p w14:paraId="361B04D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03C45357">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A07298E">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419100" cy="476250"/>
                  <wp:effectExtent l="0" t="0" r="0" b="0"/>
                  <wp:docPr id="37" name="图片 3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descr="IMG_264"/>
                          <pic:cNvPicPr>
                            <a:picLocks noChangeAspect="1"/>
                          </pic:cNvPicPr>
                        </pic:nvPicPr>
                        <pic:blipFill>
                          <a:blip r:embed="rId42"/>
                          <a:stretch>
                            <a:fillRect/>
                          </a:stretch>
                        </pic:blipFill>
                        <pic:spPr>
                          <a:xfrm>
                            <a:off x="0" y="0"/>
                            <a:ext cx="419100" cy="476250"/>
                          </a:xfrm>
                          <a:prstGeom prst="rect">
                            <a:avLst/>
                          </a:prstGeom>
                          <a:noFill/>
                          <a:ln w="9525">
                            <a:noFill/>
                          </a:ln>
                        </pic:spPr>
                      </pic:pic>
                    </a:graphicData>
                  </a:graphic>
                </wp:inline>
              </w:drawing>
            </w:r>
          </w:p>
        </w:tc>
      </w:tr>
      <w:tr w14:paraId="382AFD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82057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11</w:t>
            </w:r>
          </w:p>
        </w:tc>
        <w:tc>
          <w:tcPr>
            <w:tcW w:w="1166" w:type="dxa"/>
            <w:tcBorders>
              <w:tl2br w:val="nil"/>
              <w:tr2bl w:val="nil"/>
            </w:tcBorders>
            <w:shd w:val="clear" w:color="auto" w:fill="auto"/>
            <w:vAlign w:val="center"/>
          </w:tcPr>
          <w:p w14:paraId="6075FC40">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云台</w:t>
            </w:r>
          </w:p>
        </w:tc>
        <w:tc>
          <w:tcPr>
            <w:tcW w:w="8573" w:type="dxa"/>
            <w:tcBorders>
              <w:tl2br w:val="nil"/>
              <w:tr2bl w:val="nil"/>
            </w:tcBorders>
            <w:shd w:val="clear" w:color="auto" w:fill="auto"/>
            <w:vAlign w:val="center"/>
          </w:tcPr>
          <w:p w14:paraId="5AA3F4C5">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塑钢转台，尺寸：300*115mm</w:t>
            </w:r>
          </w:p>
        </w:tc>
        <w:tc>
          <w:tcPr>
            <w:tcW w:w="816" w:type="dxa"/>
            <w:tcBorders>
              <w:tl2br w:val="nil"/>
              <w:tr2bl w:val="nil"/>
            </w:tcBorders>
            <w:shd w:val="clear" w:color="auto" w:fill="auto"/>
            <w:vAlign w:val="center"/>
          </w:tcPr>
          <w:p w14:paraId="77963E7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5C0146D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件</w:t>
            </w:r>
          </w:p>
        </w:tc>
        <w:tc>
          <w:tcPr>
            <w:tcW w:w="2796" w:type="dxa"/>
            <w:tcBorders>
              <w:tl2br w:val="nil"/>
              <w:tr2bl w:val="nil"/>
            </w:tcBorders>
            <w:shd w:val="clear" w:color="auto" w:fill="auto"/>
            <w:vAlign w:val="center"/>
          </w:tcPr>
          <w:p w14:paraId="6A227634">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28650" cy="476250"/>
                  <wp:effectExtent l="0" t="0" r="0" b="0"/>
                  <wp:docPr id="38" name="图片 3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2" descr="IMG_265"/>
                          <pic:cNvPicPr>
                            <a:picLocks noChangeAspect="1"/>
                          </pic:cNvPicPr>
                        </pic:nvPicPr>
                        <pic:blipFill>
                          <a:blip r:embed="rId43"/>
                          <a:stretch>
                            <a:fillRect/>
                          </a:stretch>
                        </pic:blipFill>
                        <pic:spPr>
                          <a:xfrm>
                            <a:off x="0" y="0"/>
                            <a:ext cx="628650" cy="476250"/>
                          </a:xfrm>
                          <a:prstGeom prst="rect">
                            <a:avLst/>
                          </a:prstGeom>
                          <a:noFill/>
                          <a:ln w="9525">
                            <a:noFill/>
                          </a:ln>
                        </pic:spPr>
                      </pic:pic>
                    </a:graphicData>
                  </a:graphic>
                </wp:inline>
              </w:drawing>
            </w:r>
          </w:p>
        </w:tc>
      </w:tr>
      <w:tr w14:paraId="2B07D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2A12354">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1166" w:type="dxa"/>
            <w:tcBorders>
              <w:tl2br w:val="nil"/>
              <w:tr2bl w:val="nil"/>
            </w:tcBorders>
            <w:shd w:val="clear" w:color="auto" w:fill="auto"/>
            <w:vAlign w:val="center"/>
          </w:tcPr>
          <w:p w14:paraId="50B53A7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绘图工具</w:t>
            </w:r>
          </w:p>
        </w:tc>
        <w:tc>
          <w:tcPr>
            <w:tcW w:w="8573" w:type="dxa"/>
            <w:tcBorders>
              <w:tl2br w:val="nil"/>
              <w:tr2bl w:val="nil"/>
            </w:tcBorders>
            <w:shd w:val="clear" w:color="auto" w:fill="auto"/>
            <w:vAlign w:val="center"/>
          </w:tcPr>
          <w:p w14:paraId="4A8F01FB">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圆规、尺、三角板、曲线板</w:t>
            </w:r>
          </w:p>
        </w:tc>
        <w:tc>
          <w:tcPr>
            <w:tcW w:w="816" w:type="dxa"/>
            <w:tcBorders>
              <w:tl2br w:val="nil"/>
              <w:tr2bl w:val="nil"/>
            </w:tcBorders>
            <w:shd w:val="clear" w:color="auto" w:fill="auto"/>
            <w:vAlign w:val="center"/>
          </w:tcPr>
          <w:p w14:paraId="2C0B982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00AD357D">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3145F159">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47700" cy="476250"/>
                  <wp:effectExtent l="0" t="0" r="0" b="0"/>
                  <wp:docPr id="39" name="图片 3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descr="IMG_266"/>
                          <pic:cNvPicPr>
                            <a:picLocks noChangeAspect="1"/>
                          </pic:cNvPicPr>
                        </pic:nvPicPr>
                        <pic:blipFill>
                          <a:blip r:embed="rId44"/>
                          <a:stretch>
                            <a:fillRect/>
                          </a:stretch>
                        </pic:blipFill>
                        <pic:spPr>
                          <a:xfrm>
                            <a:off x="0" y="0"/>
                            <a:ext cx="647700" cy="476250"/>
                          </a:xfrm>
                          <a:prstGeom prst="rect">
                            <a:avLst/>
                          </a:prstGeom>
                          <a:noFill/>
                          <a:ln w="9525">
                            <a:noFill/>
                          </a:ln>
                        </pic:spPr>
                      </pic:pic>
                    </a:graphicData>
                  </a:graphic>
                </wp:inline>
              </w:drawing>
            </w:r>
          </w:p>
        </w:tc>
      </w:tr>
      <w:tr w14:paraId="0662A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B6E66B">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15</w:t>
            </w:r>
          </w:p>
        </w:tc>
        <w:tc>
          <w:tcPr>
            <w:tcW w:w="1166" w:type="dxa"/>
            <w:tcBorders>
              <w:tl2br w:val="nil"/>
              <w:tr2bl w:val="nil"/>
            </w:tcBorders>
            <w:shd w:val="clear" w:color="auto" w:fill="auto"/>
            <w:vAlign w:val="center"/>
          </w:tcPr>
          <w:p w14:paraId="390CD89E">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三角板</w:t>
            </w:r>
          </w:p>
        </w:tc>
        <w:tc>
          <w:tcPr>
            <w:tcW w:w="8573" w:type="dxa"/>
            <w:tcBorders>
              <w:tl2br w:val="nil"/>
              <w:tr2bl w:val="nil"/>
            </w:tcBorders>
            <w:shd w:val="clear" w:color="auto" w:fill="auto"/>
            <w:vAlign w:val="center"/>
          </w:tcPr>
          <w:p w14:paraId="1199DBE4">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共4件，250mm：45º 和60º各1件 ； 450mm：45º和60º各1件</w:t>
            </w:r>
          </w:p>
        </w:tc>
        <w:tc>
          <w:tcPr>
            <w:tcW w:w="816" w:type="dxa"/>
            <w:tcBorders>
              <w:tl2br w:val="nil"/>
              <w:tr2bl w:val="nil"/>
            </w:tcBorders>
            <w:shd w:val="clear" w:color="auto" w:fill="auto"/>
            <w:vAlign w:val="center"/>
          </w:tcPr>
          <w:p w14:paraId="1BD57BC6">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2DF0DB77">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3F44E02E">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38175" cy="476250"/>
                  <wp:effectExtent l="0" t="0" r="9525" b="0"/>
                  <wp:docPr id="54" name="图片 3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4" descr="IMG_267"/>
                          <pic:cNvPicPr>
                            <a:picLocks noChangeAspect="1"/>
                          </pic:cNvPicPr>
                        </pic:nvPicPr>
                        <pic:blipFill>
                          <a:blip r:embed="rId45"/>
                          <a:stretch>
                            <a:fillRect/>
                          </a:stretch>
                        </pic:blipFill>
                        <pic:spPr>
                          <a:xfrm>
                            <a:off x="0" y="0"/>
                            <a:ext cx="638175" cy="476250"/>
                          </a:xfrm>
                          <a:prstGeom prst="rect">
                            <a:avLst/>
                          </a:prstGeom>
                          <a:noFill/>
                          <a:ln w="9525">
                            <a:noFill/>
                          </a:ln>
                        </pic:spPr>
                      </pic:pic>
                    </a:graphicData>
                  </a:graphic>
                </wp:inline>
              </w:drawing>
            </w:r>
          </w:p>
        </w:tc>
      </w:tr>
      <w:tr w14:paraId="451758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9EDFDD">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16</w:t>
            </w:r>
          </w:p>
        </w:tc>
        <w:tc>
          <w:tcPr>
            <w:tcW w:w="1166" w:type="dxa"/>
            <w:tcBorders>
              <w:tl2br w:val="nil"/>
              <w:tr2bl w:val="nil"/>
            </w:tcBorders>
            <w:shd w:val="clear" w:color="auto" w:fill="auto"/>
            <w:vAlign w:val="center"/>
          </w:tcPr>
          <w:p w14:paraId="2EE7DD9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版画工具</w:t>
            </w:r>
          </w:p>
        </w:tc>
        <w:tc>
          <w:tcPr>
            <w:tcW w:w="8573" w:type="dxa"/>
            <w:tcBorders>
              <w:tl2br w:val="nil"/>
              <w:tr2bl w:val="nil"/>
            </w:tcBorders>
            <w:shd w:val="clear" w:color="auto" w:fill="auto"/>
            <w:vAlign w:val="center"/>
          </w:tcPr>
          <w:p w14:paraId="5CA2A0DB">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木刻刀5把、笔刀1把、笔刀片3件、 电烙铁1把、木蘑托1只、马莲1个、胶滚1件 、油石1件、刮刀2把、6B中华绘图铅笔2支</w:t>
            </w:r>
          </w:p>
        </w:tc>
        <w:tc>
          <w:tcPr>
            <w:tcW w:w="816" w:type="dxa"/>
            <w:tcBorders>
              <w:tl2br w:val="nil"/>
              <w:tr2bl w:val="nil"/>
            </w:tcBorders>
            <w:shd w:val="clear" w:color="auto" w:fill="auto"/>
            <w:vAlign w:val="center"/>
          </w:tcPr>
          <w:p w14:paraId="398C4F6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025D0E52">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0B6DCBF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52450" cy="476250"/>
                  <wp:effectExtent l="0" t="0" r="0" b="0"/>
                  <wp:docPr id="55" name="图片 3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5" descr="IMG_268"/>
                          <pic:cNvPicPr>
                            <a:picLocks noChangeAspect="1"/>
                          </pic:cNvPicPr>
                        </pic:nvPicPr>
                        <pic:blipFill>
                          <a:blip r:embed="rId46"/>
                          <a:stretch>
                            <a:fillRect/>
                          </a:stretch>
                        </pic:blipFill>
                        <pic:spPr>
                          <a:xfrm>
                            <a:off x="0" y="0"/>
                            <a:ext cx="552450" cy="476250"/>
                          </a:xfrm>
                          <a:prstGeom prst="rect">
                            <a:avLst/>
                          </a:prstGeom>
                          <a:noFill/>
                          <a:ln w="9525">
                            <a:noFill/>
                          </a:ln>
                        </pic:spPr>
                      </pic:pic>
                    </a:graphicData>
                  </a:graphic>
                </wp:inline>
              </w:drawing>
            </w:r>
          </w:p>
        </w:tc>
      </w:tr>
      <w:tr w14:paraId="5BC8F9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6F6DD9">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17</w:t>
            </w:r>
          </w:p>
        </w:tc>
        <w:tc>
          <w:tcPr>
            <w:tcW w:w="1166" w:type="dxa"/>
            <w:tcBorders>
              <w:tl2br w:val="nil"/>
              <w:tr2bl w:val="nil"/>
            </w:tcBorders>
            <w:shd w:val="clear" w:color="auto" w:fill="auto"/>
            <w:vAlign w:val="center"/>
          </w:tcPr>
          <w:p w14:paraId="7249248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展示画框</w:t>
            </w:r>
          </w:p>
        </w:tc>
        <w:tc>
          <w:tcPr>
            <w:tcW w:w="8573" w:type="dxa"/>
            <w:tcBorders>
              <w:tl2br w:val="nil"/>
              <w:tr2bl w:val="nil"/>
            </w:tcBorders>
            <w:shd w:val="clear" w:color="auto" w:fill="auto"/>
            <w:vAlign w:val="center"/>
          </w:tcPr>
          <w:p w14:paraId="1F8852D6">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600mm×450mm实木画框，边框宽22mm厚31mm，配背板，高透明亚克力面，挂钩</w:t>
            </w:r>
          </w:p>
        </w:tc>
        <w:tc>
          <w:tcPr>
            <w:tcW w:w="816" w:type="dxa"/>
            <w:tcBorders>
              <w:tl2br w:val="nil"/>
              <w:tr2bl w:val="nil"/>
            </w:tcBorders>
            <w:shd w:val="clear" w:color="auto" w:fill="auto"/>
            <w:vAlign w:val="center"/>
          </w:tcPr>
          <w:p w14:paraId="642ABEE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03DA473F">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AA80248">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71500" cy="476250"/>
                  <wp:effectExtent l="0" t="0" r="0" b="0"/>
                  <wp:docPr id="56" name="图片 3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descr="IMG_269"/>
                          <pic:cNvPicPr>
                            <a:picLocks noChangeAspect="1"/>
                          </pic:cNvPicPr>
                        </pic:nvPicPr>
                        <pic:blipFill>
                          <a:blip r:embed="rId47"/>
                          <a:stretch>
                            <a:fillRect/>
                          </a:stretch>
                        </pic:blipFill>
                        <pic:spPr>
                          <a:xfrm>
                            <a:off x="0" y="0"/>
                            <a:ext cx="571500" cy="476250"/>
                          </a:xfrm>
                          <a:prstGeom prst="rect">
                            <a:avLst/>
                          </a:prstGeom>
                          <a:noFill/>
                          <a:ln w="9525">
                            <a:noFill/>
                          </a:ln>
                        </pic:spPr>
                      </pic:pic>
                    </a:graphicData>
                  </a:graphic>
                </wp:inline>
              </w:drawing>
            </w:r>
          </w:p>
        </w:tc>
      </w:tr>
      <w:tr w14:paraId="7FC555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854830">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18</w:t>
            </w:r>
          </w:p>
        </w:tc>
        <w:tc>
          <w:tcPr>
            <w:tcW w:w="1166" w:type="dxa"/>
            <w:tcBorders>
              <w:tl2br w:val="nil"/>
              <w:tr2bl w:val="nil"/>
            </w:tcBorders>
            <w:shd w:val="clear" w:color="auto" w:fill="auto"/>
            <w:vAlign w:val="center"/>
          </w:tcPr>
          <w:p w14:paraId="42CC5A8A">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展示画框</w:t>
            </w:r>
          </w:p>
        </w:tc>
        <w:tc>
          <w:tcPr>
            <w:tcW w:w="8573" w:type="dxa"/>
            <w:tcBorders>
              <w:tl2br w:val="nil"/>
              <w:tr2bl w:val="nil"/>
            </w:tcBorders>
            <w:shd w:val="clear" w:color="auto" w:fill="auto"/>
            <w:vAlign w:val="center"/>
          </w:tcPr>
          <w:p w14:paraId="4C020702">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600mm×900mm实木画框，边框宽22mm厚31mm，配背板，高透明亚克力面，挂钩</w:t>
            </w:r>
          </w:p>
        </w:tc>
        <w:tc>
          <w:tcPr>
            <w:tcW w:w="816" w:type="dxa"/>
            <w:tcBorders>
              <w:tl2br w:val="nil"/>
              <w:tr2bl w:val="nil"/>
            </w:tcBorders>
            <w:shd w:val="clear" w:color="auto" w:fill="auto"/>
            <w:vAlign w:val="center"/>
          </w:tcPr>
          <w:p w14:paraId="35BEB860">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16BB7EE5">
            <w:pPr>
              <w:keepNext w:val="0"/>
              <w:keepLines w:val="0"/>
              <w:widowControl/>
              <w:suppressLineNumbers w:val="0"/>
              <w:jc w:val="center"/>
              <w:textAlignment w:val="center"/>
              <w:rPr>
                <w:rFonts w:hint="eastAsia" w:ascii="宋体" w:hAnsi="宋体" w:eastAsia="宋体" w:cs="宋体"/>
                <w:color w:val="auto"/>
                <w:kern w:val="2"/>
                <w:sz w:val="20"/>
                <w:szCs w:val="22"/>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4F492BA6">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71500" cy="476250"/>
                  <wp:effectExtent l="0" t="0" r="0" b="0"/>
                  <wp:docPr id="57" name="图片 3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descr="IMG_270"/>
                          <pic:cNvPicPr>
                            <a:picLocks noChangeAspect="1"/>
                          </pic:cNvPicPr>
                        </pic:nvPicPr>
                        <pic:blipFill>
                          <a:blip r:embed="rId47"/>
                          <a:stretch>
                            <a:fillRect/>
                          </a:stretch>
                        </pic:blipFill>
                        <pic:spPr>
                          <a:xfrm>
                            <a:off x="0" y="0"/>
                            <a:ext cx="571500" cy="476250"/>
                          </a:xfrm>
                          <a:prstGeom prst="rect">
                            <a:avLst/>
                          </a:prstGeom>
                          <a:noFill/>
                          <a:ln w="9525">
                            <a:noFill/>
                          </a:ln>
                        </pic:spPr>
                      </pic:pic>
                    </a:graphicData>
                  </a:graphic>
                </wp:inline>
              </w:drawing>
            </w:r>
          </w:p>
        </w:tc>
      </w:tr>
      <w:tr w14:paraId="08CAF8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CE5A6A">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19</w:t>
            </w:r>
          </w:p>
        </w:tc>
        <w:tc>
          <w:tcPr>
            <w:tcW w:w="1166" w:type="dxa"/>
            <w:tcBorders>
              <w:tl2br w:val="nil"/>
              <w:tr2bl w:val="nil"/>
            </w:tcBorders>
            <w:shd w:val="clear" w:color="auto" w:fill="auto"/>
            <w:vAlign w:val="center"/>
          </w:tcPr>
          <w:p w14:paraId="0AED2B77">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初中美术教学挂图</w:t>
            </w:r>
          </w:p>
        </w:tc>
        <w:tc>
          <w:tcPr>
            <w:tcW w:w="8573" w:type="dxa"/>
            <w:tcBorders>
              <w:tl2br w:val="nil"/>
              <w:tr2bl w:val="nil"/>
            </w:tcBorders>
            <w:shd w:val="clear" w:color="auto" w:fill="auto"/>
            <w:vAlign w:val="center"/>
          </w:tcPr>
          <w:p w14:paraId="1FA20810">
            <w:pPr>
              <w:keepNext w:val="0"/>
              <w:keepLines w:val="0"/>
              <w:widowControl/>
              <w:suppressLineNumbers w:val="0"/>
              <w:jc w:val="left"/>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适合美术教学要求的绘画、设计、欣赏内容，不少于58幅，对开，应为国家正式出版物</w:t>
            </w:r>
          </w:p>
        </w:tc>
        <w:tc>
          <w:tcPr>
            <w:tcW w:w="816" w:type="dxa"/>
            <w:tcBorders>
              <w:tl2br w:val="nil"/>
              <w:tr2bl w:val="nil"/>
            </w:tcBorders>
            <w:shd w:val="clear" w:color="auto" w:fill="auto"/>
            <w:vAlign w:val="center"/>
          </w:tcPr>
          <w:p w14:paraId="7B0A776A">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498" w:type="dxa"/>
            <w:tcBorders>
              <w:tl2br w:val="nil"/>
              <w:tr2bl w:val="nil"/>
            </w:tcBorders>
            <w:shd w:val="clear" w:color="auto" w:fill="auto"/>
            <w:vAlign w:val="center"/>
          </w:tcPr>
          <w:p w14:paraId="100E4CC7">
            <w:pPr>
              <w:keepNext w:val="0"/>
              <w:keepLines w:val="0"/>
              <w:widowControl/>
              <w:suppressLineNumbers w:val="0"/>
              <w:jc w:val="center"/>
              <w:textAlignment w:val="center"/>
              <w:rPr>
                <w:rFonts w:hint="eastAsia" w:ascii="宋体" w:hAnsi="宋体" w:eastAsia="宋体" w:cs="宋体"/>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3148A5B">
            <w:pPr>
              <w:keepNext w:val="0"/>
              <w:keepLines w:val="0"/>
              <w:widowControl/>
              <w:suppressLineNumbers w:val="0"/>
              <w:jc w:val="left"/>
              <w:textAlignment w:val="center"/>
              <w:rPr>
                <w:rFonts w:hint="eastAsia" w:ascii="宋体" w:hAnsi="宋体" w:eastAsia="宋体" w:cs="宋体"/>
                <w:color w:val="auto"/>
                <w:kern w:val="2"/>
                <w:sz w:val="20"/>
                <w:szCs w:val="22"/>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276225" cy="476250"/>
                  <wp:effectExtent l="0" t="0" r="9525" b="0"/>
                  <wp:docPr id="58" name="图片 3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descr="IMG_271"/>
                          <pic:cNvPicPr>
                            <a:picLocks noChangeAspect="1"/>
                          </pic:cNvPicPr>
                        </pic:nvPicPr>
                        <pic:blipFill>
                          <a:blip r:embed="rId48"/>
                          <a:stretch>
                            <a:fillRect/>
                          </a:stretch>
                        </pic:blipFill>
                        <pic:spPr>
                          <a:xfrm>
                            <a:off x="0" y="0"/>
                            <a:ext cx="276225" cy="476250"/>
                          </a:xfrm>
                          <a:prstGeom prst="rect">
                            <a:avLst/>
                          </a:prstGeom>
                          <a:noFill/>
                          <a:ln w="9525">
                            <a:noFill/>
                          </a:ln>
                        </pic:spPr>
                      </pic:pic>
                    </a:graphicData>
                  </a:graphic>
                </wp:inline>
              </w:drawing>
            </w:r>
          </w:p>
        </w:tc>
      </w:tr>
      <w:tr w14:paraId="47F3EE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729C98C">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20</w:t>
            </w:r>
          </w:p>
        </w:tc>
        <w:tc>
          <w:tcPr>
            <w:tcW w:w="1166" w:type="dxa"/>
            <w:tcBorders>
              <w:tl2br w:val="nil"/>
              <w:tr2bl w:val="nil"/>
            </w:tcBorders>
            <w:shd w:val="clear" w:color="auto" w:fill="auto"/>
            <w:vAlign w:val="center"/>
          </w:tcPr>
          <w:p w14:paraId="4DBAE166">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石膏板吊顶</w:t>
            </w:r>
          </w:p>
        </w:tc>
        <w:tc>
          <w:tcPr>
            <w:tcW w:w="8573" w:type="dxa"/>
            <w:tcBorders>
              <w:tl2br w:val="nil"/>
              <w:tr2bl w:val="nil"/>
            </w:tcBorders>
            <w:shd w:val="clear" w:color="auto" w:fill="auto"/>
            <w:vAlign w:val="center"/>
          </w:tcPr>
          <w:p w14:paraId="5BC4F027">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顶面四周轻钢龙骨支架，一层纸面石膏板，吊顶乳胶漆三底两遍，造型定制。</w:t>
            </w:r>
          </w:p>
        </w:tc>
        <w:tc>
          <w:tcPr>
            <w:tcW w:w="816" w:type="dxa"/>
            <w:tcBorders>
              <w:tl2br w:val="nil"/>
              <w:tr2bl w:val="nil"/>
            </w:tcBorders>
            <w:shd w:val="clear" w:color="auto" w:fill="auto"/>
            <w:vAlign w:val="center"/>
          </w:tcPr>
          <w:p w14:paraId="59006978">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cs="宋体"/>
                <w:i w:val="0"/>
                <w:iCs w:val="0"/>
                <w:strike w:val="0"/>
                <w:dstrike w:val="0"/>
                <w:color w:val="000000" w:themeColor="text1"/>
                <w:kern w:val="0"/>
                <w:sz w:val="20"/>
                <w:szCs w:val="20"/>
                <w:u w:val="none"/>
                <w:lang w:val="en-US" w:eastAsia="zh-CN" w:bidi="ar"/>
                <w14:textFill>
                  <w14:solidFill>
                    <w14:schemeClr w14:val="tx1"/>
                  </w14:solidFill>
                </w14:textFill>
              </w:rPr>
              <w:t>40.00</w:t>
            </w:r>
          </w:p>
        </w:tc>
        <w:tc>
          <w:tcPr>
            <w:tcW w:w="498" w:type="dxa"/>
            <w:tcBorders>
              <w:tl2br w:val="nil"/>
              <w:tr2bl w:val="nil"/>
            </w:tcBorders>
            <w:shd w:val="clear" w:color="auto" w:fill="auto"/>
            <w:vAlign w:val="center"/>
          </w:tcPr>
          <w:p w14:paraId="24FEA54B">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6B5B37B9">
            <w:pPr>
              <w:jc w:val="center"/>
              <w:rPr>
                <w:rFonts w:hint="eastAsia" w:ascii="宋体" w:hAnsi="宋体" w:eastAsia="宋体" w:cs="宋体"/>
                <w:color w:val="auto"/>
                <w:kern w:val="2"/>
                <w:sz w:val="20"/>
                <w:szCs w:val="22"/>
                <w:vertAlign w:val="baseline"/>
                <w:lang w:val="en-US" w:eastAsia="zh-CN" w:bidi="ar-SA"/>
              </w:rPr>
            </w:pPr>
          </w:p>
        </w:tc>
      </w:tr>
      <w:tr w14:paraId="119A0F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57276C">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21</w:t>
            </w:r>
          </w:p>
        </w:tc>
        <w:tc>
          <w:tcPr>
            <w:tcW w:w="1166" w:type="dxa"/>
            <w:tcBorders>
              <w:tl2br w:val="nil"/>
              <w:tr2bl w:val="nil"/>
            </w:tcBorders>
            <w:shd w:val="clear" w:color="auto" w:fill="auto"/>
            <w:vAlign w:val="center"/>
          </w:tcPr>
          <w:p w14:paraId="6DB18918">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铝方通吊顶</w:t>
            </w:r>
          </w:p>
        </w:tc>
        <w:tc>
          <w:tcPr>
            <w:tcW w:w="8573" w:type="dxa"/>
            <w:tcBorders>
              <w:tl2br w:val="nil"/>
              <w:tr2bl w:val="nil"/>
            </w:tcBorders>
            <w:shd w:val="clear" w:color="auto" w:fill="auto"/>
            <w:vAlign w:val="center"/>
          </w:tcPr>
          <w:p w14:paraId="5A659F32">
            <w:pPr>
              <w:keepNext w:val="0"/>
              <w:keepLines w:val="0"/>
              <w:widowControl/>
              <w:suppressLineNumbers w:val="0"/>
              <w:jc w:val="left"/>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铝方通吊顶,规格不小于≧75mm*40mm，间距≤100mm,厚度不少于0.5mm，颜色按需定制，材料达到E1级标准。</w:t>
            </w:r>
          </w:p>
        </w:tc>
        <w:tc>
          <w:tcPr>
            <w:tcW w:w="816" w:type="dxa"/>
            <w:tcBorders>
              <w:tl2br w:val="nil"/>
              <w:tr2bl w:val="nil"/>
            </w:tcBorders>
            <w:shd w:val="clear" w:color="auto" w:fill="auto"/>
            <w:vAlign w:val="center"/>
          </w:tcPr>
          <w:p w14:paraId="362FEF1C">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cs="宋体"/>
                <w:i w:val="0"/>
                <w:iCs w:val="0"/>
                <w:strike w:val="0"/>
                <w:dstrike w:val="0"/>
                <w:color w:val="000000" w:themeColor="text1"/>
                <w:kern w:val="0"/>
                <w:sz w:val="20"/>
                <w:szCs w:val="20"/>
                <w:u w:val="none"/>
                <w:lang w:val="en-US" w:eastAsia="zh-CN" w:bidi="ar"/>
                <w14:textFill>
                  <w14:solidFill>
                    <w14:schemeClr w14:val="tx1"/>
                  </w14:solidFill>
                </w14:textFill>
              </w:rPr>
              <w:t>87.68</w:t>
            </w: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 </w:t>
            </w:r>
          </w:p>
        </w:tc>
        <w:tc>
          <w:tcPr>
            <w:tcW w:w="498" w:type="dxa"/>
            <w:tcBorders>
              <w:tl2br w:val="nil"/>
              <w:tr2bl w:val="nil"/>
            </w:tcBorders>
            <w:shd w:val="clear" w:color="auto" w:fill="auto"/>
            <w:vAlign w:val="center"/>
          </w:tcPr>
          <w:p w14:paraId="119BC10B">
            <w:pPr>
              <w:keepNext w:val="0"/>
              <w:keepLines w:val="0"/>
              <w:widowControl/>
              <w:suppressLineNumbers w:val="0"/>
              <w:jc w:val="center"/>
              <w:textAlignment w:val="center"/>
              <w:rPr>
                <w:rFonts w:hint="eastAsia" w:ascii="宋体" w:hAnsi="宋体" w:eastAsia="宋体" w:cs="宋体"/>
                <w:strike w:val="0"/>
                <w:dstrike w:val="0"/>
                <w:color w:val="000000" w:themeColor="text1"/>
                <w:kern w:val="2"/>
                <w:sz w:val="20"/>
                <w:szCs w:val="22"/>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0C7D8C8D">
            <w:pPr>
              <w:jc w:val="center"/>
              <w:rPr>
                <w:rFonts w:hint="eastAsia" w:ascii="宋体" w:hAnsi="宋体" w:eastAsia="宋体" w:cs="宋体"/>
                <w:color w:val="auto"/>
                <w:kern w:val="2"/>
                <w:sz w:val="20"/>
                <w:szCs w:val="22"/>
                <w:vertAlign w:val="baseline"/>
                <w:lang w:val="en-US" w:eastAsia="zh-CN" w:bidi="ar-SA"/>
              </w:rPr>
            </w:pPr>
          </w:p>
        </w:tc>
      </w:tr>
      <w:tr w14:paraId="09B1A2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AFAD474">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22</w:t>
            </w:r>
          </w:p>
        </w:tc>
        <w:tc>
          <w:tcPr>
            <w:tcW w:w="1166" w:type="dxa"/>
            <w:tcBorders>
              <w:tl2br w:val="nil"/>
              <w:tr2bl w:val="nil"/>
            </w:tcBorders>
            <w:shd w:val="clear" w:color="auto" w:fill="auto"/>
            <w:vAlign w:val="center"/>
          </w:tcPr>
          <w:p w14:paraId="7681DE8B">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涂料</w:t>
            </w:r>
          </w:p>
        </w:tc>
        <w:tc>
          <w:tcPr>
            <w:tcW w:w="8573" w:type="dxa"/>
            <w:tcBorders>
              <w:tl2br w:val="nil"/>
              <w:tr2bl w:val="nil"/>
            </w:tcBorders>
            <w:shd w:val="clear" w:color="auto" w:fill="auto"/>
            <w:vAlign w:val="center"/>
          </w:tcPr>
          <w:p w14:paraId="740CEA1E">
            <w:pPr>
              <w:keepNext w:val="0"/>
              <w:keepLines w:val="0"/>
              <w:widowControl/>
              <w:suppressLineNumbers w:val="0"/>
              <w:jc w:val="left"/>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石膏板接缝处满嵌接缝膏，不少于两道抗裂网格布，拉法基和石膏覆盖，找平腻子两道找平，特细滑石粉罩面，砂纸打磨。喷涂或滚涂一底两面环保乳胶漆。</w:t>
            </w:r>
          </w:p>
        </w:tc>
        <w:tc>
          <w:tcPr>
            <w:tcW w:w="816" w:type="dxa"/>
            <w:tcBorders>
              <w:tl2br w:val="nil"/>
              <w:tr2bl w:val="nil"/>
            </w:tcBorders>
            <w:shd w:val="clear" w:color="auto" w:fill="auto"/>
            <w:vAlign w:val="center"/>
          </w:tcPr>
          <w:p w14:paraId="50476A9B">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187.00 </w:t>
            </w:r>
          </w:p>
        </w:tc>
        <w:tc>
          <w:tcPr>
            <w:tcW w:w="498" w:type="dxa"/>
            <w:tcBorders>
              <w:tl2br w:val="nil"/>
              <w:tr2bl w:val="nil"/>
            </w:tcBorders>
            <w:shd w:val="clear" w:color="auto" w:fill="auto"/>
            <w:vAlign w:val="center"/>
          </w:tcPr>
          <w:p w14:paraId="1EB5978D">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0B43ED40">
            <w:pPr>
              <w:jc w:val="center"/>
              <w:rPr>
                <w:rFonts w:hint="eastAsia" w:ascii="宋体" w:hAnsi="宋体" w:eastAsia="宋体" w:cs="宋体"/>
                <w:color w:val="auto"/>
                <w:kern w:val="2"/>
                <w:sz w:val="20"/>
                <w:szCs w:val="22"/>
                <w:vertAlign w:val="baseline"/>
                <w:lang w:val="en-US" w:eastAsia="zh-CN" w:bidi="ar-SA"/>
              </w:rPr>
            </w:pPr>
          </w:p>
        </w:tc>
      </w:tr>
      <w:tr w14:paraId="37E4A2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2372C5E">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23</w:t>
            </w:r>
          </w:p>
        </w:tc>
        <w:tc>
          <w:tcPr>
            <w:tcW w:w="1166" w:type="dxa"/>
            <w:tcBorders>
              <w:tl2br w:val="nil"/>
              <w:tr2bl w:val="nil"/>
            </w:tcBorders>
            <w:shd w:val="clear" w:color="auto" w:fill="auto"/>
            <w:vAlign w:val="center"/>
          </w:tcPr>
          <w:p w14:paraId="24205261">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549E2A34">
            <w:pPr>
              <w:keepNext w:val="0"/>
              <w:keepLines w:val="0"/>
              <w:widowControl/>
              <w:suppressLineNumbers w:val="0"/>
              <w:jc w:val="left"/>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27C62FDD">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45F94B71">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3D5985E8">
            <w:pPr>
              <w:jc w:val="center"/>
              <w:rPr>
                <w:rFonts w:hint="eastAsia" w:ascii="宋体" w:hAnsi="宋体" w:eastAsia="宋体" w:cs="宋体"/>
                <w:color w:val="auto"/>
                <w:kern w:val="2"/>
                <w:sz w:val="20"/>
                <w:szCs w:val="22"/>
                <w:vertAlign w:val="baseline"/>
                <w:lang w:val="en-US" w:eastAsia="zh-CN" w:bidi="ar-SA"/>
              </w:rPr>
            </w:pPr>
          </w:p>
        </w:tc>
      </w:tr>
      <w:tr w14:paraId="33978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C94E3B3">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24</w:t>
            </w:r>
          </w:p>
        </w:tc>
        <w:tc>
          <w:tcPr>
            <w:tcW w:w="1166" w:type="dxa"/>
            <w:tcBorders>
              <w:tl2br w:val="nil"/>
              <w:tr2bl w:val="nil"/>
            </w:tcBorders>
            <w:shd w:val="clear" w:color="auto" w:fill="auto"/>
            <w:vAlign w:val="center"/>
          </w:tcPr>
          <w:p w14:paraId="36D73BE3">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顶面LED筒灯</w:t>
            </w:r>
          </w:p>
        </w:tc>
        <w:tc>
          <w:tcPr>
            <w:tcW w:w="8573" w:type="dxa"/>
            <w:tcBorders>
              <w:tl2br w:val="nil"/>
              <w:tr2bl w:val="nil"/>
            </w:tcBorders>
            <w:shd w:val="clear" w:color="auto" w:fill="auto"/>
            <w:vAlign w:val="center"/>
          </w:tcPr>
          <w:p w14:paraId="59A7AB44">
            <w:pPr>
              <w:keepNext w:val="0"/>
              <w:keepLines w:val="0"/>
              <w:widowControl/>
              <w:suppressLineNumbers w:val="0"/>
              <w:jc w:val="left"/>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加厚铝材，明亮耐用，高亮LED芯片，输入电压：≥AC220V，光色色温：3000K-6000K。灯光线路采用黑色专用套管，整体灯光亮度符合国家中小学专用教室照明设计规范。</w:t>
            </w:r>
          </w:p>
        </w:tc>
        <w:tc>
          <w:tcPr>
            <w:tcW w:w="816" w:type="dxa"/>
            <w:tcBorders>
              <w:tl2br w:val="nil"/>
              <w:tr2bl w:val="nil"/>
            </w:tcBorders>
            <w:shd w:val="clear" w:color="auto" w:fill="auto"/>
            <w:vAlign w:val="center"/>
          </w:tcPr>
          <w:p w14:paraId="751CDA4A">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20</w:t>
            </w:r>
          </w:p>
        </w:tc>
        <w:tc>
          <w:tcPr>
            <w:tcW w:w="498" w:type="dxa"/>
            <w:tcBorders>
              <w:tl2br w:val="nil"/>
              <w:tr2bl w:val="nil"/>
            </w:tcBorders>
            <w:shd w:val="clear" w:color="auto" w:fill="auto"/>
            <w:vAlign w:val="center"/>
          </w:tcPr>
          <w:p w14:paraId="7472F21B">
            <w:pPr>
              <w:keepNext w:val="0"/>
              <w:keepLines w:val="0"/>
              <w:widowControl/>
              <w:suppressLineNumbers w:val="0"/>
              <w:jc w:val="center"/>
              <w:textAlignment w:val="cente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6542E96F">
            <w:pPr>
              <w:jc w:val="center"/>
              <w:rPr>
                <w:rFonts w:hint="eastAsia" w:ascii="宋体" w:hAnsi="宋体" w:eastAsia="宋体" w:cs="宋体"/>
                <w:color w:val="auto"/>
                <w:kern w:val="2"/>
                <w:sz w:val="20"/>
                <w:szCs w:val="22"/>
                <w:vertAlign w:val="baseline"/>
                <w:lang w:val="en-US" w:eastAsia="zh-CN" w:bidi="ar-SA"/>
              </w:rPr>
            </w:pPr>
          </w:p>
        </w:tc>
      </w:tr>
      <w:tr w14:paraId="1954D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681D34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25</w:t>
            </w:r>
          </w:p>
        </w:tc>
        <w:tc>
          <w:tcPr>
            <w:tcW w:w="1166" w:type="dxa"/>
            <w:tcBorders>
              <w:tl2br w:val="nil"/>
              <w:tr2bl w:val="nil"/>
            </w:tcBorders>
            <w:shd w:val="clear" w:color="auto" w:fill="auto"/>
            <w:vAlign w:val="center"/>
          </w:tcPr>
          <w:p w14:paraId="27E8177E">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顶面LED条形灯</w:t>
            </w:r>
          </w:p>
        </w:tc>
        <w:tc>
          <w:tcPr>
            <w:tcW w:w="8573" w:type="dxa"/>
            <w:tcBorders>
              <w:tl2br w:val="nil"/>
              <w:tr2bl w:val="nil"/>
            </w:tcBorders>
            <w:shd w:val="clear" w:color="auto" w:fill="auto"/>
            <w:vAlign w:val="center"/>
          </w:tcPr>
          <w:p w14:paraId="68F6CD6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1.LED环保条形灯，LED灯具尺寸：≥1200mm*100mm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2.外壳材质：1.4mm黑色铝材灯框，亚克力白色灯罩；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4.光源功率：≥18W ；光通量：≥1190Lm ；显色指数：≥80；灯光线路采用黑色专用套管，整体灯光亮度符合国家中小学专用教室照明设计规范。</w:t>
            </w:r>
          </w:p>
        </w:tc>
        <w:tc>
          <w:tcPr>
            <w:tcW w:w="816" w:type="dxa"/>
            <w:tcBorders>
              <w:tl2br w:val="nil"/>
              <w:tr2bl w:val="nil"/>
            </w:tcBorders>
            <w:shd w:val="clear" w:color="auto" w:fill="auto"/>
            <w:vAlign w:val="center"/>
          </w:tcPr>
          <w:p w14:paraId="4C44718E">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498" w:type="dxa"/>
            <w:tcBorders>
              <w:tl2br w:val="nil"/>
              <w:tr2bl w:val="nil"/>
            </w:tcBorders>
            <w:shd w:val="clear" w:color="auto" w:fill="auto"/>
            <w:vAlign w:val="center"/>
          </w:tcPr>
          <w:p w14:paraId="3A5BA04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6370CED1">
            <w:pPr>
              <w:jc w:val="center"/>
              <w:rPr>
                <w:rFonts w:hint="eastAsia" w:ascii="宋体" w:hAnsi="宋体" w:eastAsia="宋体" w:cs="宋体"/>
                <w:color w:val="auto"/>
                <w:kern w:val="2"/>
                <w:sz w:val="20"/>
                <w:szCs w:val="22"/>
                <w:vertAlign w:val="baseline"/>
                <w:lang w:val="en-US" w:eastAsia="zh-CN" w:bidi="ar-SA"/>
              </w:rPr>
            </w:pPr>
          </w:p>
        </w:tc>
      </w:tr>
      <w:tr w14:paraId="039C1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E940F7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26</w:t>
            </w:r>
          </w:p>
        </w:tc>
        <w:tc>
          <w:tcPr>
            <w:tcW w:w="1166" w:type="dxa"/>
            <w:tcBorders>
              <w:tl2br w:val="nil"/>
              <w:tr2bl w:val="nil"/>
            </w:tcBorders>
            <w:shd w:val="clear" w:color="auto" w:fill="auto"/>
            <w:vAlign w:val="center"/>
          </w:tcPr>
          <w:p w14:paraId="176AE70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实木柜</w:t>
            </w:r>
          </w:p>
        </w:tc>
        <w:tc>
          <w:tcPr>
            <w:tcW w:w="8573" w:type="dxa"/>
            <w:tcBorders>
              <w:tl2br w:val="nil"/>
              <w:tr2bl w:val="nil"/>
            </w:tcBorders>
            <w:shd w:val="clear" w:color="auto" w:fill="auto"/>
            <w:vAlign w:val="center"/>
          </w:tcPr>
          <w:p w14:paraId="47EE0DC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1B505FB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7.00 </w:t>
            </w:r>
          </w:p>
        </w:tc>
        <w:tc>
          <w:tcPr>
            <w:tcW w:w="498" w:type="dxa"/>
            <w:tcBorders>
              <w:tl2br w:val="nil"/>
              <w:tr2bl w:val="nil"/>
            </w:tcBorders>
            <w:shd w:val="clear" w:color="auto" w:fill="auto"/>
            <w:vAlign w:val="center"/>
          </w:tcPr>
          <w:p w14:paraId="3E192A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796" w:type="dxa"/>
            <w:tcBorders>
              <w:tl2br w:val="nil"/>
              <w:tr2bl w:val="nil"/>
            </w:tcBorders>
            <w:shd w:val="clear" w:color="auto" w:fill="auto"/>
            <w:vAlign w:val="center"/>
          </w:tcPr>
          <w:p w14:paraId="0E5938E1">
            <w:pPr>
              <w:jc w:val="center"/>
              <w:rPr>
                <w:rFonts w:hint="eastAsia" w:ascii="宋体" w:hAnsi="宋体" w:eastAsia="宋体" w:cs="宋体"/>
                <w:color w:val="auto"/>
                <w:kern w:val="2"/>
                <w:sz w:val="20"/>
                <w:szCs w:val="22"/>
                <w:vertAlign w:val="baseline"/>
                <w:lang w:val="en-US" w:eastAsia="zh-CN" w:bidi="ar-SA"/>
              </w:rPr>
            </w:pPr>
          </w:p>
        </w:tc>
      </w:tr>
      <w:tr w14:paraId="7066D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04D618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27</w:t>
            </w:r>
          </w:p>
        </w:tc>
        <w:tc>
          <w:tcPr>
            <w:tcW w:w="1166" w:type="dxa"/>
            <w:tcBorders>
              <w:tl2br w:val="nil"/>
              <w:tr2bl w:val="nil"/>
            </w:tcBorders>
            <w:shd w:val="clear" w:color="auto" w:fill="auto"/>
            <w:vAlign w:val="center"/>
          </w:tcPr>
          <w:p w14:paraId="681C783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展示墙</w:t>
            </w:r>
          </w:p>
        </w:tc>
        <w:tc>
          <w:tcPr>
            <w:tcW w:w="8573" w:type="dxa"/>
            <w:tcBorders>
              <w:tl2br w:val="nil"/>
              <w:tr2bl w:val="nil"/>
            </w:tcBorders>
            <w:shd w:val="clear" w:color="auto" w:fill="auto"/>
            <w:vAlign w:val="center"/>
          </w:tcPr>
          <w:p w14:paraId="18199A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多层实木框架，局部石膏板饰面，内部≥12mm聚酯纤维毛毡装饰。</w:t>
            </w:r>
          </w:p>
        </w:tc>
        <w:tc>
          <w:tcPr>
            <w:tcW w:w="816" w:type="dxa"/>
            <w:tcBorders>
              <w:tl2br w:val="nil"/>
              <w:tr2bl w:val="nil"/>
            </w:tcBorders>
            <w:shd w:val="clear" w:color="auto" w:fill="auto"/>
            <w:vAlign w:val="center"/>
          </w:tcPr>
          <w:p w14:paraId="4CF549E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14.50 </w:t>
            </w:r>
          </w:p>
        </w:tc>
        <w:tc>
          <w:tcPr>
            <w:tcW w:w="498" w:type="dxa"/>
            <w:tcBorders>
              <w:tl2br w:val="nil"/>
              <w:tr2bl w:val="nil"/>
            </w:tcBorders>
            <w:shd w:val="clear" w:color="auto" w:fill="auto"/>
            <w:vAlign w:val="center"/>
          </w:tcPr>
          <w:p w14:paraId="211D8D9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796" w:type="dxa"/>
            <w:tcBorders>
              <w:tl2br w:val="nil"/>
              <w:tr2bl w:val="nil"/>
            </w:tcBorders>
            <w:shd w:val="clear" w:color="auto" w:fill="auto"/>
            <w:vAlign w:val="center"/>
          </w:tcPr>
          <w:p w14:paraId="46AB049A">
            <w:pPr>
              <w:jc w:val="center"/>
              <w:rPr>
                <w:rFonts w:hint="eastAsia" w:ascii="宋体" w:hAnsi="宋体" w:eastAsia="宋体" w:cs="宋体"/>
                <w:color w:val="auto"/>
                <w:kern w:val="2"/>
                <w:sz w:val="20"/>
                <w:szCs w:val="22"/>
                <w:vertAlign w:val="baseline"/>
                <w:lang w:val="en-US" w:eastAsia="zh-CN" w:bidi="ar-SA"/>
              </w:rPr>
            </w:pPr>
          </w:p>
        </w:tc>
      </w:tr>
      <w:tr w14:paraId="7D60D1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63A48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28</w:t>
            </w:r>
          </w:p>
        </w:tc>
        <w:tc>
          <w:tcPr>
            <w:tcW w:w="1166" w:type="dxa"/>
            <w:tcBorders>
              <w:tl2br w:val="nil"/>
              <w:tr2bl w:val="nil"/>
            </w:tcBorders>
            <w:shd w:val="clear" w:color="auto" w:fill="auto"/>
            <w:vAlign w:val="center"/>
          </w:tcPr>
          <w:p w14:paraId="782292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装修集成、管理</w:t>
            </w:r>
          </w:p>
        </w:tc>
        <w:tc>
          <w:tcPr>
            <w:tcW w:w="8573" w:type="dxa"/>
            <w:tcBorders>
              <w:tl2br w:val="nil"/>
              <w:tr2bl w:val="nil"/>
            </w:tcBorders>
            <w:shd w:val="clear" w:color="auto" w:fill="auto"/>
            <w:vAlign w:val="center"/>
          </w:tcPr>
          <w:p w14:paraId="60CC9A9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装修材料搬运、垃圾搬运、辅材附件、现场管理，原灯光拆除放置指定位置，综合布线等</w:t>
            </w:r>
          </w:p>
        </w:tc>
        <w:tc>
          <w:tcPr>
            <w:tcW w:w="816" w:type="dxa"/>
            <w:tcBorders>
              <w:tl2br w:val="nil"/>
              <w:tr2bl w:val="nil"/>
            </w:tcBorders>
            <w:shd w:val="clear" w:color="auto" w:fill="auto"/>
            <w:vAlign w:val="center"/>
          </w:tcPr>
          <w:p w14:paraId="20A871A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 </w:t>
            </w:r>
          </w:p>
        </w:tc>
        <w:tc>
          <w:tcPr>
            <w:tcW w:w="498" w:type="dxa"/>
            <w:tcBorders>
              <w:tl2br w:val="nil"/>
              <w:tr2bl w:val="nil"/>
            </w:tcBorders>
            <w:shd w:val="clear" w:color="auto" w:fill="auto"/>
            <w:vAlign w:val="center"/>
          </w:tcPr>
          <w:p w14:paraId="2787049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796" w:type="dxa"/>
            <w:tcBorders>
              <w:tl2br w:val="nil"/>
              <w:tr2bl w:val="nil"/>
            </w:tcBorders>
            <w:shd w:val="clear" w:color="auto" w:fill="auto"/>
            <w:vAlign w:val="center"/>
          </w:tcPr>
          <w:p w14:paraId="3499C1D6">
            <w:pPr>
              <w:jc w:val="center"/>
              <w:rPr>
                <w:rFonts w:hint="eastAsia" w:ascii="宋体" w:hAnsi="宋体" w:eastAsia="宋体" w:cs="宋体"/>
                <w:color w:val="auto"/>
                <w:kern w:val="2"/>
                <w:sz w:val="20"/>
                <w:szCs w:val="22"/>
                <w:vertAlign w:val="baseline"/>
                <w:lang w:val="en-US" w:eastAsia="zh-CN" w:bidi="ar-SA"/>
              </w:rPr>
            </w:pPr>
          </w:p>
        </w:tc>
      </w:tr>
      <w:tr w14:paraId="1082E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E5866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29</w:t>
            </w:r>
          </w:p>
        </w:tc>
        <w:tc>
          <w:tcPr>
            <w:tcW w:w="1166" w:type="dxa"/>
            <w:tcBorders>
              <w:tl2br w:val="nil"/>
              <w:tr2bl w:val="nil"/>
            </w:tcBorders>
            <w:shd w:val="clear" w:color="auto" w:fill="auto"/>
            <w:vAlign w:val="center"/>
          </w:tcPr>
          <w:p w14:paraId="731F5B3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窗帘</w:t>
            </w:r>
          </w:p>
        </w:tc>
        <w:tc>
          <w:tcPr>
            <w:tcW w:w="8573" w:type="dxa"/>
            <w:tcBorders>
              <w:tl2br w:val="nil"/>
              <w:tr2bl w:val="nil"/>
            </w:tcBorders>
            <w:shd w:val="clear" w:color="auto" w:fill="auto"/>
            <w:vAlign w:val="center"/>
          </w:tcPr>
          <w:p w14:paraId="25A7120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定制优质涤纶加厚遮阳文化氛围窗帘。</w:t>
            </w:r>
          </w:p>
        </w:tc>
        <w:tc>
          <w:tcPr>
            <w:tcW w:w="816" w:type="dxa"/>
            <w:tcBorders>
              <w:tl2br w:val="nil"/>
              <w:tr2bl w:val="nil"/>
            </w:tcBorders>
            <w:shd w:val="clear" w:color="auto" w:fill="auto"/>
            <w:vAlign w:val="center"/>
          </w:tcPr>
          <w:p w14:paraId="525B703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283FA1A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米</w:t>
            </w:r>
          </w:p>
        </w:tc>
        <w:tc>
          <w:tcPr>
            <w:tcW w:w="2796" w:type="dxa"/>
            <w:tcBorders>
              <w:tl2br w:val="nil"/>
              <w:tr2bl w:val="nil"/>
            </w:tcBorders>
            <w:shd w:val="clear" w:color="auto" w:fill="auto"/>
            <w:vAlign w:val="center"/>
          </w:tcPr>
          <w:p w14:paraId="238F9D0E">
            <w:pPr>
              <w:jc w:val="center"/>
              <w:rPr>
                <w:rFonts w:hint="eastAsia" w:ascii="宋体" w:hAnsi="宋体" w:eastAsia="宋体" w:cs="宋体"/>
                <w:color w:val="auto"/>
                <w:kern w:val="2"/>
                <w:sz w:val="20"/>
                <w:szCs w:val="22"/>
                <w:vertAlign w:val="baseline"/>
                <w:lang w:val="en-US" w:eastAsia="zh-CN" w:bidi="ar-SA"/>
              </w:rPr>
            </w:pPr>
          </w:p>
        </w:tc>
      </w:tr>
      <w:tr w14:paraId="28C1CF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49CAD0D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cs="宋体"/>
                <w:b/>
                <w:bCs/>
                <w:color w:val="auto"/>
                <w:sz w:val="24"/>
                <w:szCs w:val="24"/>
                <w:vertAlign w:val="baseline"/>
                <w:lang w:val="en-US" w:eastAsia="zh-CN"/>
              </w:rPr>
              <w:t>11.</w:t>
            </w:r>
            <w:r>
              <w:rPr>
                <w:rFonts w:hint="eastAsia" w:ascii="宋体" w:hAnsi="宋体" w:eastAsia="宋体" w:cs="宋体"/>
                <w:b/>
                <w:bCs/>
                <w:color w:val="auto"/>
                <w:sz w:val="24"/>
                <w:szCs w:val="24"/>
                <w:vertAlign w:val="baseline"/>
                <w:lang w:val="en-US" w:eastAsia="zh-CN"/>
              </w:rPr>
              <w:t>音乐教室1（合唱）</w:t>
            </w:r>
          </w:p>
        </w:tc>
      </w:tr>
      <w:tr w14:paraId="33D356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9FCB6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1166" w:type="dxa"/>
            <w:tcBorders>
              <w:tl2br w:val="nil"/>
              <w:tr2bl w:val="nil"/>
            </w:tcBorders>
            <w:shd w:val="clear" w:color="auto" w:fill="auto"/>
            <w:vAlign w:val="center"/>
          </w:tcPr>
          <w:p w14:paraId="5B8C70F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移动讲台</w:t>
            </w:r>
          </w:p>
        </w:tc>
        <w:tc>
          <w:tcPr>
            <w:tcW w:w="8573" w:type="dxa"/>
            <w:tcBorders>
              <w:tl2br w:val="nil"/>
              <w:tr2bl w:val="nil"/>
            </w:tcBorders>
            <w:shd w:val="clear" w:color="auto" w:fill="auto"/>
            <w:vAlign w:val="center"/>
          </w:tcPr>
          <w:p w14:paraId="2CF1945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1.尺寸：≥670*550*760-1060mm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2.材质：支架采用优质铝合金，台面环保板材，可折叠升降</w:t>
            </w:r>
          </w:p>
        </w:tc>
        <w:tc>
          <w:tcPr>
            <w:tcW w:w="816" w:type="dxa"/>
            <w:tcBorders>
              <w:tl2br w:val="nil"/>
              <w:tr2bl w:val="nil"/>
            </w:tcBorders>
            <w:shd w:val="clear" w:color="auto" w:fill="auto"/>
            <w:vAlign w:val="center"/>
          </w:tcPr>
          <w:p w14:paraId="211D96D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6B3A19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8624240">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628775" cy="1152525"/>
                  <wp:effectExtent l="0" t="0" r="9525" b="9525"/>
                  <wp:docPr id="5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descr="IMG_256"/>
                          <pic:cNvPicPr>
                            <a:picLocks noChangeAspect="1"/>
                          </pic:cNvPicPr>
                        </pic:nvPicPr>
                        <pic:blipFill>
                          <a:blip r:embed="rId49"/>
                          <a:stretch>
                            <a:fillRect/>
                          </a:stretch>
                        </pic:blipFill>
                        <pic:spPr>
                          <a:xfrm>
                            <a:off x="0" y="0"/>
                            <a:ext cx="1628775" cy="1152525"/>
                          </a:xfrm>
                          <a:prstGeom prst="rect">
                            <a:avLst/>
                          </a:prstGeom>
                          <a:noFill/>
                          <a:ln w="9525">
                            <a:noFill/>
                          </a:ln>
                        </pic:spPr>
                      </pic:pic>
                    </a:graphicData>
                  </a:graphic>
                </wp:inline>
              </w:drawing>
            </w:r>
          </w:p>
        </w:tc>
      </w:tr>
      <w:tr w14:paraId="04DBCB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E8DD0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1166" w:type="dxa"/>
            <w:tcBorders>
              <w:tl2br w:val="nil"/>
              <w:tr2bl w:val="nil"/>
            </w:tcBorders>
            <w:shd w:val="clear" w:color="auto" w:fill="auto"/>
            <w:vAlign w:val="center"/>
          </w:tcPr>
          <w:p w14:paraId="708BF7C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音乐凳</w:t>
            </w:r>
          </w:p>
        </w:tc>
        <w:tc>
          <w:tcPr>
            <w:tcW w:w="8573" w:type="dxa"/>
            <w:tcBorders>
              <w:tl2br w:val="nil"/>
              <w:tr2bl w:val="nil"/>
            </w:tcBorders>
            <w:shd w:val="clear" w:color="auto" w:fill="auto"/>
            <w:vAlign w:val="center"/>
          </w:tcPr>
          <w:p w14:paraId="738084D4">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1.尺寸：≥420*275*465mm±10mm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2.材质：优质PP+高密度海绵；</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3.工艺：主体采用PP耐冲击塑料一体注塑成型；座垫内填充高密度海绵外包优质棉麻布。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4.功能：（1）底部附带静音万象脚轮，脚轮在凳子正立放置时不外漏；（2）可上下分离，底盘可拆卸，拆卸后即为固定式座凳；（3）椅腹可做置物空间，方便收纳物品。</w:t>
            </w:r>
          </w:p>
        </w:tc>
        <w:tc>
          <w:tcPr>
            <w:tcW w:w="816" w:type="dxa"/>
            <w:tcBorders>
              <w:tl2br w:val="nil"/>
              <w:tr2bl w:val="nil"/>
            </w:tcBorders>
            <w:shd w:val="clear" w:color="auto" w:fill="auto"/>
            <w:vAlign w:val="center"/>
          </w:tcPr>
          <w:p w14:paraId="6F46F4E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48</w:t>
            </w:r>
          </w:p>
        </w:tc>
        <w:tc>
          <w:tcPr>
            <w:tcW w:w="498" w:type="dxa"/>
            <w:tcBorders>
              <w:tl2br w:val="nil"/>
              <w:tr2bl w:val="nil"/>
            </w:tcBorders>
            <w:shd w:val="clear" w:color="auto" w:fill="auto"/>
            <w:vAlign w:val="center"/>
          </w:tcPr>
          <w:p w14:paraId="713F6CA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13EA3F86">
            <w:pPr>
              <w:keepNext w:val="0"/>
              <w:keepLines w:val="0"/>
              <w:widowControl/>
              <w:suppressLineNumbers w:val="0"/>
              <w:jc w:val="left"/>
              <w:textAlignment w:val="center"/>
              <w:rPr>
                <w:rFonts w:hint="eastAsia" w:ascii="楷体" w:hAnsi="楷体" w:eastAsia="楷体" w:cs="楷体"/>
                <w:i w:val="0"/>
                <w:iCs w:val="0"/>
                <w:color w:val="000000"/>
                <w:kern w:val="2"/>
                <w:sz w:val="20"/>
                <w:szCs w:val="20"/>
                <w:u w:val="no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628775" cy="895350"/>
                  <wp:effectExtent l="0" t="0" r="9525" b="0"/>
                  <wp:docPr id="60" name="图片 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descr="IMG_257"/>
                          <pic:cNvPicPr>
                            <a:picLocks noChangeAspect="1"/>
                          </pic:cNvPicPr>
                        </pic:nvPicPr>
                        <pic:blipFill>
                          <a:blip r:embed="rId50"/>
                          <a:stretch>
                            <a:fillRect/>
                          </a:stretch>
                        </pic:blipFill>
                        <pic:spPr>
                          <a:xfrm>
                            <a:off x="0" y="0"/>
                            <a:ext cx="1628775" cy="895350"/>
                          </a:xfrm>
                          <a:prstGeom prst="rect">
                            <a:avLst/>
                          </a:prstGeom>
                          <a:noFill/>
                          <a:ln w="9525">
                            <a:noFill/>
                          </a:ln>
                        </pic:spPr>
                      </pic:pic>
                    </a:graphicData>
                  </a:graphic>
                </wp:inline>
              </w:drawing>
            </w:r>
          </w:p>
        </w:tc>
      </w:tr>
      <w:tr w14:paraId="1DF372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BD42C4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c>
          <w:tcPr>
            <w:tcW w:w="1166" w:type="dxa"/>
            <w:tcBorders>
              <w:tl2br w:val="nil"/>
              <w:tr2bl w:val="nil"/>
            </w:tcBorders>
            <w:shd w:val="clear" w:color="auto" w:fill="auto"/>
            <w:vAlign w:val="center"/>
          </w:tcPr>
          <w:p w14:paraId="3E0B3EB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乐谱架</w:t>
            </w:r>
          </w:p>
        </w:tc>
        <w:tc>
          <w:tcPr>
            <w:tcW w:w="8573" w:type="dxa"/>
            <w:tcBorders>
              <w:tl2br w:val="nil"/>
              <w:tr2bl w:val="nil"/>
            </w:tcBorders>
            <w:shd w:val="clear" w:color="auto" w:fill="auto"/>
            <w:vAlign w:val="center"/>
          </w:tcPr>
          <w:p w14:paraId="63B98235">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1.谱台高度：可调节尺寸700mm-1400mm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2.管体材质：高强度钢管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3.谱台材质：高强度钢板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4.旋钮材质：铁质螺母，硬塑胶旋钮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5.表面处理：黑色烤漆</w:t>
            </w:r>
          </w:p>
        </w:tc>
        <w:tc>
          <w:tcPr>
            <w:tcW w:w="816" w:type="dxa"/>
            <w:tcBorders>
              <w:tl2br w:val="nil"/>
              <w:tr2bl w:val="nil"/>
            </w:tcBorders>
            <w:shd w:val="clear" w:color="auto" w:fill="auto"/>
            <w:vAlign w:val="center"/>
          </w:tcPr>
          <w:p w14:paraId="244195F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45</w:t>
            </w:r>
          </w:p>
        </w:tc>
        <w:tc>
          <w:tcPr>
            <w:tcW w:w="498" w:type="dxa"/>
            <w:tcBorders>
              <w:tl2br w:val="nil"/>
              <w:tr2bl w:val="nil"/>
            </w:tcBorders>
            <w:shd w:val="clear" w:color="auto" w:fill="auto"/>
            <w:vAlign w:val="center"/>
          </w:tcPr>
          <w:p w14:paraId="1159D90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2FB203F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76275" cy="1123950"/>
                  <wp:effectExtent l="0" t="0" r="9525" b="0"/>
                  <wp:docPr id="61" name="图片 4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1" descr="IMG_258"/>
                          <pic:cNvPicPr>
                            <a:picLocks noChangeAspect="1"/>
                          </pic:cNvPicPr>
                        </pic:nvPicPr>
                        <pic:blipFill>
                          <a:blip r:embed="rId51"/>
                          <a:stretch>
                            <a:fillRect/>
                          </a:stretch>
                        </pic:blipFill>
                        <pic:spPr>
                          <a:xfrm>
                            <a:off x="0" y="0"/>
                            <a:ext cx="676275" cy="1123950"/>
                          </a:xfrm>
                          <a:prstGeom prst="rect">
                            <a:avLst/>
                          </a:prstGeom>
                          <a:noFill/>
                          <a:ln w="9525">
                            <a:noFill/>
                          </a:ln>
                        </pic:spPr>
                      </pic:pic>
                    </a:graphicData>
                  </a:graphic>
                </wp:inline>
              </w:drawing>
            </w:r>
          </w:p>
        </w:tc>
      </w:tr>
      <w:tr w14:paraId="464E9C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D5C412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1166" w:type="dxa"/>
            <w:tcBorders>
              <w:tl2br w:val="nil"/>
              <w:tr2bl w:val="nil"/>
            </w:tcBorders>
            <w:shd w:val="clear" w:color="auto" w:fill="auto"/>
            <w:vAlign w:val="center"/>
          </w:tcPr>
          <w:p w14:paraId="44D4806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合唱台阶</w:t>
            </w:r>
          </w:p>
        </w:tc>
        <w:tc>
          <w:tcPr>
            <w:tcW w:w="8573" w:type="dxa"/>
            <w:tcBorders>
              <w:tl2br w:val="nil"/>
              <w:tr2bl w:val="nil"/>
            </w:tcBorders>
            <w:shd w:val="clear" w:color="auto" w:fill="auto"/>
            <w:vAlign w:val="center"/>
          </w:tcPr>
          <w:p w14:paraId="2A9497B6">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1.尺寸：三层尺寸1230*1150*620±10mm；每层台阶款宽390±10mm，高210±10mm；小舞台尺寸:1540*1230*310±10mm；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2.材质：高密度PE；</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3.工艺：吹塑制作，材质轻，耐磨抗压，抗氧化功能强，长期使用也不会产生开裂现象，硬度和强度高，吸水性小，优良的电绝缘性，耐寒；表面带有音乐符号为模具一体成型。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4.功能：合唱台台阶可翻转设计，可调整为两层合唱台也可以变为一个整体的小舞台，侧面轮子设计方便推移。</w:t>
            </w:r>
          </w:p>
        </w:tc>
        <w:tc>
          <w:tcPr>
            <w:tcW w:w="816" w:type="dxa"/>
            <w:tcBorders>
              <w:tl2br w:val="nil"/>
              <w:tr2bl w:val="nil"/>
            </w:tcBorders>
            <w:shd w:val="clear" w:color="auto" w:fill="auto"/>
            <w:vAlign w:val="center"/>
          </w:tcPr>
          <w:p w14:paraId="0574FF2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6</w:t>
            </w:r>
          </w:p>
        </w:tc>
        <w:tc>
          <w:tcPr>
            <w:tcW w:w="498" w:type="dxa"/>
            <w:tcBorders>
              <w:tl2br w:val="nil"/>
              <w:tr2bl w:val="nil"/>
            </w:tcBorders>
            <w:shd w:val="clear" w:color="auto" w:fill="auto"/>
            <w:vAlign w:val="center"/>
          </w:tcPr>
          <w:p w14:paraId="7718A6A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77E24DDB">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628775" cy="628650"/>
                  <wp:effectExtent l="0" t="0" r="9525" b="0"/>
                  <wp:docPr id="62" name="图片 4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2" descr="IMG_259"/>
                          <pic:cNvPicPr>
                            <a:picLocks noChangeAspect="1"/>
                          </pic:cNvPicPr>
                        </pic:nvPicPr>
                        <pic:blipFill>
                          <a:blip r:embed="rId52"/>
                          <a:stretch>
                            <a:fillRect/>
                          </a:stretch>
                        </pic:blipFill>
                        <pic:spPr>
                          <a:xfrm>
                            <a:off x="0" y="0"/>
                            <a:ext cx="1628775" cy="628650"/>
                          </a:xfrm>
                          <a:prstGeom prst="rect">
                            <a:avLst/>
                          </a:prstGeom>
                          <a:noFill/>
                          <a:ln w="9525">
                            <a:noFill/>
                          </a:ln>
                        </pic:spPr>
                      </pic:pic>
                    </a:graphicData>
                  </a:graphic>
                </wp:inline>
              </w:drawing>
            </w:r>
          </w:p>
        </w:tc>
      </w:tr>
      <w:tr w14:paraId="275969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FBC9FE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w:t>
            </w:r>
          </w:p>
        </w:tc>
        <w:tc>
          <w:tcPr>
            <w:tcW w:w="1166" w:type="dxa"/>
            <w:tcBorders>
              <w:tl2br w:val="nil"/>
              <w:tr2bl w:val="nil"/>
            </w:tcBorders>
            <w:shd w:val="clear" w:color="auto" w:fill="auto"/>
            <w:vAlign w:val="center"/>
          </w:tcPr>
          <w:p w14:paraId="7C63740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收纳矮柜</w:t>
            </w:r>
          </w:p>
        </w:tc>
        <w:tc>
          <w:tcPr>
            <w:tcW w:w="8573" w:type="dxa"/>
            <w:tcBorders>
              <w:tl2br w:val="nil"/>
              <w:tr2bl w:val="nil"/>
            </w:tcBorders>
            <w:shd w:val="clear" w:color="auto" w:fill="auto"/>
            <w:vAlign w:val="center"/>
          </w:tcPr>
          <w:p w14:paraId="580439C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1.尺寸：≥W1340*D450*H900mm；                                           2.材质：E1级实木多层板；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3.工艺：采用国家标准，厚度≥18mm,基材采用E1级实木多层板，PVC直封边制作。导轨尺寸：≥300*18*25mm，材质：ABS，螺丝孔位间距≥198mm ，收纳盒尺寸：≥430*305*100mm ，材质：PP新料，五金件采用DTC液压铰链，缓冲效果是普通铰链的五倍；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4.功能：配置PP收纳盒，可收纳各种教学用具。</w:t>
            </w:r>
          </w:p>
        </w:tc>
        <w:tc>
          <w:tcPr>
            <w:tcW w:w="816" w:type="dxa"/>
            <w:tcBorders>
              <w:tl2br w:val="nil"/>
              <w:tr2bl w:val="nil"/>
            </w:tcBorders>
            <w:shd w:val="clear" w:color="auto" w:fill="auto"/>
            <w:vAlign w:val="center"/>
          </w:tcPr>
          <w:p w14:paraId="1B843B6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7669B1B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D4601FB">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628775" cy="1371600"/>
                  <wp:effectExtent l="0" t="0" r="9525" b="0"/>
                  <wp:docPr id="63" name="图片 4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3" descr="IMG_260"/>
                          <pic:cNvPicPr>
                            <a:picLocks noChangeAspect="1"/>
                          </pic:cNvPicPr>
                        </pic:nvPicPr>
                        <pic:blipFill>
                          <a:blip r:embed="rId53"/>
                          <a:stretch>
                            <a:fillRect/>
                          </a:stretch>
                        </pic:blipFill>
                        <pic:spPr>
                          <a:xfrm>
                            <a:off x="0" y="0"/>
                            <a:ext cx="1628775" cy="1371600"/>
                          </a:xfrm>
                          <a:prstGeom prst="rect">
                            <a:avLst/>
                          </a:prstGeom>
                          <a:noFill/>
                          <a:ln w="9525">
                            <a:noFill/>
                          </a:ln>
                        </pic:spPr>
                      </pic:pic>
                    </a:graphicData>
                  </a:graphic>
                </wp:inline>
              </w:drawing>
            </w:r>
          </w:p>
        </w:tc>
      </w:tr>
      <w:tr w14:paraId="1BC974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9A6A46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4302DB8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节拍器</w:t>
            </w:r>
          </w:p>
        </w:tc>
        <w:tc>
          <w:tcPr>
            <w:tcW w:w="8573" w:type="dxa"/>
            <w:tcBorders>
              <w:tl2br w:val="nil"/>
              <w:tr2bl w:val="nil"/>
            </w:tcBorders>
            <w:shd w:val="clear" w:color="auto" w:fill="auto"/>
            <w:vAlign w:val="center"/>
          </w:tcPr>
          <w:p w14:paraId="2BFE0B7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机械节拍器，高档金属机芯，传统示拍模式，40-208拍/分，速度误差≤1％，</w:t>
            </w:r>
          </w:p>
        </w:tc>
        <w:tc>
          <w:tcPr>
            <w:tcW w:w="816" w:type="dxa"/>
            <w:tcBorders>
              <w:tl2br w:val="nil"/>
              <w:tr2bl w:val="nil"/>
            </w:tcBorders>
            <w:shd w:val="clear" w:color="auto" w:fill="auto"/>
            <w:vAlign w:val="center"/>
          </w:tcPr>
          <w:p w14:paraId="682A729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12E9C40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2BB700A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400050" cy="495300"/>
                  <wp:effectExtent l="0" t="0" r="0" b="0"/>
                  <wp:docPr id="64" name="图片 4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4" descr="IMG_261"/>
                          <pic:cNvPicPr>
                            <a:picLocks noChangeAspect="1"/>
                          </pic:cNvPicPr>
                        </pic:nvPicPr>
                        <pic:blipFill>
                          <a:blip r:embed="rId54"/>
                          <a:stretch>
                            <a:fillRect/>
                          </a:stretch>
                        </pic:blipFill>
                        <pic:spPr>
                          <a:xfrm>
                            <a:off x="0" y="0"/>
                            <a:ext cx="400050" cy="495300"/>
                          </a:xfrm>
                          <a:prstGeom prst="rect">
                            <a:avLst/>
                          </a:prstGeom>
                          <a:noFill/>
                          <a:ln w="9525">
                            <a:noFill/>
                          </a:ln>
                        </pic:spPr>
                      </pic:pic>
                    </a:graphicData>
                  </a:graphic>
                </wp:inline>
              </w:drawing>
            </w:r>
          </w:p>
        </w:tc>
      </w:tr>
      <w:tr w14:paraId="6E356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DB297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w:t>
            </w:r>
          </w:p>
        </w:tc>
        <w:tc>
          <w:tcPr>
            <w:tcW w:w="1166" w:type="dxa"/>
            <w:tcBorders>
              <w:tl2br w:val="nil"/>
              <w:tr2bl w:val="nil"/>
            </w:tcBorders>
            <w:shd w:val="clear" w:color="auto" w:fill="auto"/>
            <w:vAlign w:val="center"/>
          </w:tcPr>
          <w:p w14:paraId="0EEFB07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全频音箱</w:t>
            </w:r>
          </w:p>
        </w:tc>
        <w:tc>
          <w:tcPr>
            <w:tcW w:w="8573" w:type="dxa"/>
            <w:tcBorders>
              <w:tl2br w:val="nil"/>
              <w:tr2bl w:val="nil"/>
            </w:tcBorders>
            <w:shd w:val="clear" w:color="auto" w:fill="auto"/>
            <w:vAlign w:val="center"/>
          </w:tcPr>
          <w:p w14:paraId="0B34AA2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功能特征：                                                                                                                                                                                                                 </w:t>
            </w:r>
          </w:p>
          <w:p w14:paraId="2EF5ECA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1）箱体使用加厚黑耐磨树脂漆，由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15mm中纤板组成，箱体前方由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1.2mm厚金属铁网进行保护，听觉十分灵敏，并且对复杂声音的音色具有很强的辨别能力；</w:t>
            </w:r>
          </w:p>
          <w:p w14:paraId="232BDA8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2）使用国产单元，达到高标准的技术要求，使该型号产品能满足高要求的环境工程场所使用。</w:t>
            </w:r>
          </w:p>
          <w:p w14:paraId="32D69B0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技术参数：  </w:t>
            </w:r>
          </w:p>
          <w:p w14:paraId="007BBC9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低频Low：8"（140磁50 mm) *1；</w:t>
            </w:r>
          </w:p>
          <w:p w14:paraId="40A09AA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高频High：1.5"钛膜高音(34 mm)；</w:t>
            </w:r>
          </w:p>
          <w:p w14:paraId="6351854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额定功率Long-term power（RMS）：</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200 W；</w:t>
            </w:r>
          </w:p>
          <w:p w14:paraId="1A4A7AD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峰值功率Peak Power Handling：</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300 W；</w:t>
            </w:r>
          </w:p>
          <w:p w14:paraId="4D5A0D7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频响Frequency response：65-20 KHZ；</w:t>
            </w:r>
          </w:p>
          <w:p w14:paraId="6FA2D26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阻抗Impedance：8 Ohm；          </w:t>
            </w:r>
          </w:p>
          <w:p w14:paraId="5C761C1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灵敏度Sensitivity：95 dB；   </w:t>
            </w:r>
          </w:p>
          <w:p w14:paraId="07BA696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指向性：90°× 60°；</w:t>
            </w:r>
          </w:p>
          <w:p w14:paraId="5DE8F09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箱体尺寸(W×H×D)：</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253×446×268 mm；</w:t>
            </w:r>
          </w:p>
          <w:p w14:paraId="6305D29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净重：</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8Kg；</w:t>
            </w:r>
          </w:p>
        </w:tc>
        <w:tc>
          <w:tcPr>
            <w:tcW w:w="816" w:type="dxa"/>
            <w:tcBorders>
              <w:tl2br w:val="nil"/>
              <w:tr2bl w:val="nil"/>
            </w:tcBorders>
            <w:shd w:val="clear" w:color="auto" w:fill="auto"/>
            <w:vAlign w:val="center"/>
          </w:tcPr>
          <w:p w14:paraId="25B5E85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485B19D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只</w:t>
            </w:r>
          </w:p>
        </w:tc>
        <w:tc>
          <w:tcPr>
            <w:tcW w:w="2796" w:type="dxa"/>
            <w:tcBorders>
              <w:tl2br w:val="nil"/>
              <w:tr2bl w:val="nil"/>
            </w:tcBorders>
            <w:shd w:val="clear" w:color="auto" w:fill="auto"/>
            <w:vAlign w:val="center"/>
          </w:tcPr>
          <w:p w14:paraId="5E6833E4">
            <w:pPr>
              <w:keepNext w:val="0"/>
              <w:keepLines w:val="0"/>
              <w:widowControl/>
              <w:suppressLineNumbers w:val="0"/>
              <w:jc w:val="left"/>
              <w:textAlignment w:val="center"/>
              <w:rPr>
                <w:rFonts w:hint="eastAsia" w:ascii="楷体" w:hAnsi="楷体" w:eastAsia="楷体" w:cs="楷体"/>
                <w:i w:val="0"/>
                <w:iCs w:val="0"/>
                <w:color w:val="000000" w:themeColor="text1"/>
                <w:kern w:val="2"/>
                <w:sz w:val="20"/>
                <w:szCs w:val="20"/>
                <w:u w:val="none"/>
                <w:lang w:val="en-US" w:eastAsia="zh-CN" w:bidi="ar-SA"/>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4864" behindDoc="0" locked="0" layoutInCell="1" allowOverlap="1">
                  <wp:simplePos x="0" y="0"/>
                  <wp:positionH relativeFrom="column">
                    <wp:posOffset>452755</wp:posOffset>
                  </wp:positionH>
                  <wp:positionV relativeFrom="paragraph">
                    <wp:posOffset>-115570</wp:posOffset>
                  </wp:positionV>
                  <wp:extent cx="585470" cy="883920"/>
                  <wp:effectExtent l="0" t="0" r="5080" b="11430"/>
                  <wp:wrapNone/>
                  <wp:docPr id="21" name="图片 3" descr="R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RX10"/>
                          <pic:cNvPicPr>
                            <a:picLocks noChangeAspect="1"/>
                          </pic:cNvPicPr>
                        </pic:nvPicPr>
                        <pic:blipFill>
                          <a:blip r:embed="rId55"/>
                          <a:stretch>
                            <a:fillRect/>
                          </a:stretch>
                        </pic:blipFill>
                        <pic:spPr>
                          <a:xfrm>
                            <a:off x="0" y="0"/>
                            <a:ext cx="585470" cy="883920"/>
                          </a:xfrm>
                          <a:prstGeom prst="rect">
                            <a:avLst/>
                          </a:prstGeom>
                        </pic:spPr>
                      </pic:pic>
                    </a:graphicData>
                  </a:graphic>
                </wp:anchor>
              </w:drawing>
            </w:r>
          </w:p>
        </w:tc>
      </w:tr>
      <w:tr w14:paraId="7FB93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331CE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p>
          <w:p w14:paraId="5489375D">
            <w:pPr>
              <w:pStyle w:val="3"/>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p>
          <w:p w14:paraId="5854D9DF">
            <w:pPr>
              <w:rPr>
                <w:rFonts w:hint="default"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8</w:t>
            </w:r>
          </w:p>
          <w:p w14:paraId="6A82AABB">
            <w:pPr>
              <w:pStyle w:val="3"/>
              <w:ind w:firstLine="420" w:firstLineChars="0"/>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p>
        </w:tc>
        <w:tc>
          <w:tcPr>
            <w:tcW w:w="1166" w:type="dxa"/>
            <w:tcBorders>
              <w:tl2br w:val="nil"/>
              <w:tr2bl w:val="nil"/>
            </w:tcBorders>
            <w:shd w:val="clear" w:color="auto" w:fill="auto"/>
            <w:vAlign w:val="center"/>
          </w:tcPr>
          <w:p w14:paraId="033632A0">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壁挂支架</w:t>
            </w:r>
          </w:p>
        </w:tc>
        <w:tc>
          <w:tcPr>
            <w:tcW w:w="8573" w:type="dxa"/>
            <w:tcBorders>
              <w:tl2br w:val="nil"/>
              <w:tr2bl w:val="nil"/>
            </w:tcBorders>
            <w:shd w:val="clear" w:color="auto" w:fill="auto"/>
            <w:vAlign w:val="center"/>
          </w:tcPr>
          <w:p w14:paraId="3F47C123">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1.钢材加厚   </w:t>
            </w:r>
          </w:p>
          <w:p w14:paraId="6420B84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2.支撑稳定，箱体安装深度随意调整。</w:t>
            </w:r>
          </w:p>
        </w:tc>
        <w:tc>
          <w:tcPr>
            <w:tcW w:w="816" w:type="dxa"/>
            <w:tcBorders>
              <w:tl2br w:val="nil"/>
              <w:tr2bl w:val="nil"/>
            </w:tcBorders>
            <w:shd w:val="clear" w:color="auto" w:fill="auto"/>
            <w:vAlign w:val="center"/>
          </w:tcPr>
          <w:p w14:paraId="377F0676">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29C62A2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3E8010D">
            <w:pPr>
              <w:keepNext w:val="0"/>
              <w:keepLines w:val="0"/>
              <w:widowControl/>
              <w:suppressLineNumbers w:val="0"/>
              <w:jc w:val="left"/>
              <w:textAlignment w:val="cente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pPr>
          </w:p>
        </w:tc>
      </w:tr>
      <w:tr w14:paraId="28C52D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39E6B6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9</w:t>
            </w:r>
          </w:p>
        </w:tc>
        <w:tc>
          <w:tcPr>
            <w:tcW w:w="1166" w:type="dxa"/>
            <w:tcBorders>
              <w:tl2br w:val="nil"/>
              <w:tr2bl w:val="nil"/>
            </w:tcBorders>
            <w:shd w:val="clear" w:color="auto" w:fill="auto"/>
            <w:vAlign w:val="center"/>
          </w:tcPr>
          <w:p w14:paraId="1A7259C7">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合并式功放（带效果）</w:t>
            </w:r>
          </w:p>
        </w:tc>
        <w:tc>
          <w:tcPr>
            <w:tcW w:w="8573" w:type="dxa"/>
            <w:tcBorders>
              <w:tl2br w:val="nil"/>
              <w:tr2bl w:val="nil"/>
            </w:tcBorders>
            <w:shd w:val="clear" w:color="auto" w:fill="auto"/>
            <w:vAlign w:val="center"/>
          </w:tcPr>
          <w:p w14:paraId="06B2528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1、功放自带DSP效果器；</w:t>
            </w:r>
          </w:p>
          <w:p w14:paraId="69CD35C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2、支持MP3、蓝牙等功能；</w:t>
            </w:r>
          </w:p>
          <w:p w14:paraId="401F0FE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3、具有移频功放，有效防止啸叫；</w:t>
            </w:r>
          </w:p>
          <w:p w14:paraId="4E8CD223">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4、功率：不小于350W*2</w:t>
            </w:r>
          </w:p>
          <w:p w14:paraId="7A24AD4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5、输入接口：支持RCA/USB/蓝牙/6.35/大二芯等接口    </w:t>
            </w:r>
          </w:p>
          <w:p w14:paraId="4CE9640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6、输入灵敏度：音乐（350MV)  话筒（100MA）</w:t>
            </w:r>
          </w:p>
          <w:p w14:paraId="667CA8C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7、输入阻抗：音乐（47K)  话筒（220R）</w:t>
            </w:r>
          </w:p>
          <w:p w14:paraId="690F7F2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8、信噪比：≥90dB</w:t>
            </w:r>
          </w:p>
          <w:p w14:paraId="3AEB9A9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9、频率响应 ：20Hz-20kHz（±1dB）</w:t>
            </w:r>
          </w:p>
          <w:p w14:paraId="61EF32C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10、具有负载短路，直流输出，电源通断，超温等保护</w:t>
            </w:r>
          </w:p>
        </w:tc>
        <w:tc>
          <w:tcPr>
            <w:tcW w:w="816" w:type="dxa"/>
            <w:tcBorders>
              <w:tl2br w:val="nil"/>
              <w:tr2bl w:val="nil"/>
            </w:tcBorders>
            <w:shd w:val="clear" w:color="auto" w:fill="auto"/>
            <w:vAlign w:val="center"/>
          </w:tcPr>
          <w:p w14:paraId="461DE4CB">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03058FA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5123BE67">
            <w:pPr>
              <w:jc w:val="cente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1108075" cy="442595"/>
                  <wp:effectExtent l="0" t="0" r="15875" b="1460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56"/>
                          <a:stretch>
                            <a:fillRect/>
                          </a:stretch>
                        </pic:blipFill>
                        <pic:spPr>
                          <a:xfrm>
                            <a:off x="0" y="0"/>
                            <a:ext cx="1108075" cy="442595"/>
                          </a:xfrm>
                          <a:prstGeom prst="rect">
                            <a:avLst/>
                          </a:prstGeom>
                          <a:noFill/>
                          <a:ln w="9525">
                            <a:noFill/>
                          </a:ln>
                        </pic:spPr>
                      </pic:pic>
                    </a:graphicData>
                  </a:graphic>
                </wp:inline>
              </w:drawing>
            </w:r>
          </w:p>
        </w:tc>
      </w:tr>
      <w:tr w14:paraId="3CBD3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C17A92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10</w:t>
            </w:r>
          </w:p>
        </w:tc>
        <w:tc>
          <w:tcPr>
            <w:tcW w:w="1166" w:type="dxa"/>
            <w:tcBorders>
              <w:tl2br w:val="nil"/>
              <w:tr2bl w:val="nil"/>
            </w:tcBorders>
            <w:shd w:val="clear" w:color="auto" w:fill="auto"/>
            <w:vAlign w:val="center"/>
          </w:tcPr>
          <w:p w14:paraId="5D80EC3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手持话筒套装</w:t>
            </w:r>
          </w:p>
        </w:tc>
        <w:tc>
          <w:tcPr>
            <w:tcW w:w="8573" w:type="dxa"/>
            <w:tcBorders>
              <w:tl2br w:val="nil"/>
              <w:tr2bl w:val="nil"/>
            </w:tcBorders>
            <w:shd w:val="clear" w:color="auto" w:fill="auto"/>
            <w:vAlign w:val="center"/>
          </w:tcPr>
          <w:p w14:paraId="4CC9BAF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为人声量身定制的频率响应，具有明亮的中频和低频滚降</w:t>
            </w:r>
          </w:p>
          <w:p w14:paraId="3E31B7B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心形拾音模式突出主音源，同时最大程度减少背景噪声</w:t>
            </w:r>
          </w:p>
          <w:p w14:paraId="20EED65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气动防震架可有效降低手持噪声</w:t>
            </w:r>
          </w:p>
          <w:p w14:paraId="02F3404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有效的内置球形网罩和防喷罩</w:t>
            </w:r>
          </w:p>
          <w:p w14:paraId="7241E79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随附可旋转 180 度的抗震支架适配器</w:t>
            </w:r>
          </w:p>
          <w:p w14:paraId="4C03E64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Shure传奇的卓越品质、坚固耐用和可靠性</w:t>
            </w:r>
          </w:p>
          <w:p w14:paraId="6C7CCA4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心形（单指向）动圈式</w:t>
            </w:r>
          </w:p>
          <w:p w14:paraId="31727BE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频响范围：50 至 15,000 Hz</w:t>
            </w:r>
          </w:p>
        </w:tc>
        <w:tc>
          <w:tcPr>
            <w:tcW w:w="816" w:type="dxa"/>
            <w:tcBorders>
              <w:tl2br w:val="nil"/>
              <w:tr2bl w:val="nil"/>
            </w:tcBorders>
            <w:shd w:val="clear" w:color="auto" w:fill="auto"/>
            <w:vAlign w:val="center"/>
          </w:tcPr>
          <w:p w14:paraId="0FEA70D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2024D0E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38CC8433">
            <w:pPr>
              <w:jc w:val="cente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721360" cy="611505"/>
                  <wp:effectExtent l="0" t="0" r="2540" b="1714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57"/>
                          <a:stretch>
                            <a:fillRect/>
                          </a:stretch>
                        </pic:blipFill>
                        <pic:spPr>
                          <a:xfrm>
                            <a:off x="0" y="0"/>
                            <a:ext cx="721360" cy="611505"/>
                          </a:xfrm>
                          <a:prstGeom prst="rect">
                            <a:avLst/>
                          </a:prstGeom>
                          <a:noFill/>
                          <a:ln w="9525">
                            <a:noFill/>
                          </a:ln>
                        </pic:spPr>
                      </pic:pic>
                    </a:graphicData>
                  </a:graphic>
                </wp:inline>
              </w:drawing>
            </w:r>
          </w:p>
        </w:tc>
      </w:tr>
      <w:tr w14:paraId="57B9D1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398588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11</w:t>
            </w:r>
          </w:p>
        </w:tc>
        <w:tc>
          <w:tcPr>
            <w:tcW w:w="1166" w:type="dxa"/>
            <w:tcBorders>
              <w:tl2br w:val="nil"/>
              <w:tr2bl w:val="nil"/>
            </w:tcBorders>
            <w:shd w:val="clear" w:color="auto" w:fill="auto"/>
            <w:vAlign w:val="center"/>
          </w:tcPr>
          <w:p w14:paraId="2BEC22DB">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机柜</w:t>
            </w:r>
          </w:p>
        </w:tc>
        <w:tc>
          <w:tcPr>
            <w:tcW w:w="8573" w:type="dxa"/>
            <w:tcBorders>
              <w:tl2br w:val="nil"/>
              <w:tr2bl w:val="nil"/>
            </w:tcBorders>
            <w:shd w:val="clear" w:color="auto" w:fill="auto"/>
            <w:vAlign w:val="center"/>
          </w:tcPr>
          <w:p w14:paraId="44D69A9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1.产品采用高密度黑色砂面防火板，具有防火、防水、耐酸碱、耐划伤功能</w:t>
            </w:r>
          </w:p>
          <w:p w14:paraId="273CD78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2.≥1.5mm厚双包铝、≥1.2mm厚双V铝型材、≥1.2mm厚L型铝型材均氧化成铝本色；</w:t>
            </w:r>
          </w:p>
          <w:p w14:paraId="79A5468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3.连接机箱的TM5*18大扁机丝和M5的法兰盘螺母均采用镀铬处理。</w:t>
            </w:r>
          </w:p>
          <w:p w14:paraId="231EACA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4.4个≥3寸静音万向脚轮，滚针轴承，其中两个带刹车，方便演出固定。</w:t>
            </w:r>
          </w:p>
          <w:p w14:paraId="4301C10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5.蝴蝶挂锁、大抽手、中角直码、大球包均采用镀铬表面处理。</w:t>
            </w:r>
          </w:p>
          <w:p w14:paraId="458E6FC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6.4个牢固镀铬把手，方便设备搬运。</w:t>
            </w:r>
          </w:p>
          <w:p w14:paraId="3EA01CC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7.共≥10套快装蝴蝶挂锁，牢固锁紧箱盖和箱体，便于运输流动。</w:t>
            </w:r>
          </w:p>
          <w:p w14:paraId="53BB1BF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8.产品外形美观大方、漏印精美、结实经久耐用。</w:t>
            </w:r>
          </w:p>
        </w:tc>
        <w:tc>
          <w:tcPr>
            <w:tcW w:w="816" w:type="dxa"/>
            <w:tcBorders>
              <w:tl2br w:val="nil"/>
              <w:tr2bl w:val="nil"/>
            </w:tcBorders>
            <w:shd w:val="clear" w:color="auto" w:fill="auto"/>
            <w:vAlign w:val="center"/>
          </w:tcPr>
          <w:p w14:paraId="0CBB201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2DDB5F6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6842BB31">
            <w:pPr>
              <w:jc w:val="cente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624965" cy="1755775"/>
                  <wp:effectExtent l="0" t="0" r="13335" b="15875"/>
                  <wp:docPr id="42" name="图片 42" descr="ba4915c634ed20bad91c7af36427a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a4915c634ed20bad91c7af36427a44"/>
                          <pic:cNvPicPr>
                            <a:picLocks noChangeAspect="1"/>
                          </pic:cNvPicPr>
                        </pic:nvPicPr>
                        <pic:blipFill>
                          <a:blip r:embed="rId58"/>
                          <a:stretch>
                            <a:fillRect/>
                          </a:stretch>
                        </pic:blipFill>
                        <pic:spPr>
                          <a:xfrm>
                            <a:off x="0" y="0"/>
                            <a:ext cx="1624965" cy="1755775"/>
                          </a:xfrm>
                          <a:prstGeom prst="rect">
                            <a:avLst/>
                          </a:prstGeom>
                        </pic:spPr>
                      </pic:pic>
                    </a:graphicData>
                  </a:graphic>
                </wp:inline>
              </w:drawing>
            </w:r>
          </w:p>
        </w:tc>
      </w:tr>
      <w:tr w14:paraId="210E7C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BF4107">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12</w:t>
            </w:r>
          </w:p>
        </w:tc>
        <w:tc>
          <w:tcPr>
            <w:tcW w:w="1166" w:type="dxa"/>
            <w:tcBorders>
              <w:tl2br w:val="nil"/>
              <w:tr2bl w:val="nil"/>
            </w:tcBorders>
            <w:shd w:val="clear" w:color="auto" w:fill="auto"/>
            <w:vAlign w:val="center"/>
          </w:tcPr>
          <w:p w14:paraId="79B06F27">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线材、配件及安装辅材</w:t>
            </w:r>
          </w:p>
        </w:tc>
        <w:tc>
          <w:tcPr>
            <w:tcW w:w="8573" w:type="dxa"/>
            <w:tcBorders>
              <w:tl2br w:val="nil"/>
              <w:tr2bl w:val="nil"/>
            </w:tcBorders>
            <w:shd w:val="clear" w:color="auto" w:fill="auto"/>
            <w:vAlign w:val="center"/>
          </w:tcPr>
          <w:p w14:paraId="2640A3D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秋叶源音箱线、电源线、接头等</w:t>
            </w:r>
          </w:p>
        </w:tc>
        <w:tc>
          <w:tcPr>
            <w:tcW w:w="816" w:type="dxa"/>
            <w:tcBorders>
              <w:tl2br w:val="nil"/>
              <w:tr2bl w:val="nil"/>
            </w:tcBorders>
            <w:shd w:val="clear" w:color="auto" w:fill="auto"/>
            <w:vAlign w:val="center"/>
          </w:tcPr>
          <w:p w14:paraId="286F0220">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45ED3D0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CDD9866">
            <w:pPr>
              <w:jc w:val="cente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pPr>
          </w:p>
        </w:tc>
      </w:tr>
      <w:tr w14:paraId="3139B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0C608D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13</w:t>
            </w:r>
          </w:p>
        </w:tc>
        <w:tc>
          <w:tcPr>
            <w:tcW w:w="1166" w:type="dxa"/>
            <w:tcBorders>
              <w:tl2br w:val="nil"/>
              <w:tr2bl w:val="nil"/>
            </w:tcBorders>
            <w:shd w:val="clear" w:color="auto" w:fill="auto"/>
            <w:vAlign w:val="center"/>
          </w:tcPr>
          <w:p w14:paraId="42397CE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吊顶</w:t>
            </w:r>
          </w:p>
        </w:tc>
        <w:tc>
          <w:tcPr>
            <w:tcW w:w="8573" w:type="dxa"/>
            <w:tcBorders>
              <w:tl2br w:val="nil"/>
              <w:tr2bl w:val="nil"/>
            </w:tcBorders>
            <w:shd w:val="clear" w:color="auto" w:fill="auto"/>
            <w:vAlign w:val="center"/>
          </w:tcPr>
          <w:p w14:paraId="6C7CB52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816" w:type="dxa"/>
            <w:tcBorders>
              <w:tl2br w:val="nil"/>
              <w:tr2bl w:val="nil"/>
            </w:tcBorders>
            <w:shd w:val="clear" w:color="auto" w:fill="auto"/>
            <w:vAlign w:val="center"/>
          </w:tcPr>
          <w:p w14:paraId="1889004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100.00</w:t>
            </w:r>
          </w:p>
        </w:tc>
        <w:tc>
          <w:tcPr>
            <w:tcW w:w="498" w:type="dxa"/>
            <w:tcBorders>
              <w:tl2br w:val="nil"/>
              <w:tr2bl w:val="nil"/>
            </w:tcBorders>
            <w:shd w:val="clear" w:color="auto" w:fill="auto"/>
            <w:vAlign w:val="center"/>
          </w:tcPr>
          <w:p w14:paraId="4BD652A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5549F96D">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579B77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CD6549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109F704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7BA6EBB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68B4191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3B3BA50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5F64F2D2">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220E65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A7DB4B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5A66CC5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格栅灯</w:t>
            </w:r>
          </w:p>
        </w:tc>
        <w:tc>
          <w:tcPr>
            <w:tcW w:w="8573" w:type="dxa"/>
            <w:tcBorders>
              <w:tl2br w:val="nil"/>
              <w:tr2bl w:val="nil"/>
            </w:tcBorders>
            <w:shd w:val="clear" w:color="auto" w:fill="auto"/>
            <w:vAlign w:val="center"/>
          </w:tcPr>
          <w:p w14:paraId="0DD3C87E">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816" w:type="dxa"/>
            <w:tcBorders>
              <w:tl2br w:val="nil"/>
              <w:tr2bl w:val="nil"/>
            </w:tcBorders>
            <w:shd w:val="clear" w:color="auto" w:fill="auto"/>
            <w:vAlign w:val="center"/>
          </w:tcPr>
          <w:p w14:paraId="3AB5B0D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498" w:type="dxa"/>
            <w:tcBorders>
              <w:tl2br w:val="nil"/>
              <w:tr2bl w:val="nil"/>
            </w:tcBorders>
            <w:shd w:val="clear" w:color="auto" w:fill="auto"/>
            <w:vAlign w:val="center"/>
          </w:tcPr>
          <w:p w14:paraId="0F5DBCA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35845FBC">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4A785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EA4E37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3291652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8573" w:type="dxa"/>
            <w:tcBorders>
              <w:tl2br w:val="nil"/>
              <w:tr2bl w:val="nil"/>
            </w:tcBorders>
            <w:shd w:val="clear" w:color="auto" w:fill="auto"/>
            <w:vAlign w:val="center"/>
          </w:tcPr>
          <w:p w14:paraId="6754663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3F391FD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498" w:type="dxa"/>
            <w:tcBorders>
              <w:tl2br w:val="nil"/>
              <w:tr2bl w:val="nil"/>
            </w:tcBorders>
            <w:shd w:val="clear" w:color="auto" w:fill="auto"/>
            <w:vAlign w:val="center"/>
          </w:tcPr>
          <w:p w14:paraId="5DDFDF3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796" w:type="dxa"/>
            <w:tcBorders>
              <w:tl2br w:val="nil"/>
              <w:tr2bl w:val="nil"/>
            </w:tcBorders>
            <w:shd w:val="clear" w:color="auto" w:fill="auto"/>
            <w:vAlign w:val="center"/>
          </w:tcPr>
          <w:p w14:paraId="554BFF76">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2A2182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14A6CA6">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17</w:t>
            </w:r>
          </w:p>
        </w:tc>
        <w:tc>
          <w:tcPr>
            <w:tcW w:w="1166" w:type="dxa"/>
            <w:tcBorders>
              <w:tl2br w:val="nil"/>
              <w:tr2bl w:val="nil"/>
            </w:tcBorders>
            <w:shd w:val="clear" w:color="auto" w:fill="auto"/>
            <w:vAlign w:val="center"/>
          </w:tcPr>
          <w:p w14:paraId="7A92F85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展示墙</w:t>
            </w:r>
          </w:p>
        </w:tc>
        <w:tc>
          <w:tcPr>
            <w:tcW w:w="8573" w:type="dxa"/>
            <w:tcBorders>
              <w:tl2br w:val="nil"/>
              <w:tr2bl w:val="nil"/>
            </w:tcBorders>
            <w:shd w:val="clear" w:color="auto" w:fill="auto"/>
            <w:vAlign w:val="center"/>
          </w:tcPr>
          <w:p w14:paraId="6B6632C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多层实木框架，局部石膏板饰面，内部12mm聚酯纤维毛毡装饰。</w:t>
            </w:r>
          </w:p>
        </w:tc>
        <w:tc>
          <w:tcPr>
            <w:tcW w:w="816" w:type="dxa"/>
            <w:tcBorders>
              <w:tl2br w:val="nil"/>
              <w:tr2bl w:val="nil"/>
            </w:tcBorders>
            <w:shd w:val="clear" w:color="auto" w:fill="auto"/>
            <w:vAlign w:val="center"/>
          </w:tcPr>
          <w:p w14:paraId="5385CA7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14.50 </w:t>
            </w:r>
          </w:p>
        </w:tc>
        <w:tc>
          <w:tcPr>
            <w:tcW w:w="498" w:type="dxa"/>
            <w:tcBorders>
              <w:tl2br w:val="nil"/>
              <w:tr2bl w:val="nil"/>
            </w:tcBorders>
            <w:shd w:val="clear" w:color="auto" w:fill="auto"/>
            <w:vAlign w:val="center"/>
          </w:tcPr>
          <w:p w14:paraId="24ED70E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36B7774D">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426D7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D58A4A">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18</w:t>
            </w:r>
          </w:p>
        </w:tc>
        <w:tc>
          <w:tcPr>
            <w:tcW w:w="1166" w:type="dxa"/>
            <w:tcBorders>
              <w:tl2br w:val="nil"/>
              <w:tr2bl w:val="nil"/>
            </w:tcBorders>
            <w:shd w:val="clear" w:color="auto" w:fill="auto"/>
            <w:vAlign w:val="center"/>
          </w:tcPr>
          <w:p w14:paraId="6A5DD90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8573" w:type="dxa"/>
            <w:tcBorders>
              <w:tl2br w:val="nil"/>
              <w:tr2bl w:val="nil"/>
            </w:tcBorders>
            <w:shd w:val="clear" w:color="auto" w:fill="auto"/>
            <w:vAlign w:val="center"/>
          </w:tcPr>
          <w:p w14:paraId="3844C8A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816" w:type="dxa"/>
            <w:tcBorders>
              <w:tl2br w:val="nil"/>
              <w:tr2bl w:val="nil"/>
            </w:tcBorders>
            <w:shd w:val="clear" w:color="auto" w:fill="auto"/>
            <w:vAlign w:val="center"/>
          </w:tcPr>
          <w:p w14:paraId="207F01C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498" w:type="dxa"/>
            <w:tcBorders>
              <w:tl2br w:val="nil"/>
              <w:tr2bl w:val="nil"/>
            </w:tcBorders>
            <w:shd w:val="clear" w:color="auto" w:fill="auto"/>
            <w:vAlign w:val="center"/>
          </w:tcPr>
          <w:p w14:paraId="7FD88DB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796" w:type="dxa"/>
            <w:tcBorders>
              <w:tl2br w:val="nil"/>
              <w:tr2bl w:val="nil"/>
            </w:tcBorders>
            <w:shd w:val="clear" w:color="auto" w:fill="auto"/>
            <w:vAlign w:val="center"/>
          </w:tcPr>
          <w:p w14:paraId="2D40C4DD">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6FF54B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BCB2407">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19</w:t>
            </w:r>
          </w:p>
        </w:tc>
        <w:tc>
          <w:tcPr>
            <w:tcW w:w="1166" w:type="dxa"/>
            <w:tcBorders>
              <w:tl2br w:val="nil"/>
              <w:tr2bl w:val="nil"/>
            </w:tcBorders>
            <w:shd w:val="clear" w:color="auto" w:fill="auto"/>
            <w:vAlign w:val="center"/>
          </w:tcPr>
          <w:p w14:paraId="1BC9754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8573" w:type="dxa"/>
            <w:tcBorders>
              <w:tl2br w:val="nil"/>
              <w:tr2bl w:val="nil"/>
            </w:tcBorders>
            <w:shd w:val="clear" w:color="auto" w:fill="auto"/>
            <w:vAlign w:val="center"/>
          </w:tcPr>
          <w:p w14:paraId="6893502A">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816" w:type="dxa"/>
            <w:tcBorders>
              <w:tl2br w:val="nil"/>
              <w:tr2bl w:val="nil"/>
            </w:tcBorders>
            <w:shd w:val="clear" w:color="auto" w:fill="auto"/>
            <w:vAlign w:val="center"/>
          </w:tcPr>
          <w:p w14:paraId="432E54F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0DCDB4A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796" w:type="dxa"/>
            <w:tcBorders>
              <w:tl2br w:val="nil"/>
              <w:tr2bl w:val="nil"/>
            </w:tcBorders>
            <w:shd w:val="clear" w:color="auto" w:fill="auto"/>
            <w:vAlign w:val="center"/>
          </w:tcPr>
          <w:p w14:paraId="28EA2DC2">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205F8A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25E31E4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b/>
                <w:bCs/>
                <w:color w:val="000000" w:themeColor="text1"/>
                <w:sz w:val="24"/>
                <w:szCs w:val="24"/>
                <w:vertAlign w:val="baseline"/>
                <w:lang w:val="en-US" w:eastAsia="zh-CN"/>
                <w14:textFill>
                  <w14:solidFill>
                    <w14:schemeClr w14:val="tx1"/>
                  </w14:solidFill>
                </w14:textFill>
              </w:rPr>
              <w:t>12.</w:t>
            </w:r>
            <w:r>
              <w:rPr>
                <w:rFonts w:hint="eastAsia" w:ascii="宋体" w:hAnsi="宋体" w:eastAsia="宋体" w:cs="宋体"/>
                <w:b/>
                <w:bCs/>
                <w:color w:val="000000" w:themeColor="text1"/>
                <w:sz w:val="24"/>
                <w:szCs w:val="24"/>
                <w:vertAlign w:val="baseline"/>
                <w:lang w:val="en-US" w:eastAsia="zh-CN"/>
                <w14:textFill>
                  <w14:solidFill>
                    <w14:schemeClr w14:val="tx1"/>
                  </w14:solidFill>
                </w14:textFill>
              </w:rPr>
              <w:t>音乐教室2（奥尔夫）</w:t>
            </w:r>
          </w:p>
        </w:tc>
      </w:tr>
      <w:tr w14:paraId="2AA0B9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71D4E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0A8980C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移动讲台</w:t>
            </w:r>
          </w:p>
        </w:tc>
        <w:tc>
          <w:tcPr>
            <w:tcW w:w="8573" w:type="dxa"/>
            <w:tcBorders>
              <w:tl2br w:val="nil"/>
              <w:tr2bl w:val="nil"/>
            </w:tcBorders>
            <w:shd w:val="clear" w:color="auto" w:fill="auto"/>
            <w:vAlign w:val="center"/>
          </w:tcPr>
          <w:p w14:paraId="79D0FD9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1.尺寸：≥670*550*760-1060mm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2.材质：支架采用优质铝合金，台面环保板材，可折叠升降</w:t>
            </w:r>
          </w:p>
        </w:tc>
        <w:tc>
          <w:tcPr>
            <w:tcW w:w="816" w:type="dxa"/>
            <w:tcBorders>
              <w:tl2br w:val="nil"/>
              <w:tr2bl w:val="nil"/>
            </w:tcBorders>
            <w:shd w:val="clear" w:color="auto" w:fill="auto"/>
            <w:vAlign w:val="center"/>
          </w:tcPr>
          <w:p w14:paraId="7A95E2A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71416BC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3E6FC75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628775" cy="1152525"/>
                  <wp:effectExtent l="0" t="0" r="9525" b="9525"/>
                  <wp:docPr id="65"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5" descr="IMG_256"/>
                          <pic:cNvPicPr>
                            <a:picLocks noChangeAspect="1"/>
                          </pic:cNvPicPr>
                        </pic:nvPicPr>
                        <pic:blipFill>
                          <a:blip r:embed="rId49"/>
                          <a:stretch>
                            <a:fillRect/>
                          </a:stretch>
                        </pic:blipFill>
                        <pic:spPr>
                          <a:xfrm>
                            <a:off x="0" y="0"/>
                            <a:ext cx="1628775" cy="1152525"/>
                          </a:xfrm>
                          <a:prstGeom prst="rect">
                            <a:avLst/>
                          </a:prstGeom>
                          <a:noFill/>
                          <a:ln w="9525">
                            <a:noFill/>
                          </a:ln>
                        </pic:spPr>
                      </pic:pic>
                    </a:graphicData>
                  </a:graphic>
                </wp:inline>
              </w:drawing>
            </w:r>
          </w:p>
        </w:tc>
      </w:tr>
      <w:tr w14:paraId="63275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C427B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166" w:type="dxa"/>
            <w:tcBorders>
              <w:tl2br w:val="nil"/>
              <w:tr2bl w:val="nil"/>
            </w:tcBorders>
            <w:shd w:val="clear" w:color="auto" w:fill="auto"/>
            <w:vAlign w:val="center"/>
          </w:tcPr>
          <w:p w14:paraId="22C5E9E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排练椅</w:t>
            </w:r>
          </w:p>
        </w:tc>
        <w:tc>
          <w:tcPr>
            <w:tcW w:w="8573" w:type="dxa"/>
            <w:tcBorders>
              <w:tl2br w:val="nil"/>
              <w:tr2bl w:val="nil"/>
            </w:tcBorders>
            <w:shd w:val="clear" w:color="auto" w:fill="auto"/>
            <w:vAlign w:val="center"/>
          </w:tcPr>
          <w:p w14:paraId="182700D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椅总高770mm±10mm，座面有效深400mm±10mm，座面高430mm±10mm，座面宽400mm±10mm，靠背上缘距座面高350mm±10mm，椅后腿长度530mm±10mm，椅前后腿最大间距470mm±10mm，靠背管间距400mm±10mm，椅腿直径22mm±1mm，靠背高度180mm±10mm，椅腿壁厚1.5mm±0.2mm，横撑直径15mm±1mm，横撑前后间距380mm±10mm，折页厚度1.5mm±0.2mm，折页长度100mm±10mm，折叠椅折叠后高度960mm±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2.材质：亚光漆铁+PU皮革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3.着地平稳性：≤2.0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4.表面处理：材质无虫蛀、无贯通裂缝、无尖角、棱角，采用优质净味清水漆喷涂工艺喷涂而成，安全环保、无毒无味、凸显木材纹理、手感光滑、无毛刺。</w:t>
            </w:r>
          </w:p>
        </w:tc>
        <w:tc>
          <w:tcPr>
            <w:tcW w:w="816" w:type="dxa"/>
            <w:tcBorders>
              <w:tl2br w:val="nil"/>
              <w:tr2bl w:val="nil"/>
            </w:tcBorders>
            <w:shd w:val="clear" w:color="auto" w:fill="auto"/>
            <w:vAlign w:val="center"/>
          </w:tcPr>
          <w:p w14:paraId="7E46D3F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47</w:t>
            </w:r>
          </w:p>
        </w:tc>
        <w:tc>
          <w:tcPr>
            <w:tcW w:w="498" w:type="dxa"/>
            <w:tcBorders>
              <w:tl2br w:val="nil"/>
              <w:tr2bl w:val="nil"/>
            </w:tcBorders>
            <w:shd w:val="clear" w:color="auto" w:fill="auto"/>
            <w:vAlign w:val="center"/>
          </w:tcPr>
          <w:p w14:paraId="4702E1E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60F6BD12">
            <w:pPr>
              <w:keepNext w:val="0"/>
              <w:keepLines w:val="0"/>
              <w:widowControl/>
              <w:suppressLineNumbers w:val="0"/>
              <w:jc w:val="center"/>
              <w:textAlignment w:val="center"/>
              <w:rPr>
                <w:rFonts w:hint="eastAsia" w:ascii="楷体" w:hAnsi="楷体" w:eastAsia="楷体" w:cs="楷体"/>
                <w:i w:val="0"/>
                <w:iCs w:val="0"/>
                <w:color w:val="000000" w:themeColor="text1"/>
                <w:kern w:val="2"/>
                <w:sz w:val="20"/>
                <w:szCs w:val="20"/>
                <w:u w:val="no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342900" cy="495300"/>
                  <wp:effectExtent l="0" t="0" r="0" b="0"/>
                  <wp:docPr id="66" name="图片 4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6" descr="IMG_257"/>
                          <pic:cNvPicPr>
                            <a:picLocks noChangeAspect="1"/>
                          </pic:cNvPicPr>
                        </pic:nvPicPr>
                        <pic:blipFill>
                          <a:blip r:embed="rId59"/>
                          <a:stretch>
                            <a:fillRect/>
                          </a:stretch>
                        </pic:blipFill>
                        <pic:spPr>
                          <a:xfrm>
                            <a:off x="0" y="0"/>
                            <a:ext cx="342900" cy="495300"/>
                          </a:xfrm>
                          <a:prstGeom prst="rect">
                            <a:avLst/>
                          </a:prstGeom>
                          <a:noFill/>
                          <a:ln w="9525">
                            <a:noFill/>
                          </a:ln>
                        </pic:spPr>
                      </pic:pic>
                    </a:graphicData>
                  </a:graphic>
                </wp:inline>
              </w:drawing>
            </w:r>
          </w:p>
        </w:tc>
      </w:tr>
      <w:tr w14:paraId="1F1123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8C814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166" w:type="dxa"/>
            <w:tcBorders>
              <w:tl2br w:val="nil"/>
              <w:tr2bl w:val="nil"/>
            </w:tcBorders>
            <w:shd w:val="clear" w:color="auto" w:fill="auto"/>
            <w:vAlign w:val="center"/>
          </w:tcPr>
          <w:p w14:paraId="273D7D1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全频音箱</w:t>
            </w:r>
          </w:p>
        </w:tc>
        <w:tc>
          <w:tcPr>
            <w:tcW w:w="8573" w:type="dxa"/>
            <w:tcBorders>
              <w:tl2br w:val="nil"/>
              <w:tr2bl w:val="nil"/>
            </w:tcBorders>
            <w:shd w:val="clear" w:color="auto" w:fill="auto"/>
            <w:vAlign w:val="center"/>
          </w:tcPr>
          <w:p w14:paraId="5C122C8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功能特征：                                                                                                                                                                                                                 </w:t>
            </w:r>
          </w:p>
          <w:p w14:paraId="7BB5A0D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1）箱体使用加厚黑耐磨树脂漆，由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15mm中纤板组成，箱体前方由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1.2mm厚金属铁网进行保护，听觉十分灵敏，并且对复杂声音的音色具有很强的辨别能力；</w:t>
            </w:r>
          </w:p>
          <w:p w14:paraId="31BBBA7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2）使用国产单元，达到高标准的技术要求，使该型号产品能满足高要求的环境工程场所使用。</w:t>
            </w:r>
          </w:p>
          <w:p w14:paraId="252DB83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技术参数：  </w:t>
            </w:r>
          </w:p>
          <w:p w14:paraId="5622E6E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低频Low：8"（140磁50 mm) *1；</w:t>
            </w:r>
          </w:p>
          <w:p w14:paraId="6619FFC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高频High：1.5"钛膜高音(34 mm)；</w:t>
            </w:r>
          </w:p>
          <w:p w14:paraId="65F6F7A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额定功率Long-term power（RMS）：200 W；</w:t>
            </w:r>
          </w:p>
          <w:p w14:paraId="08D49CF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峰值功率Peak Power Handling：300 W；</w:t>
            </w:r>
          </w:p>
          <w:p w14:paraId="24BB021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频响Frequency response：65-20 KHZ；</w:t>
            </w:r>
          </w:p>
          <w:p w14:paraId="508C137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阻抗Impedance：8 Ohm；          </w:t>
            </w:r>
          </w:p>
          <w:p w14:paraId="353EC20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灵敏度Sensitivity：95 dB；   </w:t>
            </w:r>
          </w:p>
          <w:p w14:paraId="20BA8B5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指向性：90°× 60°；</w:t>
            </w:r>
          </w:p>
          <w:p w14:paraId="2BA2B15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箱体尺寸(W×H×D)：</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253×446×268 mm；</w:t>
            </w:r>
          </w:p>
          <w:p w14:paraId="5370EDF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净重：</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8.9 Kg；</w:t>
            </w:r>
          </w:p>
        </w:tc>
        <w:tc>
          <w:tcPr>
            <w:tcW w:w="816" w:type="dxa"/>
            <w:tcBorders>
              <w:tl2br w:val="nil"/>
              <w:tr2bl w:val="nil"/>
            </w:tcBorders>
            <w:shd w:val="clear" w:color="auto" w:fill="auto"/>
            <w:vAlign w:val="center"/>
          </w:tcPr>
          <w:p w14:paraId="367F066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3329A51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只</w:t>
            </w:r>
          </w:p>
        </w:tc>
        <w:tc>
          <w:tcPr>
            <w:tcW w:w="2796" w:type="dxa"/>
            <w:tcBorders>
              <w:tl2br w:val="nil"/>
              <w:tr2bl w:val="nil"/>
            </w:tcBorders>
            <w:shd w:val="clear" w:color="auto" w:fill="auto"/>
            <w:vAlign w:val="center"/>
          </w:tcPr>
          <w:p w14:paraId="260C235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585470" cy="883920"/>
                  <wp:effectExtent l="0" t="0" r="5080" b="11430"/>
                  <wp:docPr id="46" name="图片 3" descr="R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descr="RX10"/>
                          <pic:cNvPicPr>
                            <a:picLocks noChangeAspect="1"/>
                          </pic:cNvPicPr>
                        </pic:nvPicPr>
                        <pic:blipFill>
                          <a:blip r:embed="rId55"/>
                          <a:stretch>
                            <a:fillRect/>
                          </a:stretch>
                        </pic:blipFill>
                        <pic:spPr>
                          <a:xfrm>
                            <a:off x="0" y="0"/>
                            <a:ext cx="585470" cy="883920"/>
                          </a:xfrm>
                          <a:prstGeom prst="rect">
                            <a:avLst/>
                          </a:prstGeom>
                        </pic:spPr>
                      </pic:pic>
                    </a:graphicData>
                  </a:graphic>
                </wp:inline>
              </w:drawing>
            </w:r>
          </w:p>
        </w:tc>
      </w:tr>
      <w:tr w14:paraId="1C06EF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B67BA2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545DC7F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壁挂支架</w:t>
            </w:r>
          </w:p>
        </w:tc>
        <w:tc>
          <w:tcPr>
            <w:tcW w:w="8573" w:type="dxa"/>
            <w:tcBorders>
              <w:tl2br w:val="nil"/>
              <w:tr2bl w:val="nil"/>
            </w:tcBorders>
            <w:shd w:val="clear" w:color="auto" w:fill="auto"/>
            <w:vAlign w:val="center"/>
          </w:tcPr>
          <w:p w14:paraId="575853B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1.钢材加厚   </w:t>
            </w:r>
          </w:p>
          <w:p w14:paraId="41F4055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2.支撑稳定，箱体安装深度随意调整。</w:t>
            </w:r>
          </w:p>
        </w:tc>
        <w:tc>
          <w:tcPr>
            <w:tcW w:w="816" w:type="dxa"/>
            <w:tcBorders>
              <w:tl2br w:val="nil"/>
              <w:tr2bl w:val="nil"/>
            </w:tcBorders>
            <w:shd w:val="clear" w:color="auto" w:fill="auto"/>
            <w:vAlign w:val="center"/>
          </w:tcPr>
          <w:p w14:paraId="34E61D0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6D7AC87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2C4D60E">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486906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0300394">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4DD57944">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合并式功放（带效果）</w:t>
            </w:r>
          </w:p>
        </w:tc>
        <w:tc>
          <w:tcPr>
            <w:tcW w:w="8573" w:type="dxa"/>
            <w:tcBorders>
              <w:tl2br w:val="nil"/>
              <w:tr2bl w:val="nil"/>
            </w:tcBorders>
            <w:shd w:val="clear" w:color="auto" w:fill="auto"/>
            <w:vAlign w:val="center"/>
          </w:tcPr>
          <w:p w14:paraId="23DFF3E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1、功放自带DSP效果器；</w:t>
            </w:r>
          </w:p>
          <w:p w14:paraId="4171B48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2、支持MP3、蓝牙等功能；</w:t>
            </w:r>
          </w:p>
          <w:p w14:paraId="2022034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3、具有移频功放，有效防止啸叫；</w:t>
            </w:r>
          </w:p>
          <w:p w14:paraId="4C5940E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4、功率：不小于350W*2</w:t>
            </w:r>
          </w:p>
          <w:p w14:paraId="20A0078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5、输入接口：支持RCA/USB/蓝牙/6.35/大二芯等接口    </w:t>
            </w:r>
          </w:p>
          <w:p w14:paraId="71D5E0A3">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6、输入灵敏度：音乐（350MV)  话筒（100MA）</w:t>
            </w:r>
          </w:p>
          <w:p w14:paraId="793CA6B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7、输入阻抗：音乐（47K)  话筒（220R）</w:t>
            </w:r>
          </w:p>
          <w:p w14:paraId="5A433A8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8、信噪比：≥90dB</w:t>
            </w:r>
          </w:p>
          <w:p w14:paraId="1D0E948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9、频率响应 ：20Hz-20kHz（±1dB）</w:t>
            </w:r>
          </w:p>
          <w:p w14:paraId="20F90AC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10、具有负载短路，直流输出，电源通断，超温等保护</w:t>
            </w:r>
          </w:p>
        </w:tc>
        <w:tc>
          <w:tcPr>
            <w:tcW w:w="816" w:type="dxa"/>
            <w:tcBorders>
              <w:tl2br w:val="nil"/>
              <w:tr2bl w:val="nil"/>
            </w:tcBorders>
            <w:shd w:val="clear" w:color="auto" w:fill="auto"/>
            <w:vAlign w:val="center"/>
          </w:tcPr>
          <w:p w14:paraId="7E0F2BD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0F619FA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186B12EA">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1108075" cy="442595"/>
                  <wp:effectExtent l="0" t="0" r="15875" b="1460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56"/>
                          <a:stretch>
                            <a:fillRect/>
                          </a:stretch>
                        </pic:blipFill>
                        <pic:spPr>
                          <a:xfrm>
                            <a:off x="0" y="0"/>
                            <a:ext cx="1108075" cy="442595"/>
                          </a:xfrm>
                          <a:prstGeom prst="rect">
                            <a:avLst/>
                          </a:prstGeom>
                          <a:noFill/>
                          <a:ln w="9525">
                            <a:noFill/>
                          </a:ln>
                        </pic:spPr>
                      </pic:pic>
                    </a:graphicData>
                  </a:graphic>
                </wp:inline>
              </w:drawing>
            </w:r>
          </w:p>
        </w:tc>
      </w:tr>
      <w:tr w14:paraId="5FC4E0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73F3B02">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10407FD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手持话筒套装</w:t>
            </w:r>
          </w:p>
        </w:tc>
        <w:tc>
          <w:tcPr>
            <w:tcW w:w="8573" w:type="dxa"/>
            <w:tcBorders>
              <w:tl2br w:val="nil"/>
              <w:tr2bl w:val="nil"/>
            </w:tcBorders>
            <w:shd w:val="clear" w:color="auto" w:fill="auto"/>
            <w:vAlign w:val="center"/>
          </w:tcPr>
          <w:p w14:paraId="53B46E7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为人声量身定制的频率响应，具有明亮的中频和低频滚降</w:t>
            </w:r>
          </w:p>
          <w:p w14:paraId="037CB73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心形拾音模式突出主音源，同时最大程度减少背景噪声</w:t>
            </w:r>
          </w:p>
          <w:p w14:paraId="76E5EE1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气动防震架可有效降低手持噪声</w:t>
            </w:r>
          </w:p>
          <w:p w14:paraId="6DB1B39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有效的内置球形网罩和防喷罩</w:t>
            </w:r>
          </w:p>
          <w:p w14:paraId="51C642A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随附可旋转 180 度的抗震支架适配器</w:t>
            </w:r>
          </w:p>
          <w:p w14:paraId="4CBC385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Shure传奇的卓越品质、坚固耐用和可靠性</w:t>
            </w:r>
          </w:p>
          <w:p w14:paraId="47087A3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心形（单指向）动圈式</w:t>
            </w:r>
          </w:p>
          <w:p w14:paraId="5C621E1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频响范围：50 至 15,000 Hz</w:t>
            </w:r>
          </w:p>
        </w:tc>
        <w:tc>
          <w:tcPr>
            <w:tcW w:w="816" w:type="dxa"/>
            <w:tcBorders>
              <w:tl2br w:val="nil"/>
              <w:tr2bl w:val="nil"/>
            </w:tcBorders>
            <w:shd w:val="clear" w:color="auto" w:fill="auto"/>
            <w:vAlign w:val="center"/>
          </w:tcPr>
          <w:p w14:paraId="1FD1B4C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09EE81EE">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6BCA4BDD">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721360" cy="611505"/>
                  <wp:effectExtent l="0" t="0" r="2540" b="17145"/>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57"/>
                          <a:stretch>
                            <a:fillRect/>
                          </a:stretch>
                        </pic:blipFill>
                        <pic:spPr>
                          <a:xfrm>
                            <a:off x="0" y="0"/>
                            <a:ext cx="721360" cy="611505"/>
                          </a:xfrm>
                          <a:prstGeom prst="rect">
                            <a:avLst/>
                          </a:prstGeom>
                          <a:noFill/>
                          <a:ln w="9525">
                            <a:noFill/>
                          </a:ln>
                        </pic:spPr>
                      </pic:pic>
                    </a:graphicData>
                  </a:graphic>
                </wp:inline>
              </w:drawing>
            </w:r>
          </w:p>
        </w:tc>
      </w:tr>
      <w:tr w14:paraId="0B91FB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5B7EE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7</w:t>
            </w:r>
          </w:p>
        </w:tc>
        <w:tc>
          <w:tcPr>
            <w:tcW w:w="1166" w:type="dxa"/>
            <w:tcBorders>
              <w:tl2br w:val="nil"/>
              <w:tr2bl w:val="nil"/>
            </w:tcBorders>
            <w:shd w:val="clear" w:color="auto" w:fill="auto"/>
            <w:vAlign w:val="center"/>
          </w:tcPr>
          <w:p w14:paraId="259EC6F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机柜</w:t>
            </w:r>
          </w:p>
        </w:tc>
        <w:tc>
          <w:tcPr>
            <w:tcW w:w="8573" w:type="dxa"/>
            <w:tcBorders>
              <w:tl2br w:val="nil"/>
              <w:tr2bl w:val="nil"/>
            </w:tcBorders>
            <w:shd w:val="clear" w:color="auto" w:fill="auto"/>
            <w:vAlign w:val="center"/>
          </w:tcPr>
          <w:p w14:paraId="7B38D85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1.产品采用高密度黑色砂面防火板，具有防火、防水、耐酸碱、耐划伤功能</w:t>
            </w:r>
          </w:p>
          <w:p w14:paraId="6F57837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2.≥1.5mm厚双包铝、≥1.2mm厚双V铝型材、≥1.2mm厚L型铝型材均氧化成铝本色；</w:t>
            </w:r>
          </w:p>
          <w:p w14:paraId="4686DBA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3.连接机箱的TM5*18大扁机丝和M5的法兰盘螺母均采用镀铬处理。</w:t>
            </w:r>
          </w:p>
          <w:p w14:paraId="06DAED0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4.4个≥3寸静音万向脚轮，滚针轴承，其中两个带刹车，方便演出固定。</w:t>
            </w:r>
          </w:p>
          <w:p w14:paraId="01BF8EA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5.蝴蝶挂锁、大抽手、中角直码、大球包均采用镀铬表面处理。</w:t>
            </w:r>
          </w:p>
          <w:p w14:paraId="2C07370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6.4个牢固镀铬把手，方便设备搬运。</w:t>
            </w:r>
          </w:p>
          <w:p w14:paraId="036DF9C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7.共≥10套快装蝴蝶挂锁，牢固锁紧箱盖和箱体，便于运输流动。</w:t>
            </w:r>
          </w:p>
          <w:p w14:paraId="1906FBA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8.产品外形美观大方、漏印精美、结实经久耐用。</w:t>
            </w:r>
          </w:p>
        </w:tc>
        <w:tc>
          <w:tcPr>
            <w:tcW w:w="816" w:type="dxa"/>
            <w:tcBorders>
              <w:tl2br w:val="nil"/>
              <w:tr2bl w:val="nil"/>
            </w:tcBorders>
            <w:shd w:val="clear" w:color="auto" w:fill="auto"/>
            <w:vAlign w:val="center"/>
          </w:tcPr>
          <w:p w14:paraId="5DDB736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351C54F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7324C209">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624965" cy="1755775"/>
                  <wp:effectExtent l="0" t="0" r="13335" b="15875"/>
                  <wp:docPr id="49" name="图片 49" descr="ba4915c634ed20bad91c7af36427a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ba4915c634ed20bad91c7af36427a44"/>
                          <pic:cNvPicPr>
                            <a:picLocks noChangeAspect="1"/>
                          </pic:cNvPicPr>
                        </pic:nvPicPr>
                        <pic:blipFill>
                          <a:blip r:embed="rId58"/>
                          <a:stretch>
                            <a:fillRect/>
                          </a:stretch>
                        </pic:blipFill>
                        <pic:spPr>
                          <a:xfrm>
                            <a:off x="0" y="0"/>
                            <a:ext cx="1624965" cy="1755775"/>
                          </a:xfrm>
                          <a:prstGeom prst="rect">
                            <a:avLst/>
                          </a:prstGeom>
                        </pic:spPr>
                      </pic:pic>
                    </a:graphicData>
                  </a:graphic>
                </wp:inline>
              </w:drawing>
            </w:r>
          </w:p>
        </w:tc>
      </w:tr>
      <w:tr w14:paraId="1FF9C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365BC3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8</w:t>
            </w:r>
          </w:p>
        </w:tc>
        <w:tc>
          <w:tcPr>
            <w:tcW w:w="1166" w:type="dxa"/>
            <w:tcBorders>
              <w:tl2br w:val="nil"/>
              <w:tr2bl w:val="nil"/>
            </w:tcBorders>
            <w:shd w:val="clear" w:color="auto" w:fill="auto"/>
            <w:vAlign w:val="center"/>
          </w:tcPr>
          <w:p w14:paraId="2BE0E96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线材、配件及安装辅材</w:t>
            </w:r>
          </w:p>
        </w:tc>
        <w:tc>
          <w:tcPr>
            <w:tcW w:w="8573" w:type="dxa"/>
            <w:tcBorders>
              <w:tl2br w:val="nil"/>
              <w:tr2bl w:val="nil"/>
            </w:tcBorders>
            <w:shd w:val="clear" w:color="auto" w:fill="auto"/>
            <w:vAlign w:val="center"/>
          </w:tcPr>
          <w:p w14:paraId="5D5970E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秋叶源音箱线、电源线、接头等</w:t>
            </w:r>
          </w:p>
        </w:tc>
        <w:tc>
          <w:tcPr>
            <w:tcW w:w="816" w:type="dxa"/>
            <w:tcBorders>
              <w:tl2br w:val="nil"/>
              <w:tr2bl w:val="nil"/>
            </w:tcBorders>
            <w:shd w:val="clear" w:color="auto" w:fill="auto"/>
            <w:vAlign w:val="center"/>
          </w:tcPr>
          <w:p w14:paraId="4CD13DD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7DD69860">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B921C09">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009A8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B5EEE0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9</w:t>
            </w:r>
          </w:p>
        </w:tc>
        <w:tc>
          <w:tcPr>
            <w:tcW w:w="1166" w:type="dxa"/>
            <w:tcBorders>
              <w:tl2br w:val="nil"/>
              <w:tr2bl w:val="nil"/>
            </w:tcBorders>
            <w:shd w:val="clear" w:color="auto" w:fill="auto"/>
            <w:vAlign w:val="center"/>
          </w:tcPr>
          <w:p w14:paraId="4B87987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收纳矮柜</w:t>
            </w:r>
          </w:p>
        </w:tc>
        <w:tc>
          <w:tcPr>
            <w:tcW w:w="8573" w:type="dxa"/>
            <w:tcBorders>
              <w:tl2br w:val="nil"/>
              <w:tr2bl w:val="nil"/>
            </w:tcBorders>
            <w:shd w:val="clear" w:color="auto" w:fill="auto"/>
            <w:vAlign w:val="center"/>
          </w:tcPr>
          <w:p w14:paraId="350DE13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1.尺寸：≥W1340*D450*H900mm；                                           2.材质：E1级实木多层板；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3.工艺：采用国家标准，厚度≥18mm,基材采用E1级实木多层板，PVC直封边制作。导轨尺寸：≥300*18*25mm，材质：ABS，螺丝孔位间距≥198mm ，收纳盒尺寸：≥430*305*100mm ，材质：PP新料，五金件采用DTC液压铰链，缓冲效果是普通铰链的五倍；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4.功能：配置PP收纳盒，可收纳各种教学用具。</w:t>
            </w:r>
          </w:p>
        </w:tc>
        <w:tc>
          <w:tcPr>
            <w:tcW w:w="816" w:type="dxa"/>
            <w:tcBorders>
              <w:tl2br w:val="nil"/>
              <w:tr2bl w:val="nil"/>
            </w:tcBorders>
            <w:shd w:val="clear" w:color="auto" w:fill="auto"/>
            <w:vAlign w:val="center"/>
          </w:tcPr>
          <w:p w14:paraId="04069BA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w:t>
            </w:r>
          </w:p>
        </w:tc>
        <w:tc>
          <w:tcPr>
            <w:tcW w:w="498" w:type="dxa"/>
            <w:tcBorders>
              <w:tl2br w:val="nil"/>
              <w:tr2bl w:val="nil"/>
            </w:tcBorders>
            <w:shd w:val="clear" w:color="auto" w:fill="auto"/>
            <w:vAlign w:val="center"/>
          </w:tcPr>
          <w:p w14:paraId="687A5B1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406519B8">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476375" cy="1247775"/>
                  <wp:effectExtent l="0" t="0" r="9525" b="9525"/>
                  <wp:docPr id="67"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9" descr="IMG_256"/>
                          <pic:cNvPicPr>
                            <a:picLocks noChangeAspect="1"/>
                          </pic:cNvPicPr>
                        </pic:nvPicPr>
                        <pic:blipFill>
                          <a:blip r:embed="rId60"/>
                          <a:stretch>
                            <a:fillRect/>
                          </a:stretch>
                        </pic:blipFill>
                        <pic:spPr>
                          <a:xfrm>
                            <a:off x="0" y="0"/>
                            <a:ext cx="1476375" cy="1247775"/>
                          </a:xfrm>
                          <a:prstGeom prst="rect">
                            <a:avLst/>
                          </a:prstGeom>
                          <a:noFill/>
                          <a:ln w="9525">
                            <a:noFill/>
                          </a:ln>
                        </pic:spPr>
                      </pic:pic>
                    </a:graphicData>
                  </a:graphic>
                </wp:inline>
              </w:drawing>
            </w:r>
          </w:p>
        </w:tc>
      </w:tr>
      <w:tr w14:paraId="10653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045B3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10</w:t>
            </w:r>
          </w:p>
        </w:tc>
        <w:tc>
          <w:tcPr>
            <w:tcW w:w="1166" w:type="dxa"/>
            <w:tcBorders>
              <w:tl2br w:val="nil"/>
              <w:tr2bl w:val="nil"/>
            </w:tcBorders>
            <w:shd w:val="clear" w:color="auto" w:fill="auto"/>
            <w:vAlign w:val="center"/>
          </w:tcPr>
          <w:p w14:paraId="7D9D6E8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口风琴</w:t>
            </w:r>
          </w:p>
        </w:tc>
        <w:tc>
          <w:tcPr>
            <w:tcW w:w="8573" w:type="dxa"/>
            <w:tcBorders>
              <w:tl2br w:val="nil"/>
              <w:tr2bl w:val="nil"/>
            </w:tcBorders>
            <w:shd w:val="clear" w:color="auto" w:fill="auto"/>
            <w:vAlign w:val="center"/>
          </w:tcPr>
          <w:p w14:paraId="41D3E61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32键口风琴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尺寸：420*105*45mm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颜色：蓝色、粉色、绿色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配件：帆布软包、说明书、吹管、吹嘴、擦琴布</w:t>
            </w:r>
          </w:p>
        </w:tc>
        <w:tc>
          <w:tcPr>
            <w:tcW w:w="816" w:type="dxa"/>
            <w:tcBorders>
              <w:tl2br w:val="nil"/>
              <w:tr2bl w:val="nil"/>
            </w:tcBorders>
            <w:shd w:val="clear" w:color="auto" w:fill="auto"/>
            <w:vAlign w:val="center"/>
          </w:tcPr>
          <w:p w14:paraId="708989A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46</w:t>
            </w:r>
          </w:p>
        </w:tc>
        <w:tc>
          <w:tcPr>
            <w:tcW w:w="498" w:type="dxa"/>
            <w:tcBorders>
              <w:tl2br w:val="nil"/>
              <w:tr2bl w:val="nil"/>
            </w:tcBorders>
            <w:shd w:val="clear" w:color="auto" w:fill="auto"/>
            <w:vAlign w:val="center"/>
          </w:tcPr>
          <w:p w14:paraId="5339BCB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2DE56A4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3360" behindDoc="0" locked="0" layoutInCell="1" allowOverlap="1">
                  <wp:simplePos x="0" y="0"/>
                  <wp:positionH relativeFrom="column">
                    <wp:posOffset>777875</wp:posOffset>
                  </wp:positionH>
                  <wp:positionV relativeFrom="paragraph">
                    <wp:posOffset>29210</wp:posOffset>
                  </wp:positionV>
                  <wp:extent cx="765175" cy="371475"/>
                  <wp:effectExtent l="0" t="0" r="15875" b="9525"/>
                  <wp:wrapNone/>
                  <wp:docPr id="68" name="图片_9"/>
                  <wp:cNvGraphicFramePr/>
                  <a:graphic xmlns:a="http://schemas.openxmlformats.org/drawingml/2006/main">
                    <a:graphicData uri="http://schemas.openxmlformats.org/drawingml/2006/picture">
                      <pic:pic xmlns:pic="http://schemas.openxmlformats.org/drawingml/2006/picture">
                        <pic:nvPicPr>
                          <pic:cNvPr id="68" name="图片_9"/>
                          <pic:cNvPicPr/>
                        </pic:nvPicPr>
                        <pic:blipFill>
                          <a:blip r:embed="rId61"/>
                          <a:stretch>
                            <a:fillRect/>
                          </a:stretch>
                        </pic:blipFill>
                        <pic:spPr>
                          <a:xfrm>
                            <a:off x="0" y="0"/>
                            <a:ext cx="765175" cy="371475"/>
                          </a:xfrm>
                          <a:prstGeom prst="rect">
                            <a:avLst/>
                          </a:prstGeom>
                          <a:noFill/>
                          <a:ln>
                            <a:noFill/>
                          </a:ln>
                        </pic:spPr>
                      </pic:pic>
                    </a:graphicData>
                  </a:graphic>
                </wp:anchor>
              </w:drawing>
            </w:r>
          </w:p>
        </w:tc>
      </w:tr>
      <w:tr w14:paraId="50D4B0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CB5FDE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11</w:t>
            </w:r>
          </w:p>
        </w:tc>
        <w:tc>
          <w:tcPr>
            <w:tcW w:w="1166" w:type="dxa"/>
            <w:tcBorders>
              <w:tl2br w:val="nil"/>
              <w:tr2bl w:val="nil"/>
            </w:tcBorders>
            <w:shd w:val="clear" w:color="auto" w:fill="auto"/>
            <w:vAlign w:val="center"/>
          </w:tcPr>
          <w:p w14:paraId="016B30B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陶笛</w:t>
            </w:r>
          </w:p>
        </w:tc>
        <w:tc>
          <w:tcPr>
            <w:tcW w:w="8573" w:type="dxa"/>
            <w:tcBorders>
              <w:tl2br w:val="nil"/>
              <w:tr2bl w:val="nil"/>
            </w:tcBorders>
            <w:shd w:val="clear" w:color="auto" w:fill="auto"/>
            <w:vAlign w:val="center"/>
          </w:tcPr>
          <w:p w14:paraId="553B22F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1.材质：优质白云土</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2.工艺：熏烧</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3.孔数：12孔</w:t>
            </w:r>
          </w:p>
        </w:tc>
        <w:tc>
          <w:tcPr>
            <w:tcW w:w="816" w:type="dxa"/>
            <w:tcBorders>
              <w:tl2br w:val="nil"/>
              <w:tr2bl w:val="nil"/>
            </w:tcBorders>
            <w:shd w:val="clear" w:color="auto" w:fill="auto"/>
            <w:vAlign w:val="center"/>
          </w:tcPr>
          <w:p w14:paraId="3C1900B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46</w:t>
            </w:r>
          </w:p>
        </w:tc>
        <w:tc>
          <w:tcPr>
            <w:tcW w:w="498" w:type="dxa"/>
            <w:tcBorders>
              <w:tl2br w:val="nil"/>
              <w:tr2bl w:val="nil"/>
            </w:tcBorders>
            <w:shd w:val="clear" w:color="auto" w:fill="auto"/>
            <w:vAlign w:val="center"/>
          </w:tcPr>
          <w:p w14:paraId="649D3B7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02A5821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442595" cy="365760"/>
                  <wp:effectExtent l="0" t="0" r="14605" b="15240"/>
                  <wp:docPr id="69" name="图片_37"/>
                  <wp:cNvGraphicFramePr/>
                  <a:graphic xmlns:a="http://schemas.openxmlformats.org/drawingml/2006/main">
                    <a:graphicData uri="http://schemas.openxmlformats.org/drawingml/2006/picture">
                      <pic:pic xmlns:pic="http://schemas.openxmlformats.org/drawingml/2006/picture">
                        <pic:nvPicPr>
                          <pic:cNvPr id="69" name="图片_37"/>
                          <pic:cNvPicPr/>
                        </pic:nvPicPr>
                        <pic:blipFill>
                          <a:blip r:embed="rId62"/>
                          <a:stretch>
                            <a:fillRect/>
                          </a:stretch>
                        </pic:blipFill>
                        <pic:spPr>
                          <a:xfrm>
                            <a:off x="0" y="0"/>
                            <a:ext cx="442595" cy="365760"/>
                          </a:xfrm>
                          <a:prstGeom prst="rect">
                            <a:avLst/>
                          </a:prstGeom>
                          <a:noFill/>
                          <a:ln>
                            <a:noFill/>
                          </a:ln>
                        </pic:spPr>
                      </pic:pic>
                    </a:graphicData>
                  </a:graphic>
                </wp:inline>
              </w:drawing>
            </w:r>
          </w:p>
        </w:tc>
      </w:tr>
      <w:tr w14:paraId="335F3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6F6A6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12</w:t>
            </w:r>
          </w:p>
        </w:tc>
        <w:tc>
          <w:tcPr>
            <w:tcW w:w="1166" w:type="dxa"/>
            <w:tcBorders>
              <w:tl2br w:val="nil"/>
              <w:tr2bl w:val="nil"/>
            </w:tcBorders>
            <w:shd w:val="clear" w:color="auto" w:fill="auto"/>
            <w:vAlign w:val="center"/>
          </w:tcPr>
          <w:p w14:paraId="76067C5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葫芦丝</w:t>
            </w:r>
          </w:p>
        </w:tc>
        <w:tc>
          <w:tcPr>
            <w:tcW w:w="8573" w:type="dxa"/>
            <w:tcBorders>
              <w:tl2br w:val="nil"/>
              <w:tr2bl w:val="nil"/>
            </w:tcBorders>
            <w:shd w:val="clear" w:color="auto" w:fill="auto"/>
            <w:vAlign w:val="center"/>
          </w:tcPr>
          <w:p w14:paraId="2FE6129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1.调式：C调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2.材质：ABS塑料  头层塑料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3.设计：装卸簧片  带有助力把位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4.经过无毒无味处理  下节管采用防水处理 </w:t>
            </w:r>
          </w:p>
        </w:tc>
        <w:tc>
          <w:tcPr>
            <w:tcW w:w="816" w:type="dxa"/>
            <w:tcBorders>
              <w:tl2br w:val="nil"/>
              <w:tr2bl w:val="nil"/>
            </w:tcBorders>
            <w:shd w:val="clear" w:color="auto" w:fill="auto"/>
            <w:vAlign w:val="center"/>
          </w:tcPr>
          <w:p w14:paraId="7E0BF25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46</w:t>
            </w:r>
          </w:p>
        </w:tc>
        <w:tc>
          <w:tcPr>
            <w:tcW w:w="498" w:type="dxa"/>
            <w:tcBorders>
              <w:tl2br w:val="nil"/>
              <w:tr2bl w:val="nil"/>
            </w:tcBorders>
            <w:shd w:val="clear" w:color="auto" w:fill="auto"/>
            <w:vAlign w:val="center"/>
          </w:tcPr>
          <w:p w14:paraId="0E2A316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23DD7C7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4384" behindDoc="0" locked="0" layoutInCell="1" allowOverlap="1">
                  <wp:simplePos x="0" y="0"/>
                  <wp:positionH relativeFrom="column">
                    <wp:posOffset>280035</wp:posOffset>
                  </wp:positionH>
                  <wp:positionV relativeFrom="paragraph">
                    <wp:posOffset>47625</wp:posOffset>
                  </wp:positionV>
                  <wp:extent cx="587375" cy="429260"/>
                  <wp:effectExtent l="0" t="0" r="3175" b="8890"/>
                  <wp:wrapNone/>
                  <wp:docPr id="86" name="图片_11"/>
                  <wp:cNvGraphicFramePr/>
                  <a:graphic xmlns:a="http://schemas.openxmlformats.org/drawingml/2006/main">
                    <a:graphicData uri="http://schemas.openxmlformats.org/drawingml/2006/picture">
                      <pic:pic xmlns:pic="http://schemas.openxmlformats.org/drawingml/2006/picture">
                        <pic:nvPicPr>
                          <pic:cNvPr id="86" name="图片_11"/>
                          <pic:cNvPicPr/>
                        </pic:nvPicPr>
                        <pic:blipFill>
                          <a:blip r:embed="rId63"/>
                          <a:stretch>
                            <a:fillRect/>
                          </a:stretch>
                        </pic:blipFill>
                        <pic:spPr>
                          <a:xfrm>
                            <a:off x="0" y="0"/>
                            <a:ext cx="587375" cy="429260"/>
                          </a:xfrm>
                          <a:prstGeom prst="rect">
                            <a:avLst/>
                          </a:prstGeom>
                          <a:noFill/>
                          <a:ln>
                            <a:noFill/>
                          </a:ln>
                        </pic:spPr>
                      </pic:pic>
                    </a:graphicData>
                  </a:graphic>
                </wp:anchor>
              </w:drawing>
            </w:r>
          </w:p>
        </w:tc>
      </w:tr>
      <w:tr w14:paraId="111D29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91594A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13</w:t>
            </w:r>
          </w:p>
        </w:tc>
        <w:tc>
          <w:tcPr>
            <w:tcW w:w="1166" w:type="dxa"/>
            <w:tcBorders>
              <w:tl2br w:val="nil"/>
              <w:tr2bl w:val="nil"/>
            </w:tcBorders>
            <w:shd w:val="clear" w:color="auto" w:fill="auto"/>
            <w:vAlign w:val="center"/>
          </w:tcPr>
          <w:p w14:paraId="7C4424F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小军鼓</w:t>
            </w:r>
          </w:p>
        </w:tc>
        <w:tc>
          <w:tcPr>
            <w:tcW w:w="8573" w:type="dxa"/>
            <w:tcBorders>
              <w:tl2br w:val="nil"/>
              <w:tr2bl w:val="nil"/>
            </w:tcBorders>
            <w:shd w:val="clear" w:color="auto" w:fill="auto"/>
            <w:vAlign w:val="center"/>
          </w:tcPr>
          <w:p w14:paraId="6C8F5DF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1.尺寸：直径24英寸，高12英寸</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2.材质：铁质鼓腔</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3.表面：（材质）抛光电镀</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4.配件：含背带、鼓棒、鼓钥匙</w:t>
            </w:r>
          </w:p>
        </w:tc>
        <w:tc>
          <w:tcPr>
            <w:tcW w:w="816" w:type="dxa"/>
            <w:tcBorders>
              <w:tl2br w:val="nil"/>
              <w:tr2bl w:val="nil"/>
            </w:tcBorders>
            <w:shd w:val="clear" w:color="auto" w:fill="auto"/>
            <w:vAlign w:val="center"/>
          </w:tcPr>
          <w:p w14:paraId="7AD5B28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16</w:t>
            </w:r>
          </w:p>
        </w:tc>
        <w:tc>
          <w:tcPr>
            <w:tcW w:w="498" w:type="dxa"/>
            <w:tcBorders>
              <w:tl2br w:val="nil"/>
              <w:tr2bl w:val="nil"/>
            </w:tcBorders>
            <w:shd w:val="clear" w:color="auto" w:fill="auto"/>
            <w:vAlign w:val="center"/>
          </w:tcPr>
          <w:p w14:paraId="780F303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35E98EE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5408" behindDoc="0" locked="0" layoutInCell="1" allowOverlap="1">
                  <wp:simplePos x="0" y="0"/>
                  <wp:positionH relativeFrom="column">
                    <wp:posOffset>286385</wp:posOffset>
                  </wp:positionH>
                  <wp:positionV relativeFrom="paragraph">
                    <wp:posOffset>80645</wp:posOffset>
                  </wp:positionV>
                  <wp:extent cx="495935" cy="497840"/>
                  <wp:effectExtent l="0" t="0" r="18415" b="16510"/>
                  <wp:wrapSquare wrapText="bothSides"/>
                  <wp:docPr id="87" name="图片_14"/>
                  <wp:cNvGraphicFramePr/>
                  <a:graphic xmlns:a="http://schemas.openxmlformats.org/drawingml/2006/main">
                    <a:graphicData uri="http://schemas.openxmlformats.org/drawingml/2006/picture">
                      <pic:pic xmlns:pic="http://schemas.openxmlformats.org/drawingml/2006/picture">
                        <pic:nvPicPr>
                          <pic:cNvPr id="87" name="图片_14"/>
                          <pic:cNvPicPr/>
                        </pic:nvPicPr>
                        <pic:blipFill>
                          <a:blip r:embed="rId64"/>
                          <a:stretch>
                            <a:fillRect/>
                          </a:stretch>
                        </pic:blipFill>
                        <pic:spPr>
                          <a:xfrm>
                            <a:off x="0" y="0"/>
                            <a:ext cx="495935" cy="497840"/>
                          </a:xfrm>
                          <a:prstGeom prst="rect">
                            <a:avLst/>
                          </a:prstGeom>
                          <a:noFill/>
                          <a:ln>
                            <a:noFill/>
                          </a:ln>
                        </pic:spPr>
                      </pic:pic>
                    </a:graphicData>
                  </a:graphic>
                </wp:anchor>
              </w:drawing>
            </w:r>
          </w:p>
        </w:tc>
      </w:tr>
      <w:tr w14:paraId="1430D2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7AA01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14</w:t>
            </w:r>
          </w:p>
        </w:tc>
        <w:tc>
          <w:tcPr>
            <w:tcW w:w="1166" w:type="dxa"/>
            <w:tcBorders>
              <w:tl2br w:val="nil"/>
              <w:tr2bl w:val="nil"/>
            </w:tcBorders>
            <w:shd w:val="clear" w:color="auto" w:fill="auto"/>
            <w:vAlign w:val="center"/>
          </w:tcPr>
          <w:p w14:paraId="02EC11D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多音鼓</w:t>
            </w:r>
          </w:p>
        </w:tc>
        <w:tc>
          <w:tcPr>
            <w:tcW w:w="8573" w:type="dxa"/>
            <w:tcBorders>
              <w:tl2br w:val="nil"/>
              <w:tr2bl w:val="nil"/>
            </w:tcBorders>
            <w:shd w:val="clear" w:color="auto" w:fill="auto"/>
            <w:vAlign w:val="center"/>
          </w:tcPr>
          <w:p w14:paraId="3D148F6A">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8寸10寸12寸</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合成鼓皮。多层桦木鼓圈，可调铝合金支架，一对鼓槌，颜色随机</w:t>
            </w:r>
          </w:p>
        </w:tc>
        <w:tc>
          <w:tcPr>
            <w:tcW w:w="816" w:type="dxa"/>
            <w:tcBorders>
              <w:tl2br w:val="nil"/>
              <w:tr2bl w:val="nil"/>
            </w:tcBorders>
            <w:shd w:val="clear" w:color="auto" w:fill="auto"/>
            <w:vAlign w:val="center"/>
          </w:tcPr>
          <w:p w14:paraId="03A2DCD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4BA1994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46DDC6D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525145" cy="443230"/>
                  <wp:effectExtent l="0" t="0" r="8255" b="13970"/>
                  <wp:docPr id="88" name="图片_13"/>
                  <wp:cNvGraphicFramePr/>
                  <a:graphic xmlns:a="http://schemas.openxmlformats.org/drawingml/2006/main">
                    <a:graphicData uri="http://schemas.openxmlformats.org/drawingml/2006/picture">
                      <pic:pic xmlns:pic="http://schemas.openxmlformats.org/drawingml/2006/picture">
                        <pic:nvPicPr>
                          <pic:cNvPr id="88" name="图片_13"/>
                          <pic:cNvPicPr/>
                        </pic:nvPicPr>
                        <pic:blipFill>
                          <a:blip r:embed="rId65"/>
                          <a:stretch>
                            <a:fillRect/>
                          </a:stretch>
                        </pic:blipFill>
                        <pic:spPr>
                          <a:xfrm>
                            <a:off x="0" y="0"/>
                            <a:ext cx="525145" cy="443230"/>
                          </a:xfrm>
                          <a:prstGeom prst="rect">
                            <a:avLst/>
                          </a:prstGeom>
                          <a:noFill/>
                          <a:ln>
                            <a:noFill/>
                          </a:ln>
                        </pic:spPr>
                      </pic:pic>
                    </a:graphicData>
                  </a:graphic>
                </wp:inline>
              </w:drawing>
            </w:r>
          </w:p>
        </w:tc>
      </w:tr>
      <w:tr w14:paraId="6DC9D0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25D8F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15</w:t>
            </w:r>
          </w:p>
        </w:tc>
        <w:tc>
          <w:tcPr>
            <w:tcW w:w="1166" w:type="dxa"/>
            <w:tcBorders>
              <w:tl2br w:val="nil"/>
              <w:tr2bl w:val="nil"/>
            </w:tcBorders>
            <w:shd w:val="clear" w:color="auto" w:fill="auto"/>
            <w:vAlign w:val="center"/>
          </w:tcPr>
          <w:p w14:paraId="3DFC695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笛子</w:t>
            </w:r>
          </w:p>
        </w:tc>
        <w:tc>
          <w:tcPr>
            <w:tcW w:w="8573" w:type="dxa"/>
            <w:tcBorders>
              <w:tl2br w:val="nil"/>
              <w:tr2bl w:val="nil"/>
            </w:tcBorders>
            <w:shd w:val="clear" w:color="auto" w:fill="auto"/>
            <w:vAlign w:val="center"/>
          </w:tcPr>
          <w:p w14:paraId="277C423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1.调式：G调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2.材质：优质苦竹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3.接角：仿牛角</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4.音色水灵省力，高音易吹，曲风欢快</w:t>
            </w:r>
          </w:p>
        </w:tc>
        <w:tc>
          <w:tcPr>
            <w:tcW w:w="816" w:type="dxa"/>
            <w:tcBorders>
              <w:tl2br w:val="nil"/>
              <w:tr2bl w:val="nil"/>
            </w:tcBorders>
            <w:shd w:val="clear" w:color="auto" w:fill="auto"/>
            <w:vAlign w:val="center"/>
          </w:tcPr>
          <w:p w14:paraId="1225FD8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w:t>
            </w:r>
          </w:p>
        </w:tc>
        <w:tc>
          <w:tcPr>
            <w:tcW w:w="498" w:type="dxa"/>
            <w:tcBorders>
              <w:tl2br w:val="nil"/>
              <w:tr2bl w:val="nil"/>
            </w:tcBorders>
            <w:shd w:val="clear" w:color="auto" w:fill="auto"/>
            <w:vAlign w:val="center"/>
          </w:tcPr>
          <w:p w14:paraId="5B36BC7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2FCB25C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6432" behindDoc="0" locked="0" layoutInCell="1" allowOverlap="1">
                  <wp:simplePos x="0" y="0"/>
                  <wp:positionH relativeFrom="column">
                    <wp:posOffset>168275</wp:posOffset>
                  </wp:positionH>
                  <wp:positionV relativeFrom="paragraph">
                    <wp:posOffset>160020</wp:posOffset>
                  </wp:positionV>
                  <wp:extent cx="724535" cy="334010"/>
                  <wp:effectExtent l="0" t="0" r="18415" b="8890"/>
                  <wp:wrapNone/>
                  <wp:docPr id="89" name="图片_15"/>
                  <wp:cNvGraphicFramePr/>
                  <a:graphic xmlns:a="http://schemas.openxmlformats.org/drawingml/2006/main">
                    <a:graphicData uri="http://schemas.openxmlformats.org/drawingml/2006/picture">
                      <pic:pic xmlns:pic="http://schemas.openxmlformats.org/drawingml/2006/picture">
                        <pic:nvPicPr>
                          <pic:cNvPr id="89" name="图片_15"/>
                          <pic:cNvPicPr/>
                        </pic:nvPicPr>
                        <pic:blipFill>
                          <a:blip r:embed="rId66"/>
                          <a:stretch>
                            <a:fillRect/>
                          </a:stretch>
                        </pic:blipFill>
                        <pic:spPr>
                          <a:xfrm>
                            <a:off x="0" y="0"/>
                            <a:ext cx="724535" cy="334010"/>
                          </a:xfrm>
                          <a:prstGeom prst="rect">
                            <a:avLst/>
                          </a:prstGeom>
                          <a:noFill/>
                          <a:ln>
                            <a:noFill/>
                          </a:ln>
                        </pic:spPr>
                      </pic:pic>
                    </a:graphicData>
                  </a:graphic>
                </wp:anchor>
              </w:drawing>
            </w:r>
          </w:p>
        </w:tc>
      </w:tr>
      <w:tr w14:paraId="797592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4884A7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16</w:t>
            </w:r>
          </w:p>
        </w:tc>
        <w:tc>
          <w:tcPr>
            <w:tcW w:w="1166" w:type="dxa"/>
            <w:tcBorders>
              <w:tl2br w:val="nil"/>
              <w:tr2bl w:val="nil"/>
            </w:tcBorders>
            <w:shd w:val="clear" w:color="auto" w:fill="auto"/>
            <w:vAlign w:val="center"/>
          </w:tcPr>
          <w:p w14:paraId="7965DD6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笙</w:t>
            </w:r>
          </w:p>
        </w:tc>
        <w:tc>
          <w:tcPr>
            <w:tcW w:w="8573" w:type="dxa"/>
            <w:tcBorders>
              <w:tl2br w:val="nil"/>
              <w:tr2bl w:val="nil"/>
            </w:tcBorders>
            <w:shd w:val="clear" w:color="auto" w:fill="auto"/>
            <w:vAlign w:val="center"/>
          </w:tcPr>
          <w:p w14:paraId="05614DC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1.材质：紫竹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2.规格：14簧</w:t>
            </w:r>
          </w:p>
        </w:tc>
        <w:tc>
          <w:tcPr>
            <w:tcW w:w="816" w:type="dxa"/>
            <w:tcBorders>
              <w:tl2br w:val="nil"/>
              <w:tr2bl w:val="nil"/>
            </w:tcBorders>
            <w:shd w:val="clear" w:color="auto" w:fill="auto"/>
            <w:vAlign w:val="center"/>
          </w:tcPr>
          <w:p w14:paraId="7E61D59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6E98512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5874472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222250" cy="486410"/>
                  <wp:effectExtent l="0" t="0" r="6350" b="8890"/>
                  <wp:docPr id="90" name="图片_16"/>
                  <wp:cNvGraphicFramePr/>
                  <a:graphic xmlns:a="http://schemas.openxmlformats.org/drawingml/2006/main">
                    <a:graphicData uri="http://schemas.openxmlformats.org/drawingml/2006/picture">
                      <pic:pic xmlns:pic="http://schemas.openxmlformats.org/drawingml/2006/picture">
                        <pic:nvPicPr>
                          <pic:cNvPr id="90" name="图片_16"/>
                          <pic:cNvPicPr/>
                        </pic:nvPicPr>
                        <pic:blipFill>
                          <a:blip r:embed="rId67"/>
                          <a:stretch>
                            <a:fillRect/>
                          </a:stretch>
                        </pic:blipFill>
                        <pic:spPr>
                          <a:xfrm>
                            <a:off x="0" y="0"/>
                            <a:ext cx="222250" cy="486410"/>
                          </a:xfrm>
                          <a:prstGeom prst="rect">
                            <a:avLst/>
                          </a:prstGeom>
                          <a:noFill/>
                          <a:ln>
                            <a:noFill/>
                          </a:ln>
                        </pic:spPr>
                      </pic:pic>
                    </a:graphicData>
                  </a:graphic>
                </wp:inline>
              </w:drawing>
            </w:r>
          </w:p>
        </w:tc>
      </w:tr>
      <w:tr w14:paraId="5B8C99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DAD201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17</w:t>
            </w:r>
          </w:p>
        </w:tc>
        <w:tc>
          <w:tcPr>
            <w:tcW w:w="1166" w:type="dxa"/>
            <w:tcBorders>
              <w:tl2br w:val="nil"/>
              <w:tr2bl w:val="nil"/>
            </w:tcBorders>
            <w:shd w:val="clear" w:color="auto" w:fill="auto"/>
            <w:vAlign w:val="center"/>
          </w:tcPr>
          <w:p w14:paraId="03B9703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扬琴</w:t>
            </w:r>
          </w:p>
        </w:tc>
        <w:tc>
          <w:tcPr>
            <w:tcW w:w="8573" w:type="dxa"/>
            <w:tcBorders>
              <w:tl2br w:val="nil"/>
              <w:tr2bl w:val="nil"/>
            </w:tcBorders>
            <w:shd w:val="clear" w:color="auto" w:fill="auto"/>
            <w:vAlign w:val="center"/>
          </w:tcPr>
          <w:p w14:paraId="2EA547D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1.材质:陈年红木（素面）</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2.小边长度：≥780mm，双嵌筋，嵌筋长度≥290mm，，嵌筋前方带有铜堵直径≥10mm；嵌筋材质为黄铜。</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3.大边长度：≥1170mm，大边最高厚度：≥108mm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4.侧边长度：≥530mm，双侧边均嵌筋，嵌筋长度≥108mm；嵌筋材质为黄铜。</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5.面板：泡桐木</w:t>
            </w:r>
          </w:p>
        </w:tc>
        <w:tc>
          <w:tcPr>
            <w:tcW w:w="816" w:type="dxa"/>
            <w:tcBorders>
              <w:tl2br w:val="nil"/>
              <w:tr2bl w:val="nil"/>
            </w:tcBorders>
            <w:shd w:val="clear" w:color="auto" w:fill="auto"/>
            <w:vAlign w:val="center"/>
          </w:tcPr>
          <w:p w14:paraId="288F05F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6A6446F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w:t>
            </w:r>
          </w:p>
        </w:tc>
        <w:tc>
          <w:tcPr>
            <w:tcW w:w="2796" w:type="dxa"/>
            <w:tcBorders>
              <w:tl2br w:val="nil"/>
              <w:tr2bl w:val="nil"/>
            </w:tcBorders>
            <w:shd w:val="clear" w:color="auto" w:fill="auto"/>
            <w:vAlign w:val="center"/>
          </w:tcPr>
          <w:p w14:paraId="6C0C4D4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7456" behindDoc="0" locked="0" layoutInCell="1" allowOverlap="1">
                  <wp:simplePos x="0" y="0"/>
                  <wp:positionH relativeFrom="column">
                    <wp:posOffset>385445</wp:posOffset>
                  </wp:positionH>
                  <wp:positionV relativeFrom="paragraph">
                    <wp:posOffset>28575</wp:posOffset>
                  </wp:positionV>
                  <wp:extent cx="377825" cy="446405"/>
                  <wp:effectExtent l="0" t="0" r="3175" b="10795"/>
                  <wp:wrapNone/>
                  <wp:docPr id="91" name="图片_17"/>
                  <wp:cNvGraphicFramePr/>
                  <a:graphic xmlns:a="http://schemas.openxmlformats.org/drawingml/2006/main">
                    <a:graphicData uri="http://schemas.openxmlformats.org/drawingml/2006/picture">
                      <pic:pic xmlns:pic="http://schemas.openxmlformats.org/drawingml/2006/picture">
                        <pic:nvPicPr>
                          <pic:cNvPr id="91" name="图片_17"/>
                          <pic:cNvPicPr/>
                        </pic:nvPicPr>
                        <pic:blipFill>
                          <a:blip r:embed="rId68"/>
                          <a:stretch>
                            <a:fillRect/>
                          </a:stretch>
                        </pic:blipFill>
                        <pic:spPr>
                          <a:xfrm>
                            <a:off x="0" y="0"/>
                            <a:ext cx="377825" cy="446405"/>
                          </a:xfrm>
                          <a:prstGeom prst="rect">
                            <a:avLst/>
                          </a:prstGeom>
                          <a:noFill/>
                          <a:ln>
                            <a:noFill/>
                          </a:ln>
                        </pic:spPr>
                      </pic:pic>
                    </a:graphicData>
                  </a:graphic>
                </wp:anchor>
              </w:drawing>
            </w:r>
          </w:p>
        </w:tc>
      </w:tr>
      <w:tr w14:paraId="09FA6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B7859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18</w:t>
            </w:r>
          </w:p>
        </w:tc>
        <w:tc>
          <w:tcPr>
            <w:tcW w:w="1166" w:type="dxa"/>
            <w:tcBorders>
              <w:tl2br w:val="nil"/>
              <w:tr2bl w:val="nil"/>
            </w:tcBorders>
            <w:shd w:val="clear" w:color="auto" w:fill="auto"/>
            <w:vAlign w:val="center"/>
          </w:tcPr>
          <w:p w14:paraId="35748E2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柳琴</w:t>
            </w:r>
          </w:p>
        </w:tc>
        <w:tc>
          <w:tcPr>
            <w:tcW w:w="8573" w:type="dxa"/>
            <w:tcBorders>
              <w:tl2br w:val="nil"/>
              <w:tr2bl w:val="nil"/>
            </w:tcBorders>
            <w:shd w:val="clear" w:color="auto" w:fill="auto"/>
            <w:vAlign w:val="center"/>
          </w:tcPr>
          <w:p w14:paraId="530170B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1.材质：陈年红木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2.琴背：嵌筋处理，嵌筋长度≥204mm，宽度≥2.9mm；嵌筋于琴把后侧，嵌筋上方带有铜堵直径≥10mm；嵌筋材质为黄铜。</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3.琴头：牡丹式仿牛骨花头。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4.琴轴：木质螺旋琴轴。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5.面板：精选泡桐面板，宽≥237mm。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6.音孔：带仿牛骨花饰。</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7.琴品：竹品嵌钢。</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8.整体长度：≥640mm。</w:t>
            </w:r>
          </w:p>
        </w:tc>
        <w:tc>
          <w:tcPr>
            <w:tcW w:w="816" w:type="dxa"/>
            <w:tcBorders>
              <w:tl2br w:val="nil"/>
              <w:tr2bl w:val="nil"/>
            </w:tcBorders>
            <w:shd w:val="clear" w:color="auto" w:fill="auto"/>
            <w:vAlign w:val="center"/>
          </w:tcPr>
          <w:p w14:paraId="0F577D8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4D23F94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w:t>
            </w:r>
          </w:p>
        </w:tc>
        <w:tc>
          <w:tcPr>
            <w:tcW w:w="2796" w:type="dxa"/>
            <w:tcBorders>
              <w:tl2br w:val="nil"/>
              <w:tr2bl w:val="nil"/>
            </w:tcBorders>
            <w:shd w:val="clear" w:color="auto" w:fill="auto"/>
            <w:vAlign w:val="center"/>
          </w:tcPr>
          <w:p w14:paraId="6C0F1F6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8480" behindDoc="0" locked="0" layoutInCell="1" allowOverlap="1">
                  <wp:simplePos x="0" y="0"/>
                  <wp:positionH relativeFrom="column">
                    <wp:posOffset>381000</wp:posOffset>
                  </wp:positionH>
                  <wp:positionV relativeFrom="paragraph">
                    <wp:posOffset>262255</wp:posOffset>
                  </wp:positionV>
                  <wp:extent cx="368935" cy="464820"/>
                  <wp:effectExtent l="0" t="0" r="12065" b="11430"/>
                  <wp:wrapNone/>
                  <wp:docPr id="98" name="图片_18"/>
                  <wp:cNvGraphicFramePr/>
                  <a:graphic xmlns:a="http://schemas.openxmlformats.org/drawingml/2006/main">
                    <a:graphicData uri="http://schemas.openxmlformats.org/drawingml/2006/picture">
                      <pic:pic xmlns:pic="http://schemas.openxmlformats.org/drawingml/2006/picture">
                        <pic:nvPicPr>
                          <pic:cNvPr id="98" name="图片_18"/>
                          <pic:cNvPicPr/>
                        </pic:nvPicPr>
                        <pic:blipFill>
                          <a:blip r:embed="rId69"/>
                          <a:stretch>
                            <a:fillRect/>
                          </a:stretch>
                        </pic:blipFill>
                        <pic:spPr>
                          <a:xfrm>
                            <a:off x="0" y="0"/>
                            <a:ext cx="368935" cy="464820"/>
                          </a:xfrm>
                          <a:prstGeom prst="rect">
                            <a:avLst/>
                          </a:prstGeom>
                          <a:noFill/>
                          <a:ln>
                            <a:noFill/>
                          </a:ln>
                        </pic:spPr>
                      </pic:pic>
                    </a:graphicData>
                  </a:graphic>
                </wp:anchor>
              </w:drawing>
            </w:r>
          </w:p>
        </w:tc>
      </w:tr>
      <w:tr w14:paraId="01D2F5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F49B1C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19</w:t>
            </w:r>
          </w:p>
        </w:tc>
        <w:tc>
          <w:tcPr>
            <w:tcW w:w="1166" w:type="dxa"/>
            <w:tcBorders>
              <w:tl2br w:val="nil"/>
              <w:tr2bl w:val="nil"/>
            </w:tcBorders>
            <w:shd w:val="clear" w:color="auto" w:fill="auto"/>
            <w:vAlign w:val="center"/>
          </w:tcPr>
          <w:p w14:paraId="1AB6CB6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二胡</w:t>
            </w:r>
          </w:p>
        </w:tc>
        <w:tc>
          <w:tcPr>
            <w:tcW w:w="8573" w:type="dxa"/>
            <w:tcBorders>
              <w:tl2br w:val="nil"/>
              <w:tr2bl w:val="nil"/>
            </w:tcBorders>
            <w:shd w:val="clear" w:color="auto" w:fill="auto"/>
            <w:vAlign w:val="center"/>
          </w:tcPr>
          <w:p w14:paraId="5391F03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1.材质：陈年红木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2.琴杆：嵌筋处理，防止琴杆弯曲变形，影响演奏。嵌筋长度≥560mm，宽度≥2.9mm；嵌筋于琴把后侧，嵌筋上方带有铜堵直径≥10mm；嵌筋材质为黄铜。</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3.琴头：仿牛骨弯月琴头。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4.旋轴：嵌骨六瓣式旋轴。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5.千斤：千斤线紧密均匀。</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6.琴筒：六角琴筒，蟒皮蒙皮，宽≥130mm，红花梨木材质与底托材质一致。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7.音窗：雕花木质音窗。</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8.整体长度：≥830mm。</w:t>
            </w:r>
          </w:p>
        </w:tc>
        <w:tc>
          <w:tcPr>
            <w:tcW w:w="816" w:type="dxa"/>
            <w:tcBorders>
              <w:tl2br w:val="nil"/>
              <w:tr2bl w:val="nil"/>
            </w:tcBorders>
            <w:shd w:val="clear" w:color="auto" w:fill="auto"/>
            <w:vAlign w:val="center"/>
          </w:tcPr>
          <w:p w14:paraId="19BAAE7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0F5A02E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w:t>
            </w:r>
          </w:p>
        </w:tc>
        <w:tc>
          <w:tcPr>
            <w:tcW w:w="2796" w:type="dxa"/>
            <w:tcBorders>
              <w:tl2br w:val="nil"/>
              <w:tr2bl w:val="nil"/>
            </w:tcBorders>
            <w:shd w:val="clear" w:color="auto" w:fill="auto"/>
            <w:vAlign w:val="center"/>
          </w:tcPr>
          <w:p w14:paraId="0FF9B43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9504" behindDoc="0" locked="0" layoutInCell="1" allowOverlap="1">
                  <wp:simplePos x="0" y="0"/>
                  <wp:positionH relativeFrom="column">
                    <wp:posOffset>320675</wp:posOffset>
                  </wp:positionH>
                  <wp:positionV relativeFrom="paragraph">
                    <wp:posOffset>257175</wp:posOffset>
                  </wp:positionV>
                  <wp:extent cx="455295" cy="485775"/>
                  <wp:effectExtent l="0" t="0" r="1905" b="9525"/>
                  <wp:wrapNone/>
                  <wp:docPr id="99" name="图片_22"/>
                  <wp:cNvGraphicFramePr/>
                  <a:graphic xmlns:a="http://schemas.openxmlformats.org/drawingml/2006/main">
                    <a:graphicData uri="http://schemas.openxmlformats.org/drawingml/2006/picture">
                      <pic:pic xmlns:pic="http://schemas.openxmlformats.org/drawingml/2006/picture">
                        <pic:nvPicPr>
                          <pic:cNvPr id="99" name="图片_22"/>
                          <pic:cNvPicPr/>
                        </pic:nvPicPr>
                        <pic:blipFill>
                          <a:blip r:embed="rId70"/>
                          <a:stretch>
                            <a:fillRect/>
                          </a:stretch>
                        </pic:blipFill>
                        <pic:spPr>
                          <a:xfrm>
                            <a:off x="0" y="0"/>
                            <a:ext cx="455295" cy="485775"/>
                          </a:xfrm>
                          <a:prstGeom prst="rect">
                            <a:avLst/>
                          </a:prstGeom>
                          <a:noFill/>
                          <a:ln>
                            <a:noFill/>
                          </a:ln>
                        </pic:spPr>
                      </pic:pic>
                    </a:graphicData>
                  </a:graphic>
                </wp:anchor>
              </w:drawing>
            </w: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69504" behindDoc="0" locked="0" layoutInCell="1" allowOverlap="1">
                  <wp:simplePos x="0" y="0"/>
                  <wp:positionH relativeFrom="column">
                    <wp:posOffset>574675</wp:posOffset>
                  </wp:positionH>
                  <wp:positionV relativeFrom="paragraph">
                    <wp:posOffset>322580</wp:posOffset>
                  </wp:positionV>
                  <wp:extent cx="0" cy="1811020"/>
                  <wp:effectExtent l="0" t="0" r="0" b="0"/>
                  <wp:wrapNone/>
                  <wp:docPr id="102" name="图片_21"/>
                  <wp:cNvGraphicFramePr/>
                  <a:graphic xmlns:a="http://schemas.openxmlformats.org/drawingml/2006/main">
                    <a:graphicData uri="http://schemas.openxmlformats.org/drawingml/2006/picture">
                      <pic:pic xmlns:pic="http://schemas.openxmlformats.org/drawingml/2006/picture">
                        <pic:nvPicPr>
                          <pic:cNvPr id="102" name="图片_21"/>
                          <pic:cNvPicPr/>
                        </pic:nvPicPr>
                        <pic:blipFill>
                          <a:blip r:embed="rId71"/>
                          <a:stretch>
                            <a:fillRect/>
                          </a:stretch>
                        </pic:blipFill>
                        <pic:spPr>
                          <a:xfrm>
                            <a:off x="0" y="0"/>
                            <a:ext cx="0" cy="1811020"/>
                          </a:xfrm>
                          <a:prstGeom prst="rect">
                            <a:avLst/>
                          </a:prstGeom>
                          <a:noFill/>
                          <a:ln>
                            <a:noFill/>
                          </a:ln>
                        </pic:spPr>
                      </pic:pic>
                    </a:graphicData>
                  </a:graphic>
                </wp:anchor>
              </w:drawing>
            </w:r>
          </w:p>
        </w:tc>
      </w:tr>
      <w:tr w14:paraId="37D233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0D7A22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20</w:t>
            </w:r>
          </w:p>
        </w:tc>
        <w:tc>
          <w:tcPr>
            <w:tcW w:w="1166" w:type="dxa"/>
            <w:tcBorders>
              <w:tl2br w:val="nil"/>
              <w:tr2bl w:val="nil"/>
            </w:tcBorders>
            <w:shd w:val="clear" w:color="auto" w:fill="auto"/>
            <w:vAlign w:val="center"/>
          </w:tcPr>
          <w:p w14:paraId="553F9BE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长笛</w:t>
            </w:r>
          </w:p>
        </w:tc>
        <w:tc>
          <w:tcPr>
            <w:tcW w:w="8573" w:type="dxa"/>
            <w:tcBorders>
              <w:tl2br w:val="nil"/>
              <w:tr2bl w:val="nil"/>
            </w:tcBorders>
            <w:shd w:val="clear" w:color="auto" w:fill="auto"/>
            <w:vAlign w:val="center"/>
          </w:tcPr>
          <w:p w14:paraId="2752E31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1.调式：C调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2.制式：闭孔式</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3.按键：曲列式</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4.E键：附加E键【含防松动调节螺丝4个（按键面侧2个，按键底侧2个）】</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5.管体材质：白铜合金体</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6.表面处理：镀银、镀镍。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7.吹口片：纯银镀镍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8.顶帽高度：≥10.5mm±1mm，顶帽重量：9g±1g</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9.调音管第一节管管头内径：16.4mm，头管锥呈抛物线型锥度。调音管管尾内径19.2mm。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10.簧针：0.6mm、0.7mm、0.8mm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11.国产胶垫、毛毡、音孔肠衣垫。</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12.足部管：C型足部管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13.符合QB/T1658.2-2012《长笛、短笛》标准要求。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14.标准音符合标准要求≤442.30Hz</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音分检测项≥3项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（①各音音准允许误差：-0.7~25.5之间，②最大允许误差之差≤33.5音分，③相邻两音音准误差之差≤14音分）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15.吹口与主体管插接长度≥35.8mm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16.主体管与尾部插接长度≥10.2mm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17.管体气密性：长笛气压损失量应不大于0.5kpa，中音长笛、低音长笛气压损失量应不大于0.75kpa</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p>
        </w:tc>
        <w:tc>
          <w:tcPr>
            <w:tcW w:w="816" w:type="dxa"/>
            <w:tcBorders>
              <w:tl2br w:val="nil"/>
              <w:tr2bl w:val="nil"/>
            </w:tcBorders>
            <w:shd w:val="clear" w:color="auto" w:fill="auto"/>
            <w:vAlign w:val="center"/>
          </w:tcPr>
          <w:p w14:paraId="35BDE95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5BBF1C1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145C3C8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0528" behindDoc="0" locked="0" layoutInCell="1" allowOverlap="1">
                  <wp:simplePos x="0" y="0"/>
                  <wp:positionH relativeFrom="column">
                    <wp:posOffset>493395</wp:posOffset>
                  </wp:positionH>
                  <wp:positionV relativeFrom="paragraph">
                    <wp:posOffset>45085</wp:posOffset>
                  </wp:positionV>
                  <wp:extent cx="161925" cy="525780"/>
                  <wp:effectExtent l="0" t="0" r="9525" b="7620"/>
                  <wp:wrapNone/>
                  <wp:docPr id="103" name="图片_23"/>
                  <wp:cNvGraphicFramePr/>
                  <a:graphic xmlns:a="http://schemas.openxmlformats.org/drawingml/2006/main">
                    <a:graphicData uri="http://schemas.openxmlformats.org/drawingml/2006/picture">
                      <pic:pic xmlns:pic="http://schemas.openxmlformats.org/drawingml/2006/picture">
                        <pic:nvPicPr>
                          <pic:cNvPr id="103" name="图片_23"/>
                          <pic:cNvPicPr/>
                        </pic:nvPicPr>
                        <pic:blipFill>
                          <a:blip r:embed="rId72"/>
                          <a:stretch>
                            <a:fillRect/>
                          </a:stretch>
                        </pic:blipFill>
                        <pic:spPr>
                          <a:xfrm>
                            <a:off x="0" y="0"/>
                            <a:ext cx="161925" cy="525780"/>
                          </a:xfrm>
                          <a:prstGeom prst="rect">
                            <a:avLst/>
                          </a:prstGeom>
                          <a:noFill/>
                          <a:ln>
                            <a:noFill/>
                          </a:ln>
                        </pic:spPr>
                      </pic:pic>
                    </a:graphicData>
                  </a:graphic>
                </wp:anchor>
              </w:drawing>
            </w:r>
          </w:p>
        </w:tc>
      </w:tr>
      <w:tr w14:paraId="36294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30164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21</w:t>
            </w:r>
          </w:p>
        </w:tc>
        <w:tc>
          <w:tcPr>
            <w:tcW w:w="1166" w:type="dxa"/>
            <w:tcBorders>
              <w:tl2br w:val="nil"/>
              <w:tr2bl w:val="nil"/>
            </w:tcBorders>
            <w:shd w:val="clear" w:color="auto" w:fill="auto"/>
            <w:vAlign w:val="center"/>
          </w:tcPr>
          <w:p w14:paraId="5D71C54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单簧管</w:t>
            </w:r>
          </w:p>
        </w:tc>
        <w:tc>
          <w:tcPr>
            <w:tcW w:w="8573" w:type="dxa"/>
            <w:tcBorders>
              <w:tl2br w:val="nil"/>
              <w:tr2bl w:val="nil"/>
            </w:tcBorders>
            <w:shd w:val="clear" w:color="auto" w:fill="auto"/>
            <w:vAlign w:val="center"/>
          </w:tcPr>
          <w:p w14:paraId="51AE5AC9">
            <w:pPr>
              <w:keepNext w:val="0"/>
              <w:keepLines w:val="0"/>
              <w:widowControl/>
              <w:numPr>
                <w:ilvl w:val="0"/>
                <w:numId w:val="7"/>
              </w:numPr>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调式：bB调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2.制式：贝姆式17键6环键</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3.二节管长度:≥62.5mm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4.主管材质：胶木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5.按键材质：镀镍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6.音孔：直型锥形内切式音孔</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7.指托：可调节（带软木防滑处理，活动量17mm）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8.笛头吹嘴：4C</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9.三节管：长≥220mm上端外直径≥23.5mm下端外直径≥22mm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四节管：长≥254mm上端外直径≥22mm下端外直径≥26.8mm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喇叭口：长≥111mm上端外直径≥26.5mm  喇叭口外直径≥80mm喇叭口内直径≥54mm 喇叭口厚度≥13mm 胶木厚度≥8mm 镀镍铜口包口厚度≥5mm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10.符合QB/T1658.3-2012《单簧管》标准要求，</w:t>
            </w:r>
          </w:p>
          <w:p w14:paraId="646A6805">
            <w:pPr>
              <w:keepNext w:val="0"/>
              <w:keepLines w:val="0"/>
              <w:widowControl/>
              <w:numPr>
                <w:ilvl w:val="0"/>
                <w:numId w:val="0"/>
              </w:numPr>
              <w:suppressLineNumbers w:val="0"/>
              <w:ind w:left="0" w:leftChars="0" w:firstLine="0" w:firstLineChars="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11.标准音符合标准要求≤443.83Hz</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音分检测项≥3项（①各音音准允许误差：-9~27之间，②最大允许误差之差≤36音分，③相邻两音音准误差之差≤16音分）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12.管体气密性高音单簧管应不大于0.5kpa 低音单簧管应不大于0.75kpa</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13.配合间隙：键管与键柱端面最大间隙0.20mm 键棍与键柱端面最大间隙0.10mm</w:t>
            </w:r>
          </w:p>
        </w:tc>
        <w:tc>
          <w:tcPr>
            <w:tcW w:w="816" w:type="dxa"/>
            <w:tcBorders>
              <w:tl2br w:val="nil"/>
              <w:tr2bl w:val="nil"/>
            </w:tcBorders>
            <w:shd w:val="clear" w:color="auto" w:fill="auto"/>
            <w:vAlign w:val="center"/>
          </w:tcPr>
          <w:p w14:paraId="5CF0398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59DD270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17DBFEB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111760" cy="491490"/>
                  <wp:effectExtent l="0" t="0" r="2540" b="3810"/>
                  <wp:docPr id="104" name="图片_24"/>
                  <wp:cNvGraphicFramePr/>
                  <a:graphic xmlns:a="http://schemas.openxmlformats.org/drawingml/2006/main">
                    <a:graphicData uri="http://schemas.openxmlformats.org/drawingml/2006/picture">
                      <pic:pic xmlns:pic="http://schemas.openxmlformats.org/drawingml/2006/picture">
                        <pic:nvPicPr>
                          <pic:cNvPr id="104" name="图片_24"/>
                          <pic:cNvPicPr/>
                        </pic:nvPicPr>
                        <pic:blipFill>
                          <a:blip r:embed="rId73"/>
                          <a:stretch>
                            <a:fillRect/>
                          </a:stretch>
                        </pic:blipFill>
                        <pic:spPr>
                          <a:xfrm>
                            <a:off x="0" y="0"/>
                            <a:ext cx="111760" cy="491490"/>
                          </a:xfrm>
                          <a:prstGeom prst="rect">
                            <a:avLst/>
                          </a:prstGeom>
                          <a:noFill/>
                          <a:ln>
                            <a:noFill/>
                          </a:ln>
                        </pic:spPr>
                      </pic:pic>
                    </a:graphicData>
                  </a:graphic>
                </wp:inline>
              </w:drawing>
            </w:r>
          </w:p>
        </w:tc>
      </w:tr>
      <w:tr w14:paraId="5DC23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0C485A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22</w:t>
            </w:r>
          </w:p>
        </w:tc>
        <w:tc>
          <w:tcPr>
            <w:tcW w:w="1166" w:type="dxa"/>
            <w:tcBorders>
              <w:tl2br w:val="nil"/>
              <w:tr2bl w:val="nil"/>
            </w:tcBorders>
            <w:shd w:val="clear" w:color="auto" w:fill="auto"/>
            <w:vAlign w:val="center"/>
          </w:tcPr>
          <w:p w14:paraId="1365264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萨克斯</w:t>
            </w:r>
          </w:p>
        </w:tc>
        <w:tc>
          <w:tcPr>
            <w:tcW w:w="8573" w:type="dxa"/>
            <w:tcBorders>
              <w:tl2br w:val="nil"/>
              <w:tr2bl w:val="nil"/>
            </w:tcBorders>
            <w:shd w:val="clear" w:color="auto" w:fill="auto"/>
            <w:vAlign w:val="center"/>
          </w:tcPr>
          <w:p w14:paraId="38E4F179">
            <w:pPr>
              <w:keepNext w:val="0"/>
              <w:keepLines w:val="0"/>
              <w:widowControl/>
              <w:numPr>
                <w:ilvl w:val="0"/>
                <w:numId w:val="8"/>
              </w:numPr>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调式：bE调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2.材质：白铜合金体</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3.表面处理：金漆喷涂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4.喇叭口雕花：手工雕刻</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5.按键：天然贝壳</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6.普白簧针：0.7mm 0.8mm 1.0mm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7.软木防震系统（无毛毡）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8.国产皮垫</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9.弯脖：有叶状护片，弯脖下护片长≥75mm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10.喇叭口直径：≥119.5mm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11.挂钩环档位：三档位</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12.笛头：4C</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13.带随体谱台夹孔（方孔）贴于萨克斯左侧距萨克斯上端插口≥32mm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14.弯脖底端外直径≥24.3mm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15.上端接口内径范围：≥24.4mm~25mm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16.辅助键:高音F#键 前方F键</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17.枢轴螺丝：子弹头型螺丝</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18.吹嘴材质：树脂塑料</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19.符合QB/T1658.6-2012《萨克斯管》标准要求</w:t>
            </w:r>
          </w:p>
          <w:p w14:paraId="24DE2EF1">
            <w:pPr>
              <w:keepNext w:val="0"/>
              <w:keepLines w:val="0"/>
              <w:widowControl/>
              <w:numPr>
                <w:ilvl w:val="0"/>
                <w:numId w:val="0"/>
              </w:numPr>
              <w:suppressLineNumbers w:val="0"/>
              <w:ind w:left="0" w:leftChars="0" w:firstLine="0" w:firstLineChars="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20.管体气密性：气压损失量应不大于0.75kpa</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21.标准音符合标准要求440~443.83Hz</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22.音分检测项≥3项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①各音音准允许误差：-20~35之间，②音准最大允许误差之差40音分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③相邻两音音准误差之差35音分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23.插接长度：≥15mm</w:t>
            </w:r>
          </w:p>
        </w:tc>
        <w:tc>
          <w:tcPr>
            <w:tcW w:w="816" w:type="dxa"/>
            <w:tcBorders>
              <w:tl2br w:val="nil"/>
              <w:tr2bl w:val="nil"/>
            </w:tcBorders>
            <w:shd w:val="clear" w:color="auto" w:fill="auto"/>
            <w:vAlign w:val="center"/>
          </w:tcPr>
          <w:p w14:paraId="5541959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096F3BE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6AFB73A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1552" behindDoc="0" locked="0" layoutInCell="1" allowOverlap="1">
                  <wp:simplePos x="0" y="0"/>
                  <wp:positionH relativeFrom="column">
                    <wp:posOffset>473075</wp:posOffset>
                  </wp:positionH>
                  <wp:positionV relativeFrom="paragraph">
                    <wp:posOffset>16510</wp:posOffset>
                  </wp:positionV>
                  <wp:extent cx="200660" cy="513715"/>
                  <wp:effectExtent l="0" t="0" r="8890" b="635"/>
                  <wp:wrapNone/>
                  <wp:docPr id="105" name="图片_26"/>
                  <wp:cNvGraphicFramePr/>
                  <a:graphic xmlns:a="http://schemas.openxmlformats.org/drawingml/2006/main">
                    <a:graphicData uri="http://schemas.openxmlformats.org/drawingml/2006/picture">
                      <pic:pic xmlns:pic="http://schemas.openxmlformats.org/drawingml/2006/picture">
                        <pic:nvPicPr>
                          <pic:cNvPr id="105" name="图片_26"/>
                          <pic:cNvPicPr/>
                        </pic:nvPicPr>
                        <pic:blipFill>
                          <a:blip r:embed="rId74"/>
                          <a:stretch>
                            <a:fillRect/>
                          </a:stretch>
                        </pic:blipFill>
                        <pic:spPr>
                          <a:xfrm>
                            <a:off x="0" y="0"/>
                            <a:ext cx="200660" cy="513715"/>
                          </a:xfrm>
                          <a:prstGeom prst="rect">
                            <a:avLst/>
                          </a:prstGeom>
                          <a:noFill/>
                          <a:ln>
                            <a:noFill/>
                          </a:ln>
                        </pic:spPr>
                      </pic:pic>
                    </a:graphicData>
                  </a:graphic>
                </wp:anchor>
              </w:drawing>
            </w:r>
          </w:p>
        </w:tc>
      </w:tr>
      <w:tr w14:paraId="56ED23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7784F6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23</w:t>
            </w:r>
          </w:p>
        </w:tc>
        <w:tc>
          <w:tcPr>
            <w:tcW w:w="1166" w:type="dxa"/>
            <w:tcBorders>
              <w:tl2br w:val="nil"/>
              <w:tr2bl w:val="nil"/>
            </w:tcBorders>
            <w:shd w:val="clear" w:color="auto" w:fill="auto"/>
            <w:vAlign w:val="center"/>
          </w:tcPr>
          <w:p w14:paraId="25A9014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圆号</w:t>
            </w:r>
          </w:p>
        </w:tc>
        <w:tc>
          <w:tcPr>
            <w:tcW w:w="8573" w:type="dxa"/>
            <w:tcBorders>
              <w:tl2br w:val="nil"/>
              <w:tr2bl w:val="nil"/>
            </w:tcBorders>
            <w:shd w:val="clear" w:color="auto" w:fill="auto"/>
            <w:vAlign w:val="center"/>
          </w:tcPr>
          <w:p w14:paraId="5BC2128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1.调式：bB/F调 变调双排F转bB</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2.双色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3.表面处理：清漆喷涂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4.喇叭口直径：≥320mm不可分离喇叭口，喇叭口卷边厚度≥3.5mm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5.一体圆号，连体结构</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6.旋转阀4个</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7.音杆机械传动式</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8.吹嘴箍：≥106.5mm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9.号口内径：≥8mm</w:t>
            </w:r>
          </w:p>
        </w:tc>
        <w:tc>
          <w:tcPr>
            <w:tcW w:w="816" w:type="dxa"/>
            <w:tcBorders>
              <w:tl2br w:val="nil"/>
              <w:tr2bl w:val="nil"/>
            </w:tcBorders>
            <w:shd w:val="clear" w:color="auto" w:fill="auto"/>
            <w:vAlign w:val="center"/>
          </w:tcPr>
          <w:p w14:paraId="20EF6B8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09B11C8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62FD47B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2576" behindDoc="0" locked="0" layoutInCell="1" allowOverlap="1">
                  <wp:simplePos x="0" y="0"/>
                  <wp:positionH relativeFrom="column">
                    <wp:posOffset>386715</wp:posOffset>
                  </wp:positionH>
                  <wp:positionV relativeFrom="paragraph">
                    <wp:posOffset>9525</wp:posOffset>
                  </wp:positionV>
                  <wp:extent cx="439420" cy="560070"/>
                  <wp:effectExtent l="0" t="0" r="17780" b="11430"/>
                  <wp:wrapSquare wrapText="bothSides"/>
                  <wp:docPr id="106" name="图片_27"/>
                  <wp:cNvGraphicFramePr/>
                  <a:graphic xmlns:a="http://schemas.openxmlformats.org/drawingml/2006/main">
                    <a:graphicData uri="http://schemas.openxmlformats.org/drawingml/2006/picture">
                      <pic:pic xmlns:pic="http://schemas.openxmlformats.org/drawingml/2006/picture">
                        <pic:nvPicPr>
                          <pic:cNvPr id="106" name="图片_27"/>
                          <pic:cNvPicPr/>
                        </pic:nvPicPr>
                        <pic:blipFill>
                          <a:blip r:embed="rId75"/>
                          <a:stretch>
                            <a:fillRect/>
                          </a:stretch>
                        </pic:blipFill>
                        <pic:spPr>
                          <a:xfrm>
                            <a:off x="0" y="0"/>
                            <a:ext cx="439420" cy="560070"/>
                          </a:xfrm>
                          <a:prstGeom prst="rect">
                            <a:avLst/>
                          </a:prstGeom>
                          <a:noFill/>
                          <a:ln>
                            <a:noFill/>
                          </a:ln>
                        </pic:spPr>
                      </pic:pic>
                    </a:graphicData>
                  </a:graphic>
                </wp:anchor>
              </w:drawing>
            </w:r>
          </w:p>
        </w:tc>
      </w:tr>
      <w:tr w14:paraId="6957C5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EEDC97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24</w:t>
            </w:r>
          </w:p>
        </w:tc>
        <w:tc>
          <w:tcPr>
            <w:tcW w:w="1166" w:type="dxa"/>
            <w:tcBorders>
              <w:tl2br w:val="nil"/>
              <w:tr2bl w:val="nil"/>
            </w:tcBorders>
            <w:shd w:val="clear" w:color="auto" w:fill="auto"/>
            <w:vAlign w:val="center"/>
          </w:tcPr>
          <w:p w14:paraId="4D442E9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小号</w:t>
            </w:r>
          </w:p>
        </w:tc>
        <w:tc>
          <w:tcPr>
            <w:tcW w:w="8573" w:type="dxa"/>
            <w:tcBorders>
              <w:tl2br w:val="nil"/>
              <w:tr2bl w:val="nil"/>
            </w:tcBorders>
            <w:shd w:val="clear" w:color="auto" w:fill="auto"/>
            <w:vAlign w:val="center"/>
          </w:tcPr>
          <w:p w14:paraId="7DD1C16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1.调式：bB调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2.材质：白铜合金体双色小号</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3.表面处理：清漆喷涂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4.吹嘴：响铜镀银 7C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5.键盖：天然贝壳</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6.喇叭口直径：≥124mm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7.内管尺寸：上端内径≥11.5mm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8.吹嘴箍长度：47mm、三色、耐磨、活塞</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9.调音指环呈6字状,齿道长度≥66.3mm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10.指环内径：≥20mm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11.第一二三活塞管：表面双色处理，有呢粘防震处理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12.第一辅助调音管：表面为双色处理，与前端大弯管之间有防脱落螺丝，有放水阀，有调音指环</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13.前端大弯管支柱一根，高≥53mm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14.第二调音管有指钩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15.第二辅助调音管、第三辅助调音管：表面为双色处理</w:t>
            </w:r>
          </w:p>
        </w:tc>
        <w:tc>
          <w:tcPr>
            <w:tcW w:w="816" w:type="dxa"/>
            <w:tcBorders>
              <w:tl2br w:val="nil"/>
              <w:tr2bl w:val="nil"/>
            </w:tcBorders>
            <w:shd w:val="clear" w:color="auto" w:fill="auto"/>
            <w:vAlign w:val="center"/>
          </w:tcPr>
          <w:p w14:paraId="6C1A907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0079ADE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122786C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343025" cy="2314575"/>
                  <wp:effectExtent l="0" t="0" r="9525" b="9525"/>
                  <wp:docPr id="107" name="图片 5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0" descr="IMG_257"/>
                          <pic:cNvPicPr>
                            <a:picLocks noChangeAspect="1"/>
                          </pic:cNvPicPr>
                        </pic:nvPicPr>
                        <pic:blipFill>
                          <a:blip r:embed="rId76"/>
                          <a:stretch>
                            <a:fillRect/>
                          </a:stretch>
                        </pic:blipFill>
                        <pic:spPr>
                          <a:xfrm>
                            <a:off x="0" y="0"/>
                            <a:ext cx="1343025" cy="2314575"/>
                          </a:xfrm>
                          <a:prstGeom prst="rect">
                            <a:avLst/>
                          </a:prstGeom>
                          <a:noFill/>
                          <a:ln w="9525">
                            <a:noFill/>
                          </a:ln>
                        </pic:spPr>
                      </pic:pic>
                    </a:graphicData>
                  </a:graphic>
                </wp:inline>
              </w:drawing>
            </w:r>
          </w:p>
        </w:tc>
      </w:tr>
      <w:tr w14:paraId="0658DE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5B3F1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25</w:t>
            </w:r>
          </w:p>
        </w:tc>
        <w:tc>
          <w:tcPr>
            <w:tcW w:w="1166" w:type="dxa"/>
            <w:tcBorders>
              <w:tl2br w:val="nil"/>
              <w:tr2bl w:val="nil"/>
            </w:tcBorders>
            <w:shd w:val="clear" w:color="auto" w:fill="auto"/>
            <w:vAlign w:val="center"/>
          </w:tcPr>
          <w:p w14:paraId="583091D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长号</w:t>
            </w:r>
          </w:p>
        </w:tc>
        <w:tc>
          <w:tcPr>
            <w:tcW w:w="8573" w:type="dxa"/>
            <w:tcBorders>
              <w:tl2br w:val="nil"/>
              <w:tr2bl w:val="nil"/>
            </w:tcBorders>
            <w:shd w:val="clear" w:color="auto" w:fill="auto"/>
            <w:vAlign w:val="center"/>
          </w:tcPr>
          <w:p w14:paraId="6D1472CA">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1.调式：bB调</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2.材质：白铜合金体</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3.表面处理：双色清漆处理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4.喇叭口直径：≥208mm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5.吹嘴：48S</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6.吹口内径：≥12mm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7.停止带：有</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8.双色拉管支撑：粗度≥10mm长度≥67.5mm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9.放水阀有软木处理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10.底部有橡皮垫</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11.拉管连接处黄铜螺丝，表面带有防滑处理，直径≥21.5mm高度≥11.3mm后背配有防撞胶圈</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12.号口连接处呈H状支撑H状顶端≥15.2mm底端≥20.2mm相互支撑立柱≥11.2mm全长长度≥68mm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13.后弯管出H状支撑长≥83mm外径≥10.9mm</w:t>
            </w:r>
          </w:p>
        </w:tc>
        <w:tc>
          <w:tcPr>
            <w:tcW w:w="816" w:type="dxa"/>
            <w:tcBorders>
              <w:tl2br w:val="nil"/>
              <w:tr2bl w:val="nil"/>
            </w:tcBorders>
            <w:shd w:val="clear" w:color="auto" w:fill="auto"/>
            <w:vAlign w:val="center"/>
          </w:tcPr>
          <w:p w14:paraId="741F0DC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497E05E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5E7FFE3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3600" behindDoc="0" locked="0" layoutInCell="1" allowOverlap="1">
                  <wp:simplePos x="0" y="0"/>
                  <wp:positionH relativeFrom="column">
                    <wp:posOffset>448310</wp:posOffset>
                  </wp:positionH>
                  <wp:positionV relativeFrom="paragraph">
                    <wp:posOffset>66675</wp:posOffset>
                  </wp:positionV>
                  <wp:extent cx="252095" cy="486410"/>
                  <wp:effectExtent l="0" t="0" r="14605" b="8890"/>
                  <wp:wrapNone/>
                  <wp:docPr id="108" name="图片_28"/>
                  <wp:cNvGraphicFramePr/>
                  <a:graphic xmlns:a="http://schemas.openxmlformats.org/drawingml/2006/main">
                    <a:graphicData uri="http://schemas.openxmlformats.org/drawingml/2006/picture">
                      <pic:pic xmlns:pic="http://schemas.openxmlformats.org/drawingml/2006/picture">
                        <pic:nvPicPr>
                          <pic:cNvPr id="108" name="图片_28"/>
                          <pic:cNvPicPr/>
                        </pic:nvPicPr>
                        <pic:blipFill>
                          <a:blip r:embed="rId77"/>
                          <a:stretch>
                            <a:fillRect/>
                          </a:stretch>
                        </pic:blipFill>
                        <pic:spPr>
                          <a:xfrm>
                            <a:off x="0" y="0"/>
                            <a:ext cx="252095" cy="486410"/>
                          </a:xfrm>
                          <a:prstGeom prst="rect">
                            <a:avLst/>
                          </a:prstGeom>
                          <a:noFill/>
                          <a:ln>
                            <a:noFill/>
                          </a:ln>
                        </pic:spPr>
                      </pic:pic>
                    </a:graphicData>
                  </a:graphic>
                </wp:anchor>
              </w:drawing>
            </w:r>
          </w:p>
        </w:tc>
      </w:tr>
      <w:tr w14:paraId="073B03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424895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26</w:t>
            </w:r>
          </w:p>
        </w:tc>
        <w:tc>
          <w:tcPr>
            <w:tcW w:w="1166" w:type="dxa"/>
            <w:tcBorders>
              <w:tl2br w:val="nil"/>
              <w:tr2bl w:val="nil"/>
            </w:tcBorders>
            <w:shd w:val="clear" w:color="auto" w:fill="auto"/>
            <w:vAlign w:val="center"/>
          </w:tcPr>
          <w:p w14:paraId="60CF3BD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小提琴</w:t>
            </w:r>
          </w:p>
        </w:tc>
        <w:tc>
          <w:tcPr>
            <w:tcW w:w="8573" w:type="dxa"/>
            <w:tcBorders>
              <w:tl2br w:val="nil"/>
              <w:tr2bl w:val="nil"/>
            </w:tcBorders>
            <w:shd w:val="clear" w:color="auto" w:fill="auto"/>
            <w:vAlign w:val="center"/>
          </w:tcPr>
          <w:p w14:paraId="2572C8A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1.材质：实木琴体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2.工艺：烤漆面板  </w:t>
            </w:r>
          </w:p>
        </w:tc>
        <w:tc>
          <w:tcPr>
            <w:tcW w:w="816" w:type="dxa"/>
            <w:tcBorders>
              <w:tl2br w:val="nil"/>
              <w:tr2bl w:val="nil"/>
            </w:tcBorders>
            <w:shd w:val="clear" w:color="auto" w:fill="auto"/>
            <w:vAlign w:val="center"/>
          </w:tcPr>
          <w:p w14:paraId="34693F2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w:t>
            </w:r>
          </w:p>
        </w:tc>
        <w:tc>
          <w:tcPr>
            <w:tcW w:w="498" w:type="dxa"/>
            <w:tcBorders>
              <w:tl2br w:val="nil"/>
              <w:tr2bl w:val="nil"/>
            </w:tcBorders>
            <w:shd w:val="clear" w:color="auto" w:fill="auto"/>
            <w:vAlign w:val="center"/>
          </w:tcPr>
          <w:p w14:paraId="7717EA8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w:t>
            </w:r>
          </w:p>
        </w:tc>
        <w:tc>
          <w:tcPr>
            <w:tcW w:w="2796" w:type="dxa"/>
            <w:tcBorders>
              <w:tl2br w:val="nil"/>
              <w:tr2bl w:val="nil"/>
            </w:tcBorders>
            <w:shd w:val="clear" w:color="auto" w:fill="auto"/>
            <w:vAlign w:val="center"/>
          </w:tcPr>
          <w:p w14:paraId="5D41A2A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632460" cy="379095"/>
                  <wp:effectExtent l="0" t="0" r="15240" b="1905"/>
                  <wp:docPr id="109" name="图片_29"/>
                  <wp:cNvGraphicFramePr/>
                  <a:graphic xmlns:a="http://schemas.openxmlformats.org/drawingml/2006/main">
                    <a:graphicData uri="http://schemas.openxmlformats.org/drawingml/2006/picture">
                      <pic:pic xmlns:pic="http://schemas.openxmlformats.org/drawingml/2006/picture">
                        <pic:nvPicPr>
                          <pic:cNvPr id="109" name="图片_29"/>
                          <pic:cNvPicPr/>
                        </pic:nvPicPr>
                        <pic:blipFill>
                          <a:blip r:embed="rId78"/>
                          <a:stretch>
                            <a:fillRect/>
                          </a:stretch>
                        </pic:blipFill>
                        <pic:spPr>
                          <a:xfrm>
                            <a:off x="0" y="0"/>
                            <a:ext cx="632460" cy="379095"/>
                          </a:xfrm>
                          <a:prstGeom prst="rect">
                            <a:avLst/>
                          </a:prstGeom>
                          <a:noFill/>
                          <a:ln>
                            <a:noFill/>
                          </a:ln>
                        </pic:spPr>
                      </pic:pic>
                    </a:graphicData>
                  </a:graphic>
                </wp:inline>
              </w:drawing>
            </w:r>
          </w:p>
        </w:tc>
      </w:tr>
      <w:tr w14:paraId="122822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B43F4C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27</w:t>
            </w:r>
          </w:p>
        </w:tc>
        <w:tc>
          <w:tcPr>
            <w:tcW w:w="1166" w:type="dxa"/>
            <w:tcBorders>
              <w:tl2br w:val="nil"/>
              <w:tr2bl w:val="nil"/>
            </w:tcBorders>
            <w:shd w:val="clear" w:color="auto" w:fill="auto"/>
            <w:vAlign w:val="center"/>
          </w:tcPr>
          <w:p w14:paraId="19D44BB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马头琴</w:t>
            </w:r>
          </w:p>
        </w:tc>
        <w:tc>
          <w:tcPr>
            <w:tcW w:w="8573" w:type="dxa"/>
            <w:tcBorders>
              <w:tl2br w:val="nil"/>
              <w:tr2bl w:val="nil"/>
            </w:tcBorders>
            <w:shd w:val="clear" w:color="auto" w:fill="auto"/>
            <w:vAlign w:val="center"/>
          </w:tcPr>
          <w:p w14:paraId="68978BB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1.材质：仿红木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2.琴头：马头形状琴头</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3.琴箱：梯形琴箱，上端宽度≥190mm，低端宽度≥270mm，高度≥320mm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5.琴码：木质琴码</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6.整体长度：≥1000mm</w:t>
            </w:r>
          </w:p>
        </w:tc>
        <w:tc>
          <w:tcPr>
            <w:tcW w:w="816" w:type="dxa"/>
            <w:tcBorders>
              <w:tl2br w:val="nil"/>
              <w:tr2bl w:val="nil"/>
            </w:tcBorders>
            <w:shd w:val="clear" w:color="auto" w:fill="auto"/>
            <w:vAlign w:val="center"/>
          </w:tcPr>
          <w:p w14:paraId="31B78EF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w:t>
            </w:r>
          </w:p>
        </w:tc>
        <w:tc>
          <w:tcPr>
            <w:tcW w:w="498" w:type="dxa"/>
            <w:tcBorders>
              <w:tl2br w:val="nil"/>
              <w:tr2bl w:val="nil"/>
            </w:tcBorders>
            <w:shd w:val="clear" w:color="auto" w:fill="auto"/>
            <w:vAlign w:val="center"/>
          </w:tcPr>
          <w:p w14:paraId="187E933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w:t>
            </w:r>
          </w:p>
        </w:tc>
        <w:tc>
          <w:tcPr>
            <w:tcW w:w="2796" w:type="dxa"/>
            <w:tcBorders>
              <w:tl2br w:val="nil"/>
              <w:tr2bl w:val="nil"/>
            </w:tcBorders>
            <w:shd w:val="clear" w:color="auto" w:fill="auto"/>
            <w:vAlign w:val="center"/>
          </w:tcPr>
          <w:p w14:paraId="547B5FC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4624" behindDoc="0" locked="0" layoutInCell="1" allowOverlap="1">
                  <wp:simplePos x="0" y="0"/>
                  <wp:positionH relativeFrom="column">
                    <wp:posOffset>333375</wp:posOffset>
                  </wp:positionH>
                  <wp:positionV relativeFrom="paragraph">
                    <wp:posOffset>56515</wp:posOffset>
                  </wp:positionV>
                  <wp:extent cx="481965" cy="460375"/>
                  <wp:effectExtent l="0" t="0" r="13335" b="15875"/>
                  <wp:wrapNone/>
                  <wp:docPr id="110" name="图片_30"/>
                  <wp:cNvGraphicFramePr/>
                  <a:graphic xmlns:a="http://schemas.openxmlformats.org/drawingml/2006/main">
                    <a:graphicData uri="http://schemas.openxmlformats.org/drawingml/2006/picture">
                      <pic:pic xmlns:pic="http://schemas.openxmlformats.org/drawingml/2006/picture">
                        <pic:nvPicPr>
                          <pic:cNvPr id="110" name="图片_30"/>
                          <pic:cNvPicPr/>
                        </pic:nvPicPr>
                        <pic:blipFill>
                          <a:blip r:embed="rId79"/>
                          <a:stretch>
                            <a:fillRect/>
                          </a:stretch>
                        </pic:blipFill>
                        <pic:spPr>
                          <a:xfrm>
                            <a:off x="0" y="0"/>
                            <a:ext cx="481965" cy="460375"/>
                          </a:xfrm>
                          <a:prstGeom prst="rect">
                            <a:avLst/>
                          </a:prstGeom>
                          <a:noFill/>
                          <a:ln>
                            <a:noFill/>
                          </a:ln>
                        </pic:spPr>
                      </pic:pic>
                    </a:graphicData>
                  </a:graphic>
                </wp:anchor>
              </w:drawing>
            </w:r>
          </w:p>
        </w:tc>
      </w:tr>
      <w:tr w14:paraId="15EE6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C64B2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28</w:t>
            </w:r>
          </w:p>
        </w:tc>
        <w:tc>
          <w:tcPr>
            <w:tcW w:w="1166" w:type="dxa"/>
            <w:tcBorders>
              <w:tl2br w:val="nil"/>
              <w:tr2bl w:val="nil"/>
            </w:tcBorders>
            <w:shd w:val="clear" w:color="auto" w:fill="auto"/>
            <w:vAlign w:val="center"/>
          </w:tcPr>
          <w:p w14:paraId="5EA4F3D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芦笙</w:t>
            </w:r>
          </w:p>
        </w:tc>
        <w:tc>
          <w:tcPr>
            <w:tcW w:w="8573" w:type="dxa"/>
            <w:tcBorders>
              <w:tl2br w:val="nil"/>
              <w:tr2bl w:val="nil"/>
            </w:tcBorders>
            <w:shd w:val="clear" w:color="auto" w:fill="auto"/>
            <w:vAlign w:val="center"/>
          </w:tcPr>
          <w:p w14:paraId="12C8350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1.材质：优质水竹、优质杉木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2.规格：3竹1管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3.调式：C调</w:t>
            </w:r>
          </w:p>
        </w:tc>
        <w:tc>
          <w:tcPr>
            <w:tcW w:w="816" w:type="dxa"/>
            <w:tcBorders>
              <w:tl2br w:val="nil"/>
              <w:tr2bl w:val="nil"/>
            </w:tcBorders>
            <w:shd w:val="clear" w:color="auto" w:fill="auto"/>
            <w:vAlign w:val="center"/>
          </w:tcPr>
          <w:p w14:paraId="53A47AD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w:t>
            </w:r>
          </w:p>
        </w:tc>
        <w:tc>
          <w:tcPr>
            <w:tcW w:w="498" w:type="dxa"/>
            <w:tcBorders>
              <w:tl2br w:val="nil"/>
              <w:tr2bl w:val="nil"/>
            </w:tcBorders>
            <w:shd w:val="clear" w:color="auto" w:fill="auto"/>
            <w:vAlign w:val="center"/>
          </w:tcPr>
          <w:p w14:paraId="4AE02FC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0BBF715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5648" behindDoc="0" locked="0" layoutInCell="1" allowOverlap="1">
                  <wp:simplePos x="0" y="0"/>
                  <wp:positionH relativeFrom="column">
                    <wp:posOffset>360680</wp:posOffset>
                  </wp:positionH>
                  <wp:positionV relativeFrom="paragraph">
                    <wp:posOffset>-79375</wp:posOffset>
                  </wp:positionV>
                  <wp:extent cx="328295" cy="367665"/>
                  <wp:effectExtent l="0" t="0" r="14605" b="13335"/>
                  <wp:wrapNone/>
                  <wp:docPr id="111" name="图片_34"/>
                  <wp:cNvGraphicFramePr/>
                  <a:graphic xmlns:a="http://schemas.openxmlformats.org/drawingml/2006/main">
                    <a:graphicData uri="http://schemas.openxmlformats.org/drawingml/2006/picture">
                      <pic:pic xmlns:pic="http://schemas.openxmlformats.org/drawingml/2006/picture">
                        <pic:nvPicPr>
                          <pic:cNvPr id="111" name="图片_34"/>
                          <pic:cNvPicPr/>
                        </pic:nvPicPr>
                        <pic:blipFill>
                          <a:blip r:embed="rId80"/>
                          <a:stretch>
                            <a:fillRect/>
                          </a:stretch>
                        </pic:blipFill>
                        <pic:spPr>
                          <a:xfrm>
                            <a:off x="0" y="0"/>
                            <a:ext cx="328295" cy="367665"/>
                          </a:xfrm>
                          <a:prstGeom prst="rect">
                            <a:avLst/>
                          </a:prstGeom>
                          <a:noFill/>
                          <a:ln>
                            <a:noFill/>
                          </a:ln>
                        </pic:spPr>
                      </pic:pic>
                    </a:graphicData>
                  </a:graphic>
                </wp:anchor>
              </w:drawing>
            </w:r>
          </w:p>
        </w:tc>
      </w:tr>
      <w:tr w14:paraId="559EED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D03D1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29</w:t>
            </w:r>
          </w:p>
        </w:tc>
        <w:tc>
          <w:tcPr>
            <w:tcW w:w="1166" w:type="dxa"/>
            <w:tcBorders>
              <w:tl2br w:val="nil"/>
              <w:tr2bl w:val="nil"/>
            </w:tcBorders>
            <w:shd w:val="clear" w:color="auto" w:fill="auto"/>
            <w:vAlign w:val="center"/>
          </w:tcPr>
          <w:p w14:paraId="0ADBA77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松香</w:t>
            </w:r>
          </w:p>
        </w:tc>
        <w:tc>
          <w:tcPr>
            <w:tcW w:w="8573" w:type="dxa"/>
            <w:tcBorders>
              <w:tl2br w:val="nil"/>
              <w:tr2bl w:val="nil"/>
            </w:tcBorders>
            <w:shd w:val="clear" w:color="auto" w:fill="auto"/>
            <w:vAlign w:val="center"/>
          </w:tcPr>
          <w:p w14:paraId="2CB38E56">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1.材质：松脂提取</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2.适用：二胡、提琴类</w:t>
            </w:r>
          </w:p>
        </w:tc>
        <w:tc>
          <w:tcPr>
            <w:tcW w:w="816" w:type="dxa"/>
            <w:tcBorders>
              <w:tl2br w:val="nil"/>
              <w:tr2bl w:val="nil"/>
            </w:tcBorders>
            <w:shd w:val="clear" w:color="auto" w:fill="auto"/>
            <w:vAlign w:val="center"/>
          </w:tcPr>
          <w:p w14:paraId="61DBACC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w:t>
            </w:r>
          </w:p>
        </w:tc>
        <w:tc>
          <w:tcPr>
            <w:tcW w:w="498" w:type="dxa"/>
            <w:tcBorders>
              <w:tl2br w:val="nil"/>
              <w:tr2bl w:val="nil"/>
            </w:tcBorders>
            <w:shd w:val="clear" w:color="auto" w:fill="auto"/>
            <w:vAlign w:val="center"/>
          </w:tcPr>
          <w:p w14:paraId="651102B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盒</w:t>
            </w:r>
          </w:p>
        </w:tc>
        <w:tc>
          <w:tcPr>
            <w:tcW w:w="2796" w:type="dxa"/>
            <w:tcBorders>
              <w:tl2br w:val="nil"/>
              <w:tr2bl w:val="nil"/>
            </w:tcBorders>
            <w:shd w:val="clear" w:color="auto" w:fill="auto"/>
            <w:vAlign w:val="center"/>
          </w:tcPr>
          <w:p w14:paraId="5E43443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6672" behindDoc="0" locked="0" layoutInCell="1" allowOverlap="1">
                  <wp:simplePos x="0" y="0"/>
                  <wp:positionH relativeFrom="column">
                    <wp:posOffset>343535</wp:posOffset>
                  </wp:positionH>
                  <wp:positionV relativeFrom="paragraph">
                    <wp:posOffset>32385</wp:posOffset>
                  </wp:positionV>
                  <wp:extent cx="354330" cy="275590"/>
                  <wp:effectExtent l="0" t="0" r="7620" b="10160"/>
                  <wp:wrapNone/>
                  <wp:docPr id="112" name="图片_31"/>
                  <wp:cNvGraphicFramePr/>
                  <a:graphic xmlns:a="http://schemas.openxmlformats.org/drawingml/2006/main">
                    <a:graphicData uri="http://schemas.openxmlformats.org/drawingml/2006/picture">
                      <pic:pic xmlns:pic="http://schemas.openxmlformats.org/drawingml/2006/picture">
                        <pic:nvPicPr>
                          <pic:cNvPr id="112" name="图片_31"/>
                          <pic:cNvPicPr/>
                        </pic:nvPicPr>
                        <pic:blipFill>
                          <a:blip r:embed="rId81"/>
                          <a:stretch>
                            <a:fillRect/>
                          </a:stretch>
                        </pic:blipFill>
                        <pic:spPr>
                          <a:xfrm>
                            <a:off x="0" y="0"/>
                            <a:ext cx="354330" cy="275590"/>
                          </a:xfrm>
                          <a:prstGeom prst="rect">
                            <a:avLst/>
                          </a:prstGeom>
                          <a:noFill/>
                          <a:ln>
                            <a:noFill/>
                          </a:ln>
                        </pic:spPr>
                      </pic:pic>
                    </a:graphicData>
                  </a:graphic>
                </wp:anchor>
              </w:drawing>
            </w:r>
          </w:p>
        </w:tc>
      </w:tr>
      <w:tr w14:paraId="2995D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A959A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30</w:t>
            </w:r>
          </w:p>
        </w:tc>
        <w:tc>
          <w:tcPr>
            <w:tcW w:w="1166" w:type="dxa"/>
            <w:tcBorders>
              <w:tl2br w:val="nil"/>
              <w:tr2bl w:val="nil"/>
            </w:tcBorders>
            <w:shd w:val="clear" w:color="auto" w:fill="auto"/>
            <w:vAlign w:val="center"/>
          </w:tcPr>
          <w:p w14:paraId="1ECF6CF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琴弦</w:t>
            </w:r>
          </w:p>
        </w:tc>
        <w:tc>
          <w:tcPr>
            <w:tcW w:w="8573" w:type="dxa"/>
            <w:tcBorders>
              <w:tl2br w:val="nil"/>
              <w:tr2bl w:val="nil"/>
            </w:tcBorders>
            <w:shd w:val="clear" w:color="auto" w:fill="auto"/>
            <w:vAlign w:val="center"/>
          </w:tcPr>
          <w:p w14:paraId="7280833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二胡专用</w:t>
            </w:r>
          </w:p>
        </w:tc>
        <w:tc>
          <w:tcPr>
            <w:tcW w:w="816" w:type="dxa"/>
            <w:tcBorders>
              <w:tl2br w:val="nil"/>
              <w:tr2bl w:val="nil"/>
            </w:tcBorders>
            <w:shd w:val="clear" w:color="auto" w:fill="auto"/>
            <w:vAlign w:val="center"/>
          </w:tcPr>
          <w:p w14:paraId="5BAA680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w:t>
            </w:r>
          </w:p>
        </w:tc>
        <w:tc>
          <w:tcPr>
            <w:tcW w:w="498" w:type="dxa"/>
            <w:tcBorders>
              <w:tl2br w:val="nil"/>
              <w:tr2bl w:val="nil"/>
            </w:tcBorders>
            <w:shd w:val="clear" w:color="auto" w:fill="auto"/>
            <w:vAlign w:val="center"/>
          </w:tcPr>
          <w:p w14:paraId="7E0FFF2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030E007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inline distT="0" distB="0" distL="114300" distR="114300">
                  <wp:extent cx="435610" cy="342900"/>
                  <wp:effectExtent l="0" t="0" r="2540" b="0"/>
                  <wp:docPr id="113" name="图片_32"/>
                  <wp:cNvGraphicFramePr/>
                  <a:graphic xmlns:a="http://schemas.openxmlformats.org/drawingml/2006/main">
                    <a:graphicData uri="http://schemas.openxmlformats.org/drawingml/2006/picture">
                      <pic:pic xmlns:pic="http://schemas.openxmlformats.org/drawingml/2006/picture">
                        <pic:nvPicPr>
                          <pic:cNvPr id="113" name="图片_32"/>
                          <pic:cNvPicPr/>
                        </pic:nvPicPr>
                        <pic:blipFill>
                          <a:blip r:embed="rId82"/>
                          <a:stretch>
                            <a:fillRect/>
                          </a:stretch>
                        </pic:blipFill>
                        <pic:spPr>
                          <a:xfrm flipV="1">
                            <a:off x="0" y="0"/>
                            <a:ext cx="435610" cy="342900"/>
                          </a:xfrm>
                          <a:prstGeom prst="rect">
                            <a:avLst/>
                          </a:prstGeom>
                          <a:noFill/>
                          <a:ln>
                            <a:noFill/>
                          </a:ln>
                        </pic:spPr>
                      </pic:pic>
                    </a:graphicData>
                  </a:graphic>
                </wp:inline>
              </w:drawing>
            </w:r>
          </w:p>
        </w:tc>
      </w:tr>
      <w:tr w14:paraId="4F818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48438E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31</w:t>
            </w:r>
          </w:p>
        </w:tc>
        <w:tc>
          <w:tcPr>
            <w:tcW w:w="1166" w:type="dxa"/>
            <w:tcBorders>
              <w:tl2br w:val="nil"/>
              <w:tr2bl w:val="nil"/>
            </w:tcBorders>
            <w:shd w:val="clear" w:color="auto" w:fill="auto"/>
            <w:vAlign w:val="center"/>
          </w:tcPr>
          <w:p w14:paraId="26F431E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指甲及拨片</w:t>
            </w:r>
          </w:p>
        </w:tc>
        <w:tc>
          <w:tcPr>
            <w:tcW w:w="8573" w:type="dxa"/>
            <w:tcBorders>
              <w:tl2br w:val="nil"/>
              <w:tr2bl w:val="nil"/>
            </w:tcBorders>
            <w:shd w:val="clear" w:color="auto" w:fill="auto"/>
            <w:vAlign w:val="center"/>
          </w:tcPr>
          <w:p w14:paraId="1F65F9D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1.规格：古筝指甲片</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2.型号:大、中、小</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3.个数:八片装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4.适用范围:初学入门、专业级、考级、演出</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5.特点:音色圆润、耐磨</w:t>
            </w:r>
          </w:p>
        </w:tc>
        <w:tc>
          <w:tcPr>
            <w:tcW w:w="816" w:type="dxa"/>
            <w:tcBorders>
              <w:tl2br w:val="nil"/>
              <w:tr2bl w:val="nil"/>
            </w:tcBorders>
            <w:shd w:val="clear" w:color="auto" w:fill="auto"/>
            <w:vAlign w:val="center"/>
          </w:tcPr>
          <w:p w14:paraId="0F27BF7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w:t>
            </w:r>
          </w:p>
        </w:tc>
        <w:tc>
          <w:tcPr>
            <w:tcW w:w="498" w:type="dxa"/>
            <w:tcBorders>
              <w:tl2br w:val="nil"/>
              <w:tr2bl w:val="nil"/>
            </w:tcBorders>
            <w:shd w:val="clear" w:color="auto" w:fill="auto"/>
            <w:vAlign w:val="center"/>
          </w:tcPr>
          <w:p w14:paraId="17801A8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102B8FD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7696" behindDoc="0" locked="0" layoutInCell="1" allowOverlap="1">
                  <wp:simplePos x="0" y="0"/>
                  <wp:positionH relativeFrom="column">
                    <wp:posOffset>194945</wp:posOffset>
                  </wp:positionH>
                  <wp:positionV relativeFrom="paragraph">
                    <wp:posOffset>76200</wp:posOffset>
                  </wp:positionV>
                  <wp:extent cx="759460" cy="419735"/>
                  <wp:effectExtent l="0" t="0" r="2540" b="18415"/>
                  <wp:wrapNone/>
                  <wp:docPr id="114" name="图片_33"/>
                  <wp:cNvGraphicFramePr/>
                  <a:graphic xmlns:a="http://schemas.openxmlformats.org/drawingml/2006/main">
                    <a:graphicData uri="http://schemas.openxmlformats.org/drawingml/2006/picture">
                      <pic:pic xmlns:pic="http://schemas.openxmlformats.org/drawingml/2006/picture">
                        <pic:nvPicPr>
                          <pic:cNvPr id="114" name="图片_33"/>
                          <pic:cNvPicPr/>
                        </pic:nvPicPr>
                        <pic:blipFill>
                          <a:blip r:embed="rId83"/>
                          <a:stretch>
                            <a:fillRect/>
                          </a:stretch>
                        </pic:blipFill>
                        <pic:spPr>
                          <a:xfrm>
                            <a:off x="0" y="0"/>
                            <a:ext cx="759460" cy="419735"/>
                          </a:xfrm>
                          <a:prstGeom prst="rect">
                            <a:avLst/>
                          </a:prstGeom>
                          <a:noFill/>
                          <a:ln>
                            <a:noFill/>
                          </a:ln>
                        </pic:spPr>
                      </pic:pic>
                    </a:graphicData>
                  </a:graphic>
                </wp:anchor>
              </w:drawing>
            </w:r>
          </w:p>
        </w:tc>
      </w:tr>
      <w:tr w14:paraId="712742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030D3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32</w:t>
            </w:r>
          </w:p>
        </w:tc>
        <w:tc>
          <w:tcPr>
            <w:tcW w:w="1166" w:type="dxa"/>
            <w:tcBorders>
              <w:tl2br w:val="nil"/>
              <w:tr2bl w:val="nil"/>
            </w:tcBorders>
            <w:shd w:val="clear" w:color="auto" w:fill="auto"/>
            <w:vAlign w:val="center"/>
          </w:tcPr>
          <w:p w14:paraId="71F809A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乐谱架</w:t>
            </w:r>
          </w:p>
        </w:tc>
        <w:tc>
          <w:tcPr>
            <w:tcW w:w="8573" w:type="dxa"/>
            <w:tcBorders>
              <w:tl2br w:val="nil"/>
              <w:tr2bl w:val="nil"/>
            </w:tcBorders>
            <w:shd w:val="clear" w:color="auto" w:fill="auto"/>
            <w:vAlign w:val="center"/>
          </w:tcPr>
          <w:p w14:paraId="54FFD41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1.谱台高度：可调节尺寸700mm-1400mm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2.管体材质：高强度钢管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3.谱台材质：高强度钢板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4.旋钮材质：铁质螺母，硬塑胶旋钮</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5.表面处理：黑色烤漆</w:t>
            </w:r>
          </w:p>
        </w:tc>
        <w:tc>
          <w:tcPr>
            <w:tcW w:w="816" w:type="dxa"/>
            <w:tcBorders>
              <w:tl2br w:val="nil"/>
              <w:tr2bl w:val="nil"/>
            </w:tcBorders>
            <w:shd w:val="clear" w:color="auto" w:fill="auto"/>
            <w:vAlign w:val="center"/>
          </w:tcPr>
          <w:p w14:paraId="02C547F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24</w:t>
            </w:r>
          </w:p>
        </w:tc>
        <w:tc>
          <w:tcPr>
            <w:tcW w:w="498" w:type="dxa"/>
            <w:tcBorders>
              <w:tl2br w:val="nil"/>
              <w:tr2bl w:val="nil"/>
            </w:tcBorders>
            <w:shd w:val="clear" w:color="auto" w:fill="auto"/>
            <w:vAlign w:val="center"/>
          </w:tcPr>
          <w:p w14:paraId="0184B2A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24B8664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76275" cy="1123950"/>
                  <wp:effectExtent l="0" t="0" r="9525" b="0"/>
                  <wp:docPr id="115" name="图片 5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1" descr="IMG_258"/>
                          <pic:cNvPicPr>
                            <a:picLocks noChangeAspect="1"/>
                          </pic:cNvPicPr>
                        </pic:nvPicPr>
                        <pic:blipFill>
                          <a:blip r:embed="rId51"/>
                          <a:stretch>
                            <a:fillRect/>
                          </a:stretch>
                        </pic:blipFill>
                        <pic:spPr>
                          <a:xfrm>
                            <a:off x="0" y="0"/>
                            <a:ext cx="676275" cy="1123950"/>
                          </a:xfrm>
                          <a:prstGeom prst="rect">
                            <a:avLst/>
                          </a:prstGeom>
                          <a:noFill/>
                          <a:ln w="9525">
                            <a:noFill/>
                          </a:ln>
                        </pic:spPr>
                      </pic:pic>
                    </a:graphicData>
                  </a:graphic>
                </wp:inline>
              </w:drawing>
            </w:r>
          </w:p>
        </w:tc>
      </w:tr>
      <w:tr w14:paraId="2F0F95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57913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33</w:t>
            </w:r>
          </w:p>
        </w:tc>
        <w:tc>
          <w:tcPr>
            <w:tcW w:w="1166" w:type="dxa"/>
            <w:tcBorders>
              <w:tl2br w:val="nil"/>
              <w:tr2bl w:val="nil"/>
            </w:tcBorders>
            <w:shd w:val="clear" w:color="auto" w:fill="auto"/>
            <w:vAlign w:val="center"/>
          </w:tcPr>
          <w:p w14:paraId="6B71942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自制乐器材料</w:t>
            </w:r>
          </w:p>
        </w:tc>
        <w:tc>
          <w:tcPr>
            <w:tcW w:w="8573" w:type="dxa"/>
            <w:tcBorders>
              <w:tl2br w:val="nil"/>
              <w:tr2bl w:val="nil"/>
            </w:tcBorders>
            <w:shd w:val="clear" w:color="auto" w:fill="auto"/>
            <w:vAlign w:val="center"/>
          </w:tcPr>
          <w:p w14:paraId="3DECC2D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1.规格：竹制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2.尺寸：300*40mm±1mm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3.数量：500一组（适用50人）</w:t>
            </w:r>
          </w:p>
        </w:tc>
        <w:tc>
          <w:tcPr>
            <w:tcW w:w="816" w:type="dxa"/>
            <w:tcBorders>
              <w:tl2br w:val="nil"/>
              <w:tr2bl w:val="nil"/>
            </w:tcBorders>
            <w:shd w:val="clear" w:color="auto" w:fill="auto"/>
            <w:vAlign w:val="center"/>
          </w:tcPr>
          <w:p w14:paraId="3679498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63CD6D6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组</w:t>
            </w:r>
          </w:p>
        </w:tc>
        <w:tc>
          <w:tcPr>
            <w:tcW w:w="2796" w:type="dxa"/>
            <w:tcBorders>
              <w:tl2br w:val="nil"/>
              <w:tr2bl w:val="nil"/>
            </w:tcBorders>
            <w:shd w:val="clear" w:color="auto" w:fill="auto"/>
            <w:vAlign w:val="center"/>
          </w:tcPr>
          <w:p w14:paraId="13C375F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bdr w:val="single" w:color="000000" w:sz="4" w:space="0"/>
                <w:lang w:val="en-US" w:eastAsia="zh-CN" w:bidi="ar"/>
                <w14:textFill>
                  <w14:solidFill>
                    <w14:schemeClr w14:val="tx1"/>
                  </w14:solidFill>
                </w14:textFill>
              </w:rPr>
              <w:drawing>
                <wp:anchor distT="0" distB="0" distL="114300" distR="114300" simplePos="0" relativeHeight="251678720" behindDoc="0" locked="0" layoutInCell="1" allowOverlap="1">
                  <wp:simplePos x="0" y="0"/>
                  <wp:positionH relativeFrom="column">
                    <wp:posOffset>374015</wp:posOffset>
                  </wp:positionH>
                  <wp:positionV relativeFrom="paragraph">
                    <wp:posOffset>7620</wp:posOffset>
                  </wp:positionV>
                  <wp:extent cx="492760" cy="454660"/>
                  <wp:effectExtent l="0" t="0" r="2540" b="2540"/>
                  <wp:wrapNone/>
                  <wp:docPr id="116" name="图片_35"/>
                  <wp:cNvGraphicFramePr/>
                  <a:graphic xmlns:a="http://schemas.openxmlformats.org/drawingml/2006/main">
                    <a:graphicData uri="http://schemas.openxmlformats.org/drawingml/2006/picture">
                      <pic:pic xmlns:pic="http://schemas.openxmlformats.org/drawingml/2006/picture">
                        <pic:nvPicPr>
                          <pic:cNvPr id="116" name="图片_35"/>
                          <pic:cNvPicPr/>
                        </pic:nvPicPr>
                        <pic:blipFill>
                          <a:blip r:embed="rId84"/>
                          <a:stretch>
                            <a:fillRect/>
                          </a:stretch>
                        </pic:blipFill>
                        <pic:spPr>
                          <a:xfrm>
                            <a:off x="0" y="0"/>
                            <a:ext cx="492760" cy="454660"/>
                          </a:xfrm>
                          <a:prstGeom prst="rect">
                            <a:avLst/>
                          </a:prstGeom>
                          <a:noFill/>
                          <a:ln>
                            <a:noFill/>
                          </a:ln>
                        </pic:spPr>
                      </pic:pic>
                    </a:graphicData>
                  </a:graphic>
                </wp:anchor>
              </w:drawing>
            </w:r>
          </w:p>
        </w:tc>
      </w:tr>
      <w:tr w14:paraId="243996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F36636C">
            <w:pPr>
              <w:keepNext w:val="0"/>
              <w:keepLines w:val="0"/>
              <w:widowControl/>
              <w:suppressLineNumbers w:val="0"/>
              <w:jc w:val="center"/>
              <w:textAlignment w:val="center"/>
              <w:rPr>
                <w:rFonts w:hint="eastAsia" w:ascii="宋体" w:hAnsi="宋体" w:eastAsia="宋体" w:cs="宋体"/>
                <w:strike/>
                <w:dstrike w:val="0"/>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2"/>
                <w:szCs w:val="22"/>
                <w:u w:val="none"/>
                <w:lang w:val="en-US" w:eastAsia="zh-CN" w:bidi="ar"/>
                <w14:textFill>
                  <w14:solidFill>
                    <w14:schemeClr w14:val="tx1"/>
                  </w14:solidFill>
                </w14:textFill>
              </w:rPr>
              <w:t>34</w:t>
            </w:r>
          </w:p>
        </w:tc>
        <w:tc>
          <w:tcPr>
            <w:tcW w:w="1166" w:type="dxa"/>
            <w:tcBorders>
              <w:tl2br w:val="nil"/>
              <w:tr2bl w:val="nil"/>
            </w:tcBorders>
            <w:shd w:val="clear" w:color="auto" w:fill="auto"/>
            <w:vAlign w:val="center"/>
          </w:tcPr>
          <w:p w14:paraId="4053941C">
            <w:pPr>
              <w:keepNext w:val="0"/>
              <w:keepLines w:val="0"/>
              <w:widowControl/>
              <w:suppressLineNumbers w:val="0"/>
              <w:jc w:val="left"/>
              <w:textAlignment w:val="center"/>
              <w:rPr>
                <w:rFonts w:hint="eastAsia" w:ascii="宋体" w:hAnsi="宋体" w:eastAsia="宋体" w:cs="宋体"/>
                <w:strike/>
                <w:dstrike w:val="0"/>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吊顶</w:t>
            </w:r>
          </w:p>
        </w:tc>
        <w:tc>
          <w:tcPr>
            <w:tcW w:w="8573" w:type="dxa"/>
            <w:tcBorders>
              <w:tl2br w:val="nil"/>
              <w:tr2bl w:val="nil"/>
            </w:tcBorders>
            <w:shd w:val="clear" w:color="auto" w:fill="auto"/>
            <w:vAlign w:val="center"/>
          </w:tcPr>
          <w:p w14:paraId="1676B2B0">
            <w:pPr>
              <w:keepNext w:val="0"/>
              <w:keepLines w:val="0"/>
              <w:widowControl/>
              <w:suppressLineNumbers w:val="0"/>
              <w:jc w:val="left"/>
              <w:textAlignment w:val="center"/>
              <w:rPr>
                <w:rFonts w:hint="eastAsia" w:ascii="宋体" w:hAnsi="宋体" w:eastAsia="宋体" w:cs="宋体"/>
                <w:strike/>
                <w:dstrike w:val="0"/>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816" w:type="dxa"/>
            <w:tcBorders>
              <w:tl2br w:val="nil"/>
              <w:tr2bl w:val="nil"/>
            </w:tcBorders>
            <w:shd w:val="clear" w:color="auto" w:fill="auto"/>
            <w:vAlign w:val="center"/>
          </w:tcPr>
          <w:p w14:paraId="67E927CD">
            <w:pPr>
              <w:keepNext w:val="0"/>
              <w:keepLines w:val="0"/>
              <w:widowControl/>
              <w:suppressLineNumbers w:val="0"/>
              <w:jc w:val="left"/>
              <w:textAlignment w:val="center"/>
              <w:rPr>
                <w:rFonts w:hint="eastAsia" w:ascii="宋体" w:hAnsi="宋体" w:eastAsia="宋体" w:cs="宋体"/>
                <w:strike/>
                <w:dstrike w:val="0"/>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100.00</w:t>
            </w:r>
          </w:p>
        </w:tc>
        <w:tc>
          <w:tcPr>
            <w:tcW w:w="498" w:type="dxa"/>
            <w:tcBorders>
              <w:tl2br w:val="nil"/>
              <w:tr2bl w:val="nil"/>
            </w:tcBorders>
            <w:shd w:val="clear" w:color="auto" w:fill="auto"/>
            <w:vAlign w:val="center"/>
          </w:tcPr>
          <w:p w14:paraId="710FD0FC">
            <w:pPr>
              <w:keepNext w:val="0"/>
              <w:keepLines w:val="0"/>
              <w:widowControl/>
              <w:suppressLineNumbers w:val="0"/>
              <w:jc w:val="left"/>
              <w:textAlignment w:val="center"/>
              <w:rPr>
                <w:rFonts w:hint="eastAsia" w:ascii="宋体" w:hAnsi="宋体" w:eastAsia="宋体" w:cs="宋体"/>
                <w:strike/>
                <w:dstrike w:val="0"/>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2"/>
                <w:szCs w:val="22"/>
                <w:u w:val="none"/>
                <w:lang w:val="en-US" w:eastAsia="zh-CN" w:bidi="ar"/>
                <w14:textFill>
                  <w14:solidFill>
                    <w14:schemeClr w14:val="tx1"/>
                  </w14:solidFill>
                </w14:textFill>
              </w:rPr>
              <w:t>34</w:t>
            </w:r>
          </w:p>
        </w:tc>
        <w:tc>
          <w:tcPr>
            <w:tcW w:w="2796" w:type="dxa"/>
            <w:tcBorders>
              <w:tl2br w:val="nil"/>
              <w:tr2bl w:val="nil"/>
            </w:tcBorders>
            <w:shd w:val="clear" w:color="auto" w:fill="auto"/>
            <w:vAlign w:val="center"/>
          </w:tcPr>
          <w:p w14:paraId="374135C6">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7D5DD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8F8819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3</w:t>
            </w: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02A497C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6F0F2A5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4481535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14A4293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78F79D7D">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077F5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F71D5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strike w:val="0"/>
                <w:dstrike w:val="0"/>
                <w:color w:val="000000" w:themeColor="text1"/>
                <w:kern w:val="0"/>
                <w:sz w:val="22"/>
                <w:szCs w:val="22"/>
                <w:u w:val="none"/>
                <w:lang w:val="en-US" w:eastAsia="zh-CN" w:bidi="ar"/>
                <w14:textFill>
                  <w14:solidFill>
                    <w14:schemeClr w14:val="tx1"/>
                  </w14:solidFill>
                </w14:textFill>
              </w:rPr>
              <w:t>36</w:t>
            </w:r>
          </w:p>
        </w:tc>
        <w:tc>
          <w:tcPr>
            <w:tcW w:w="1166" w:type="dxa"/>
            <w:tcBorders>
              <w:tl2br w:val="nil"/>
              <w:tr2bl w:val="nil"/>
            </w:tcBorders>
            <w:shd w:val="clear" w:color="auto" w:fill="auto"/>
            <w:vAlign w:val="center"/>
          </w:tcPr>
          <w:p w14:paraId="0D5AD6F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格栅灯</w:t>
            </w:r>
          </w:p>
        </w:tc>
        <w:tc>
          <w:tcPr>
            <w:tcW w:w="8573" w:type="dxa"/>
            <w:tcBorders>
              <w:tl2br w:val="nil"/>
              <w:tr2bl w:val="nil"/>
            </w:tcBorders>
            <w:shd w:val="clear" w:color="auto" w:fill="auto"/>
            <w:vAlign w:val="center"/>
          </w:tcPr>
          <w:p w14:paraId="428858B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816" w:type="dxa"/>
            <w:tcBorders>
              <w:tl2br w:val="nil"/>
              <w:tr2bl w:val="nil"/>
            </w:tcBorders>
            <w:shd w:val="clear" w:color="auto" w:fill="auto"/>
            <w:vAlign w:val="center"/>
          </w:tcPr>
          <w:p w14:paraId="62A325F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498" w:type="dxa"/>
            <w:tcBorders>
              <w:tl2br w:val="nil"/>
              <w:tr2bl w:val="nil"/>
            </w:tcBorders>
            <w:shd w:val="clear" w:color="auto" w:fill="auto"/>
            <w:vAlign w:val="center"/>
          </w:tcPr>
          <w:p w14:paraId="415A2A8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440CDCD9">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6ADC97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E6F357E">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37</w:t>
            </w:r>
          </w:p>
        </w:tc>
        <w:tc>
          <w:tcPr>
            <w:tcW w:w="1166" w:type="dxa"/>
            <w:tcBorders>
              <w:tl2br w:val="nil"/>
              <w:tr2bl w:val="nil"/>
            </w:tcBorders>
            <w:shd w:val="clear" w:color="auto" w:fill="auto"/>
            <w:vAlign w:val="center"/>
          </w:tcPr>
          <w:p w14:paraId="6119276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8573" w:type="dxa"/>
            <w:tcBorders>
              <w:tl2br w:val="nil"/>
              <w:tr2bl w:val="nil"/>
            </w:tcBorders>
            <w:shd w:val="clear" w:color="auto" w:fill="auto"/>
            <w:vAlign w:val="center"/>
          </w:tcPr>
          <w:p w14:paraId="00F73A9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46E578A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498" w:type="dxa"/>
            <w:tcBorders>
              <w:tl2br w:val="nil"/>
              <w:tr2bl w:val="nil"/>
            </w:tcBorders>
            <w:shd w:val="clear" w:color="auto" w:fill="auto"/>
            <w:vAlign w:val="center"/>
          </w:tcPr>
          <w:p w14:paraId="3B92DFE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796" w:type="dxa"/>
            <w:tcBorders>
              <w:tl2br w:val="nil"/>
              <w:tr2bl w:val="nil"/>
            </w:tcBorders>
            <w:shd w:val="clear" w:color="auto" w:fill="auto"/>
            <w:vAlign w:val="center"/>
          </w:tcPr>
          <w:p w14:paraId="3DA983D0">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692BD8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CF9001">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38</w:t>
            </w:r>
          </w:p>
        </w:tc>
        <w:tc>
          <w:tcPr>
            <w:tcW w:w="1166" w:type="dxa"/>
            <w:tcBorders>
              <w:tl2br w:val="nil"/>
              <w:tr2bl w:val="nil"/>
            </w:tcBorders>
            <w:shd w:val="clear" w:color="auto" w:fill="auto"/>
            <w:vAlign w:val="center"/>
          </w:tcPr>
          <w:p w14:paraId="43D4D16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展示墙</w:t>
            </w:r>
          </w:p>
        </w:tc>
        <w:tc>
          <w:tcPr>
            <w:tcW w:w="8573" w:type="dxa"/>
            <w:tcBorders>
              <w:tl2br w:val="nil"/>
              <w:tr2bl w:val="nil"/>
            </w:tcBorders>
            <w:shd w:val="clear" w:color="auto" w:fill="auto"/>
            <w:vAlign w:val="center"/>
          </w:tcPr>
          <w:p w14:paraId="74E6DBCC">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多层实木框架，局部石膏板饰面，内部12mm聚酯纤维毛毡装饰。</w:t>
            </w:r>
          </w:p>
        </w:tc>
        <w:tc>
          <w:tcPr>
            <w:tcW w:w="816" w:type="dxa"/>
            <w:tcBorders>
              <w:tl2br w:val="nil"/>
              <w:tr2bl w:val="nil"/>
            </w:tcBorders>
            <w:shd w:val="clear" w:color="auto" w:fill="auto"/>
            <w:vAlign w:val="center"/>
          </w:tcPr>
          <w:p w14:paraId="1C22CAE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14.50 </w:t>
            </w:r>
          </w:p>
        </w:tc>
        <w:tc>
          <w:tcPr>
            <w:tcW w:w="498" w:type="dxa"/>
            <w:tcBorders>
              <w:tl2br w:val="nil"/>
              <w:tr2bl w:val="nil"/>
            </w:tcBorders>
            <w:shd w:val="clear" w:color="auto" w:fill="auto"/>
            <w:vAlign w:val="center"/>
          </w:tcPr>
          <w:p w14:paraId="7FFEAC4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0D3FC659">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9B843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507509">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39</w:t>
            </w:r>
          </w:p>
        </w:tc>
        <w:tc>
          <w:tcPr>
            <w:tcW w:w="1166" w:type="dxa"/>
            <w:tcBorders>
              <w:tl2br w:val="nil"/>
              <w:tr2bl w:val="nil"/>
            </w:tcBorders>
            <w:shd w:val="clear" w:color="auto" w:fill="auto"/>
            <w:vAlign w:val="center"/>
          </w:tcPr>
          <w:p w14:paraId="2C15EDA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8573" w:type="dxa"/>
            <w:tcBorders>
              <w:tl2br w:val="nil"/>
              <w:tr2bl w:val="nil"/>
            </w:tcBorders>
            <w:shd w:val="clear" w:color="auto" w:fill="auto"/>
            <w:vAlign w:val="center"/>
          </w:tcPr>
          <w:p w14:paraId="6575E0B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816" w:type="dxa"/>
            <w:tcBorders>
              <w:tl2br w:val="nil"/>
              <w:tr2bl w:val="nil"/>
            </w:tcBorders>
            <w:shd w:val="clear" w:color="auto" w:fill="auto"/>
            <w:vAlign w:val="center"/>
          </w:tcPr>
          <w:p w14:paraId="702AE79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498" w:type="dxa"/>
            <w:tcBorders>
              <w:tl2br w:val="nil"/>
              <w:tr2bl w:val="nil"/>
            </w:tcBorders>
            <w:shd w:val="clear" w:color="auto" w:fill="auto"/>
            <w:vAlign w:val="center"/>
          </w:tcPr>
          <w:p w14:paraId="0EB1D96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796" w:type="dxa"/>
            <w:tcBorders>
              <w:tl2br w:val="nil"/>
              <w:tr2bl w:val="nil"/>
            </w:tcBorders>
            <w:shd w:val="clear" w:color="auto" w:fill="auto"/>
            <w:vAlign w:val="center"/>
          </w:tcPr>
          <w:p w14:paraId="3327256B">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0C6C66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181F0C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p>
        </w:tc>
        <w:tc>
          <w:tcPr>
            <w:tcW w:w="1166" w:type="dxa"/>
            <w:tcBorders>
              <w:tl2br w:val="nil"/>
              <w:tr2bl w:val="nil"/>
            </w:tcBorders>
            <w:shd w:val="clear" w:color="auto" w:fill="auto"/>
            <w:vAlign w:val="center"/>
          </w:tcPr>
          <w:p w14:paraId="6088A7A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8573" w:type="dxa"/>
            <w:tcBorders>
              <w:tl2br w:val="nil"/>
              <w:tr2bl w:val="nil"/>
            </w:tcBorders>
            <w:shd w:val="clear" w:color="auto" w:fill="auto"/>
            <w:vAlign w:val="center"/>
          </w:tcPr>
          <w:p w14:paraId="33C3DAD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816" w:type="dxa"/>
            <w:tcBorders>
              <w:tl2br w:val="nil"/>
              <w:tr2bl w:val="nil"/>
            </w:tcBorders>
            <w:shd w:val="clear" w:color="auto" w:fill="auto"/>
            <w:vAlign w:val="center"/>
          </w:tcPr>
          <w:p w14:paraId="2033577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397053F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796" w:type="dxa"/>
            <w:tcBorders>
              <w:tl2br w:val="nil"/>
              <w:tr2bl w:val="nil"/>
            </w:tcBorders>
            <w:shd w:val="clear" w:color="auto" w:fill="auto"/>
            <w:vAlign w:val="center"/>
          </w:tcPr>
          <w:p w14:paraId="2B517EFB">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6E3B8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43017344">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b/>
                <w:bCs/>
                <w:color w:val="000000" w:themeColor="text1"/>
                <w:sz w:val="30"/>
                <w:szCs w:val="30"/>
                <w:vertAlign w:val="baseline"/>
                <w:lang w:val="en-US" w:eastAsia="zh-CN"/>
                <w14:textFill>
                  <w14:solidFill>
                    <w14:schemeClr w14:val="tx1"/>
                  </w14:solidFill>
                </w14:textFill>
              </w:rPr>
              <w:t>13.</w:t>
            </w:r>
            <w:r>
              <w:rPr>
                <w:rFonts w:hint="eastAsia" w:ascii="宋体" w:hAnsi="宋体" w:eastAsia="宋体" w:cs="宋体"/>
                <w:b/>
                <w:bCs/>
                <w:color w:val="000000" w:themeColor="text1"/>
                <w:sz w:val="30"/>
                <w:szCs w:val="30"/>
                <w:vertAlign w:val="baseline"/>
                <w:lang w:val="en-US" w:eastAsia="zh-CN"/>
                <w14:textFill>
                  <w14:solidFill>
                    <w14:schemeClr w14:val="tx1"/>
                  </w14:solidFill>
                </w14:textFill>
              </w:rPr>
              <w:t>舞蹈教室</w:t>
            </w:r>
          </w:p>
        </w:tc>
      </w:tr>
      <w:tr w14:paraId="07962C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08781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5656CA3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把杆</w:t>
            </w:r>
          </w:p>
        </w:tc>
        <w:tc>
          <w:tcPr>
            <w:tcW w:w="8573" w:type="dxa"/>
            <w:tcBorders>
              <w:tl2br w:val="nil"/>
              <w:tr2bl w:val="nil"/>
            </w:tcBorders>
            <w:shd w:val="clear" w:color="auto" w:fill="auto"/>
            <w:vAlign w:val="center"/>
          </w:tcPr>
          <w:p w14:paraId="373E40F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固定式，底部加厚底座。杆体材质：内嵌镀锌钢管，外包水曲柳实木材质，直径≥30mm，表面无毛刺，安全美观，高度可调节范围≥800-1200mm。</w:t>
            </w:r>
          </w:p>
        </w:tc>
        <w:tc>
          <w:tcPr>
            <w:tcW w:w="816" w:type="dxa"/>
            <w:tcBorders>
              <w:tl2br w:val="nil"/>
              <w:tr2bl w:val="nil"/>
            </w:tcBorders>
            <w:shd w:val="clear" w:color="auto" w:fill="auto"/>
            <w:vAlign w:val="center"/>
          </w:tcPr>
          <w:p w14:paraId="2D00607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14</w:t>
            </w:r>
          </w:p>
        </w:tc>
        <w:tc>
          <w:tcPr>
            <w:tcW w:w="498" w:type="dxa"/>
            <w:tcBorders>
              <w:tl2br w:val="nil"/>
              <w:tr2bl w:val="nil"/>
            </w:tcBorders>
            <w:shd w:val="clear" w:color="auto" w:fill="auto"/>
            <w:vAlign w:val="center"/>
          </w:tcPr>
          <w:p w14:paraId="76F6A5A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796" w:type="dxa"/>
            <w:tcBorders>
              <w:tl2br w:val="nil"/>
              <w:tr2bl w:val="nil"/>
            </w:tcBorders>
            <w:shd w:val="clear" w:color="auto" w:fill="auto"/>
            <w:vAlign w:val="center"/>
          </w:tcPr>
          <w:p w14:paraId="74FB926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723900" cy="428625"/>
                  <wp:effectExtent l="0" t="0" r="0" b="9525"/>
                  <wp:docPr id="117"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2" descr="IMG_256"/>
                          <pic:cNvPicPr>
                            <a:picLocks noChangeAspect="1"/>
                          </pic:cNvPicPr>
                        </pic:nvPicPr>
                        <pic:blipFill>
                          <a:blip r:embed="rId85"/>
                          <a:stretch>
                            <a:fillRect/>
                          </a:stretch>
                        </pic:blipFill>
                        <pic:spPr>
                          <a:xfrm>
                            <a:off x="0" y="0"/>
                            <a:ext cx="723900" cy="428625"/>
                          </a:xfrm>
                          <a:prstGeom prst="rect">
                            <a:avLst/>
                          </a:prstGeom>
                          <a:noFill/>
                          <a:ln w="9525">
                            <a:noFill/>
                          </a:ln>
                        </pic:spPr>
                      </pic:pic>
                    </a:graphicData>
                  </a:graphic>
                </wp:inline>
              </w:drawing>
            </w:r>
          </w:p>
        </w:tc>
      </w:tr>
      <w:tr w14:paraId="5F039F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DAEECC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166" w:type="dxa"/>
            <w:tcBorders>
              <w:tl2br w:val="nil"/>
              <w:tr2bl w:val="nil"/>
            </w:tcBorders>
            <w:shd w:val="clear" w:color="auto" w:fill="auto"/>
            <w:vAlign w:val="center"/>
          </w:tcPr>
          <w:p w14:paraId="1C032AC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银镜面</w:t>
            </w:r>
          </w:p>
        </w:tc>
        <w:tc>
          <w:tcPr>
            <w:tcW w:w="8573" w:type="dxa"/>
            <w:tcBorders>
              <w:tl2br w:val="nil"/>
              <w:tr2bl w:val="nil"/>
            </w:tcBorders>
            <w:shd w:val="clear" w:color="auto" w:fill="auto"/>
            <w:vAlign w:val="center"/>
          </w:tcPr>
          <w:p w14:paraId="7081A56E">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高清镜面，无重影。底部实木多层板做基础，镜面铺设在木板表面，镜面四周实木线条封边。安全美观</w:t>
            </w:r>
          </w:p>
        </w:tc>
        <w:tc>
          <w:tcPr>
            <w:tcW w:w="816" w:type="dxa"/>
            <w:tcBorders>
              <w:tl2br w:val="nil"/>
              <w:tr2bl w:val="nil"/>
            </w:tcBorders>
            <w:shd w:val="clear" w:color="auto" w:fill="auto"/>
            <w:vAlign w:val="center"/>
          </w:tcPr>
          <w:p w14:paraId="46D3531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18</w:t>
            </w:r>
          </w:p>
        </w:tc>
        <w:tc>
          <w:tcPr>
            <w:tcW w:w="498" w:type="dxa"/>
            <w:tcBorders>
              <w:tl2br w:val="nil"/>
              <w:tr2bl w:val="nil"/>
            </w:tcBorders>
            <w:shd w:val="clear" w:color="auto" w:fill="auto"/>
            <w:vAlign w:val="center"/>
          </w:tcPr>
          <w:p w14:paraId="757597E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平方米</w:t>
            </w:r>
          </w:p>
        </w:tc>
        <w:tc>
          <w:tcPr>
            <w:tcW w:w="2796" w:type="dxa"/>
            <w:tcBorders>
              <w:tl2br w:val="nil"/>
              <w:tr2bl w:val="nil"/>
            </w:tcBorders>
            <w:shd w:val="clear" w:color="auto" w:fill="auto"/>
            <w:vAlign w:val="center"/>
          </w:tcPr>
          <w:p w14:paraId="3455EBB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857250" cy="476250"/>
                  <wp:effectExtent l="0" t="0" r="0" b="0"/>
                  <wp:docPr id="118" name="图片 5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3" descr="IMG_257"/>
                          <pic:cNvPicPr>
                            <a:picLocks noChangeAspect="1"/>
                          </pic:cNvPicPr>
                        </pic:nvPicPr>
                        <pic:blipFill>
                          <a:blip r:embed="rId86"/>
                          <a:stretch>
                            <a:fillRect/>
                          </a:stretch>
                        </pic:blipFill>
                        <pic:spPr>
                          <a:xfrm>
                            <a:off x="0" y="0"/>
                            <a:ext cx="857250" cy="476250"/>
                          </a:xfrm>
                          <a:prstGeom prst="rect">
                            <a:avLst/>
                          </a:prstGeom>
                          <a:noFill/>
                          <a:ln w="9525">
                            <a:noFill/>
                          </a:ln>
                        </pic:spPr>
                      </pic:pic>
                    </a:graphicData>
                  </a:graphic>
                </wp:inline>
              </w:drawing>
            </w:r>
          </w:p>
        </w:tc>
      </w:tr>
      <w:tr w14:paraId="3EFB5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44562E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166" w:type="dxa"/>
            <w:tcBorders>
              <w:tl2br w:val="nil"/>
              <w:tr2bl w:val="nil"/>
            </w:tcBorders>
            <w:shd w:val="clear" w:color="auto" w:fill="auto"/>
            <w:vAlign w:val="center"/>
          </w:tcPr>
          <w:p w14:paraId="2861962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鞋柜</w:t>
            </w:r>
          </w:p>
        </w:tc>
        <w:tc>
          <w:tcPr>
            <w:tcW w:w="8573" w:type="dxa"/>
            <w:tcBorders>
              <w:tl2br w:val="nil"/>
              <w:tr2bl w:val="nil"/>
            </w:tcBorders>
            <w:shd w:val="clear" w:color="auto" w:fill="auto"/>
            <w:vAlign w:val="center"/>
          </w:tcPr>
          <w:p w14:paraId="2B552E1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1.材质：环保芯板；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2.工艺：采用欧亚标准，厚度≥18mm,基材采用E1级实木多层板，面贴优质三聚氰胺免漆板，ABS直封边制作。</w:t>
            </w:r>
          </w:p>
        </w:tc>
        <w:tc>
          <w:tcPr>
            <w:tcW w:w="816" w:type="dxa"/>
            <w:tcBorders>
              <w:tl2br w:val="nil"/>
              <w:tr2bl w:val="nil"/>
            </w:tcBorders>
            <w:shd w:val="clear" w:color="auto" w:fill="auto"/>
            <w:vAlign w:val="center"/>
          </w:tcPr>
          <w:p w14:paraId="3F87499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68AE1B3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组</w:t>
            </w:r>
          </w:p>
        </w:tc>
        <w:tc>
          <w:tcPr>
            <w:tcW w:w="2796" w:type="dxa"/>
            <w:tcBorders>
              <w:tl2br w:val="nil"/>
              <w:tr2bl w:val="nil"/>
            </w:tcBorders>
            <w:shd w:val="clear" w:color="auto" w:fill="auto"/>
            <w:vAlign w:val="center"/>
          </w:tcPr>
          <w:p w14:paraId="4CA481A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819150" cy="476250"/>
                  <wp:effectExtent l="0" t="0" r="0" b="0"/>
                  <wp:docPr id="119" name="图片 5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4" descr="IMG_258"/>
                          <pic:cNvPicPr>
                            <a:picLocks noChangeAspect="1"/>
                          </pic:cNvPicPr>
                        </pic:nvPicPr>
                        <pic:blipFill>
                          <a:blip r:embed="rId87"/>
                          <a:stretch>
                            <a:fillRect/>
                          </a:stretch>
                        </pic:blipFill>
                        <pic:spPr>
                          <a:xfrm>
                            <a:off x="0" y="0"/>
                            <a:ext cx="819150" cy="476250"/>
                          </a:xfrm>
                          <a:prstGeom prst="rect">
                            <a:avLst/>
                          </a:prstGeom>
                          <a:noFill/>
                          <a:ln w="9525">
                            <a:noFill/>
                          </a:ln>
                        </pic:spPr>
                      </pic:pic>
                    </a:graphicData>
                  </a:graphic>
                </wp:inline>
              </w:drawing>
            </w:r>
          </w:p>
        </w:tc>
      </w:tr>
      <w:tr w14:paraId="352AD9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06075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7B441F7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全频音箱</w:t>
            </w:r>
          </w:p>
        </w:tc>
        <w:tc>
          <w:tcPr>
            <w:tcW w:w="8573" w:type="dxa"/>
            <w:tcBorders>
              <w:tl2br w:val="nil"/>
              <w:tr2bl w:val="nil"/>
            </w:tcBorders>
            <w:shd w:val="clear" w:color="auto" w:fill="auto"/>
            <w:vAlign w:val="center"/>
          </w:tcPr>
          <w:p w14:paraId="4E200DD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功能特征：                                                                                                                                                                                                                 </w:t>
            </w:r>
          </w:p>
          <w:p w14:paraId="3267AA3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1）箱体使用加厚黑耐磨树脂漆，由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15mm中纤板组成，箱体前方由</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1.2mm厚金属铁网进行保护，听觉十分灵敏，并且对复杂声音的音色具有很强的辨别能力；</w:t>
            </w:r>
          </w:p>
          <w:p w14:paraId="4A982F2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2）使用国产单元，达到高标准的技术要求，使该型号产品能满足高要求的环境工程场所使用。</w:t>
            </w:r>
          </w:p>
          <w:p w14:paraId="0644DF8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技术参数：  </w:t>
            </w:r>
          </w:p>
          <w:p w14:paraId="26EBD7B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低频Low：8"（140磁50 mm) *1；</w:t>
            </w:r>
          </w:p>
          <w:p w14:paraId="69ADB87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高频High：1.5"钛膜高音(34 mm)；</w:t>
            </w:r>
          </w:p>
          <w:p w14:paraId="3B62EF7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额定功率Long-term power（RMS）：200 W；</w:t>
            </w:r>
          </w:p>
          <w:p w14:paraId="5072966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峰值功率Peak Power Handling：300 W；</w:t>
            </w:r>
          </w:p>
          <w:p w14:paraId="6D67C2D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频响Frequency response：65-20 KHZ；</w:t>
            </w:r>
          </w:p>
          <w:p w14:paraId="484CD0C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阻抗Impedance：8 Ohm；          </w:t>
            </w:r>
          </w:p>
          <w:p w14:paraId="3E533EE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灵敏度Sensitivity：95 dB；   </w:t>
            </w:r>
          </w:p>
          <w:p w14:paraId="3D0491B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指向性：90°× 60°；</w:t>
            </w:r>
          </w:p>
          <w:p w14:paraId="4B67449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箱体尺寸(W×H×D)：</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253×446×268 mm；</w:t>
            </w:r>
          </w:p>
          <w:p w14:paraId="34EA7BEA">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净重：</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8.9 Kg；</w:t>
            </w:r>
          </w:p>
        </w:tc>
        <w:tc>
          <w:tcPr>
            <w:tcW w:w="816" w:type="dxa"/>
            <w:tcBorders>
              <w:tl2br w:val="nil"/>
              <w:tr2bl w:val="nil"/>
            </w:tcBorders>
            <w:shd w:val="clear" w:color="auto" w:fill="auto"/>
            <w:vAlign w:val="center"/>
          </w:tcPr>
          <w:p w14:paraId="362807A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7AE043D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只</w:t>
            </w:r>
          </w:p>
        </w:tc>
        <w:tc>
          <w:tcPr>
            <w:tcW w:w="2796" w:type="dxa"/>
            <w:tcBorders>
              <w:tl2br w:val="nil"/>
              <w:tr2bl w:val="nil"/>
            </w:tcBorders>
            <w:shd w:val="clear" w:color="auto" w:fill="auto"/>
            <w:vAlign w:val="center"/>
          </w:tcPr>
          <w:p w14:paraId="1D013109">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585470" cy="883920"/>
                  <wp:effectExtent l="0" t="0" r="5080" b="11430"/>
                  <wp:docPr id="70" name="图片 3" descr="R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RX10"/>
                          <pic:cNvPicPr>
                            <a:picLocks noChangeAspect="1"/>
                          </pic:cNvPicPr>
                        </pic:nvPicPr>
                        <pic:blipFill>
                          <a:blip r:embed="rId55"/>
                          <a:stretch>
                            <a:fillRect/>
                          </a:stretch>
                        </pic:blipFill>
                        <pic:spPr>
                          <a:xfrm>
                            <a:off x="0" y="0"/>
                            <a:ext cx="585470" cy="883920"/>
                          </a:xfrm>
                          <a:prstGeom prst="rect">
                            <a:avLst/>
                          </a:prstGeom>
                        </pic:spPr>
                      </pic:pic>
                    </a:graphicData>
                  </a:graphic>
                </wp:inline>
              </w:drawing>
            </w:r>
          </w:p>
        </w:tc>
      </w:tr>
      <w:tr w14:paraId="5897FE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2C2B8A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0C36F9C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壁挂支架</w:t>
            </w:r>
          </w:p>
        </w:tc>
        <w:tc>
          <w:tcPr>
            <w:tcW w:w="8573" w:type="dxa"/>
            <w:tcBorders>
              <w:tl2br w:val="nil"/>
              <w:tr2bl w:val="nil"/>
            </w:tcBorders>
            <w:shd w:val="clear" w:color="auto" w:fill="auto"/>
            <w:vAlign w:val="center"/>
          </w:tcPr>
          <w:p w14:paraId="3EE4D73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1.钢材加厚   </w:t>
            </w:r>
          </w:p>
          <w:p w14:paraId="15679489">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2.支撑稳定，箱体安装深度随意调整。</w:t>
            </w:r>
          </w:p>
        </w:tc>
        <w:tc>
          <w:tcPr>
            <w:tcW w:w="816" w:type="dxa"/>
            <w:tcBorders>
              <w:tl2br w:val="nil"/>
              <w:tr2bl w:val="nil"/>
            </w:tcBorders>
            <w:shd w:val="clear" w:color="auto" w:fill="auto"/>
            <w:vAlign w:val="center"/>
          </w:tcPr>
          <w:p w14:paraId="52C8729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5693AFB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5DCC52E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21B2E8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96AE4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p>
          <w:p w14:paraId="6FBDFF83">
            <w:pPr>
              <w:pStyle w:val="3"/>
              <w:ind w:firstLine="420" w:firstLineChars="0"/>
              <w:jc w:val="both"/>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1166" w:type="dxa"/>
            <w:tcBorders>
              <w:tl2br w:val="nil"/>
              <w:tr2bl w:val="nil"/>
            </w:tcBorders>
            <w:shd w:val="clear" w:color="auto" w:fill="auto"/>
            <w:vAlign w:val="center"/>
          </w:tcPr>
          <w:p w14:paraId="0A20AD1E">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合并式功放（带效果）</w:t>
            </w:r>
          </w:p>
        </w:tc>
        <w:tc>
          <w:tcPr>
            <w:tcW w:w="8573" w:type="dxa"/>
            <w:tcBorders>
              <w:tl2br w:val="nil"/>
              <w:tr2bl w:val="nil"/>
            </w:tcBorders>
            <w:shd w:val="clear" w:color="auto" w:fill="auto"/>
            <w:vAlign w:val="center"/>
          </w:tcPr>
          <w:p w14:paraId="401BA1C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1、功放自带DSP效果器；</w:t>
            </w:r>
          </w:p>
          <w:p w14:paraId="7DCEA17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2、支持MP3、蓝牙等功能；</w:t>
            </w:r>
          </w:p>
          <w:p w14:paraId="6365BF5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3、具有移频功放，有效防止啸叫；</w:t>
            </w:r>
          </w:p>
          <w:p w14:paraId="37A277C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4、功率：不小于350W*2</w:t>
            </w:r>
          </w:p>
          <w:p w14:paraId="53F0948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5、输入接口：支持RCA/USB/蓝牙/6.35/大二芯等接口    </w:t>
            </w:r>
          </w:p>
          <w:p w14:paraId="610DA6C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6、输入灵敏度：音乐（350MV)  话筒（100MA）</w:t>
            </w:r>
          </w:p>
          <w:p w14:paraId="2B2E74F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7、输入阻抗：音乐（47K)  话筒（220R）</w:t>
            </w:r>
          </w:p>
          <w:p w14:paraId="5FCA9E0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8、信噪比：≥90dB</w:t>
            </w:r>
          </w:p>
          <w:p w14:paraId="57126CE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9、频率响应 ：20Hz-20kHz（±1dB）</w:t>
            </w:r>
          </w:p>
          <w:p w14:paraId="74F41FB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10、具有负载短路，直流输出，电源通断，超温等保护</w:t>
            </w:r>
          </w:p>
        </w:tc>
        <w:tc>
          <w:tcPr>
            <w:tcW w:w="816" w:type="dxa"/>
            <w:tcBorders>
              <w:tl2br w:val="nil"/>
              <w:tr2bl w:val="nil"/>
            </w:tcBorders>
            <w:shd w:val="clear" w:color="auto" w:fill="auto"/>
            <w:vAlign w:val="center"/>
          </w:tcPr>
          <w:p w14:paraId="5D8511E4">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5D4FBE2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4098E22">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1108075" cy="442595"/>
                  <wp:effectExtent l="0" t="0" r="15875" b="1460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56"/>
                          <a:stretch>
                            <a:fillRect/>
                          </a:stretch>
                        </pic:blipFill>
                        <pic:spPr>
                          <a:xfrm>
                            <a:off x="0" y="0"/>
                            <a:ext cx="1108075" cy="442595"/>
                          </a:xfrm>
                          <a:prstGeom prst="rect">
                            <a:avLst/>
                          </a:prstGeom>
                          <a:noFill/>
                          <a:ln w="9525">
                            <a:noFill/>
                          </a:ln>
                        </pic:spPr>
                      </pic:pic>
                    </a:graphicData>
                  </a:graphic>
                </wp:inline>
              </w:drawing>
            </w:r>
          </w:p>
        </w:tc>
      </w:tr>
      <w:tr w14:paraId="50243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E81D832">
            <w:pPr>
              <w:pStyle w:val="3"/>
              <w:ind w:firstLine="420" w:firstLineChars="0"/>
              <w:jc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1166" w:type="dxa"/>
            <w:tcBorders>
              <w:tl2br w:val="nil"/>
              <w:tr2bl w:val="nil"/>
            </w:tcBorders>
            <w:shd w:val="clear" w:color="auto" w:fill="auto"/>
            <w:vAlign w:val="center"/>
          </w:tcPr>
          <w:p w14:paraId="26D3F75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手持话筒套装</w:t>
            </w:r>
          </w:p>
        </w:tc>
        <w:tc>
          <w:tcPr>
            <w:tcW w:w="8573" w:type="dxa"/>
            <w:tcBorders>
              <w:tl2br w:val="nil"/>
              <w:tr2bl w:val="nil"/>
            </w:tcBorders>
            <w:shd w:val="clear" w:color="auto" w:fill="auto"/>
            <w:vAlign w:val="center"/>
          </w:tcPr>
          <w:p w14:paraId="30912E8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为人声量身定制的频率响应，具有明亮的中频和低频滚降</w:t>
            </w:r>
          </w:p>
          <w:p w14:paraId="094B458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心形拾音模式突出主音源，同时最大程度减少背景噪声</w:t>
            </w:r>
          </w:p>
          <w:p w14:paraId="7FC0DEA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气动防震架可有效降低手持噪声</w:t>
            </w:r>
          </w:p>
          <w:p w14:paraId="3D9986B9">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有效的内置球形网罩和防喷罩</w:t>
            </w:r>
          </w:p>
          <w:p w14:paraId="6583496D">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随附可旋转 180 度的抗震支架适配器</w:t>
            </w:r>
          </w:p>
          <w:p w14:paraId="77A6DC1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Shure传奇的卓越品质、坚固耐用和可靠性</w:t>
            </w:r>
          </w:p>
          <w:p w14:paraId="3CF4AB13">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心形（单指向）动圈式</w:t>
            </w:r>
          </w:p>
          <w:p w14:paraId="1AC017B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频响范围：50 至 15,000 Hz</w:t>
            </w:r>
          </w:p>
        </w:tc>
        <w:tc>
          <w:tcPr>
            <w:tcW w:w="816" w:type="dxa"/>
            <w:tcBorders>
              <w:tl2br w:val="nil"/>
              <w:tr2bl w:val="nil"/>
            </w:tcBorders>
            <w:shd w:val="clear" w:color="auto" w:fill="auto"/>
            <w:vAlign w:val="center"/>
          </w:tcPr>
          <w:p w14:paraId="03CF7BCB">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498" w:type="dxa"/>
            <w:tcBorders>
              <w:tl2br w:val="nil"/>
              <w:tr2bl w:val="nil"/>
            </w:tcBorders>
            <w:shd w:val="clear" w:color="auto" w:fill="auto"/>
            <w:vAlign w:val="center"/>
          </w:tcPr>
          <w:p w14:paraId="368355F6">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4DCA5C00">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721360" cy="611505"/>
                  <wp:effectExtent l="0" t="0" r="2540" b="1714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57"/>
                          <a:stretch>
                            <a:fillRect/>
                          </a:stretch>
                        </pic:blipFill>
                        <pic:spPr>
                          <a:xfrm>
                            <a:off x="0" y="0"/>
                            <a:ext cx="721360" cy="611505"/>
                          </a:xfrm>
                          <a:prstGeom prst="rect">
                            <a:avLst/>
                          </a:prstGeom>
                          <a:noFill/>
                          <a:ln w="9525">
                            <a:noFill/>
                          </a:ln>
                        </pic:spPr>
                      </pic:pic>
                    </a:graphicData>
                  </a:graphic>
                </wp:inline>
              </w:drawing>
            </w:r>
          </w:p>
        </w:tc>
      </w:tr>
      <w:tr w14:paraId="6B4518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86" w:type="dxa"/>
            <w:tcBorders>
              <w:tl2br w:val="nil"/>
              <w:tr2bl w:val="nil"/>
            </w:tcBorders>
            <w:shd w:val="clear" w:color="auto" w:fill="auto"/>
            <w:vAlign w:val="center"/>
          </w:tcPr>
          <w:p w14:paraId="2FE3BBAC">
            <w:pPr>
              <w:pStyle w:val="3"/>
              <w:ind w:firstLine="420" w:firstLineChars="0"/>
              <w:jc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1166" w:type="dxa"/>
            <w:tcBorders>
              <w:tl2br w:val="nil"/>
              <w:tr2bl w:val="nil"/>
            </w:tcBorders>
            <w:shd w:val="clear" w:color="auto" w:fill="auto"/>
            <w:vAlign w:val="center"/>
          </w:tcPr>
          <w:p w14:paraId="3F18BEB4">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机柜</w:t>
            </w:r>
          </w:p>
        </w:tc>
        <w:tc>
          <w:tcPr>
            <w:tcW w:w="8573" w:type="dxa"/>
            <w:tcBorders>
              <w:tl2br w:val="nil"/>
              <w:tr2bl w:val="nil"/>
            </w:tcBorders>
            <w:shd w:val="clear" w:color="auto" w:fill="auto"/>
            <w:vAlign w:val="center"/>
          </w:tcPr>
          <w:p w14:paraId="70377D25">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1.产品采用高密度黑色砂面防火板，具有防火、防水、耐酸碱、耐划伤功能</w:t>
            </w:r>
          </w:p>
          <w:p w14:paraId="2357700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2.≥1.5mm厚双包铝、≥1.2mm厚双V铝型材、≥1.2mm厚L型铝型材均氧化成铝本色；</w:t>
            </w:r>
          </w:p>
          <w:p w14:paraId="2985AB3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3.连接机箱的TM5*18大扁机丝和M5的法兰盘螺母均采用镀铬处理。</w:t>
            </w:r>
          </w:p>
          <w:p w14:paraId="7C5100D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4.4个≥3寸静音万向脚轮，滚针轴承，其中两个带刹车，方便演出固定。</w:t>
            </w:r>
          </w:p>
          <w:p w14:paraId="12764372">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5.蝴蝶挂锁、大抽手、中角直码、大球包均采用镀铬表面处理。</w:t>
            </w:r>
          </w:p>
          <w:p w14:paraId="5722B0B0">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6.4个牢固镀铬把手，方便设备搬运。</w:t>
            </w:r>
          </w:p>
          <w:p w14:paraId="5C15752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7.共≥10套快装蝴蝶挂锁，牢固锁紧箱盖和箱体，便于运输流动。</w:t>
            </w:r>
          </w:p>
          <w:p w14:paraId="4CAFB637">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8.产品外形美观大方、漏印精美、结实经久耐用。</w:t>
            </w:r>
          </w:p>
        </w:tc>
        <w:tc>
          <w:tcPr>
            <w:tcW w:w="816" w:type="dxa"/>
            <w:tcBorders>
              <w:tl2br w:val="nil"/>
              <w:tr2bl w:val="nil"/>
            </w:tcBorders>
            <w:shd w:val="clear" w:color="auto" w:fill="auto"/>
            <w:vAlign w:val="center"/>
          </w:tcPr>
          <w:p w14:paraId="26847CF7">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35682F9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3DA684EC">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anchor distT="0" distB="0" distL="114300" distR="114300" simplePos="0" relativeHeight="251683840" behindDoc="0" locked="0" layoutInCell="1" allowOverlap="1">
                  <wp:simplePos x="0" y="0"/>
                  <wp:positionH relativeFrom="column">
                    <wp:posOffset>323850</wp:posOffset>
                  </wp:positionH>
                  <wp:positionV relativeFrom="paragraph">
                    <wp:posOffset>3175</wp:posOffset>
                  </wp:positionV>
                  <wp:extent cx="980440" cy="1059180"/>
                  <wp:effectExtent l="0" t="0" r="10160" b="7620"/>
                  <wp:wrapSquare wrapText="bothSides"/>
                  <wp:docPr id="73" name="图片 73" descr="ba4915c634ed20bad91c7af36427a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ba4915c634ed20bad91c7af36427a44"/>
                          <pic:cNvPicPr>
                            <a:picLocks noChangeAspect="1"/>
                          </pic:cNvPicPr>
                        </pic:nvPicPr>
                        <pic:blipFill>
                          <a:blip r:embed="rId58"/>
                          <a:stretch>
                            <a:fillRect/>
                          </a:stretch>
                        </pic:blipFill>
                        <pic:spPr>
                          <a:xfrm>
                            <a:off x="0" y="0"/>
                            <a:ext cx="980440" cy="1059180"/>
                          </a:xfrm>
                          <a:prstGeom prst="rect">
                            <a:avLst/>
                          </a:prstGeom>
                        </pic:spPr>
                      </pic:pic>
                    </a:graphicData>
                  </a:graphic>
                </wp:anchor>
              </w:drawing>
            </w:r>
          </w:p>
        </w:tc>
      </w:tr>
      <w:tr w14:paraId="08704F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C68601">
            <w:pPr>
              <w:pStyle w:val="3"/>
              <w:ind w:firstLine="420" w:firstLineChars="0"/>
              <w:jc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color w:val="000000" w:themeColor="text1"/>
                <w:lang w:val="en-US" w:eastAsia="zh-CN"/>
                <w14:textFill>
                  <w14:solidFill>
                    <w14:schemeClr w14:val="tx1"/>
                  </w14:solidFill>
                </w14:textFill>
              </w:rPr>
              <w:t>9</w:t>
            </w:r>
          </w:p>
        </w:tc>
        <w:tc>
          <w:tcPr>
            <w:tcW w:w="1166" w:type="dxa"/>
            <w:tcBorders>
              <w:tl2br w:val="nil"/>
              <w:tr2bl w:val="nil"/>
            </w:tcBorders>
            <w:shd w:val="clear" w:color="auto" w:fill="auto"/>
            <w:vAlign w:val="center"/>
          </w:tcPr>
          <w:p w14:paraId="29C01DA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线材、配件及安装辅材</w:t>
            </w:r>
          </w:p>
        </w:tc>
        <w:tc>
          <w:tcPr>
            <w:tcW w:w="8573" w:type="dxa"/>
            <w:tcBorders>
              <w:tl2br w:val="nil"/>
              <w:tr2bl w:val="nil"/>
            </w:tcBorders>
            <w:shd w:val="clear" w:color="auto" w:fill="auto"/>
            <w:vAlign w:val="center"/>
          </w:tcPr>
          <w:p w14:paraId="58E5334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秋叶源音箱线、电源线、接头等</w:t>
            </w:r>
          </w:p>
        </w:tc>
        <w:tc>
          <w:tcPr>
            <w:tcW w:w="816" w:type="dxa"/>
            <w:tcBorders>
              <w:tl2br w:val="nil"/>
              <w:tr2bl w:val="nil"/>
            </w:tcBorders>
            <w:shd w:val="clear" w:color="auto" w:fill="auto"/>
            <w:vAlign w:val="center"/>
          </w:tcPr>
          <w:p w14:paraId="40BFF26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05F8ED0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套</w:t>
            </w:r>
          </w:p>
        </w:tc>
        <w:tc>
          <w:tcPr>
            <w:tcW w:w="2796" w:type="dxa"/>
            <w:tcBorders>
              <w:tl2br w:val="nil"/>
              <w:tr2bl w:val="nil"/>
            </w:tcBorders>
            <w:shd w:val="clear" w:color="auto" w:fill="auto"/>
            <w:vAlign w:val="center"/>
          </w:tcPr>
          <w:p w14:paraId="5E801182">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5009B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B7CBA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10</w:t>
            </w:r>
          </w:p>
        </w:tc>
        <w:tc>
          <w:tcPr>
            <w:tcW w:w="1166" w:type="dxa"/>
            <w:tcBorders>
              <w:tl2br w:val="nil"/>
              <w:tr2bl w:val="nil"/>
            </w:tcBorders>
            <w:shd w:val="clear" w:color="auto" w:fill="auto"/>
            <w:vAlign w:val="center"/>
          </w:tcPr>
          <w:p w14:paraId="6C9D992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瑜伽垫</w:t>
            </w:r>
          </w:p>
        </w:tc>
        <w:tc>
          <w:tcPr>
            <w:tcW w:w="8573" w:type="dxa"/>
            <w:tcBorders>
              <w:tl2br w:val="nil"/>
              <w:tr2bl w:val="nil"/>
            </w:tcBorders>
            <w:shd w:val="clear" w:color="auto" w:fill="auto"/>
            <w:vAlign w:val="center"/>
          </w:tcPr>
          <w:p w14:paraId="04754556">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尺寸≥1200mm*500mm*10mm，厚度15mm.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材质为优质乳胶，加橡胶。优质锁边工艺。</w:t>
            </w:r>
          </w:p>
        </w:tc>
        <w:tc>
          <w:tcPr>
            <w:tcW w:w="816" w:type="dxa"/>
            <w:tcBorders>
              <w:tl2br w:val="nil"/>
              <w:tr2bl w:val="nil"/>
            </w:tcBorders>
            <w:shd w:val="clear" w:color="auto" w:fill="auto"/>
            <w:vAlign w:val="center"/>
          </w:tcPr>
          <w:p w14:paraId="78B90C6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51</w:t>
            </w:r>
          </w:p>
        </w:tc>
        <w:tc>
          <w:tcPr>
            <w:tcW w:w="498" w:type="dxa"/>
            <w:tcBorders>
              <w:tl2br w:val="nil"/>
              <w:tr2bl w:val="nil"/>
            </w:tcBorders>
            <w:shd w:val="clear" w:color="auto" w:fill="auto"/>
            <w:vAlign w:val="center"/>
          </w:tcPr>
          <w:p w14:paraId="2F9C7EE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3734411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95325" cy="476250"/>
                  <wp:effectExtent l="0" t="0" r="9525" b="0"/>
                  <wp:docPr id="120"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5" descr="IMG_256"/>
                          <pic:cNvPicPr>
                            <a:picLocks noChangeAspect="1"/>
                          </pic:cNvPicPr>
                        </pic:nvPicPr>
                        <pic:blipFill>
                          <a:blip r:embed="rId88"/>
                          <a:stretch>
                            <a:fillRect/>
                          </a:stretch>
                        </pic:blipFill>
                        <pic:spPr>
                          <a:xfrm>
                            <a:off x="0" y="0"/>
                            <a:ext cx="695325" cy="476250"/>
                          </a:xfrm>
                          <a:prstGeom prst="rect">
                            <a:avLst/>
                          </a:prstGeom>
                          <a:noFill/>
                          <a:ln w="9525">
                            <a:noFill/>
                          </a:ln>
                        </pic:spPr>
                      </pic:pic>
                    </a:graphicData>
                  </a:graphic>
                </wp:inline>
              </w:drawing>
            </w:r>
          </w:p>
        </w:tc>
      </w:tr>
      <w:tr w14:paraId="4BA6BC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5E7C0F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11</w:t>
            </w:r>
          </w:p>
        </w:tc>
        <w:tc>
          <w:tcPr>
            <w:tcW w:w="1166" w:type="dxa"/>
            <w:tcBorders>
              <w:tl2br w:val="nil"/>
              <w:tr2bl w:val="nil"/>
            </w:tcBorders>
            <w:shd w:val="clear" w:color="auto" w:fill="auto"/>
            <w:vAlign w:val="center"/>
          </w:tcPr>
          <w:p w14:paraId="0152591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伸缩教鞭</w:t>
            </w:r>
          </w:p>
        </w:tc>
        <w:tc>
          <w:tcPr>
            <w:tcW w:w="8573" w:type="dxa"/>
            <w:tcBorders>
              <w:tl2br w:val="nil"/>
              <w:tr2bl w:val="nil"/>
            </w:tcBorders>
            <w:shd w:val="clear" w:color="auto" w:fill="auto"/>
            <w:vAlign w:val="center"/>
          </w:tcPr>
          <w:p w14:paraId="7132D10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自由伸缩，方便携带，顶端红帽</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伸缩范围1200mm，PVC手柄，配防脱挂绳</w:t>
            </w:r>
          </w:p>
        </w:tc>
        <w:tc>
          <w:tcPr>
            <w:tcW w:w="816" w:type="dxa"/>
            <w:tcBorders>
              <w:tl2br w:val="nil"/>
              <w:tr2bl w:val="nil"/>
            </w:tcBorders>
            <w:shd w:val="clear" w:color="auto" w:fill="auto"/>
            <w:vAlign w:val="center"/>
          </w:tcPr>
          <w:p w14:paraId="033F744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6A0BEA4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3F34C7B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19125" cy="476250"/>
                  <wp:effectExtent l="0" t="0" r="9525" b="0"/>
                  <wp:docPr id="121" name="图片 5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6" descr="IMG_257"/>
                          <pic:cNvPicPr>
                            <a:picLocks noChangeAspect="1"/>
                          </pic:cNvPicPr>
                        </pic:nvPicPr>
                        <pic:blipFill>
                          <a:blip r:embed="rId89"/>
                          <a:stretch>
                            <a:fillRect/>
                          </a:stretch>
                        </pic:blipFill>
                        <pic:spPr>
                          <a:xfrm>
                            <a:off x="0" y="0"/>
                            <a:ext cx="619125" cy="476250"/>
                          </a:xfrm>
                          <a:prstGeom prst="rect">
                            <a:avLst/>
                          </a:prstGeom>
                          <a:noFill/>
                          <a:ln w="9525">
                            <a:noFill/>
                          </a:ln>
                        </pic:spPr>
                      </pic:pic>
                    </a:graphicData>
                  </a:graphic>
                </wp:inline>
              </w:drawing>
            </w:r>
          </w:p>
        </w:tc>
      </w:tr>
      <w:tr w14:paraId="6BDF36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436270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12</w:t>
            </w:r>
          </w:p>
        </w:tc>
        <w:tc>
          <w:tcPr>
            <w:tcW w:w="1166" w:type="dxa"/>
            <w:tcBorders>
              <w:tl2br w:val="nil"/>
              <w:tr2bl w:val="nil"/>
            </w:tcBorders>
            <w:shd w:val="clear" w:color="auto" w:fill="auto"/>
            <w:vAlign w:val="center"/>
          </w:tcPr>
          <w:p w14:paraId="1A8D048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舞蹈压腿砖</w:t>
            </w:r>
          </w:p>
        </w:tc>
        <w:tc>
          <w:tcPr>
            <w:tcW w:w="8573" w:type="dxa"/>
            <w:tcBorders>
              <w:tl2br w:val="nil"/>
              <w:tr2bl w:val="nil"/>
            </w:tcBorders>
            <w:shd w:val="clear" w:color="auto" w:fill="auto"/>
            <w:vAlign w:val="center"/>
          </w:tcPr>
          <w:p w14:paraId="5F18166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1.环保材质，无害物质，防水性强，不易沾水，高密度海绵泡沫砖，尺寸：≥23*15*7cm。</w:t>
            </w:r>
          </w:p>
        </w:tc>
        <w:tc>
          <w:tcPr>
            <w:tcW w:w="816" w:type="dxa"/>
            <w:tcBorders>
              <w:tl2br w:val="nil"/>
              <w:tr2bl w:val="nil"/>
            </w:tcBorders>
            <w:shd w:val="clear" w:color="auto" w:fill="auto"/>
            <w:vAlign w:val="center"/>
          </w:tcPr>
          <w:p w14:paraId="0439B8A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51</w:t>
            </w:r>
          </w:p>
        </w:tc>
        <w:tc>
          <w:tcPr>
            <w:tcW w:w="498" w:type="dxa"/>
            <w:tcBorders>
              <w:tl2br w:val="nil"/>
              <w:tr2bl w:val="nil"/>
            </w:tcBorders>
            <w:shd w:val="clear" w:color="auto" w:fill="auto"/>
            <w:vAlign w:val="center"/>
          </w:tcPr>
          <w:p w14:paraId="6B5E3FA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1514224A">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542925" cy="476250"/>
                  <wp:effectExtent l="0" t="0" r="9525" b="0"/>
                  <wp:docPr id="122" name="图片 5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7" descr="IMG_258"/>
                          <pic:cNvPicPr>
                            <a:picLocks noChangeAspect="1"/>
                          </pic:cNvPicPr>
                        </pic:nvPicPr>
                        <pic:blipFill>
                          <a:blip r:embed="rId90"/>
                          <a:stretch>
                            <a:fillRect/>
                          </a:stretch>
                        </pic:blipFill>
                        <pic:spPr>
                          <a:xfrm>
                            <a:off x="0" y="0"/>
                            <a:ext cx="542925" cy="476250"/>
                          </a:xfrm>
                          <a:prstGeom prst="rect">
                            <a:avLst/>
                          </a:prstGeom>
                          <a:noFill/>
                          <a:ln w="9525">
                            <a:noFill/>
                          </a:ln>
                        </pic:spPr>
                      </pic:pic>
                    </a:graphicData>
                  </a:graphic>
                </wp:inline>
              </w:drawing>
            </w:r>
          </w:p>
        </w:tc>
      </w:tr>
      <w:tr w14:paraId="78E126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E1330D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13</w:t>
            </w:r>
          </w:p>
        </w:tc>
        <w:tc>
          <w:tcPr>
            <w:tcW w:w="1166" w:type="dxa"/>
            <w:tcBorders>
              <w:tl2br w:val="nil"/>
              <w:tr2bl w:val="nil"/>
            </w:tcBorders>
            <w:shd w:val="clear" w:color="auto" w:fill="auto"/>
            <w:vAlign w:val="center"/>
          </w:tcPr>
          <w:p w14:paraId="5EE5F7F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舞蹈练功球</w:t>
            </w:r>
          </w:p>
        </w:tc>
        <w:tc>
          <w:tcPr>
            <w:tcW w:w="8573" w:type="dxa"/>
            <w:tcBorders>
              <w:tl2br w:val="nil"/>
              <w:tr2bl w:val="nil"/>
            </w:tcBorders>
            <w:shd w:val="clear" w:color="auto" w:fill="auto"/>
            <w:vAlign w:val="center"/>
          </w:tcPr>
          <w:p w14:paraId="1B2D4D8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1.直径：≥55cm，加厚防爆，</w:t>
            </w:r>
          </w:p>
        </w:tc>
        <w:tc>
          <w:tcPr>
            <w:tcW w:w="816" w:type="dxa"/>
            <w:tcBorders>
              <w:tl2br w:val="nil"/>
              <w:tr2bl w:val="nil"/>
            </w:tcBorders>
            <w:shd w:val="clear" w:color="auto" w:fill="auto"/>
            <w:vAlign w:val="center"/>
          </w:tcPr>
          <w:p w14:paraId="2B8B2C8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51</w:t>
            </w:r>
          </w:p>
        </w:tc>
        <w:tc>
          <w:tcPr>
            <w:tcW w:w="498" w:type="dxa"/>
            <w:tcBorders>
              <w:tl2br w:val="nil"/>
              <w:tr2bl w:val="nil"/>
            </w:tcBorders>
            <w:shd w:val="clear" w:color="auto" w:fill="auto"/>
            <w:vAlign w:val="center"/>
          </w:tcPr>
          <w:p w14:paraId="61751B4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7AAAF36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485775" cy="476250"/>
                  <wp:effectExtent l="0" t="0" r="9525" b="0"/>
                  <wp:docPr id="123" name="图片 5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8" descr="IMG_259"/>
                          <pic:cNvPicPr>
                            <a:picLocks noChangeAspect="1"/>
                          </pic:cNvPicPr>
                        </pic:nvPicPr>
                        <pic:blipFill>
                          <a:blip r:embed="rId91"/>
                          <a:stretch>
                            <a:fillRect/>
                          </a:stretch>
                        </pic:blipFill>
                        <pic:spPr>
                          <a:xfrm>
                            <a:off x="0" y="0"/>
                            <a:ext cx="485775" cy="476250"/>
                          </a:xfrm>
                          <a:prstGeom prst="rect">
                            <a:avLst/>
                          </a:prstGeom>
                          <a:noFill/>
                          <a:ln w="9525">
                            <a:noFill/>
                          </a:ln>
                        </pic:spPr>
                      </pic:pic>
                    </a:graphicData>
                  </a:graphic>
                </wp:inline>
              </w:drawing>
            </w:r>
          </w:p>
        </w:tc>
      </w:tr>
      <w:tr w14:paraId="18994E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2E0D97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14</w:t>
            </w:r>
          </w:p>
        </w:tc>
        <w:tc>
          <w:tcPr>
            <w:tcW w:w="1166" w:type="dxa"/>
            <w:tcBorders>
              <w:tl2br w:val="nil"/>
              <w:tr2bl w:val="nil"/>
            </w:tcBorders>
            <w:shd w:val="clear" w:color="auto" w:fill="auto"/>
            <w:vAlign w:val="center"/>
          </w:tcPr>
          <w:p w14:paraId="1B43ED7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舞蹈拉力带</w:t>
            </w:r>
          </w:p>
        </w:tc>
        <w:tc>
          <w:tcPr>
            <w:tcW w:w="8573" w:type="dxa"/>
            <w:tcBorders>
              <w:tl2br w:val="nil"/>
              <w:tr2bl w:val="nil"/>
            </w:tcBorders>
            <w:shd w:val="clear" w:color="auto" w:fill="auto"/>
            <w:vAlign w:val="center"/>
          </w:tcPr>
          <w:p w14:paraId="1752F48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1.TP面料，拉丁弹力带，尺寸：≥90*5cm。</w:t>
            </w:r>
          </w:p>
        </w:tc>
        <w:tc>
          <w:tcPr>
            <w:tcW w:w="816" w:type="dxa"/>
            <w:tcBorders>
              <w:tl2br w:val="nil"/>
              <w:tr2bl w:val="nil"/>
            </w:tcBorders>
            <w:shd w:val="clear" w:color="auto" w:fill="auto"/>
            <w:vAlign w:val="center"/>
          </w:tcPr>
          <w:p w14:paraId="33E4BBE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51</w:t>
            </w:r>
          </w:p>
        </w:tc>
        <w:tc>
          <w:tcPr>
            <w:tcW w:w="498" w:type="dxa"/>
            <w:tcBorders>
              <w:tl2br w:val="nil"/>
              <w:tr2bl w:val="nil"/>
            </w:tcBorders>
            <w:shd w:val="clear" w:color="auto" w:fill="auto"/>
            <w:vAlign w:val="center"/>
          </w:tcPr>
          <w:p w14:paraId="53443D4A">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条</w:t>
            </w:r>
          </w:p>
        </w:tc>
        <w:tc>
          <w:tcPr>
            <w:tcW w:w="2796" w:type="dxa"/>
            <w:tcBorders>
              <w:tl2br w:val="nil"/>
              <w:tr2bl w:val="nil"/>
            </w:tcBorders>
            <w:shd w:val="clear" w:color="auto" w:fill="auto"/>
            <w:vAlign w:val="center"/>
          </w:tcPr>
          <w:p w14:paraId="3275931E">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28650" cy="476250"/>
                  <wp:effectExtent l="0" t="0" r="0" b="0"/>
                  <wp:docPr id="124" name="图片 5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9" descr="IMG_260"/>
                          <pic:cNvPicPr>
                            <a:picLocks noChangeAspect="1"/>
                          </pic:cNvPicPr>
                        </pic:nvPicPr>
                        <pic:blipFill>
                          <a:blip r:embed="rId92"/>
                          <a:stretch>
                            <a:fillRect/>
                          </a:stretch>
                        </pic:blipFill>
                        <pic:spPr>
                          <a:xfrm>
                            <a:off x="0" y="0"/>
                            <a:ext cx="628650" cy="476250"/>
                          </a:xfrm>
                          <a:prstGeom prst="rect">
                            <a:avLst/>
                          </a:prstGeom>
                          <a:noFill/>
                          <a:ln w="9525">
                            <a:noFill/>
                          </a:ln>
                        </pic:spPr>
                      </pic:pic>
                    </a:graphicData>
                  </a:graphic>
                </wp:inline>
              </w:drawing>
            </w:r>
          </w:p>
        </w:tc>
      </w:tr>
      <w:tr w14:paraId="1C2D7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865FF9">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15</w:t>
            </w:r>
          </w:p>
        </w:tc>
        <w:tc>
          <w:tcPr>
            <w:tcW w:w="1166" w:type="dxa"/>
            <w:tcBorders>
              <w:tl2br w:val="nil"/>
              <w:tr2bl w:val="nil"/>
            </w:tcBorders>
            <w:shd w:val="clear" w:color="auto" w:fill="auto"/>
            <w:vAlign w:val="center"/>
          </w:tcPr>
          <w:p w14:paraId="2AD8D9B6">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吊顶</w:t>
            </w:r>
          </w:p>
        </w:tc>
        <w:tc>
          <w:tcPr>
            <w:tcW w:w="8573" w:type="dxa"/>
            <w:tcBorders>
              <w:tl2br w:val="nil"/>
              <w:tr2bl w:val="nil"/>
            </w:tcBorders>
            <w:shd w:val="clear" w:color="auto" w:fill="auto"/>
            <w:vAlign w:val="center"/>
          </w:tcPr>
          <w:p w14:paraId="674D15A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816" w:type="dxa"/>
            <w:tcBorders>
              <w:tl2br w:val="nil"/>
              <w:tr2bl w:val="nil"/>
            </w:tcBorders>
            <w:shd w:val="clear" w:color="auto" w:fill="auto"/>
            <w:vAlign w:val="center"/>
          </w:tcPr>
          <w:p w14:paraId="0EC911C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100.00</w:t>
            </w:r>
          </w:p>
        </w:tc>
        <w:tc>
          <w:tcPr>
            <w:tcW w:w="498" w:type="dxa"/>
            <w:tcBorders>
              <w:tl2br w:val="nil"/>
              <w:tr2bl w:val="nil"/>
            </w:tcBorders>
            <w:shd w:val="clear" w:color="auto" w:fill="auto"/>
            <w:vAlign w:val="center"/>
          </w:tcPr>
          <w:p w14:paraId="18C25E2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15</w:t>
            </w:r>
          </w:p>
        </w:tc>
        <w:tc>
          <w:tcPr>
            <w:tcW w:w="2796" w:type="dxa"/>
            <w:tcBorders>
              <w:tl2br w:val="nil"/>
              <w:tr2bl w:val="nil"/>
            </w:tcBorders>
            <w:shd w:val="clear" w:color="auto" w:fill="auto"/>
            <w:vAlign w:val="center"/>
          </w:tcPr>
          <w:p w14:paraId="280AAD14">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3136B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200B55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543B96E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76D14C76">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001AA224">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3C734B8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1E78066E">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0BD855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91D5FAF">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17</w:t>
            </w:r>
          </w:p>
        </w:tc>
        <w:tc>
          <w:tcPr>
            <w:tcW w:w="1166" w:type="dxa"/>
            <w:tcBorders>
              <w:tl2br w:val="nil"/>
              <w:tr2bl w:val="nil"/>
            </w:tcBorders>
            <w:shd w:val="clear" w:color="auto" w:fill="auto"/>
            <w:vAlign w:val="center"/>
          </w:tcPr>
          <w:p w14:paraId="7F83E3F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格栅灯</w:t>
            </w:r>
          </w:p>
        </w:tc>
        <w:tc>
          <w:tcPr>
            <w:tcW w:w="8573" w:type="dxa"/>
            <w:tcBorders>
              <w:tl2br w:val="nil"/>
              <w:tr2bl w:val="nil"/>
            </w:tcBorders>
            <w:shd w:val="clear" w:color="auto" w:fill="auto"/>
            <w:vAlign w:val="center"/>
          </w:tcPr>
          <w:p w14:paraId="47E0446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816" w:type="dxa"/>
            <w:tcBorders>
              <w:tl2br w:val="nil"/>
              <w:tr2bl w:val="nil"/>
            </w:tcBorders>
            <w:shd w:val="clear" w:color="auto" w:fill="auto"/>
            <w:vAlign w:val="center"/>
          </w:tcPr>
          <w:p w14:paraId="6F092B5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498" w:type="dxa"/>
            <w:tcBorders>
              <w:tl2br w:val="nil"/>
              <w:tr2bl w:val="nil"/>
            </w:tcBorders>
            <w:shd w:val="clear" w:color="auto" w:fill="auto"/>
            <w:vAlign w:val="center"/>
          </w:tcPr>
          <w:p w14:paraId="07615FC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center"/>
          </w:tcPr>
          <w:p w14:paraId="24E9DC1A">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58E8F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6779F7E">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18</w:t>
            </w:r>
          </w:p>
        </w:tc>
        <w:tc>
          <w:tcPr>
            <w:tcW w:w="1166" w:type="dxa"/>
            <w:tcBorders>
              <w:tl2br w:val="nil"/>
              <w:tr2bl w:val="nil"/>
            </w:tcBorders>
            <w:shd w:val="clear" w:color="auto" w:fill="auto"/>
            <w:vAlign w:val="center"/>
          </w:tcPr>
          <w:p w14:paraId="4CB9D42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8573" w:type="dxa"/>
            <w:tcBorders>
              <w:tl2br w:val="nil"/>
              <w:tr2bl w:val="nil"/>
            </w:tcBorders>
            <w:shd w:val="clear" w:color="auto" w:fill="auto"/>
            <w:vAlign w:val="center"/>
          </w:tcPr>
          <w:p w14:paraId="78A7876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7EC04B8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498" w:type="dxa"/>
            <w:tcBorders>
              <w:tl2br w:val="nil"/>
              <w:tr2bl w:val="nil"/>
            </w:tcBorders>
            <w:shd w:val="clear" w:color="auto" w:fill="auto"/>
            <w:vAlign w:val="center"/>
          </w:tcPr>
          <w:p w14:paraId="0B5213B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796" w:type="dxa"/>
            <w:tcBorders>
              <w:tl2br w:val="nil"/>
              <w:tr2bl w:val="nil"/>
            </w:tcBorders>
            <w:shd w:val="clear" w:color="auto" w:fill="auto"/>
            <w:vAlign w:val="center"/>
          </w:tcPr>
          <w:p w14:paraId="02213E06">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065FEE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ABBC1EF">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19</w:t>
            </w:r>
          </w:p>
        </w:tc>
        <w:tc>
          <w:tcPr>
            <w:tcW w:w="1166" w:type="dxa"/>
            <w:tcBorders>
              <w:tl2br w:val="nil"/>
              <w:tr2bl w:val="nil"/>
            </w:tcBorders>
            <w:shd w:val="clear" w:color="auto" w:fill="auto"/>
            <w:vAlign w:val="center"/>
          </w:tcPr>
          <w:p w14:paraId="353F8101">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8573" w:type="dxa"/>
            <w:tcBorders>
              <w:tl2br w:val="nil"/>
              <w:tr2bl w:val="nil"/>
            </w:tcBorders>
            <w:shd w:val="clear" w:color="auto" w:fill="auto"/>
            <w:vAlign w:val="center"/>
          </w:tcPr>
          <w:p w14:paraId="08823061">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816" w:type="dxa"/>
            <w:tcBorders>
              <w:tl2br w:val="nil"/>
              <w:tr2bl w:val="nil"/>
            </w:tcBorders>
            <w:shd w:val="clear" w:color="auto" w:fill="auto"/>
            <w:vAlign w:val="center"/>
          </w:tcPr>
          <w:p w14:paraId="0351B1B8">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498" w:type="dxa"/>
            <w:tcBorders>
              <w:tl2br w:val="nil"/>
              <w:tr2bl w:val="nil"/>
            </w:tcBorders>
            <w:shd w:val="clear" w:color="auto" w:fill="auto"/>
            <w:vAlign w:val="center"/>
          </w:tcPr>
          <w:p w14:paraId="13DE7DA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796" w:type="dxa"/>
            <w:tcBorders>
              <w:tl2br w:val="nil"/>
              <w:tr2bl w:val="nil"/>
            </w:tcBorders>
            <w:shd w:val="clear" w:color="auto" w:fill="auto"/>
            <w:vAlign w:val="center"/>
          </w:tcPr>
          <w:p w14:paraId="4861D5AA">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DBEC8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87916D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20</w:t>
            </w:r>
          </w:p>
        </w:tc>
        <w:tc>
          <w:tcPr>
            <w:tcW w:w="1166" w:type="dxa"/>
            <w:tcBorders>
              <w:tl2br w:val="nil"/>
              <w:tr2bl w:val="nil"/>
            </w:tcBorders>
            <w:shd w:val="clear" w:color="auto" w:fill="auto"/>
            <w:vAlign w:val="center"/>
          </w:tcPr>
          <w:p w14:paraId="64D408E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8573" w:type="dxa"/>
            <w:tcBorders>
              <w:tl2br w:val="nil"/>
              <w:tr2bl w:val="nil"/>
            </w:tcBorders>
            <w:shd w:val="clear" w:color="auto" w:fill="auto"/>
            <w:vAlign w:val="center"/>
          </w:tcPr>
          <w:p w14:paraId="0AC0C56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816" w:type="dxa"/>
            <w:tcBorders>
              <w:tl2br w:val="nil"/>
              <w:tr2bl w:val="nil"/>
            </w:tcBorders>
            <w:shd w:val="clear" w:color="auto" w:fill="auto"/>
            <w:vAlign w:val="center"/>
          </w:tcPr>
          <w:p w14:paraId="05E353D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05D81FE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796" w:type="dxa"/>
            <w:tcBorders>
              <w:tl2br w:val="nil"/>
              <w:tr2bl w:val="nil"/>
            </w:tcBorders>
            <w:shd w:val="clear" w:color="auto" w:fill="auto"/>
            <w:vAlign w:val="center"/>
          </w:tcPr>
          <w:p w14:paraId="6E1CDBEE">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4BED06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21269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color w:val="000000" w:themeColor="text1"/>
                <w:sz w:val="20"/>
                <w:szCs w:val="20"/>
                <w:vertAlign w:val="baseline"/>
                <w:lang w:val="en-US" w:eastAsia="zh-CN"/>
                <w14:textFill>
                  <w14:solidFill>
                    <w14:schemeClr w14:val="tx1"/>
                  </w14:solidFill>
                </w14:textFill>
              </w:rPr>
              <w:t>21</w:t>
            </w:r>
          </w:p>
        </w:tc>
        <w:tc>
          <w:tcPr>
            <w:tcW w:w="1166" w:type="dxa"/>
            <w:tcBorders>
              <w:tl2br w:val="nil"/>
              <w:tr2bl w:val="nil"/>
            </w:tcBorders>
            <w:shd w:val="clear" w:color="auto" w:fill="auto"/>
            <w:vAlign w:val="center"/>
          </w:tcPr>
          <w:p w14:paraId="5A01D37F">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地板</w:t>
            </w:r>
          </w:p>
        </w:tc>
        <w:tc>
          <w:tcPr>
            <w:tcW w:w="8573" w:type="dxa"/>
            <w:tcBorders>
              <w:tl2br w:val="nil"/>
              <w:tr2bl w:val="nil"/>
            </w:tcBorders>
            <w:shd w:val="clear" w:color="auto" w:fill="auto"/>
            <w:vAlign w:val="center"/>
          </w:tcPr>
          <w:p w14:paraId="33D2760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≥2mm防潮pvc膜垫底，≥10mm强化锁扣型复合地板铺设。含收边铝材和踢脚线。</w:t>
            </w:r>
          </w:p>
        </w:tc>
        <w:tc>
          <w:tcPr>
            <w:tcW w:w="816" w:type="dxa"/>
            <w:tcBorders>
              <w:tl2br w:val="nil"/>
              <w:tr2bl w:val="nil"/>
            </w:tcBorders>
            <w:shd w:val="clear" w:color="auto" w:fill="auto"/>
            <w:vAlign w:val="center"/>
          </w:tcPr>
          <w:p w14:paraId="4A7E7A6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100.8</w:t>
            </w:r>
          </w:p>
        </w:tc>
        <w:tc>
          <w:tcPr>
            <w:tcW w:w="498" w:type="dxa"/>
            <w:tcBorders>
              <w:tl2br w:val="nil"/>
              <w:tr2bl w:val="nil"/>
            </w:tcBorders>
            <w:shd w:val="clear" w:color="auto" w:fill="auto"/>
            <w:vAlign w:val="center"/>
          </w:tcPr>
          <w:p w14:paraId="103660A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center"/>
          </w:tcPr>
          <w:p w14:paraId="65AD13F9">
            <w:pPr>
              <w:jc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p>
        </w:tc>
      </w:tr>
      <w:tr w14:paraId="11C02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20D15206">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b/>
                <w:bCs/>
                <w:color w:val="000000" w:themeColor="text1"/>
                <w:sz w:val="30"/>
                <w:szCs w:val="30"/>
                <w:lang w:val="en-US" w:eastAsia="zh-CN"/>
                <w14:textFill>
                  <w14:solidFill>
                    <w14:schemeClr w14:val="tx1"/>
                  </w14:solidFill>
                </w14:textFill>
              </w:rPr>
              <w:t>14.</w:t>
            </w:r>
            <w:r>
              <w:rPr>
                <w:rFonts w:hint="eastAsia" w:ascii="宋体" w:hAnsi="宋体" w:eastAsia="宋体" w:cs="宋体"/>
                <w:b/>
                <w:bCs/>
                <w:color w:val="000000" w:themeColor="text1"/>
                <w:sz w:val="30"/>
                <w:szCs w:val="30"/>
                <w:lang w:val="en-US" w:eastAsia="zh-CN"/>
                <w14:textFill>
                  <w14:solidFill>
                    <w14:schemeClr w14:val="tx1"/>
                  </w14:solidFill>
                </w14:textFill>
              </w:rPr>
              <w:t>劳技教室（手工）</w:t>
            </w:r>
          </w:p>
        </w:tc>
      </w:tr>
      <w:tr w14:paraId="4A1C59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88DC8E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1166" w:type="dxa"/>
            <w:tcBorders>
              <w:tl2br w:val="nil"/>
              <w:tr2bl w:val="nil"/>
            </w:tcBorders>
            <w:shd w:val="clear" w:color="auto" w:fill="auto"/>
            <w:vAlign w:val="center"/>
          </w:tcPr>
          <w:p w14:paraId="14483AE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8573" w:type="dxa"/>
            <w:tcBorders>
              <w:tl2br w:val="nil"/>
              <w:tr2bl w:val="nil"/>
            </w:tcBorders>
            <w:shd w:val="clear" w:color="auto" w:fill="auto"/>
            <w:vAlign w:val="center"/>
          </w:tcPr>
          <w:p w14:paraId="2651E7A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2.台面：采用≥25mm三聚氰胺防潮双贴面板(基板为E1级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)，板材所有截面厚度≥2.0mmPVC机器封边，粘力强、密封性好、外形美观、经久耐用。组装接缝严密，连接牢固，无松动现象。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2.五金配件：采用304不锈钢拉手、铰链、三节导轨等，所有五金配件全部经过防锈、防腐处理。</w:t>
            </w:r>
          </w:p>
        </w:tc>
        <w:tc>
          <w:tcPr>
            <w:tcW w:w="816" w:type="dxa"/>
            <w:tcBorders>
              <w:tl2br w:val="nil"/>
              <w:tr2bl w:val="nil"/>
            </w:tcBorders>
            <w:shd w:val="clear" w:color="auto" w:fill="auto"/>
            <w:vAlign w:val="center"/>
          </w:tcPr>
          <w:p w14:paraId="261C5A2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7026D0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287E283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352550" cy="762000"/>
                  <wp:effectExtent l="0" t="0" r="0" b="0"/>
                  <wp:docPr id="125"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0" descr="IMG_256"/>
                          <pic:cNvPicPr>
                            <a:picLocks noChangeAspect="1"/>
                          </pic:cNvPicPr>
                        </pic:nvPicPr>
                        <pic:blipFill>
                          <a:blip r:embed="rId34"/>
                          <a:stretch>
                            <a:fillRect/>
                          </a:stretch>
                        </pic:blipFill>
                        <pic:spPr>
                          <a:xfrm>
                            <a:off x="0" y="0"/>
                            <a:ext cx="1352550" cy="762000"/>
                          </a:xfrm>
                          <a:prstGeom prst="rect">
                            <a:avLst/>
                          </a:prstGeom>
                          <a:noFill/>
                          <a:ln w="9525">
                            <a:noFill/>
                          </a:ln>
                        </pic:spPr>
                      </pic:pic>
                    </a:graphicData>
                  </a:graphic>
                </wp:inline>
              </w:drawing>
            </w:r>
          </w:p>
        </w:tc>
      </w:tr>
      <w:tr w14:paraId="5B1A5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5D01CC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1166" w:type="dxa"/>
            <w:tcBorders>
              <w:tl2br w:val="nil"/>
              <w:tr2bl w:val="nil"/>
            </w:tcBorders>
            <w:shd w:val="clear" w:color="auto" w:fill="auto"/>
            <w:vAlign w:val="center"/>
          </w:tcPr>
          <w:p w14:paraId="2EF26CBD">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学生</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劳技</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桌</w:t>
            </w:r>
            <w:r>
              <w:rPr>
                <w:rFonts w:hint="eastAsia" w:ascii="宋体" w:hAnsi="宋体" w:cs="宋体"/>
                <w:b/>
                <w:bCs/>
                <w:i w:val="0"/>
                <w:iCs w:val="0"/>
                <w:color w:val="000000" w:themeColor="text1"/>
                <w:kern w:val="0"/>
                <w:sz w:val="20"/>
                <w:szCs w:val="20"/>
                <w:u w:val="none"/>
                <w:lang w:val="en-US" w:eastAsia="zh-CN" w:bidi="ar"/>
                <w14:textFill>
                  <w14:solidFill>
                    <w14:schemeClr w14:val="tx1"/>
                  </w14:solidFill>
                </w14:textFill>
              </w:rPr>
              <w:t>（提供样品1张）</w:t>
            </w:r>
          </w:p>
        </w:tc>
        <w:tc>
          <w:tcPr>
            <w:tcW w:w="8573" w:type="dxa"/>
            <w:tcBorders>
              <w:tl2br w:val="nil"/>
              <w:tr2bl w:val="nil"/>
            </w:tcBorders>
            <w:shd w:val="clear" w:color="auto" w:fill="auto"/>
            <w:vAlign w:val="center"/>
          </w:tcPr>
          <w:p w14:paraId="75BA3238">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1.尺寸：≥W1200*D1200*H750mm;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2.材质：≥1.Omm抗倍特板+≥1.Omm厚度镀锌钢架;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材质采用抗倍特一体成型。耐80度以上高温。防水：浸水24小时后的膨胀指数不多于0.1mm，四周倒角修边，圆润光滑无任何毛边；桌架采用镀锌钢架，满焊焊接而成，表面采用高温粉体烤漆，耐腐蚀，不易生锈；</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4.功能：桌面设有防罩边角，悬挂抽屉储物功能，可收纳放置工具材料，钢制框架，结构牢固，具有超强承载能力。</w:t>
            </w:r>
          </w:p>
        </w:tc>
        <w:tc>
          <w:tcPr>
            <w:tcW w:w="816" w:type="dxa"/>
            <w:tcBorders>
              <w:tl2br w:val="nil"/>
              <w:tr2bl w:val="nil"/>
            </w:tcBorders>
            <w:shd w:val="clear" w:color="auto" w:fill="auto"/>
            <w:vAlign w:val="center"/>
          </w:tcPr>
          <w:p w14:paraId="0341A7D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12</w:t>
            </w:r>
          </w:p>
        </w:tc>
        <w:tc>
          <w:tcPr>
            <w:tcW w:w="498" w:type="dxa"/>
            <w:tcBorders>
              <w:tl2br w:val="nil"/>
              <w:tr2bl w:val="nil"/>
            </w:tcBorders>
            <w:shd w:val="clear" w:color="auto" w:fill="auto"/>
            <w:vAlign w:val="center"/>
          </w:tcPr>
          <w:p w14:paraId="777D64C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4E95A001">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295400" cy="866775"/>
                  <wp:effectExtent l="0" t="0" r="0" b="9525"/>
                  <wp:docPr id="126" name="图片 6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1" descr="IMG_257"/>
                          <pic:cNvPicPr>
                            <a:picLocks noChangeAspect="1"/>
                          </pic:cNvPicPr>
                        </pic:nvPicPr>
                        <pic:blipFill>
                          <a:blip r:embed="rId93"/>
                          <a:stretch>
                            <a:fillRect/>
                          </a:stretch>
                        </pic:blipFill>
                        <pic:spPr>
                          <a:xfrm>
                            <a:off x="0" y="0"/>
                            <a:ext cx="1295400" cy="866775"/>
                          </a:xfrm>
                          <a:prstGeom prst="rect">
                            <a:avLst/>
                          </a:prstGeom>
                          <a:noFill/>
                          <a:ln w="9525">
                            <a:noFill/>
                          </a:ln>
                        </pic:spPr>
                      </pic:pic>
                    </a:graphicData>
                  </a:graphic>
                </wp:inline>
              </w:drawing>
            </w:r>
          </w:p>
        </w:tc>
      </w:tr>
      <w:tr w14:paraId="395FB1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5CBC6F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c>
          <w:tcPr>
            <w:tcW w:w="1166" w:type="dxa"/>
            <w:tcBorders>
              <w:tl2br w:val="nil"/>
              <w:tr2bl w:val="nil"/>
            </w:tcBorders>
            <w:shd w:val="clear" w:color="auto" w:fill="auto"/>
            <w:vAlign w:val="center"/>
          </w:tcPr>
          <w:p w14:paraId="724D39F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悬挂凳</w:t>
            </w:r>
          </w:p>
        </w:tc>
        <w:tc>
          <w:tcPr>
            <w:tcW w:w="8573" w:type="dxa"/>
            <w:tcBorders>
              <w:tl2br w:val="nil"/>
              <w:tr2bl w:val="nil"/>
            </w:tcBorders>
            <w:shd w:val="clear" w:color="auto" w:fill="auto"/>
            <w:vAlign w:val="center"/>
          </w:tcPr>
          <w:p w14:paraId="641D3C4C">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1.规格：≥296*450mm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工艺：面板采用ABS新料一体注塑成型，面板直径≥296mm，中间有內弧造型，深度为≥10mm;坐垫下带有防滑凸条和防滑垫的塑料背盖，以便于悬挂，尺寸：≥125*120*35mm。中间有內弧造型，深度为≥10mm。椅腿钢管尺寸：≥32*22*2.0mm，采用鱼眼管满焊焊接，表面采用高温粉体烤漆，耐腐蚀，不易生锈；脚垫尺寸：≥75.5*50*17mm及≥40*30*40mm；采用Pa纤维质塑胶一体成型，防滑、耐用、耐摩擦；凳子底部加黑色护垫，保护地板防止摩擦，所有零部件采用永久性固定方式，不会产生松散、脱落之情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3.功能：凳子可悬挂于桌子上方便收纳及打扫卫生。</w:t>
            </w:r>
          </w:p>
        </w:tc>
        <w:tc>
          <w:tcPr>
            <w:tcW w:w="816" w:type="dxa"/>
            <w:tcBorders>
              <w:tl2br w:val="nil"/>
              <w:tr2bl w:val="nil"/>
            </w:tcBorders>
            <w:shd w:val="clear" w:color="auto" w:fill="auto"/>
            <w:vAlign w:val="center"/>
          </w:tcPr>
          <w:p w14:paraId="27205EA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48</w:t>
            </w:r>
          </w:p>
        </w:tc>
        <w:tc>
          <w:tcPr>
            <w:tcW w:w="498" w:type="dxa"/>
            <w:tcBorders>
              <w:tl2br w:val="nil"/>
              <w:tr2bl w:val="nil"/>
            </w:tcBorders>
            <w:shd w:val="clear" w:color="auto" w:fill="auto"/>
            <w:vAlign w:val="center"/>
          </w:tcPr>
          <w:p w14:paraId="2064A3E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62020580">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857250" cy="1000125"/>
                  <wp:effectExtent l="0" t="0" r="0" b="9525"/>
                  <wp:docPr id="127" name="图片 6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2" descr="IMG_258"/>
                          <pic:cNvPicPr>
                            <a:picLocks noChangeAspect="1"/>
                          </pic:cNvPicPr>
                        </pic:nvPicPr>
                        <pic:blipFill>
                          <a:blip r:embed="rId94"/>
                          <a:stretch>
                            <a:fillRect/>
                          </a:stretch>
                        </pic:blipFill>
                        <pic:spPr>
                          <a:xfrm>
                            <a:off x="0" y="0"/>
                            <a:ext cx="857250" cy="1000125"/>
                          </a:xfrm>
                          <a:prstGeom prst="rect">
                            <a:avLst/>
                          </a:prstGeom>
                          <a:noFill/>
                          <a:ln w="9525">
                            <a:noFill/>
                          </a:ln>
                        </pic:spPr>
                      </pic:pic>
                    </a:graphicData>
                  </a:graphic>
                </wp:inline>
              </w:drawing>
            </w:r>
          </w:p>
        </w:tc>
      </w:tr>
      <w:tr w14:paraId="4E844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79424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13</w:t>
            </w:r>
          </w:p>
        </w:tc>
        <w:tc>
          <w:tcPr>
            <w:tcW w:w="1166" w:type="dxa"/>
            <w:tcBorders>
              <w:tl2br w:val="nil"/>
              <w:tr2bl w:val="nil"/>
            </w:tcBorders>
            <w:shd w:val="clear" w:color="auto" w:fill="auto"/>
            <w:vAlign w:val="center"/>
          </w:tcPr>
          <w:p w14:paraId="3CB2EEB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电热丝切割器</w:t>
            </w:r>
          </w:p>
        </w:tc>
        <w:tc>
          <w:tcPr>
            <w:tcW w:w="8573" w:type="dxa"/>
            <w:tcBorders>
              <w:tl2br w:val="nil"/>
              <w:tr2bl w:val="nil"/>
            </w:tcBorders>
            <w:shd w:val="clear" w:color="auto" w:fill="auto"/>
            <w:vAlign w:val="center"/>
          </w:tcPr>
          <w:p w14:paraId="2DE1EAE1">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组成部分：（1）、加工台；（2）、半圆形刻度盘；（3）一体弯梁式切割臂；（4）电热丝安装滑块；（5）、电热丝盘固定旋钮；（6）、电热丝；（7）、电热丝锁紧钮；（8）、全金属调压旋钮；（9）、电源指示灯；（10）、电热丝盘；（11）、电源插座；（12）、电源线。        </w:t>
            </w:r>
            <w:r>
              <w:rPr>
                <w:rFonts w:hint="eastAsia" w:ascii="宋体" w:hAnsi="宋体" w:eastAsia="宋体" w:cs="宋体"/>
                <w:i w:val="0"/>
                <w:iCs w:val="0"/>
                <w:color w:val="FF0000"/>
                <w:kern w:val="0"/>
                <w:sz w:val="20"/>
                <w:szCs w:val="20"/>
                <w:u w:val="none"/>
                <w:lang w:val="en-US" w:eastAsia="zh-CN" w:bidi="ar"/>
              </w:rPr>
              <w:t xml:space="preserve">                                                                     </w:t>
            </w:r>
            <w:r>
              <w:rPr>
                <w:rFonts w:hint="eastAsia" w:ascii="宋体" w:hAnsi="宋体" w:eastAsia="宋体" w:cs="宋体"/>
                <w:i w:val="0"/>
                <w:iCs w:val="0"/>
                <w:color w:val="000000"/>
                <w:kern w:val="0"/>
                <w:sz w:val="20"/>
                <w:szCs w:val="20"/>
                <w:u w:val="none"/>
                <w:lang w:val="en-US" w:eastAsia="zh-CN" w:bidi="ar"/>
              </w:rPr>
              <w:t xml:space="preserve">1、加工台规格≥500*375*110mm；                                                     2、加工台基于防水防电防跌落撞击等应用场景考虑，采用模具一体注塑成型，高密度ABS材质，四脚网格纹脚垫支撑，防止震动和滑动；                                                                                                                                                                                                                                                   3、加工台左右两侧各有宽100mm、内陷20mm凹槽，方便提手搬运；                                                                                                     4、前操作板采用60°倾角方便使用操作，内嵌430*75mm亚克力UV操作说明牌；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5、加工台后部三眼品字插座，配1.5米电源线；                                                                                                                                                     6、加工台面采用耐腐蚀、耐高温的铝塑板制成，并丝网印刷有网格坐标图，便于加工定位。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7、半圆形刻度盘：铝合金材料制成，黑色阳极氧化覆膜，激光标记银色刻度，固定安装在加工台面左侧；可通过松紧刻度盘上手拧螺丝旋钮，前后移动切割臂，90°调节前后切割角度。                                                                                       8、一体弯梁式切割臂：铝合金材料制成，黑色阳极氧化覆膜，悬臂上激光标记银色刻度，便于多种角度定位。                                                                                      9、电热丝安装滑块： 安装于切割臂上，铝合金材料制成，一侧呈梯形斜面，斜面铣有槽口，便于电热丝固定。 滑块可在切割臂上滑动平移，调节左右切割角度。                                                                           10、电热丝切割器调压旋钮采用全金属材质；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11、休眠保护功能：三分钟内人员无操作，设备停止电加热，进入休眠状态，直至侦测到有人员进行相关操作，设备被唤醒，电热丝重新升温加热。</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12、报警提示功能：电热丝切割器在带电加热工作状态下，如出现搬动、大幅震动等错误操作时， 设备可即时侦测到并报警提示。                                                                                                                                                                                              13、额定电压：交流100-240v，50HZ；电热丝电流：2A。连续可调；电热丝规格：0.3mm镍烙丝；                                                                   14、可切割:泡沫、低密度海绵、珍珠棉、KT板、挤塑板等材料。                                                                          </w:t>
            </w:r>
          </w:p>
        </w:tc>
        <w:tc>
          <w:tcPr>
            <w:tcW w:w="816" w:type="dxa"/>
            <w:tcBorders>
              <w:tl2br w:val="nil"/>
              <w:tr2bl w:val="nil"/>
            </w:tcBorders>
            <w:shd w:val="clear" w:color="auto" w:fill="auto"/>
            <w:vAlign w:val="center"/>
          </w:tcPr>
          <w:p w14:paraId="4AE7E45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03C33B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0A014719">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923925" cy="838200"/>
                  <wp:effectExtent l="0" t="0" r="9525" b="0"/>
                  <wp:docPr id="128" name="图片 6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3" descr="IMG_259"/>
                          <pic:cNvPicPr>
                            <a:picLocks noChangeAspect="1"/>
                          </pic:cNvPicPr>
                        </pic:nvPicPr>
                        <pic:blipFill>
                          <a:blip r:embed="rId95"/>
                          <a:stretch>
                            <a:fillRect/>
                          </a:stretch>
                        </pic:blipFill>
                        <pic:spPr>
                          <a:xfrm>
                            <a:off x="0" y="0"/>
                            <a:ext cx="923925" cy="838200"/>
                          </a:xfrm>
                          <a:prstGeom prst="rect">
                            <a:avLst/>
                          </a:prstGeom>
                          <a:noFill/>
                          <a:ln w="9525">
                            <a:noFill/>
                          </a:ln>
                        </pic:spPr>
                      </pic:pic>
                    </a:graphicData>
                  </a:graphic>
                </wp:inline>
              </w:drawing>
            </w:r>
          </w:p>
        </w:tc>
      </w:tr>
      <w:tr w14:paraId="5D4AB6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1CE2C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23</w:t>
            </w:r>
          </w:p>
        </w:tc>
        <w:tc>
          <w:tcPr>
            <w:tcW w:w="1166" w:type="dxa"/>
            <w:tcBorders>
              <w:tl2br w:val="nil"/>
              <w:tr2bl w:val="nil"/>
            </w:tcBorders>
            <w:shd w:val="clear" w:color="auto" w:fill="auto"/>
            <w:vAlign w:val="center"/>
          </w:tcPr>
          <w:p w14:paraId="2CB4BBF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电工工具箱（教师用）</w:t>
            </w:r>
          </w:p>
        </w:tc>
        <w:tc>
          <w:tcPr>
            <w:tcW w:w="8573" w:type="dxa"/>
            <w:tcBorders>
              <w:tl2br w:val="nil"/>
              <w:tr2bl w:val="nil"/>
            </w:tcBorders>
            <w:shd w:val="clear" w:color="auto" w:fill="auto"/>
            <w:vAlign w:val="center"/>
          </w:tcPr>
          <w:p w14:paraId="087E46A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箱体规格描述：</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1、材质：ABS注塑成型：规格：≥4</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0*3</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0mm，壁厚≥3mm；        </w:t>
            </w:r>
          </w:p>
          <w:p w14:paraId="4CC6791D">
            <w:pPr>
              <w:keepNext w:val="0"/>
              <w:keepLines w:val="0"/>
              <w:widowControl/>
              <w:suppressLineNumbers w:val="0"/>
              <w:jc w:val="left"/>
              <w:textAlignment w:val="center"/>
              <w:rPr>
                <w:rStyle w:val="153"/>
                <w:rFonts w:hint="eastAsia" w:ascii="宋体" w:hAnsi="宋体" w:eastAsia="宋体" w:cs="宋体"/>
                <w:color w:val="000000" w:themeColor="text1"/>
                <w:sz w:val="20"/>
                <w:szCs w:val="20"/>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2、箱盖正面设有箱体内容说明卡片槽，内部采用珍珠棉隔离填充材料，每种工具有相对应插槽，便于使用后仪器归位还原和缓冲振动；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3、箱盖和箱体采用旋扣式机构锁合，转动实验箱前侧的锁止机构既可以锁定箱子，也可以实现两箱子间的锁合，便于多箱之间的携带和搬运。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、实验箱的箱体可实现多个堆叠摆放，结构强度支持可达5-8层高可倚靠实验室墙边落地摆放；</w:t>
            </w:r>
            <w:r>
              <w:rPr>
                <w:rStyle w:val="153"/>
                <w:rFonts w:hint="eastAsia" w:ascii="宋体" w:hAnsi="宋体" w:eastAsia="宋体" w:cs="宋体"/>
                <w:color w:val="000000" w:themeColor="text1"/>
                <w:sz w:val="20"/>
                <w:szCs w:val="20"/>
                <w:lang w:val="en-US" w:eastAsia="zh-CN" w:bidi="ar"/>
                <w14:textFill>
                  <w14:solidFill>
                    <w14:schemeClr w14:val="tx1"/>
                  </w14:solidFill>
                </w14:textFill>
              </w:rPr>
              <w:t xml:space="preserve">                                            </w:t>
            </w:r>
          </w:p>
          <w:p w14:paraId="75EDF811">
            <w:pPr>
              <w:keepNext w:val="0"/>
              <w:keepLines w:val="0"/>
              <w:widowControl/>
              <w:numPr>
                <w:ilvl w:val="0"/>
                <w:numId w:val="0"/>
              </w:numPr>
              <w:suppressLineNumbers w:val="0"/>
              <w:jc w:val="left"/>
              <w:textAlignment w:val="center"/>
              <w:rPr>
                <w:rStyle w:val="153"/>
                <w:rFonts w:hint="eastAsia" w:ascii="宋体" w:hAnsi="宋体" w:eastAsia="宋体" w:cs="宋体"/>
                <w:color w:val="000000" w:themeColor="text1"/>
                <w:sz w:val="20"/>
                <w:szCs w:val="20"/>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5.内置电工工具一套； </w:t>
            </w:r>
            <w:r>
              <w:rPr>
                <w:rStyle w:val="153"/>
                <w:rFonts w:hint="eastAsia" w:ascii="宋体" w:hAnsi="宋体" w:eastAsia="宋体" w:cs="宋体"/>
                <w:color w:val="000000" w:themeColor="text1"/>
                <w:sz w:val="20"/>
                <w:szCs w:val="20"/>
                <w:lang w:val="en-US" w:eastAsia="zh-CN" w:bidi="ar"/>
                <w14:textFill>
                  <w14:solidFill>
                    <w14:schemeClr w14:val="tx1"/>
                  </w14:solidFill>
                </w14:textFill>
              </w:rPr>
              <w:t xml:space="preserve">                                          </w:t>
            </w:r>
          </w:p>
          <w:p w14:paraId="767F9535">
            <w:pPr>
              <w:keepNext w:val="0"/>
              <w:keepLines w:val="0"/>
              <w:widowControl/>
              <w:numPr>
                <w:ilvl w:val="0"/>
                <w:numId w:val="0"/>
              </w:numPr>
              <w:suppressLineNumbers w:val="0"/>
              <w:ind w:left="0" w:leftChars="0" w:firstLine="0" w:firstLineChars="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一、组成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承重：60kg</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由支架、万向轮组成，配套工具箱使用。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二、功能</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1.专为工具箱设计的移动支架车，可实现多个实验箱的迅速移动，省时省力。</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2.承重60kg，可承载多个实验箱。</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3.有4个万向轮，带刹车，移动方便。                                                  </w:t>
            </w:r>
          </w:p>
        </w:tc>
        <w:tc>
          <w:tcPr>
            <w:tcW w:w="816" w:type="dxa"/>
            <w:tcBorders>
              <w:tl2br w:val="nil"/>
              <w:tr2bl w:val="nil"/>
            </w:tcBorders>
            <w:shd w:val="clear" w:color="auto" w:fill="auto"/>
            <w:vAlign w:val="center"/>
          </w:tcPr>
          <w:p w14:paraId="00025C9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58BDB3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5EBAD710">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047750" cy="781050"/>
                  <wp:effectExtent l="0" t="0" r="0" b="0"/>
                  <wp:docPr id="129" name="图片 6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4" descr="IMG_260"/>
                          <pic:cNvPicPr>
                            <a:picLocks noChangeAspect="1"/>
                          </pic:cNvPicPr>
                        </pic:nvPicPr>
                        <pic:blipFill>
                          <a:blip r:embed="rId96"/>
                          <a:stretch>
                            <a:fillRect/>
                          </a:stretch>
                        </pic:blipFill>
                        <pic:spPr>
                          <a:xfrm>
                            <a:off x="0" y="0"/>
                            <a:ext cx="1047750" cy="781050"/>
                          </a:xfrm>
                          <a:prstGeom prst="rect">
                            <a:avLst/>
                          </a:prstGeom>
                          <a:noFill/>
                          <a:ln w="9525">
                            <a:noFill/>
                          </a:ln>
                        </pic:spPr>
                      </pic:pic>
                    </a:graphicData>
                  </a:graphic>
                </wp:inline>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203835</wp:posOffset>
                  </wp:positionH>
                  <wp:positionV relativeFrom="paragraph">
                    <wp:posOffset>0</wp:posOffset>
                  </wp:positionV>
                  <wp:extent cx="666750" cy="406400"/>
                  <wp:effectExtent l="0" t="0" r="0" b="12700"/>
                  <wp:wrapNone/>
                  <wp:docPr id="130" name="Picture_232"/>
                  <wp:cNvGraphicFramePr/>
                  <a:graphic xmlns:a="http://schemas.openxmlformats.org/drawingml/2006/main">
                    <a:graphicData uri="http://schemas.openxmlformats.org/drawingml/2006/picture">
                      <pic:pic xmlns:pic="http://schemas.openxmlformats.org/drawingml/2006/picture">
                        <pic:nvPicPr>
                          <pic:cNvPr id="130" name="Picture_232"/>
                          <pic:cNvPicPr/>
                        </pic:nvPicPr>
                        <pic:blipFill>
                          <a:blip r:embed="rId97"/>
                          <a:stretch>
                            <a:fillRect/>
                          </a:stretch>
                        </pic:blipFill>
                        <pic:spPr>
                          <a:xfrm>
                            <a:off x="0" y="0"/>
                            <a:ext cx="666750" cy="406400"/>
                          </a:xfrm>
                          <a:prstGeom prst="rect">
                            <a:avLst/>
                          </a:prstGeom>
                          <a:noFill/>
                          <a:ln>
                            <a:noFill/>
                          </a:ln>
                        </pic:spPr>
                      </pic:pic>
                    </a:graphicData>
                  </a:graphic>
                </wp:anchor>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349885</wp:posOffset>
                  </wp:positionH>
                  <wp:positionV relativeFrom="paragraph">
                    <wp:posOffset>0</wp:posOffset>
                  </wp:positionV>
                  <wp:extent cx="488950" cy="361315"/>
                  <wp:effectExtent l="0" t="0" r="6350" b="635"/>
                  <wp:wrapNone/>
                  <wp:docPr id="131" name="图片_2"/>
                  <wp:cNvGraphicFramePr/>
                  <a:graphic xmlns:a="http://schemas.openxmlformats.org/drawingml/2006/main">
                    <a:graphicData uri="http://schemas.openxmlformats.org/drawingml/2006/picture">
                      <pic:pic xmlns:pic="http://schemas.openxmlformats.org/drawingml/2006/picture">
                        <pic:nvPicPr>
                          <pic:cNvPr id="131" name="图片_2"/>
                          <pic:cNvPicPr/>
                        </pic:nvPicPr>
                        <pic:blipFill>
                          <a:blip r:embed="rId98"/>
                          <a:stretch>
                            <a:fillRect/>
                          </a:stretch>
                        </pic:blipFill>
                        <pic:spPr>
                          <a:xfrm>
                            <a:off x="0" y="0"/>
                            <a:ext cx="488950" cy="361315"/>
                          </a:xfrm>
                          <a:prstGeom prst="rect">
                            <a:avLst/>
                          </a:prstGeom>
                          <a:noFill/>
                          <a:ln>
                            <a:noFill/>
                          </a:ln>
                        </pic:spPr>
                      </pic:pic>
                    </a:graphicData>
                  </a:graphic>
                </wp:anchor>
              </w:drawing>
            </w:r>
          </w:p>
        </w:tc>
      </w:tr>
      <w:tr w14:paraId="42405D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99F68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24</w:t>
            </w:r>
          </w:p>
        </w:tc>
        <w:tc>
          <w:tcPr>
            <w:tcW w:w="1166" w:type="dxa"/>
            <w:tcBorders>
              <w:tl2br w:val="nil"/>
              <w:tr2bl w:val="nil"/>
            </w:tcBorders>
            <w:shd w:val="clear" w:color="auto" w:fill="auto"/>
            <w:vAlign w:val="center"/>
          </w:tcPr>
          <w:p w14:paraId="7AE30CE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木工工具箱（教师用）</w:t>
            </w:r>
          </w:p>
        </w:tc>
        <w:tc>
          <w:tcPr>
            <w:tcW w:w="8573" w:type="dxa"/>
            <w:tcBorders>
              <w:tl2br w:val="nil"/>
              <w:tr2bl w:val="nil"/>
            </w:tcBorders>
            <w:shd w:val="clear" w:color="auto" w:fill="auto"/>
            <w:vAlign w:val="center"/>
          </w:tcPr>
          <w:p w14:paraId="01017FCC">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箱体规格描述：</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1、材质：ABS注塑成型：规格：≥4</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0*3</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0mm，壁厚≥3mm；       </w:t>
            </w:r>
          </w:p>
          <w:p w14:paraId="3C7BE867">
            <w:pPr>
              <w:keepNext w:val="0"/>
              <w:keepLines w:val="0"/>
              <w:widowControl/>
              <w:numPr>
                <w:ilvl w:val="0"/>
                <w:numId w:val="5"/>
              </w:numPr>
              <w:suppressLineNumbers w:val="0"/>
              <w:ind w:left="0" w:leftChars="0" w:firstLine="0" w:firstLineChars="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箱盖正面设有箱体内容说明卡片槽，内部采用珍珠棉隔离填充材料，每种工具有相对应插槽，便于使用后仪器归位还原和缓冲振动；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3、箱盖和箱体采用旋扣式机构锁合，转动实验箱前侧的锁止机构既可以锁定箱子，也可以实现两箱子间的锁合，便于多箱之间的携带和搬运。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、实验箱的箱体可实现多个堆叠摆放，结构强度支持可达5-8层高可倚靠实验室墙边落地摆放；</w:t>
            </w:r>
          </w:p>
          <w:p w14:paraId="3902D99E">
            <w:pPr>
              <w:keepNext w:val="0"/>
              <w:keepLines w:val="0"/>
              <w:widowControl/>
              <w:numPr>
                <w:ilvl w:val="0"/>
                <w:numId w:val="0"/>
              </w:numPr>
              <w:suppressLineNumbers w:val="0"/>
              <w:ind w:leftChars="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5、内置配套木工工具一套；</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一、组成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承重：60kg</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由支架、万向轮组成，配套工具箱使用。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二、功能</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1.专为工具箱设计的移动支架车，可实现多个实验箱的迅速移动，省时省力。</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2.承重60kg，可承载多个实验箱。</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3.有4个万向轮，带刹车，移动方便。                                         </w:t>
            </w:r>
          </w:p>
        </w:tc>
        <w:tc>
          <w:tcPr>
            <w:tcW w:w="816" w:type="dxa"/>
            <w:tcBorders>
              <w:tl2br w:val="nil"/>
              <w:tr2bl w:val="nil"/>
            </w:tcBorders>
            <w:shd w:val="clear" w:color="auto" w:fill="auto"/>
            <w:vAlign w:val="center"/>
          </w:tcPr>
          <w:p w14:paraId="4ECE9BE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A3ED34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12EB537A">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057275" cy="781050"/>
                  <wp:effectExtent l="0" t="0" r="9525" b="0"/>
                  <wp:docPr id="132" name="图片 6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5" descr="IMG_261"/>
                          <pic:cNvPicPr>
                            <a:picLocks noChangeAspect="1"/>
                          </pic:cNvPicPr>
                        </pic:nvPicPr>
                        <pic:blipFill>
                          <a:blip r:embed="rId99"/>
                          <a:stretch>
                            <a:fillRect/>
                          </a:stretch>
                        </pic:blipFill>
                        <pic:spPr>
                          <a:xfrm>
                            <a:off x="0" y="0"/>
                            <a:ext cx="1057275" cy="781050"/>
                          </a:xfrm>
                          <a:prstGeom prst="rect">
                            <a:avLst/>
                          </a:prstGeom>
                          <a:noFill/>
                          <a:ln w="9525">
                            <a:noFill/>
                          </a:ln>
                        </pic:spPr>
                      </pic:pic>
                    </a:graphicData>
                  </a:graphic>
                </wp:inline>
              </w:drawing>
            </w:r>
          </w:p>
        </w:tc>
      </w:tr>
      <w:tr w14:paraId="61F1F8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B9D732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25</w:t>
            </w:r>
          </w:p>
        </w:tc>
        <w:tc>
          <w:tcPr>
            <w:tcW w:w="1166" w:type="dxa"/>
            <w:tcBorders>
              <w:tl2br w:val="nil"/>
              <w:tr2bl w:val="nil"/>
            </w:tcBorders>
            <w:shd w:val="clear" w:color="auto" w:fill="auto"/>
            <w:vAlign w:val="center"/>
          </w:tcPr>
          <w:p w14:paraId="7F94E15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金工工具箱（教师用）</w:t>
            </w:r>
          </w:p>
        </w:tc>
        <w:tc>
          <w:tcPr>
            <w:tcW w:w="8573" w:type="dxa"/>
            <w:tcBorders>
              <w:tl2br w:val="nil"/>
              <w:tr2bl w:val="nil"/>
            </w:tcBorders>
            <w:shd w:val="clear" w:color="auto" w:fill="auto"/>
            <w:vAlign w:val="center"/>
          </w:tcPr>
          <w:p w14:paraId="54918CF7">
            <w:pPr>
              <w:keepNext w:val="0"/>
              <w:keepLines w:val="0"/>
              <w:widowControl/>
              <w:numPr>
                <w:ilvl w:val="0"/>
                <w:numId w:val="0"/>
              </w:numPr>
              <w:suppressLineNumbers w:val="0"/>
              <w:ind w:left="0" w:leftChars="0" w:firstLine="0" w:firstLineChars="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箱体规格描述：</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1、材质：ABS注塑成型：规格：≥4</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0*3</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0mm，壁厚3mm；      </w:t>
            </w:r>
          </w:p>
          <w:p w14:paraId="15784D9B">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箱盖正面设有箱体内容说明卡片槽，内部采用珍珠棉隔离填充材料，每种工具有相对应插槽，便于使用后仪器归位还原和缓冲振动；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3、箱盖和箱体采用旋扣式机构锁合，转动实验箱前侧的锁止机构既可以锁定箱子，也可以实现两箱子间的锁合，便于多箱之间的携带和搬运。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、实验箱的箱体可实现多个堆叠摆放，结构强度支持可达5-8层高可倚靠实验室墙边落地摆放；</w:t>
            </w:r>
          </w:p>
          <w:p w14:paraId="225579ED">
            <w:pPr>
              <w:keepNext w:val="0"/>
              <w:keepLines w:val="0"/>
              <w:widowControl/>
              <w:numPr>
                <w:ilvl w:val="0"/>
                <w:numId w:val="0"/>
              </w:numPr>
              <w:suppressLineNumbers w:val="0"/>
              <w:ind w:leftChars="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5、内置金工工具一套；</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一、组成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承重：60kg</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由支架、万向轮组成，配套工具箱使用。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二、功能</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1.专为工具箱设计的移动支架车，可实现多个实验箱的迅速移动，省时省力。</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2.承重60kg，可承载多个实验箱。</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3.有4个万向轮，带刹车，移动方便。    </w:t>
            </w:r>
            <w:r>
              <w:rPr>
                <w:rStyle w:val="153"/>
                <w:rFonts w:hint="eastAsia" w:ascii="宋体" w:hAnsi="宋体" w:eastAsia="宋体" w:cs="宋体"/>
                <w:color w:val="000000" w:themeColor="text1"/>
                <w:sz w:val="20"/>
                <w:szCs w:val="20"/>
                <w:lang w:val="en-US" w:eastAsia="zh-CN" w:bidi="ar"/>
                <w14:textFill>
                  <w14:solidFill>
                    <w14:schemeClr w14:val="tx1"/>
                  </w14:solidFill>
                </w14:textFill>
              </w:rPr>
              <w:t xml:space="preserve">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w:t>
            </w:r>
          </w:p>
        </w:tc>
        <w:tc>
          <w:tcPr>
            <w:tcW w:w="816" w:type="dxa"/>
            <w:tcBorders>
              <w:tl2br w:val="nil"/>
              <w:tr2bl w:val="nil"/>
            </w:tcBorders>
            <w:shd w:val="clear" w:color="auto" w:fill="auto"/>
            <w:vAlign w:val="center"/>
          </w:tcPr>
          <w:p w14:paraId="61A88D7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07C4CC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7CD551EA">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1057275" cy="781050"/>
                  <wp:effectExtent l="0" t="0" r="9525" b="0"/>
                  <wp:docPr id="133" name="图片 6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6" descr="IMG_262"/>
                          <pic:cNvPicPr>
                            <a:picLocks noChangeAspect="1"/>
                          </pic:cNvPicPr>
                        </pic:nvPicPr>
                        <pic:blipFill>
                          <a:blip r:embed="rId100"/>
                          <a:stretch>
                            <a:fillRect/>
                          </a:stretch>
                        </pic:blipFill>
                        <pic:spPr>
                          <a:xfrm>
                            <a:off x="0" y="0"/>
                            <a:ext cx="1057275" cy="781050"/>
                          </a:xfrm>
                          <a:prstGeom prst="rect">
                            <a:avLst/>
                          </a:prstGeom>
                          <a:noFill/>
                          <a:ln w="9525">
                            <a:noFill/>
                          </a:ln>
                        </pic:spPr>
                      </pic:pic>
                    </a:graphicData>
                  </a:graphic>
                </wp:inline>
              </w:drawing>
            </w:r>
          </w:p>
        </w:tc>
      </w:tr>
      <w:tr w14:paraId="0B0059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E7DB1F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26</w:t>
            </w:r>
          </w:p>
        </w:tc>
        <w:tc>
          <w:tcPr>
            <w:tcW w:w="1166" w:type="dxa"/>
            <w:tcBorders>
              <w:tl2br w:val="nil"/>
              <w:tr2bl w:val="nil"/>
            </w:tcBorders>
            <w:shd w:val="clear" w:color="auto" w:fill="auto"/>
            <w:vAlign w:val="center"/>
          </w:tcPr>
          <w:p w14:paraId="360447B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电工工具箱</w:t>
            </w:r>
          </w:p>
        </w:tc>
        <w:tc>
          <w:tcPr>
            <w:tcW w:w="8573" w:type="dxa"/>
            <w:tcBorders>
              <w:tl2br w:val="nil"/>
              <w:tr2bl w:val="nil"/>
            </w:tcBorders>
            <w:shd w:val="clear" w:color="auto" w:fill="auto"/>
            <w:vAlign w:val="center"/>
          </w:tcPr>
          <w:p w14:paraId="67CE70D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吹塑箱体，定点定位30件套装工具。</w:t>
            </w:r>
          </w:p>
        </w:tc>
        <w:tc>
          <w:tcPr>
            <w:tcW w:w="816" w:type="dxa"/>
            <w:tcBorders>
              <w:tl2br w:val="nil"/>
              <w:tr2bl w:val="nil"/>
            </w:tcBorders>
            <w:shd w:val="clear" w:color="auto" w:fill="auto"/>
            <w:vAlign w:val="center"/>
          </w:tcPr>
          <w:p w14:paraId="480ED19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4346C0A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34E3AD97">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19125" cy="981075"/>
                  <wp:effectExtent l="0" t="0" r="9525" b="9525"/>
                  <wp:docPr id="134" name="图片 6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7" descr="IMG_263"/>
                          <pic:cNvPicPr>
                            <a:picLocks noChangeAspect="1"/>
                          </pic:cNvPicPr>
                        </pic:nvPicPr>
                        <pic:blipFill>
                          <a:blip r:embed="rId101"/>
                          <a:stretch>
                            <a:fillRect/>
                          </a:stretch>
                        </pic:blipFill>
                        <pic:spPr>
                          <a:xfrm>
                            <a:off x="0" y="0"/>
                            <a:ext cx="619125" cy="981075"/>
                          </a:xfrm>
                          <a:prstGeom prst="rect">
                            <a:avLst/>
                          </a:prstGeom>
                          <a:noFill/>
                          <a:ln w="9525">
                            <a:noFill/>
                          </a:ln>
                        </pic:spPr>
                      </pic:pic>
                    </a:graphicData>
                  </a:graphic>
                </wp:inline>
              </w:drawing>
            </w:r>
          </w:p>
        </w:tc>
      </w:tr>
      <w:tr w14:paraId="79E065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1E8D37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27</w:t>
            </w:r>
          </w:p>
        </w:tc>
        <w:tc>
          <w:tcPr>
            <w:tcW w:w="1166" w:type="dxa"/>
            <w:tcBorders>
              <w:tl2br w:val="nil"/>
              <w:tr2bl w:val="nil"/>
            </w:tcBorders>
            <w:shd w:val="clear" w:color="auto" w:fill="auto"/>
            <w:vAlign w:val="center"/>
          </w:tcPr>
          <w:p w14:paraId="1B18CFD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木工工具箱</w:t>
            </w:r>
          </w:p>
        </w:tc>
        <w:tc>
          <w:tcPr>
            <w:tcW w:w="8573" w:type="dxa"/>
            <w:tcBorders>
              <w:tl2br w:val="nil"/>
              <w:tr2bl w:val="nil"/>
            </w:tcBorders>
            <w:shd w:val="clear" w:color="auto" w:fill="auto"/>
            <w:vAlign w:val="center"/>
          </w:tcPr>
          <w:p w14:paraId="0CF1D6C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吹塑箱体，定点定位，含18种常用工具。</w:t>
            </w:r>
          </w:p>
        </w:tc>
        <w:tc>
          <w:tcPr>
            <w:tcW w:w="816" w:type="dxa"/>
            <w:tcBorders>
              <w:tl2br w:val="nil"/>
              <w:tr2bl w:val="nil"/>
            </w:tcBorders>
            <w:shd w:val="clear" w:color="auto" w:fill="auto"/>
            <w:vAlign w:val="center"/>
          </w:tcPr>
          <w:p w14:paraId="65C969A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76D507F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0208FC2B">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52450" cy="981075"/>
                  <wp:effectExtent l="0" t="0" r="0" b="9525"/>
                  <wp:docPr id="135" name="图片 6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8" descr="IMG_264"/>
                          <pic:cNvPicPr>
                            <a:picLocks noChangeAspect="1"/>
                          </pic:cNvPicPr>
                        </pic:nvPicPr>
                        <pic:blipFill>
                          <a:blip r:embed="rId102"/>
                          <a:stretch>
                            <a:fillRect/>
                          </a:stretch>
                        </pic:blipFill>
                        <pic:spPr>
                          <a:xfrm>
                            <a:off x="0" y="0"/>
                            <a:ext cx="552450" cy="981075"/>
                          </a:xfrm>
                          <a:prstGeom prst="rect">
                            <a:avLst/>
                          </a:prstGeom>
                          <a:noFill/>
                          <a:ln w="9525">
                            <a:noFill/>
                          </a:ln>
                        </pic:spPr>
                      </pic:pic>
                    </a:graphicData>
                  </a:graphic>
                </wp:inline>
              </w:drawing>
            </w:r>
          </w:p>
        </w:tc>
      </w:tr>
      <w:tr w14:paraId="23DBCE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810884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28</w:t>
            </w:r>
          </w:p>
        </w:tc>
        <w:tc>
          <w:tcPr>
            <w:tcW w:w="1166" w:type="dxa"/>
            <w:tcBorders>
              <w:tl2br w:val="nil"/>
              <w:tr2bl w:val="nil"/>
            </w:tcBorders>
            <w:shd w:val="clear" w:color="auto" w:fill="auto"/>
            <w:vAlign w:val="center"/>
          </w:tcPr>
          <w:p w14:paraId="5264753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金工工具箱</w:t>
            </w:r>
          </w:p>
        </w:tc>
        <w:tc>
          <w:tcPr>
            <w:tcW w:w="8573" w:type="dxa"/>
            <w:tcBorders>
              <w:tl2br w:val="nil"/>
              <w:tr2bl w:val="nil"/>
            </w:tcBorders>
            <w:shd w:val="clear" w:color="auto" w:fill="auto"/>
            <w:vAlign w:val="center"/>
          </w:tcPr>
          <w:p w14:paraId="740B5788">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吹塑箱体，定点定位，含26种常用工具。</w:t>
            </w:r>
          </w:p>
        </w:tc>
        <w:tc>
          <w:tcPr>
            <w:tcW w:w="816" w:type="dxa"/>
            <w:tcBorders>
              <w:tl2br w:val="nil"/>
              <w:tr2bl w:val="nil"/>
            </w:tcBorders>
            <w:shd w:val="clear" w:color="auto" w:fill="auto"/>
            <w:vAlign w:val="center"/>
          </w:tcPr>
          <w:p w14:paraId="3C39F2F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w:t>
            </w:r>
          </w:p>
        </w:tc>
        <w:tc>
          <w:tcPr>
            <w:tcW w:w="498" w:type="dxa"/>
            <w:tcBorders>
              <w:tl2br w:val="nil"/>
              <w:tr2bl w:val="nil"/>
            </w:tcBorders>
            <w:shd w:val="clear" w:color="auto" w:fill="auto"/>
            <w:vAlign w:val="center"/>
          </w:tcPr>
          <w:p w14:paraId="74FC1F4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箱</w:t>
            </w:r>
          </w:p>
        </w:tc>
        <w:tc>
          <w:tcPr>
            <w:tcW w:w="2796" w:type="dxa"/>
            <w:tcBorders>
              <w:tl2br w:val="nil"/>
              <w:tr2bl w:val="nil"/>
            </w:tcBorders>
            <w:shd w:val="clear" w:color="auto" w:fill="auto"/>
            <w:vAlign w:val="center"/>
          </w:tcPr>
          <w:p w14:paraId="4B42EA72">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571500" cy="981075"/>
                  <wp:effectExtent l="0" t="0" r="0" b="9525"/>
                  <wp:docPr id="136" name="图片 6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9" descr="IMG_265"/>
                          <pic:cNvPicPr>
                            <a:picLocks noChangeAspect="1"/>
                          </pic:cNvPicPr>
                        </pic:nvPicPr>
                        <pic:blipFill>
                          <a:blip r:embed="rId103"/>
                          <a:stretch>
                            <a:fillRect/>
                          </a:stretch>
                        </pic:blipFill>
                        <pic:spPr>
                          <a:xfrm>
                            <a:off x="0" y="0"/>
                            <a:ext cx="571500" cy="981075"/>
                          </a:xfrm>
                          <a:prstGeom prst="rect">
                            <a:avLst/>
                          </a:prstGeom>
                          <a:noFill/>
                          <a:ln w="9525">
                            <a:noFill/>
                          </a:ln>
                        </pic:spPr>
                      </pic:pic>
                    </a:graphicData>
                  </a:graphic>
                </wp:inline>
              </w:drawing>
            </w:r>
          </w:p>
        </w:tc>
      </w:tr>
      <w:tr w14:paraId="2BBA4A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D261F1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29</w:t>
            </w:r>
          </w:p>
        </w:tc>
        <w:tc>
          <w:tcPr>
            <w:tcW w:w="1166" w:type="dxa"/>
            <w:tcBorders>
              <w:tl2br w:val="nil"/>
              <w:tr2bl w:val="nil"/>
            </w:tcBorders>
            <w:shd w:val="clear" w:color="auto" w:fill="auto"/>
            <w:vAlign w:val="center"/>
          </w:tcPr>
          <w:p w14:paraId="6C7616E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台虎钳（桌面放置，不用移动）</w:t>
            </w:r>
          </w:p>
        </w:tc>
        <w:tc>
          <w:tcPr>
            <w:tcW w:w="8573" w:type="dxa"/>
            <w:tcBorders>
              <w:tl2br w:val="nil"/>
              <w:tr2bl w:val="nil"/>
            </w:tcBorders>
            <w:shd w:val="clear" w:color="auto" w:fill="auto"/>
            <w:vAlign w:val="center"/>
          </w:tcPr>
          <w:p w14:paraId="434C5A8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符合QB/T1558.2；可旋转；钳口宽不小于100mm。</w:t>
            </w:r>
          </w:p>
        </w:tc>
        <w:tc>
          <w:tcPr>
            <w:tcW w:w="816" w:type="dxa"/>
            <w:tcBorders>
              <w:tl2br w:val="nil"/>
              <w:tr2bl w:val="nil"/>
            </w:tcBorders>
            <w:shd w:val="clear" w:color="auto" w:fill="auto"/>
            <w:vAlign w:val="center"/>
          </w:tcPr>
          <w:p w14:paraId="507D988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7</w:t>
            </w:r>
          </w:p>
        </w:tc>
        <w:tc>
          <w:tcPr>
            <w:tcW w:w="498" w:type="dxa"/>
            <w:tcBorders>
              <w:tl2br w:val="nil"/>
              <w:tr2bl w:val="nil"/>
            </w:tcBorders>
            <w:shd w:val="clear" w:color="auto" w:fill="auto"/>
            <w:vAlign w:val="center"/>
          </w:tcPr>
          <w:p w14:paraId="6055C65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2E8A806">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1FE821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D6075F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30</w:t>
            </w:r>
          </w:p>
        </w:tc>
        <w:tc>
          <w:tcPr>
            <w:tcW w:w="1166" w:type="dxa"/>
            <w:tcBorders>
              <w:tl2br w:val="nil"/>
              <w:tr2bl w:val="nil"/>
            </w:tcBorders>
            <w:shd w:val="clear" w:color="auto" w:fill="auto"/>
            <w:vAlign w:val="center"/>
          </w:tcPr>
          <w:p w14:paraId="4F1B48B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电刨</w:t>
            </w:r>
          </w:p>
        </w:tc>
        <w:tc>
          <w:tcPr>
            <w:tcW w:w="8573" w:type="dxa"/>
            <w:tcBorders>
              <w:tl2br w:val="nil"/>
              <w:tr2bl w:val="nil"/>
            </w:tcBorders>
            <w:shd w:val="clear" w:color="auto" w:fill="auto"/>
            <w:vAlign w:val="center"/>
          </w:tcPr>
          <w:p w14:paraId="3367826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1、电压220v；2、频率:50Hz；3、功率：1000W。4、转速：13000r/min；5、最大刨削宽度：约90mm；6、最大刨削深度：约2mm</w:t>
            </w:r>
          </w:p>
        </w:tc>
        <w:tc>
          <w:tcPr>
            <w:tcW w:w="816" w:type="dxa"/>
            <w:tcBorders>
              <w:tl2br w:val="nil"/>
              <w:tr2bl w:val="nil"/>
            </w:tcBorders>
            <w:shd w:val="clear" w:color="auto" w:fill="auto"/>
            <w:vAlign w:val="center"/>
          </w:tcPr>
          <w:p w14:paraId="26D4C53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459444F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584F60B3">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2C9279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00103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31</w:t>
            </w:r>
          </w:p>
        </w:tc>
        <w:tc>
          <w:tcPr>
            <w:tcW w:w="1166" w:type="dxa"/>
            <w:tcBorders>
              <w:tl2br w:val="nil"/>
              <w:tr2bl w:val="nil"/>
            </w:tcBorders>
            <w:shd w:val="clear" w:color="auto" w:fill="auto"/>
            <w:vAlign w:val="center"/>
          </w:tcPr>
          <w:p w14:paraId="46D32FB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手电锯</w:t>
            </w:r>
          </w:p>
        </w:tc>
        <w:tc>
          <w:tcPr>
            <w:tcW w:w="8573" w:type="dxa"/>
            <w:tcBorders>
              <w:tl2br w:val="nil"/>
              <w:tr2bl w:val="nil"/>
            </w:tcBorders>
            <w:shd w:val="clear" w:color="auto" w:fill="auto"/>
            <w:vAlign w:val="center"/>
          </w:tcPr>
          <w:p w14:paraId="46DF3D7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电圆锯，锯片直径不大于Φ110mm，符合QB3883.5</w:t>
            </w:r>
          </w:p>
        </w:tc>
        <w:tc>
          <w:tcPr>
            <w:tcW w:w="816" w:type="dxa"/>
            <w:tcBorders>
              <w:tl2br w:val="nil"/>
              <w:tr2bl w:val="nil"/>
            </w:tcBorders>
            <w:shd w:val="clear" w:color="auto" w:fill="auto"/>
            <w:vAlign w:val="center"/>
          </w:tcPr>
          <w:p w14:paraId="7B0A06B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4582A2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0F805C00">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5CA365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55CC0F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32</w:t>
            </w:r>
          </w:p>
        </w:tc>
        <w:tc>
          <w:tcPr>
            <w:tcW w:w="1166" w:type="dxa"/>
            <w:tcBorders>
              <w:tl2br w:val="nil"/>
              <w:tr2bl w:val="nil"/>
            </w:tcBorders>
            <w:shd w:val="clear" w:color="auto" w:fill="auto"/>
            <w:vAlign w:val="center"/>
          </w:tcPr>
          <w:p w14:paraId="194D2BA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电动曲线锯</w:t>
            </w:r>
          </w:p>
        </w:tc>
        <w:tc>
          <w:tcPr>
            <w:tcW w:w="8573" w:type="dxa"/>
            <w:tcBorders>
              <w:tl2br w:val="nil"/>
              <w:tr2bl w:val="nil"/>
            </w:tcBorders>
            <w:shd w:val="clear" w:color="auto" w:fill="auto"/>
            <w:vAlign w:val="center"/>
          </w:tcPr>
          <w:p w14:paraId="680F8CF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220V或低压充电、锯割能力：木材厚度不小于50mm。符合QB3883.1。</w:t>
            </w:r>
          </w:p>
        </w:tc>
        <w:tc>
          <w:tcPr>
            <w:tcW w:w="816" w:type="dxa"/>
            <w:tcBorders>
              <w:tl2br w:val="nil"/>
              <w:tr2bl w:val="nil"/>
            </w:tcBorders>
            <w:shd w:val="clear" w:color="auto" w:fill="auto"/>
            <w:vAlign w:val="center"/>
          </w:tcPr>
          <w:p w14:paraId="1E247CB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FC8D0B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3CE871AE">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6F9EBA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955D7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33</w:t>
            </w:r>
          </w:p>
        </w:tc>
        <w:tc>
          <w:tcPr>
            <w:tcW w:w="1166" w:type="dxa"/>
            <w:tcBorders>
              <w:tl2br w:val="nil"/>
              <w:tr2bl w:val="nil"/>
            </w:tcBorders>
            <w:shd w:val="clear" w:color="auto" w:fill="auto"/>
            <w:vAlign w:val="center"/>
          </w:tcPr>
          <w:p w14:paraId="7FDB386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角向磨光机</w:t>
            </w:r>
          </w:p>
        </w:tc>
        <w:tc>
          <w:tcPr>
            <w:tcW w:w="8573" w:type="dxa"/>
            <w:tcBorders>
              <w:tl2br w:val="nil"/>
              <w:tr2bl w:val="nil"/>
            </w:tcBorders>
            <w:shd w:val="clear" w:color="auto" w:fill="auto"/>
            <w:vAlign w:val="center"/>
          </w:tcPr>
          <w:p w14:paraId="689CC155">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额定电压220V；额定频率50HZ；输入功率600W；空载转速13000r/min；磨光片直径100mm</w:t>
            </w:r>
          </w:p>
        </w:tc>
        <w:tc>
          <w:tcPr>
            <w:tcW w:w="816" w:type="dxa"/>
            <w:tcBorders>
              <w:tl2br w:val="nil"/>
              <w:tr2bl w:val="nil"/>
            </w:tcBorders>
            <w:shd w:val="clear" w:color="auto" w:fill="auto"/>
            <w:vAlign w:val="center"/>
          </w:tcPr>
          <w:p w14:paraId="1FAD01C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5B7E125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0ACEEB6F">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365EA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3C58A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34</w:t>
            </w:r>
          </w:p>
        </w:tc>
        <w:tc>
          <w:tcPr>
            <w:tcW w:w="1166" w:type="dxa"/>
            <w:tcBorders>
              <w:tl2br w:val="nil"/>
              <w:tr2bl w:val="nil"/>
            </w:tcBorders>
            <w:shd w:val="clear" w:color="auto" w:fill="auto"/>
            <w:vAlign w:val="center"/>
          </w:tcPr>
          <w:p w14:paraId="04A2146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温度计</w:t>
            </w:r>
          </w:p>
        </w:tc>
        <w:tc>
          <w:tcPr>
            <w:tcW w:w="8573" w:type="dxa"/>
            <w:tcBorders>
              <w:tl2br w:val="nil"/>
              <w:tr2bl w:val="nil"/>
            </w:tcBorders>
            <w:shd w:val="clear" w:color="auto" w:fill="auto"/>
            <w:vAlign w:val="center"/>
          </w:tcPr>
          <w:p w14:paraId="7218CCF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塑料基板，可悬挂，温度计玻璃材质，红液，0℃～50℃</w:t>
            </w:r>
          </w:p>
        </w:tc>
        <w:tc>
          <w:tcPr>
            <w:tcW w:w="816" w:type="dxa"/>
            <w:tcBorders>
              <w:tl2br w:val="nil"/>
              <w:tr2bl w:val="nil"/>
            </w:tcBorders>
            <w:shd w:val="clear" w:color="auto" w:fill="auto"/>
            <w:vAlign w:val="center"/>
          </w:tcPr>
          <w:p w14:paraId="15EBF88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F83A13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7FECA52A">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7BE87B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66DE9EF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35</w:t>
            </w:r>
          </w:p>
        </w:tc>
        <w:tc>
          <w:tcPr>
            <w:tcW w:w="1166" w:type="dxa"/>
            <w:tcBorders>
              <w:tl2br w:val="nil"/>
              <w:tr2bl w:val="nil"/>
            </w:tcBorders>
            <w:shd w:val="clear" w:color="auto" w:fill="auto"/>
            <w:vAlign w:val="center"/>
          </w:tcPr>
          <w:p w14:paraId="36BD94F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湿度计</w:t>
            </w:r>
          </w:p>
        </w:tc>
        <w:tc>
          <w:tcPr>
            <w:tcW w:w="8573" w:type="dxa"/>
            <w:tcBorders>
              <w:tl2br w:val="nil"/>
              <w:tr2bl w:val="nil"/>
            </w:tcBorders>
            <w:shd w:val="clear" w:color="auto" w:fill="auto"/>
            <w:vAlign w:val="center"/>
          </w:tcPr>
          <w:p w14:paraId="350D1D6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指针式</w:t>
            </w:r>
          </w:p>
        </w:tc>
        <w:tc>
          <w:tcPr>
            <w:tcW w:w="816" w:type="dxa"/>
            <w:tcBorders>
              <w:tl2br w:val="nil"/>
              <w:tr2bl w:val="nil"/>
            </w:tcBorders>
            <w:shd w:val="clear" w:color="auto" w:fill="auto"/>
            <w:vAlign w:val="center"/>
          </w:tcPr>
          <w:p w14:paraId="3BED8B3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2B8C158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个</w:t>
            </w:r>
          </w:p>
        </w:tc>
        <w:tc>
          <w:tcPr>
            <w:tcW w:w="2796" w:type="dxa"/>
            <w:tcBorders>
              <w:tl2br w:val="nil"/>
              <w:tr2bl w:val="nil"/>
            </w:tcBorders>
            <w:shd w:val="clear" w:color="auto" w:fill="auto"/>
            <w:vAlign w:val="center"/>
          </w:tcPr>
          <w:p w14:paraId="0885E3A2">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3E18E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D3176E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36</w:t>
            </w:r>
          </w:p>
        </w:tc>
        <w:tc>
          <w:tcPr>
            <w:tcW w:w="1166" w:type="dxa"/>
            <w:tcBorders>
              <w:tl2br w:val="nil"/>
              <w:tr2bl w:val="nil"/>
            </w:tcBorders>
            <w:shd w:val="clear" w:color="auto" w:fill="auto"/>
            <w:vAlign w:val="center"/>
          </w:tcPr>
          <w:p w14:paraId="2ECDE42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照度计</w:t>
            </w:r>
          </w:p>
        </w:tc>
        <w:tc>
          <w:tcPr>
            <w:tcW w:w="8573" w:type="dxa"/>
            <w:tcBorders>
              <w:tl2br w:val="nil"/>
              <w:tr2bl w:val="nil"/>
            </w:tcBorders>
            <w:shd w:val="clear" w:color="auto" w:fill="auto"/>
            <w:vAlign w:val="center"/>
          </w:tcPr>
          <w:p w14:paraId="6814452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显示：3 1/2位液晶显示屏；显示最大读数：1999；量程：2000/20000/50000lux；超量程显示：最高位显示“1”；准确度：±4%rdg±0.5%f.s；电源：单个6F 22 9V电池；取样率：2.0次/秒；电池寿命：连续使用约200小时；重复测试：优于±2%；重量：约200g（包含电池在内）</w:t>
            </w:r>
          </w:p>
        </w:tc>
        <w:tc>
          <w:tcPr>
            <w:tcW w:w="816" w:type="dxa"/>
            <w:tcBorders>
              <w:tl2br w:val="nil"/>
              <w:tr2bl w:val="nil"/>
            </w:tcBorders>
            <w:shd w:val="clear" w:color="auto" w:fill="auto"/>
            <w:vAlign w:val="center"/>
          </w:tcPr>
          <w:p w14:paraId="0EA4993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2F5CF4D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53A0481">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518572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CC9A49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37</w:t>
            </w:r>
          </w:p>
        </w:tc>
        <w:tc>
          <w:tcPr>
            <w:tcW w:w="1166" w:type="dxa"/>
            <w:tcBorders>
              <w:tl2br w:val="nil"/>
              <w:tr2bl w:val="nil"/>
            </w:tcBorders>
            <w:shd w:val="clear" w:color="auto" w:fill="auto"/>
            <w:vAlign w:val="center"/>
          </w:tcPr>
          <w:p w14:paraId="27F164E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激光测距仪</w:t>
            </w:r>
          </w:p>
        </w:tc>
        <w:tc>
          <w:tcPr>
            <w:tcW w:w="8573" w:type="dxa"/>
            <w:tcBorders>
              <w:tl2br w:val="nil"/>
              <w:tr2bl w:val="nil"/>
            </w:tcBorders>
            <w:shd w:val="clear" w:color="auto" w:fill="auto"/>
            <w:vAlign w:val="center"/>
          </w:tcPr>
          <w:p w14:paraId="7D98951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测量范围：0.05-40M,精度：0.001米毫米级测量，特性：可连续测量，长度测量，面积测量，勾股测量，体积测量，误差：±2mm</w:t>
            </w:r>
          </w:p>
        </w:tc>
        <w:tc>
          <w:tcPr>
            <w:tcW w:w="816" w:type="dxa"/>
            <w:tcBorders>
              <w:tl2br w:val="nil"/>
              <w:tr2bl w:val="nil"/>
            </w:tcBorders>
            <w:shd w:val="clear" w:color="auto" w:fill="auto"/>
            <w:vAlign w:val="center"/>
          </w:tcPr>
          <w:p w14:paraId="1846891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0704A2A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0F58B17C">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40292E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040C6F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38</w:t>
            </w:r>
          </w:p>
        </w:tc>
        <w:tc>
          <w:tcPr>
            <w:tcW w:w="1166" w:type="dxa"/>
            <w:tcBorders>
              <w:tl2br w:val="nil"/>
              <w:tr2bl w:val="nil"/>
            </w:tcBorders>
            <w:shd w:val="clear" w:color="auto" w:fill="auto"/>
            <w:vAlign w:val="center"/>
          </w:tcPr>
          <w:p w14:paraId="2C5B2EE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打孔器</w:t>
            </w:r>
          </w:p>
        </w:tc>
        <w:tc>
          <w:tcPr>
            <w:tcW w:w="8573" w:type="dxa"/>
            <w:tcBorders>
              <w:tl2br w:val="nil"/>
              <w:tr2bl w:val="nil"/>
            </w:tcBorders>
            <w:shd w:val="clear" w:color="auto" w:fill="auto"/>
            <w:vAlign w:val="center"/>
          </w:tcPr>
          <w:p w14:paraId="3CC99D7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四件套，1、产品为手持式打孔器。要求用优质钢材制造，空心结构，一端带柄，另一端有刃（经热处理工艺加工），刃口平整、锋利、无崩口及卷刃，其外径分别为6mm、8mm、10mm，长度：≥100mm。 2、通条用Φ2.8mm碳素钢丝制成。3、空管与手柄焊接牢固，焊接面光滑。                                     4、产品整体做防锈处理，表面无锈蚀，无毛刺。</w:t>
            </w:r>
          </w:p>
        </w:tc>
        <w:tc>
          <w:tcPr>
            <w:tcW w:w="816" w:type="dxa"/>
            <w:tcBorders>
              <w:tl2br w:val="nil"/>
              <w:tr2bl w:val="nil"/>
            </w:tcBorders>
            <w:shd w:val="clear" w:color="auto" w:fill="auto"/>
            <w:vAlign w:val="center"/>
          </w:tcPr>
          <w:p w14:paraId="5D21988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3245818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51D2EEF9">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77053B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F924C8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39</w:t>
            </w:r>
          </w:p>
        </w:tc>
        <w:tc>
          <w:tcPr>
            <w:tcW w:w="1166" w:type="dxa"/>
            <w:tcBorders>
              <w:tl2br w:val="nil"/>
              <w:tr2bl w:val="nil"/>
            </w:tcBorders>
            <w:shd w:val="clear" w:color="auto" w:fill="auto"/>
            <w:vAlign w:val="center"/>
          </w:tcPr>
          <w:p w14:paraId="6C5AED5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双把拉铆枪</w:t>
            </w:r>
          </w:p>
        </w:tc>
        <w:tc>
          <w:tcPr>
            <w:tcW w:w="8573" w:type="dxa"/>
            <w:tcBorders>
              <w:tl2br w:val="nil"/>
              <w:tr2bl w:val="nil"/>
            </w:tcBorders>
            <w:shd w:val="clear" w:color="auto" w:fill="auto"/>
            <w:vAlign w:val="center"/>
          </w:tcPr>
          <w:p w14:paraId="3E61A35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￠2.4mm￠3.2mm；双手用</w:t>
            </w:r>
          </w:p>
        </w:tc>
        <w:tc>
          <w:tcPr>
            <w:tcW w:w="816" w:type="dxa"/>
            <w:tcBorders>
              <w:tl2br w:val="nil"/>
              <w:tr2bl w:val="nil"/>
            </w:tcBorders>
            <w:shd w:val="clear" w:color="auto" w:fill="auto"/>
            <w:vAlign w:val="center"/>
          </w:tcPr>
          <w:p w14:paraId="06C4101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1BF78F7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C64B92A">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7F8AB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0FF00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40</w:t>
            </w:r>
          </w:p>
        </w:tc>
        <w:tc>
          <w:tcPr>
            <w:tcW w:w="1166" w:type="dxa"/>
            <w:tcBorders>
              <w:tl2br w:val="nil"/>
              <w:tr2bl w:val="nil"/>
            </w:tcBorders>
            <w:shd w:val="clear" w:color="auto" w:fill="auto"/>
            <w:vAlign w:val="center"/>
          </w:tcPr>
          <w:p w14:paraId="33FE3D0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木工锯</w:t>
            </w:r>
          </w:p>
        </w:tc>
        <w:tc>
          <w:tcPr>
            <w:tcW w:w="8573" w:type="dxa"/>
            <w:tcBorders>
              <w:tl2br w:val="nil"/>
              <w:tr2bl w:val="nil"/>
            </w:tcBorders>
            <w:shd w:val="clear" w:color="auto" w:fill="auto"/>
            <w:vAlign w:val="center"/>
          </w:tcPr>
          <w:p w14:paraId="0C5F351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400mm，齿距2.5mm，框架式，木材表面光滑，两头用硬木，中间横档用杉木，表面涂清漆。锯条端力握手一边木框的距离30mm，该端锯条倒角。一头固定（45°）。开好锯路，锯口有安全包扎。</w:t>
            </w:r>
          </w:p>
        </w:tc>
        <w:tc>
          <w:tcPr>
            <w:tcW w:w="816" w:type="dxa"/>
            <w:tcBorders>
              <w:tl2br w:val="nil"/>
              <w:tr2bl w:val="nil"/>
            </w:tcBorders>
            <w:shd w:val="clear" w:color="auto" w:fill="auto"/>
            <w:vAlign w:val="center"/>
          </w:tcPr>
          <w:p w14:paraId="4F990E1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C19BA7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39FB6F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28E56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FD0EB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41</w:t>
            </w:r>
          </w:p>
        </w:tc>
        <w:tc>
          <w:tcPr>
            <w:tcW w:w="1166" w:type="dxa"/>
            <w:tcBorders>
              <w:tl2br w:val="nil"/>
              <w:tr2bl w:val="nil"/>
            </w:tcBorders>
            <w:shd w:val="clear" w:color="auto" w:fill="auto"/>
            <w:vAlign w:val="center"/>
          </w:tcPr>
          <w:p w14:paraId="1EB3402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手工刀锯</w:t>
            </w:r>
          </w:p>
        </w:tc>
        <w:tc>
          <w:tcPr>
            <w:tcW w:w="8573" w:type="dxa"/>
            <w:tcBorders>
              <w:tl2br w:val="nil"/>
              <w:tr2bl w:val="nil"/>
            </w:tcBorders>
            <w:shd w:val="clear" w:color="auto" w:fill="auto"/>
            <w:vAlign w:val="center"/>
          </w:tcPr>
          <w:p w14:paraId="15B947A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总长：305mm；工作长度：150mm；锯片厚：0.6mm；齿面TPI：17；木柄</w:t>
            </w:r>
          </w:p>
        </w:tc>
        <w:tc>
          <w:tcPr>
            <w:tcW w:w="816" w:type="dxa"/>
            <w:tcBorders>
              <w:tl2br w:val="nil"/>
              <w:tr2bl w:val="nil"/>
            </w:tcBorders>
            <w:shd w:val="clear" w:color="auto" w:fill="auto"/>
            <w:vAlign w:val="center"/>
          </w:tcPr>
          <w:p w14:paraId="34451D8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DC4CEB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72739923">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43D57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951FAD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42</w:t>
            </w:r>
          </w:p>
        </w:tc>
        <w:tc>
          <w:tcPr>
            <w:tcW w:w="1166" w:type="dxa"/>
            <w:tcBorders>
              <w:tl2br w:val="nil"/>
              <w:tr2bl w:val="nil"/>
            </w:tcBorders>
            <w:shd w:val="clear" w:color="auto" w:fill="auto"/>
            <w:vAlign w:val="center"/>
          </w:tcPr>
          <w:p w14:paraId="3FC8217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拔料器</w:t>
            </w:r>
          </w:p>
        </w:tc>
        <w:tc>
          <w:tcPr>
            <w:tcW w:w="8573" w:type="dxa"/>
            <w:tcBorders>
              <w:tl2br w:val="nil"/>
              <w:tr2bl w:val="nil"/>
            </w:tcBorders>
            <w:shd w:val="clear" w:color="auto" w:fill="auto"/>
            <w:vAlign w:val="center"/>
          </w:tcPr>
          <w:p w14:paraId="759A9510">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由冲头、旋转可调靠模、锁紧手柄、下压手柄和放大镜组成；材质：高碳钢+锌合金；规格：180mm；重量：285g；用途：开木工锯条锯路。</w:t>
            </w:r>
          </w:p>
        </w:tc>
        <w:tc>
          <w:tcPr>
            <w:tcW w:w="816" w:type="dxa"/>
            <w:tcBorders>
              <w:tl2br w:val="nil"/>
              <w:tr2bl w:val="nil"/>
            </w:tcBorders>
            <w:shd w:val="clear" w:color="auto" w:fill="auto"/>
            <w:vAlign w:val="center"/>
          </w:tcPr>
          <w:p w14:paraId="50A6E2C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C76B7A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09682FB6">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4562B9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98A371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43</w:t>
            </w:r>
          </w:p>
        </w:tc>
        <w:tc>
          <w:tcPr>
            <w:tcW w:w="1166" w:type="dxa"/>
            <w:tcBorders>
              <w:tl2br w:val="nil"/>
              <w:tr2bl w:val="nil"/>
            </w:tcBorders>
            <w:shd w:val="clear" w:color="auto" w:fill="auto"/>
            <w:vAlign w:val="center"/>
          </w:tcPr>
          <w:p w14:paraId="4578A5C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砂纸板</w:t>
            </w:r>
          </w:p>
        </w:tc>
        <w:tc>
          <w:tcPr>
            <w:tcW w:w="8573" w:type="dxa"/>
            <w:tcBorders>
              <w:tl2br w:val="nil"/>
              <w:tr2bl w:val="nil"/>
            </w:tcBorders>
            <w:shd w:val="clear" w:color="auto" w:fill="auto"/>
            <w:vAlign w:val="center"/>
          </w:tcPr>
          <w:p w14:paraId="0EDD1E0F">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规格：185*85*65mm；ABS手柄，合金弹簧，高密度海绵底板，净重：1.55g</w:t>
            </w:r>
          </w:p>
        </w:tc>
        <w:tc>
          <w:tcPr>
            <w:tcW w:w="816" w:type="dxa"/>
            <w:tcBorders>
              <w:tl2br w:val="nil"/>
              <w:tr2bl w:val="nil"/>
            </w:tcBorders>
            <w:shd w:val="clear" w:color="auto" w:fill="auto"/>
            <w:vAlign w:val="center"/>
          </w:tcPr>
          <w:p w14:paraId="778ADBE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30F4C9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4ADA6762">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432738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9D0313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44</w:t>
            </w:r>
          </w:p>
        </w:tc>
        <w:tc>
          <w:tcPr>
            <w:tcW w:w="1166" w:type="dxa"/>
            <w:tcBorders>
              <w:tl2br w:val="nil"/>
              <w:tr2bl w:val="nil"/>
            </w:tcBorders>
            <w:shd w:val="clear" w:color="auto" w:fill="auto"/>
            <w:vAlign w:val="center"/>
          </w:tcPr>
          <w:p w14:paraId="052A213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USB便携式电烙铁</w:t>
            </w:r>
          </w:p>
        </w:tc>
        <w:tc>
          <w:tcPr>
            <w:tcW w:w="8573" w:type="dxa"/>
            <w:tcBorders>
              <w:tl2br w:val="nil"/>
              <w:tr2bl w:val="nil"/>
            </w:tcBorders>
            <w:shd w:val="clear" w:color="auto" w:fill="auto"/>
            <w:vAlign w:val="center"/>
          </w:tcPr>
          <w:p w14:paraId="10647437">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规格尺寸：φ16.5*207mm；5V/8W，线长1200mm；无铅发热芯烙铁头，，插拔式设计，可更换。LED指示灯，多种插电方式：可配合充电宝输出，5V充电宝和USB输出下工作。</w:t>
            </w:r>
          </w:p>
        </w:tc>
        <w:tc>
          <w:tcPr>
            <w:tcW w:w="816" w:type="dxa"/>
            <w:tcBorders>
              <w:tl2br w:val="nil"/>
              <w:tr2bl w:val="nil"/>
            </w:tcBorders>
            <w:shd w:val="clear" w:color="auto" w:fill="auto"/>
            <w:vAlign w:val="center"/>
          </w:tcPr>
          <w:p w14:paraId="34618AE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3197C5B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6D3D24F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3DA5E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8" w:hRule="atLeast"/>
        </w:trPr>
        <w:tc>
          <w:tcPr>
            <w:tcW w:w="786" w:type="dxa"/>
            <w:tcBorders>
              <w:tl2br w:val="nil"/>
              <w:tr2bl w:val="nil"/>
            </w:tcBorders>
            <w:shd w:val="clear" w:color="auto" w:fill="auto"/>
            <w:vAlign w:val="center"/>
          </w:tcPr>
          <w:p w14:paraId="2349644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45</w:t>
            </w:r>
          </w:p>
        </w:tc>
        <w:tc>
          <w:tcPr>
            <w:tcW w:w="1166" w:type="dxa"/>
            <w:tcBorders>
              <w:tl2br w:val="nil"/>
              <w:tr2bl w:val="nil"/>
            </w:tcBorders>
            <w:shd w:val="clear" w:color="auto" w:fill="auto"/>
            <w:vAlign w:val="center"/>
          </w:tcPr>
          <w:p w14:paraId="2C9E01C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镊子</w:t>
            </w:r>
          </w:p>
        </w:tc>
        <w:tc>
          <w:tcPr>
            <w:tcW w:w="8573" w:type="dxa"/>
            <w:tcBorders>
              <w:tl2br w:val="nil"/>
              <w:tr2bl w:val="nil"/>
            </w:tcBorders>
            <w:shd w:val="clear" w:color="auto" w:fill="auto"/>
            <w:vAlign w:val="center"/>
          </w:tcPr>
          <w:p w14:paraId="704C863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不锈钢四件套，交叉、尖头、宽头、弯嘴四种。</w:t>
            </w:r>
          </w:p>
        </w:tc>
        <w:tc>
          <w:tcPr>
            <w:tcW w:w="816" w:type="dxa"/>
            <w:tcBorders>
              <w:tl2br w:val="nil"/>
              <w:tr2bl w:val="nil"/>
            </w:tcBorders>
            <w:shd w:val="clear" w:color="auto" w:fill="auto"/>
            <w:vAlign w:val="center"/>
          </w:tcPr>
          <w:p w14:paraId="349AD55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0B5B504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套</w:t>
            </w:r>
          </w:p>
        </w:tc>
        <w:tc>
          <w:tcPr>
            <w:tcW w:w="2796" w:type="dxa"/>
            <w:tcBorders>
              <w:tl2br w:val="nil"/>
              <w:tr2bl w:val="nil"/>
            </w:tcBorders>
            <w:shd w:val="clear" w:color="auto" w:fill="auto"/>
            <w:vAlign w:val="center"/>
          </w:tcPr>
          <w:p w14:paraId="10C1D4D4">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671D8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A1653B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46</w:t>
            </w:r>
          </w:p>
        </w:tc>
        <w:tc>
          <w:tcPr>
            <w:tcW w:w="1166" w:type="dxa"/>
            <w:tcBorders>
              <w:tl2br w:val="nil"/>
              <w:tr2bl w:val="nil"/>
            </w:tcBorders>
            <w:shd w:val="clear" w:color="auto" w:fill="auto"/>
            <w:vAlign w:val="center"/>
          </w:tcPr>
          <w:p w14:paraId="78C0E29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通针</w:t>
            </w:r>
          </w:p>
        </w:tc>
        <w:tc>
          <w:tcPr>
            <w:tcW w:w="8573" w:type="dxa"/>
            <w:tcBorders>
              <w:tl2br w:val="nil"/>
              <w:tr2bl w:val="nil"/>
            </w:tcBorders>
            <w:shd w:val="clear" w:color="auto" w:fill="auto"/>
            <w:vAlign w:val="center"/>
          </w:tcPr>
          <w:p w14:paraId="7769CBF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每盒8种规格，有手柄，不锈钢空芯针，不沾锡，用于焊接拆卸电子元器件脚。</w:t>
            </w:r>
          </w:p>
        </w:tc>
        <w:tc>
          <w:tcPr>
            <w:tcW w:w="816" w:type="dxa"/>
            <w:tcBorders>
              <w:tl2br w:val="nil"/>
              <w:tr2bl w:val="nil"/>
            </w:tcBorders>
            <w:shd w:val="clear" w:color="auto" w:fill="auto"/>
            <w:vAlign w:val="center"/>
          </w:tcPr>
          <w:p w14:paraId="565C4B3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371B94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盒</w:t>
            </w:r>
          </w:p>
        </w:tc>
        <w:tc>
          <w:tcPr>
            <w:tcW w:w="2796" w:type="dxa"/>
            <w:tcBorders>
              <w:tl2br w:val="nil"/>
              <w:tr2bl w:val="nil"/>
            </w:tcBorders>
            <w:shd w:val="clear" w:color="auto" w:fill="auto"/>
            <w:vAlign w:val="center"/>
          </w:tcPr>
          <w:p w14:paraId="2DCD775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0B4ED3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F8D2FE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47</w:t>
            </w:r>
          </w:p>
        </w:tc>
        <w:tc>
          <w:tcPr>
            <w:tcW w:w="1166" w:type="dxa"/>
            <w:tcBorders>
              <w:tl2br w:val="nil"/>
              <w:tr2bl w:val="nil"/>
            </w:tcBorders>
            <w:shd w:val="clear" w:color="auto" w:fill="auto"/>
            <w:vAlign w:val="center"/>
          </w:tcPr>
          <w:p w14:paraId="599E3C9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夹持器</w:t>
            </w:r>
          </w:p>
        </w:tc>
        <w:tc>
          <w:tcPr>
            <w:tcW w:w="8573" w:type="dxa"/>
            <w:tcBorders>
              <w:tl2br w:val="nil"/>
              <w:tr2bl w:val="nil"/>
            </w:tcBorders>
            <w:shd w:val="clear" w:color="auto" w:fill="auto"/>
            <w:vAlign w:val="center"/>
          </w:tcPr>
          <w:p w14:paraId="0906711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质：铸铁、镜片；镜片直径：62mm；杆子长度：260mm；由一个放大镜、双机械臂、紧定钳、烙铁架构成。这三个部分均可任意旋转方向，用于微电子领域，是一款用途广泛的精密维修工具。用于细小物件的观察、维修，线路板(特别是高密度，精密线路板)的焊接等场合。</w:t>
            </w:r>
          </w:p>
        </w:tc>
        <w:tc>
          <w:tcPr>
            <w:tcW w:w="816" w:type="dxa"/>
            <w:tcBorders>
              <w:tl2br w:val="nil"/>
              <w:tr2bl w:val="nil"/>
            </w:tcBorders>
            <w:shd w:val="clear" w:color="auto" w:fill="auto"/>
            <w:vAlign w:val="center"/>
          </w:tcPr>
          <w:p w14:paraId="107049A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56A82C5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4D4919B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25ADFE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85B866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48</w:t>
            </w:r>
          </w:p>
        </w:tc>
        <w:tc>
          <w:tcPr>
            <w:tcW w:w="1166" w:type="dxa"/>
            <w:tcBorders>
              <w:tl2br w:val="nil"/>
              <w:tr2bl w:val="nil"/>
            </w:tcBorders>
            <w:shd w:val="clear" w:color="auto" w:fill="auto"/>
            <w:vAlign w:val="center"/>
          </w:tcPr>
          <w:p w14:paraId="4062C74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拉花锯</w:t>
            </w:r>
          </w:p>
        </w:tc>
        <w:tc>
          <w:tcPr>
            <w:tcW w:w="8573" w:type="dxa"/>
            <w:tcBorders>
              <w:tl2br w:val="nil"/>
              <w:tr2bl w:val="nil"/>
            </w:tcBorders>
            <w:shd w:val="clear" w:color="auto" w:fill="auto"/>
            <w:vAlign w:val="center"/>
          </w:tcPr>
          <w:p w14:paraId="071D657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锯身总长300mm；锯条长度150mm，弓背高度130mm；手柄材质：塑料</w:t>
            </w:r>
          </w:p>
        </w:tc>
        <w:tc>
          <w:tcPr>
            <w:tcW w:w="816" w:type="dxa"/>
            <w:tcBorders>
              <w:tl2br w:val="nil"/>
              <w:tr2bl w:val="nil"/>
            </w:tcBorders>
            <w:shd w:val="clear" w:color="auto" w:fill="auto"/>
            <w:vAlign w:val="center"/>
          </w:tcPr>
          <w:p w14:paraId="3CE9FF4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7</w:t>
            </w:r>
          </w:p>
        </w:tc>
        <w:tc>
          <w:tcPr>
            <w:tcW w:w="498" w:type="dxa"/>
            <w:tcBorders>
              <w:tl2br w:val="nil"/>
              <w:tr2bl w:val="nil"/>
            </w:tcBorders>
            <w:shd w:val="clear" w:color="auto" w:fill="auto"/>
            <w:vAlign w:val="center"/>
          </w:tcPr>
          <w:p w14:paraId="7AA5BB0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217512BF">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4EAEB9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6BA659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49</w:t>
            </w:r>
          </w:p>
        </w:tc>
        <w:tc>
          <w:tcPr>
            <w:tcW w:w="1166" w:type="dxa"/>
            <w:tcBorders>
              <w:tl2br w:val="nil"/>
              <w:tr2bl w:val="nil"/>
            </w:tcBorders>
            <w:shd w:val="clear" w:color="auto" w:fill="auto"/>
            <w:vAlign w:val="center"/>
          </w:tcPr>
          <w:p w14:paraId="3651F0F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热熔胶枪</w:t>
            </w:r>
          </w:p>
        </w:tc>
        <w:tc>
          <w:tcPr>
            <w:tcW w:w="8573" w:type="dxa"/>
            <w:tcBorders>
              <w:tl2br w:val="nil"/>
              <w:tr2bl w:val="nil"/>
            </w:tcBorders>
            <w:shd w:val="clear" w:color="auto" w:fill="auto"/>
            <w:vAlign w:val="center"/>
          </w:tcPr>
          <w:p w14:paraId="4B2B4A9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220V，60W；PTC热敏原件，外壳采用高压ABS材质；内置保险丝、枪嘴材质：铝合金；适用11-11.5mm热熔胶棒；预热时间：1-2分钟，规格尺寸：128*110mm；电线长度：≥90mm；安全符合国家标准</w:t>
            </w:r>
          </w:p>
        </w:tc>
        <w:tc>
          <w:tcPr>
            <w:tcW w:w="816" w:type="dxa"/>
            <w:tcBorders>
              <w:tl2br w:val="nil"/>
              <w:tr2bl w:val="nil"/>
            </w:tcBorders>
            <w:shd w:val="clear" w:color="auto" w:fill="auto"/>
            <w:vAlign w:val="center"/>
          </w:tcPr>
          <w:p w14:paraId="4ED0BFA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7</w:t>
            </w:r>
          </w:p>
        </w:tc>
        <w:tc>
          <w:tcPr>
            <w:tcW w:w="498" w:type="dxa"/>
            <w:tcBorders>
              <w:tl2br w:val="nil"/>
              <w:tr2bl w:val="nil"/>
            </w:tcBorders>
            <w:shd w:val="clear" w:color="auto" w:fill="auto"/>
            <w:vAlign w:val="center"/>
          </w:tcPr>
          <w:p w14:paraId="79278CE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314E91DF">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11266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485BE3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50</w:t>
            </w:r>
          </w:p>
        </w:tc>
        <w:tc>
          <w:tcPr>
            <w:tcW w:w="1166" w:type="dxa"/>
            <w:tcBorders>
              <w:tl2br w:val="nil"/>
              <w:tr2bl w:val="nil"/>
            </w:tcBorders>
            <w:shd w:val="clear" w:color="auto" w:fill="auto"/>
            <w:vAlign w:val="center"/>
          </w:tcPr>
          <w:p w14:paraId="740A156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塑料焊枪</w:t>
            </w:r>
          </w:p>
        </w:tc>
        <w:tc>
          <w:tcPr>
            <w:tcW w:w="8573" w:type="dxa"/>
            <w:tcBorders>
              <w:tl2br w:val="nil"/>
              <w:tr2bl w:val="nil"/>
            </w:tcBorders>
            <w:shd w:val="clear" w:color="auto" w:fill="auto"/>
            <w:vAlign w:val="center"/>
          </w:tcPr>
          <w:p w14:paraId="18DAB40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规格尺寸：275*150*60mm；电压：220V；功率：≥550W；制热温度：50℃-500℃；0.6镍烙丝发热芯；B500K电位器控温；一体式焊接风枪管；可调温；三线插头，安全符合国家标准。</w:t>
            </w:r>
          </w:p>
        </w:tc>
        <w:tc>
          <w:tcPr>
            <w:tcW w:w="816" w:type="dxa"/>
            <w:tcBorders>
              <w:tl2br w:val="nil"/>
              <w:tr2bl w:val="nil"/>
            </w:tcBorders>
            <w:shd w:val="clear" w:color="auto" w:fill="auto"/>
            <w:vAlign w:val="center"/>
          </w:tcPr>
          <w:p w14:paraId="41E6D00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498" w:type="dxa"/>
            <w:tcBorders>
              <w:tl2br w:val="nil"/>
              <w:tr2bl w:val="nil"/>
            </w:tcBorders>
            <w:shd w:val="clear" w:color="auto" w:fill="auto"/>
            <w:vAlign w:val="center"/>
          </w:tcPr>
          <w:p w14:paraId="6C37C808">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把</w:t>
            </w:r>
          </w:p>
        </w:tc>
        <w:tc>
          <w:tcPr>
            <w:tcW w:w="2796" w:type="dxa"/>
            <w:tcBorders>
              <w:tl2br w:val="nil"/>
              <w:tr2bl w:val="nil"/>
            </w:tcBorders>
            <w:shd w:val="clear" w:color="auto" w:fill="auto"/>
            <w:vAlign w:val="center"/>
          </w:tcPr>
          <w:p w14:paraId="605A2299">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397169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B1B01E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51</w:t>
            </w:r>
          </w:p>
        </w:tc>
        <w:tc>
          <w:tcPr>
            <w:tcW w:w="1166" w:type="dxa"/>
            <w:tcBorders>
              <w:tl2br w:val="nil"/>
              <w:tr2bl w:val="nil"/>
            </w:tcBorders>
            <w:shd w:val="clear" w:color="auto" w:fill="auto"/>
            <w:vAlign w:val="center"/>
          </w:tcPr>
          <w:p w14:paraId="1CAAC61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切割垫板</w:t>
            </w:r>
          </w:p>
        </w:tc>
        <w:tc>
          <w:tcPr>
            <w:tcW w:w="8573" w:type="dxa"/>
            <w:tcBorders>
              <w:tl2br w:val="nil"/>
              <w:tr2bl w:val="nil"/>
            </w:tcBorders>
            <w:shd w:val="clear" w:color="auto" w:fill="auto"/>
            <w:vAlign w:val="center"/>
          </w:tcPr>
          <w:p w14:paraId="1F7CC6DB">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规格：A3，450*30mm；材质：PVC；垫板雾面处理，不反光；表面印刷多功能标尺网格线；具有防割自愈合功能；</w:t>
            </w:r>
          </w:p>
        </w:tc>
        <w:tc>
          <w:tcPr>
            <w:tcW w:w="816" w:type="dxa"/>
            <w:tcBorders>
              <w:tl2br w:val="nil"/>
              <w:tr2bl w:val="nil"/>
            </w:tcBorders>
            <w:shd w:val="clear" w:color="auto" w:fill="auto"/>
            <w:vAlign w:val="center"/>
          </w:tcPr>
          <w:p w14:paraId="18370CD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7</w:t>
            </w:r>
          </w:p>
        </w:tc>
        <w:tc>
          <w:tcPr>
            <w:tcW w:w="498" w:type="dxa"/>
            <w:tcBorders>
              <w:tl2br w:val="nil"/>
              <w:tr2bl w:val="nil"/>
            </w:tcBorders>
            <w:shd w:val="clear" w:color="auto" w:fill="auto"/>
            <w:vAlign w:val="center"/>
          </w:tcPr>
          <w:p w14:paraId="5D3F1C2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副</w:t>
            </w:r>
          </w:p>
        </w:tc>
        <w:tc>
          <w:tcPr>
            <w:tcW w:w="2796" w:type="dxa"/>
            <w:tcBorders>
              <w:tl2br w:val="nil"/>
              <w:tr2bl w:val="nil"/>
            </w:tcBorders>
            <w:shd w:val="clear" w:color="auto" w:fill="auto"/>
            <w:vAlign w:val="center"/>
          </w:tcPr>
          <w:p w14:paraId="4B373244">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13C783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4E5195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52</w:t>
            </w:r>
          </w:p>
        </w:tc>
        <w:tc>
          <w:tcPr>
            <w:tcW w:w="1166" w:type="dxa"/>
            <w:tcBorders>
              <w:tl2br w:val="nil"/>
              <w:tr2bl w:val="nil"/>
            </w:tcBorders>
            <w:shd w:val="clear" w:color="auto" w:fill="auto"/>
            <w:vAlign w:val="center"/>
          </w:tcPr>
          <w:p w14:paraId="3E45305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交流手电钻</w:t>
            </w:r>
          </w:p>
        </w:tc>
        <w:tc>
          <w:tcPr>
            <w:tcW w:w="8573" w:type="dxa"/>
            <w:tcBorders>
              <w:tl2br w:val="nil"/>
              <w:tr2bl w:val="nil"/>
            </w:tcBorders>
            <w:shd w:val="clear" w:color="auto" w:fill="auto"/>
            <w:vAlign w:val="center"/>
          </w:tcPr>
          <w:p w14:paraId="1AC8CA13">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符合国家标准GB3883.1。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电压：220V 50Hz；功率：300W；转速：0-2800r/min；三爪钻夹头，钻夹尺寸：1-10mm；铜质机芯；二级减震；锁定按钮：具备自锁功能；正反转向，无极调速；</w:t>
            </w:r>
          </w:p>
        </w:tc>
        <w:tc>
          <w:tcPr>
            <w:tcW w:w="816" w:type="dxa"/>
            <w:tcBorders>
              <w:tl2br w:val="nil"/>
              <w:tr2bl w:val="nil"/>
            </w:tcBorders>
            <w:shd w:val="clear" w:color="auto" w:fill="auto"/>
            <w:vAlign w:val="center"/>
          </w:tcPr>
          <w:p w14:paraId="3EC8ECE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6257494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512A9D94">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0245E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A02E7F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53</w:t>
            </w:r>
          </w:p>
        </w:tc>
        <w:tc>
          <w:tcPr>
            <w:tcW w:w="1166" w:type="dxa"/>
            <w:tcBorders>
              <w:tl2br w:val="nil"/>
              <w:tr2bl w:val="nil"/>
            </w:tcBorders>
            <w:shd w:val="clear" w:color="auto" w:fill="auto"/>
            <w:vAlign w:val="center"/>
          </w:tcPr>
          <w:p w14:paraId="4B60201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直流手电钻</w:t>
            </w:r>
          </w:p>
        </w:tc>
        <w:tc>
          <w:tcPr>
            <w:tcW w:w="8573" w:type="dxa"/>
            <w:tcBorders>
              <w:tl2br w:val="nil"/>
              <w:tr2bl w:val="nil"/>
            </w:tcBorders>
            <w:shd w:val="clear" w:color="auto" w:fill="auto"/>
            <w:vAlign w:val="center"/>
          </w:tcPr>
          <w:p w14:paraId="387772F4">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符合国家标准GB3883.1。</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电压：12V以上；最大扭矩：23Nm；空载转速（r/min）：1400rpm；最大螺钉直径：6mm；在木材中最大钻孔直径：23mm；在钢材中最大钻孔直径：10mm；扭矩设置：18+1；夹头直径：0.8-10mm</w:t>
            </w:r>
          </w:p>
        </w:tc>
        <w:tc>
          <w:tcPr>
            <w:tcW w:w="816" w:type="dxa"/>
            <w:tcBorders>
              <w:tl2br w:val="nil"/>
              <w:tr2bl w:val="nil"/>
            </w:tcBorders>
            <w:shd w:val="clear" w:color="auto" w:fill="auto"/>
            <w:vAlign w:val="center"/>
          </w:tcPr>
          <w:p w14:paraId="13791AAA">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4DFBB08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台</w:t>
            </w:r>
          </w:p>
        </w:tc>
        <w:tc>
          <w:tcPr>
            <w:tcW w:w="2796" w:type="dxa"/>
            <w:tcBorders>
              <w:tl2br w:val="nil"/>
              <w:tr2bl w:val="nil"/>
            </w:tcBorders>
            <w:shd w:val="clear" w:color="auto" w:fill="auto"/>
            <w:vAlign w:val="center"/>
          </w:tcPr>
          <w:p w14:paraId="1C231688">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p>
        </w:tc>
      </w:tr>
      <w:tr w14:paraId="361C1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188A62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54</w:t>
            </w:r>
          </w:p>
        </w:tc>
        <w:tc>
          <w:tcPr>
            <w:tcW w:w="1166" w:type="dxa"/>
            <w:tcBorders>
              <w:tl2br w:val="nil"/>
              <w:tr2bl w:val="nil"/>
            </w:tcBorders>
            <w:shd w:val="clear" w:color="auto" w:fill="auto"/>
            <w:vAlign w:val="center"/>
          </w:tcPr>
          <w:p w14:paraId="03D6F3B0">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w:t>
            </w:r>
          </w:p>
        </w:tc>
        <w:tc>
          <w:tcPr>
            <w:tcW w:w="8573" w:type="dxa"/>
            <w:tcBorders>
              <w:tl2br w:val="nil"/>
              <w:tr2bl w:val="nil"/>
            </w:tcBorders>
            <w:shd w:val="clear" w:color="auto" w:fill="auto"/>
            <w:vAlign w:val="center"/>
          </w:tcPr>
          <w:p w14:paraId="2466F14E">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铝方通吊顶,规格不小于≧75mm*40mm，间距≤100mm,厚度不少于0.5mm，颜色按需定制，材料达到E1级标准。</w:t>
            </w:r>
          </w:p>
        </w:tc>
        <w:tc>
          <w:tcPr>
            <w:tcW w:w="816" w:type="dxa"/>
            <w:tcBorders>
              <w:tl2br w:val="nil"/>
              <w:tr2bl w:val="nil"/>
            </w:tcBorders>
            <w:shd w:val="clear" w:color="auto" w:fill="auto"/>
            <w:vAlign w:val="center"/>
          </w:tcPr>
          <w:p w14:paraId="5A67BD3B">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72.80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w:t>
            </w:r>
          </w:p>
        </w:tc>
        <w:tc>
          <w:tcPr>
            <w:tcW w:w="498" w:type="dxa"/>
            <w:tcBorders>
              <w:tl2br w:val="nil"/>
              <w:tr2bl w:val="nil"/>
            </w:tcBorders>
            <w:shd w:val="clear" w:color="auto" w:fill="auto"/>
            <w:vAlign w:val="center"/>
          </w:tcPr>
          <w:p w14:paraId="10EA5A0E">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1FCFF30C">
            <w:pPr>
              <w:rPr>
                <w:rFonts w:hint="eastAsia" w:ascii="宋体" w:hAnsi="宋体" w:eastAsia="宋体" w:cs="宋体"/>
                <w:color w:val="auto"/>
                <w:kern w:val="2"/>
                <w:sz w:val="21"/>
                <w:szCs w:val="24"/>
                <w:vertAlign w:val="baseline"/>
                <w:lang w:val="en-US" w:eastAsia="zh-CN" w:bidi="ar-SA"/>
              </w:rPr>
            </w:pPr>
          </w:p>
        </w:tc>
      </w:tr>
      <w:tr w14:paraId="1D34B1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D2C0B0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55</w:t>
            </w:r>
          </w:p>
        </w:tc>
        <w:tc>
          <w:tcPr>
            <w:tcW w:w="1166" w:type="dxa"/>
            <w:tcBorders>
              <w:tl2br w:val="nil"/>
              <w:tr2bl w:val="nil"/>
            </w:tcBorders>
            <w:shd w:val="clear" w:color="auto" w:fill="auto"/>
            <w:vAlign w:val="center"/>
          </w:tcPr>
          <w:p w14:paraId="6B915C6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顶面LED条形灯</w:t>
            </w:r>
          </w:p>
        </w:tc>
        <w:tc>
          <w:tcPr>
            <w:tcW w:w="8573" w:type="dxa"/>
            <w:tcBorders>
              <w:tl2br w:val="nil"/>
              <w:tr2bl w:val="nil"/>
            </w:tcBorders>
            <w:shd w:val="clear" w:color="auto" w:fill="auto"/>
            <w:vAlign w:val="center"/>
          </w:tcPr>
          <w:p w14:paraId="1A1FEDAD">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1.LED环保条形灯，LED灯具尺寸：≥1200mm*100mm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2.外壳材质：≥1.4mm黑色铝材灯框，亚克力白色灯罩；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4.光源功率：≥18W ；光通量：≥1190Lm ；显色指数：≥80；灯光线路采用黑色专用套管，整体灯光亮度符合国家中小学专用教室照明设计规范。</w:t>
            </w:r>
          </w:p>
        </w:tc>
        <w:tc>
          <w:tcPr>
            <w:tcW w:w="816" w:type="dxa"/>
            <w:tcBorders>
              <w:tl2br w:val="nil"/>
              <w:tr2bl w:val="nil"/>
            </w:tcBorders>
            <w:shd w:val="clear" w:color="auto" w:fill="auto"/>
            <w:vAlign w:val="center"/>
          </w:tcPr>
          <w:p w14:paraId="32B5D2C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26</w:t>
            </w:r>
          </w:p>
        </w:tc>
        <w:tc>
          <w:tcPr>
            <w:tcW w:w="498" w:type="dxa"/>
            <w:tcBorders>
              <w:tl2br w:val="nil"/>
              <w:tr2bl w:val="nil"/>
            </w:tcBorders>
            <w:shd w:val="clear" w:color="auto" w:fill="auto"/>
            <w:vAlign w:val="center"/>
          </w:tcPr>
          <w:p w14:paraId="3A18DCE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盏</w:t>
            </w:r>
          </w:p>
        </w:tc>
        <w:tc>
          <w:tcPr>
            <w:tcW w:w="2796" w:type="dxa"/>
            <w:tcBorders>
              <w:tl2br w:val="nil"/>
              <w:tr2bl w:val="nil"/>
            </w:tcBorders>
            <w:shd w:val="clear" w:color="auto" w:fill="auto"/>
            <w:vAlign w:val="top"/>
          </w:tcPr>
          <w:p w14:paraId="1627B93B">
            <w:pPr>
              <w:rPr>
                <w:rFonts w:hint="eastAsia" w:ascii="宋体" w:hAnsi="宋体" w:eastAsia="宋体" w:cs="宋体"/>
                <w:color w:val="auto"/>
                <w:kern w:val="2"/>
                <w:sz w:val="21"/>
                <w:szCs w:val="24"/>
                <w:vertAlign w:val="baseline"/>
                <w:lang w:val="en-US" w:eastAsia="zh-CN" w:bidi="ar-SA"/>
              </w:rPr>
            </w:pPr>
          </w:p>
        </w:tc>
      </w:tr>
      <w:tr w14:paraId="4CCEA4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2D97EE3">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56</w:t>
            </w:r>
          </w:p>
        </w:tc>
        <w:tc>
          <w:tcPr>
            <w:tcW w:w="1166" w:type="dxa"/>
            <w:tcBorders>
              <w:tl2br w:val="nil"/>
              <w:tr2bl w:val="nil"/>
            </w:tcBorders>
            <w:shd w:val="clear" w:color="auto" w:fill="auto"/>
            <w:vAlign w:val="center"/>
          </w:tcPr>
          <w:p w14:paraId="6116501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洞洞展示板</w:t>
            </w:r>
          </w:p>
        </w:tc>
        <w:tc>
          <w:tcPr>
            <w:tcW w:w="8573" w:type="dxa"/>
            <w:tcBorders>
              <w:tl2br w:val="nil"/>
              <w:tr2bl w:val="nil"/>
            </w:tcBorders>
            <w:shd w:val="clear" w:color="auto" w:fill="auto"/>
            <w:vAlign w:val="center"/>
          </w:tcPr>
          <w:p w14:paraId="09655496">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尺寸：≥600*20*600mm，采用≥16mm厚实木多层免漆板加≥1.0mm厚冷轧镀锌钢板，表面采用高温粉体烤漆，无痕钉固定。</w:t>
            </w:r>
          </w:p>
        </w:tc>
        <w:tc>
          <w:tcPr>
            <w:tcW w:w="816" w:type="dxa"/>
            <w:tcBorders>
              <w:tl2br w:val="nil"/>
              <w:tr2bl w:val="nil"/>
            </w:tcBorders>
            <w:shd w:val="clear" w:color="auto" w:fill="auto"/>
            <w:vAlign w:val="center"/>
          </w:tcPr>
          <w:p w14:paraId="5CBA299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10.00 </w:t>
            </w:r>
          </w:p>
        </w:tc>
        <w:tc>
          <w:tcPr>
            <w:tcW w:w="498" w:type="dxa"/>
            <w:tcBorders>
              <w:tl2br w:val="nil"/>
              <w:tr2bl w:val="nil"/>
            </w:tcBorders>
            <w:shd w:val="clear" w:color="auto" w:fill="auto"/>
            <w:vAlign w:val="center"/>
          </w:tcPr>
          <w:p w14:paraId="27D0C5B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组</w:t>
            </w:r>
          </w:p>
        </w:tc>
        <w:tc>
          <w:tcPr>
            <w:tcW w:w="2796" w:type="dxa"/>
            <w:tcBorders>
              <w:tl2br w:val="nil"/>
              <w:tr2bl w:val="nil"/>
            </w:tcBorders>
            <w:shd w:val="clear" w:color="auto" w:fill="auto"/>
            <w:vAlign w:val="top"/>
          </w:tcPr>
          <w:p w14:paraId="40101BB3">
            <w:pPr>
              <w:rPr>
                <w:rFonts w:hint="eastAsia" w:ascii="宋体" w:hAnsi="宋体" w:eastAsia="宋体" w:cs="宋体"/>
                <w:color w:val="auto"/>
                <w:kern w:val="2"/>
                <w:sz w:val="21"/>
                <w:szCs w:val="24"/>
                <w:vertAlign w:val="baseline"/>
                <w:lang w:val="en-US" w:eastAsia="zh-CN" w:bidi="ar-SA"/>
              </w:rPr>
            </w:pPr>
          </w:p>
        </w:tc>
      </w:tr>
      <w:tr w14:paraId="71EC94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0732F09">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57</w:t>
            </w:r>
          </w:p>
        </w:tc>
        <w:tc>
          <w:tcPr>
            <w:tcW w:w="1166" w:type="dxa"/>
            <w:tcBorders>
              <w:tl2br w:val="nil"/>
              <w:tr2bl w:val="nil"/>
            </w:tcBorders>
            <w:shd w:val="clear" w:color="auto" w:fill="auto"/>
            <w:vAlign w:val="center"/>
          </w:tcPr>
          <w:p w14:paraId="17862147">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涂料</w:t>
            </w:r>
          </w:p>
        </w:tc>
        <w:tc>
          <w:tcPr>
            <w:tcW w:w="8573" w:type="dxa"/>
            <w:tcBorders>
              <w:tl2br w:val="nil"/>
              <w:tr2bl w:val="nil"/>
            </w:tcBorders>
            <w:shd w:val="clear" w:color="auto" w:fill="auto"/>
            <w:vAlign w:val="center"/>
          </w:tcPr>
          <w:p w14:paraId="61B6A37F">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石膏板接缝处满嵌接缝膏，不少于两道抗裂网格布，拉法基和石膏覆盖，找平腻子两道找平，特细滑石粉罩面，3砂纸打磨。喷涂或滚涂一底两面环保乳胶漆</w:t>
            </w:r>
          </w:p>
        </w:tc>
        <w:tc>
          <w:tcPr>
            <w:tcW w:w="816" w:type="dxa"/>
            <w:tcBorders>
              <w:tl2br w:val="nil"/>
              <w:tr2bl w:val="nil"/>
            </w:tcBorders>
            <w:shd w:val="clear" w:color="auto" w:fill="auto"/>
            <w:vAlign w:val="center"/>
          </w:tcPr>
          <w:p w14:paraId="2A88444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187.00 </w:t>
            </w:r>
          </w:p>
        </w:tc>
        <w:tc>
          <w:tcPr>
            <w:tcW w:w="498" w:type="dxa"/>
            <w:tcBorders>
              <w:tl2br w:val="nil"/>
              <w:tr2bl w:val="nil"/>
            </w:tcBorders>
            <w:shd w:val="clear" w:color="auto" w:fill="auto"/>
            <w:vAlign w:val="center"/>
          </w:tcPr>
          <w:p w14:paraId="4D7B49B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M2</w:t>
            </w:r>
          </w:p>
        </w:tc>
        <w:tc>
          <w:tcPr>
            <w:tcW w:w="2796" w:type="dxa"/>
            <w:tcBorders>
              <w:tl2br w:val="nil"/>
              <w:tr2bl w:val="nil"/>
            </w:tcBorders>
            <w:shd w:val="clear" w:color="auto" w:fill="auto"/>
            <w:vAlign w:val="top"/>
          </w:tcPr>
          <w:p w14:paraId="3988DFF8">
            <w:pPr>
              <w:rPr>
                <w:rFonts w:hint="eastAsia" w:ascii="宋体" w:hAnsi="宋体" w:eastAsia="宋体" w:cs="宋体"/>
                <w:color w:val="auto"/>
                <w:kern w:val="2"/>
                <w:sz w:val="21"/>
                <w:szCs w:val="24"/>
                <w:vertAlign w:val="baseline"/>
                <w:lang w:val="en-US" w:eastAsia="zh-CN" w:bidi="ar-SA"/>
              </w:rPr>
            </w:pPr>
          </w:p>
        </w:tc>
      </w:tr>
      <w:tr w14:paraId="7ABBFE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A0571E">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58</w:t>
            </w:r>
          </w:p>
        </w:tc>
        <w:tc>
          <w:tcPr>
            <w:tcW w:w="1166" w:type="dxa"/>
            <w:tcBorders>
              <w:tl2br w:val="nil"/>
              <w:tr2bl w:val="nil"/>
            </w:tcBorders>
            <w:shd w:val="clear" w:color="auto" w:fill="auto"/>
            <w:vAlign w:val="center"/>
          </w:tcPr>
          <w:p w14:paraId="537974CC">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电路</w:t>
            </w:r>
          </w:p>
        </w:tc>
        <w:tc>
          <w:tcPr>
            <w:tcW w:w="8573" w:type="dxa"/>
            <w:tcBorders>
              <w:tl2br w:val="nil"/>
              <w:tr2bl w:val="nil"/>
            </w:tcBorders>
            <w:shd w:val="clear" w:color="auto" w:fill="auto"/>
            <w:vAlign w:val="center"/>
          </w:tcPr>
          <w:p w14:paraId="4FD24774">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7BABB49B">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90.00 </w:t>
            </w:r>
          </w:p>
        </w:tc>
        <w:tc>
          <w:tcPr>
            <w:tcW w:w="498" w:type="dxa"/>
            <w:tcBorders>
              <w:tl2br w:val="nil"/>
              <w:tr2bl w:val="nil"/>
            </w:tcBorders>
            <w:shd w:val="clear" w:color="auto" w:fill="auto"/>
            <w:vAlign w:val="center"/>
          </w:tcPr>
          <w:p w14:paraId="36A91DD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M2</w:t>
            </w:r>
          </w:p>
        </w:tc>
        <w:tc>
          <w:tcPr>
            <w:tcW w:w="2796" w:type="dxa"/>
            <w:tcBorders>
              <w:tl2br w:val="nil"/>
              <w:tr2bl w:val="nil"/>
            </w:tcBorders>
            <w:shd w:val="clear" w:color="auto" w:fill="auto"/>
            <w:vAlign w:val="top"/>
          </w:tcPr>
          <w:p w14:paraId="2FDF1BAF">
            <w:pPr>
              <w:rPr>
                <w:rFonts w:hint="eastAsia" w:ascii="宋体" w:hAnsi="宋体" w:eastAsia="宋体" w:cs="宋体"/>
                <w:color w:val="auto"/>
                <w:kern w:val="2"/>
                <w:sz w:val="21"/>
                <w:szCs w:val="24"/>
                <w:vertAlign w:val="baseline"/>
                <w:lang w:val="en-US" w:eastAsia="zh-CN" w:bidi="ar-SA"/>
              </w:rPr>
            </w:pPr>
          </w:p>
        </w:tc>
      </w:tr>
      <w:tr w14:paraId="4AFA2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58479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59</w:t>
            </w:r>
          </w:p>
        </w:tc>
        <w:tc>
          <w:tcPr>
            <w:tcW w:w="1166" w:type="dxa"/>
            <w:tcBorders>
              <w:tl2br w:val="nil"/>
              <w:tr2bl w:val="nil"/>
            </w:tcBorders>
            <w:shd w:val="clear" w:color="auto" w:fill="auto"/>
            <w:vAlign w:val="center"/>
          </w:tcPr>
          <w:p w14:paraId="54B2A46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装修集成、管理</w:t>
            </w:r>
          </w:p>
        </w:tc>
        <w:tc>
          <w:tcPr>
            <w:tcW w:w="8573" w:type="dxa"/>
            <w:tcBorders>
              <w:tl2br w:val="nil"/>
              <w:tr2bl w:val="nil"/>
            </w:tcBorders>
            <w:shd w:val="clear" w:color="auto" w:fill="auto"/>
            <w:vAlign w:val="center"/>
          </w:tcPr>
          <w:p w14:paraId="34D074E9">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装修材料搬运、垃圾搬运、辅材附件、现场管理，原灯光拆除放置指定位置，综合布线等</w:t>
            </w:r>
          </w:p>
        </w:tc>
        <w:tc>
          <w:tcPr>
            <w:tcW w:w="816" w:type="dxa"/>
            <w:tcBorders>
              <w:tl2br w:val="nil"/>
              <w:tr2bl w:val="nil"/>
            </w:tcBorders>
            <w:shd w:val="clear" w:color="auto" w:fill="auto"/>
            <w:vAlign w:val="center"/>
          </w:tcPr>
          <w:p w14:paraId="4AB4D20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 xml:space="preserve">1.00 </w:t>
            </w:r>
          </w:p>
        </w:tc>
        <w:tc>
          <w:tcPr>
            <w:tcW w:w="498" w:type="dxa"/>
            <w:tcBorders>
              <w:tl2br w:val="nil"/>
              <w:tr2bl w:val="nil"/>
            </w:tcBorders>
            <w:shd w:val="clear" w:color="auto" w:fill="auto"/>
            <w:vAlign w:val="center"/>
          </w:tcPr>
          <w:p w14:paraId="26F1D0F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项</w:t>
            </w:r>
          </w:p>
        </w:tc>
        <w:tc>
          <w:tcPr>
            <w:tcW w:w="2796" w:type="dxa"/>
            <w:tcBorders>
              <w:tl2br w:val="nil"/>
              <w:tr2bl w:val="nil"/>
            </w:tcBorders>
            <w:shd w:val="clear" w:color="auto" w:fill="auto"/>
            <w:vAlign w:val="top"/>
          </w:tcPr>
          <w:p w14:paraId="2C70C521">
            <w:pPr>
              <w:rPr>
                <w:rFonts w:hint="eastAsia" w:ascii="宋体" w:hAnsi="宋体" w:eastAsia="宋体" w:cs="宋体"/>
                <w:color w:val="auto"/>
                <w:kern w:val="2"/>
                <w:sz w:val="21"/>
                <w:szCs w:val="24"/>
                <w:vertAlign w:val="baseline"/>
                <w:lang w:val="en-US" w:eastAsia="zh-CN" w:bidi="ar-SA"/>
              </w:rPr>
            </w:pPr>
          </w:p>
        </w:tc>
      </w:tr>
      <w:tr w14:paraId="55DAE8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AD6630">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60</w:t>
            </w:r>
          </w:p>
        </w:tc>
        <w:tc>
          <w:tcPr>
            <w:tcW w:w="1166" w:type="dxa"/>
            <w:tcBorders>
              <w:tl2br w:val="nil"/>
              <w:tr2bl w:val="nil"/>
            </w:tcBorders>
            <w:shd w:val="clear" w:color="auto" w:fill="auto"/>
            <w:vAlign w:val="center"/>
          </w:tcPr>
          <w:p w14:paraId="7B089BC1">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窗帘</w:t>
            </w:r>
          </w:p>
        </w:tc>
        <w:tc>
          <w:tcPr>
            <w:tcW w:w="8573" w:type="dxa"/>
            <w:tcBorders>
              <w:tl2br w:val="nil"/>
              <w:tr2bl w:val="nil"/>
            </w:tcBorders>
            <w:shd w:val="clear" w:color="auto" w:fill="auto"/>
            <w:vAlign w:val="center"/>
          </w:tcPr>
          <w:p w14:paraId="2AC96882">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定制优质涤纶加厚遮阳文化氛围窗帘</w:t>
            </w:r>
          </w:p>
        </w:tc>
        <w:tc>
          <w:tcPr>
            <w:tcW w:w="816" w:type="dxa"/>
            <w:tcBorders>
              <w:tl2br w:val="nil"/>
              <w:tr2bl w:val="nil"/>
            </w:tcBorders>
            <w:shd w:val="clear" w:color="auto" w:fill="auto"/>
            <w:vAlign w:val="center"/>
          </w:tcPr>
          <w:p w14:paraId="0968C194">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10</w:t>
            </w:r>
          </w:p>
        </w:tc>
        <w:tc>
          <w:tcPr>
            <w:tcW w:w="498" w:type="dxa"/>
            <w:tcBorders>
              <w:tl2br w:val="nil"/>
              <w:tr2bl w:val="nil"/>
            </w:tcBorders>
            <w:shd w:val="clear" w:color="auto" w:fill="auto"/>
            <w:vAlign w:val="center"/>
          </w:tcPr>
          <w:p w14:paraId="69BF351D">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米</w:t>
            </w:r>
          </w:p>
        </w:tc>
        <w:tc>
          <w:tcPr>
            <w:tcW w:w="2796" w:type="dxa"/>
            <w:tcBorders>
              <w:tl2br w:val="nil"/>
              <w:tr2bl w:val="nil"/>
            </w:tcBorders>
            <w:shd w:val="clear" w:color="auto" w:fill="auto"/>
            <w:vAlign w:val="top"/>
          </w:tcPr>
          <w:p w14:paraId="21188777">
            <w:pPr>
              <w:rPr>
                <w:rFonts w:hint="eastAsia" w:ascii="宋体" w:hAnsi="宋体" w:eastAsia="宋体" w:cs="宋体"/>
                <w:color w:val="auto"/>
                <w:kern w:val="2"/>
                <w:sz w:val="21"/>
                <w:szCs w:val="24"/>
                <w:vertAlign w:val="baseline"/>
                <w:lang w:val="en-US" w:eastAsia="zh-CN" w:bidi="ar-SA"/>
              </w:rPr>
            </w:pPr>
          </w:p>
        </w:tc>
      </w:tr>
      <w:tr w14:paraId="4F1A69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5253117A">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cs="宋体"/>
                <w:b/>
                <w:bCs/>
                <w:color w:val="auto"/>
                <w:sz w:val="30"/>
                <w:szCs w:val="30"/>
                <w:lang w:val="en-US" w:eastAsia="zh-CN"/>
              </w:rPr>
              <w:t>15.</w:t>
            </w:r>
            <w:r>
              <w:rPr>
                <w:rFonts w:hint="eastAsia" w:ascii="宋体" w:hAnsi="宋体" w:eastAsia="宋体" w:cs="宋体"/>
                <w:b/>
                <w:bCs/>
                <w:color w:val="auto"/>
                <w:sz w:val="30"/>
                <w:szCs w:val="30"/>
                <w:lang w:val="en-US" w:eastAsia="zh-CN"/>
              </w:rPr>
              <w:t>计算机教室</w:t>
            </w:r>
          </w:p>
        </w:tc>
      </w:tr>
      <w:tr w14:paraId="6F639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5D59A62">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c>
          <w:tcPr>
            <w:tcW w:w="1166" w:type="dxa"/>
            <w:tcBorders>
              <w:tl2br w:val="nil"/>
              <w:tr2bl w:val="nil"/>
            </w:tcBorders>
            <w:shd w:val="clear" w:color="auto" w:fill="auto"/>
            <w:vAlign w:val="center"/>
          </w:tcPr>
          <w:p w14:paraId="0D563865">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教师椅</w:t>
            </w:r>
          </w:p>
        </w:tc>
        <w:tc>
          <w:tcPr>
            <w:tcW w:w="8573" w:type="dxa"/>
            <w:tcBorders>
              <w:tl2br w:val="nil"/>
              <w:tr2bl w:val="nil"/>
            </w:tcBorders>
            <w:shd w:val="clear" w:color="auto" w:fill="auto"/>
            <w:vAlign w:val="center"/>
          </w:tcPr>
          <w:p w14:paraId="4D09860B">
            <w:pPr>
              <w:keepNext w:val="0"/>
              <w:keepLines w:val="0"/>
              <w:widowControl/>
              <w:suppressLineNumbers w:val="0"/>
              <w:jc w:val="left"/>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1.尺寸：≥640*540*940-1040mm；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2.材质：西皮/五星升降脚；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3.工艺：38扶手可向后90-165度，扶手高低调整6段式，靠背可随意依人体工学调整，同步动态倾仰4段锁定机构；优质气压杆，可随意调整高度，配直径60mm高质量车轮，移动顺畅方便。</w:t>
            </w:r>
          </w:p>
        </w:tc>
        <w:tc>
          <w:tcPr>
            <w:tcW w:w="816" w:type="dxa"/>
            <w:tcBorders>
              <w:tl2br w:val="nil"/>
              <w:tr2bl w:val="nil"/>
            </w:tcBorders>
            <w:shd w:val="clear" w:color="auto" w:fill="auto"/>
            <w:vAlign w:val="center"/>
          </w:tcPr>
          <w:p w14:paraId="61416B9F">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cs="宋体"/>
                <w:i w:val="0"/>
                <w:iCs w:val="0"/>
                <w:color w:val="000000"/>
                <w:kern w:val="0"/>
                <w:sz w:val="20"/>
                <w:szCs w:val="20"/>
                <w:u w:val="none"/>
                <w:lang w:val="en-US" w:eastAsia="zh-CN" w:bidi="ar"/>
              </w:rPr>
              <w:t>2</w:t>
            </w:r>
          </w:p>
        </w:tc>
        <w:tc>
          <w:tcPr>
            <w:tcW w:w="498" w:type="dxa"/>
            <w:tcBorders>
              <w:tl2br w:val="nil"/>
              <w:tr2bl w:val="nil"/>
            </w:tcBorders>
            <w:shd w:val="clear" w:color="auto" w:fill="auto"/>
            <w:vAlign w:val="center"/>
          </w:tcPr>
          <w:p w14:paraId="1B700DA6">
            <w:pPr>
              <w:keepNext w:val="0"/>
              <w:keepLines w:val="0"/>
              <w:widowControl/>
              <w:suppressLineNumbers w:val="0"/>
              <w:jc w:val="center"/>
              <w:textAlignment w:val="center"/>
              <w:rPr>
                <w:rFonts w:hint="eastAsia" w:ascii="宋体" w:hAnsi="宋体" w:eastAsia="宋体" w:cs="宋体"/>
                <w:color w:val="auto"/>
                <w:kern w:val="2"/>
                <w:sz w:val="20"/>
                <w:szCs w:val="20"/>
                <w:vertAlign w:val="baseline"/>
                <w:lang w:val="en-US" w:eastAsia="zh-CN" w:bidi="ar-SA"/>
              </w:rPr>
            </w:pPr>
            <w:r>
              <w:rPr>
                <w:rFonts w:hint="eastAsia" w:ascii="宋体" w:hAnsi="宋体" w:eastAsia="宋体" w:cs="宋体"/>
                <w:i w:val="0"/>
                <w:iCs w:val="0"/>
                <w:color w:val="000000"/>
                <w:kern w:val="0"/>
                <w:sz w:val="20"/>
                <w:szCs w:val="20"/>
                <w:u w:val="none"/>
                <w:lang w:val="en-US" w:eastAsia="zh-CN" w:bidi="ar"/>
              </w:rPr>
              <w:t>张</w:t>
            </w:r>
          </w:p>
        </w:tc>
        <w:tc>
          <w:tcPr>
            <w:tcW w:w="2796" w:type="dxa"/>
            <w:tcBorders>
              <w:tl2br w:val="nil"/>
              <w:tr2bl w:val="nil"/>
            </w:tcBorders>
            <w:shd w:val="clear" w:color="auto" w:fill="auto"/>
            <w:vAlign w:val="center"/>
          </w:tcPr>
          <w:p w14:paraId="44516AED">
            <w:pPr>
              <w:keepNext w:val="0"/>
              <w:keepLines w:val="0"/>
              <w:widowControl/>
              <w:suppressLineNumbers w:val="0"/>
              <w:jc w:val="left"/>
              <w:textAlignment w:val="center"/>
              <w:rPr>
                <w:rFonts w:hint="eastAsia" w:ascii="宋体" w:hAnsi="宋体" w:eastAsia="宋体" w:cs="宋体"/>
                <w:color w:val="auto"/>
                <w:kern w:val="2"/>
                <w:sz w:val="21"/>
                <w:szCs w:val="24"/>
                <w:vertAlign w:val="baseline"/>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561975" cy="790575"/>
                  <wp:effectExtent l="0" t="0" r="9525" b="9525"/>
                  <wp:docPr id="191" name="图片 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4" descr="IMG_256"/>
                          <pic:cNvPicPr>
                            <a:picLocks noChangeAspect="1"/>
                          </pic:cNvPicPr>
                        </pic:nvPicPr>
                        <pic:blipFill>
                          <a:blip r:embed="rId104"/>
                          <a:stretch>
                            <a:fillRect/>
                          </a:stretch>
                        </pic:blipFill>
                        <pic:spPr>
                          <a:xfrm>
                            <a:off x="0" y="0"/>
                            <a:ext cx="561975" cy="790575"/>
                          </a:xfrm>
                          <a:prstGeom prst="rect">
                            <a:avLst/>
                          </a:prstGeom>
                          <a:noFill/>
                          <a:ln w="9525">
                            <a:noFill/>
                          </a:ln>
                        </pic:spPr>
                      </pic:pic>
                    </a:graphicData>
                  </a:graphic>
                </wp:inline>
              </w:drawing>
            </w:r>
          </w:p>
        </w:tc>
      </w:tr>
      <w:tr w14:paraId="6236D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B897DC2">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166" w:type="dxa"/>
            <w:tcBorders>
              <w:tl2br w:val="nil"/>
              <w:tr2bl w:val="nil"/>
            </w:tcBorders>
            <w:shd w:val="clear" w:color="auto" w:fill="auto"/>
            <w:vAlign w:val="center"/>
          </w:tcPr>
          <w:p w14:paraId="5125AFC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b/>
                <w:bCs/>
                <w:i w:val="0"/>
                <w:iCs w:val="0"/>
                <w:color w:val="000000" w:themeColor="text1"/>
                <w:kern w:val="0"/>
                <w:sz w:val="20"/>
                <w:szCs w:val="20"/>
                <w:u w:val="none"/>
                <w:lang w:val="en-US" w:eastAsia="zh-CN" w:bidi="ar"/>
                <w14:textFill>
                  <w14:solidFill>
                    <w14:schemeClr w14:val="tx1"/>
                  </w14:solidFill>
                </w14:textFill>
              </w:rPr>
              <w:t>双人电脑桌</w:t>
            </w:r>
          </w:p>
        </w:tc>
        <w:tc>
          <w:tcPr>
            <w:tcW w:w="8573" w:type="dxa"/>
            <w:tcBorders>
              <w:tl2br w:val="nil"/>
              <w:tr2bl w:val="nil"/>
            </w:tcBorders>
            <w:shd w:val="clear" w:color="auto" w:fill="auto"/>
            <w:vAlign w:val="center"/>
          </w:tcPr>
          <w:p w14:paraId="46885472">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1.尺寸：≥1400*600*750mm；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2.材质：实木多层板+烤漆钢架；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3.工艺：桌面采用国家标准E1级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，厚度≥18mm,板面双面采用免漆板，厚度≥1mmPVC直封边制作，钢架尺寸：横梁: ≥30*50*1.35 mm，桌腿：≥ 30*60*1.5mm，上线扣板壁厚≥0.8mm采用满焊焊接，经高温粉体烤漆，长时间使用也不会产生表面漆剥落现象；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4.功能：桌架配有接线槽，方便安装插座等。</w:t>
            </w:r>
          </w:p>
        </w:tc>
        <w:tc>
          <w:tcPr>
            <w:tcW w:w="816" w:type="dxa"/>
            <w:tcBorders>
              <w:tl2br w:val="nil"/>
              <w:tr2bl w:val="nil"/>
            </w:tcBorders>
            <w:shd w:val="clear" w:color="auto" w:fill="auto"/>
            <w:vAlign w:val="center"/>
          </w:tcPr>
          <w:p w14:paraId="329A7E77">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50C995E5">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796" w:type="dxa"/>
            <w:tcBorders>
              <w:tl2br w:val="nil"/>
              <w:tr2bl w:val="nil"/>
            </w:tcBorders>
            <w:shd w:val="clear" w:color="auto" w:fill="auto"/>
            <w:vAlign w:val="center"/>
          </w:tcPr>
          <w:p w14:paraId="01047D8B">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257300" cy="790575"/>
                  <wp:effectExtent l="0" t="0" r="0" b="9525"/>
                  <wp:docPr id="197" name="图片 7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5" descr="IMG_257"/>
                          <pic:cNvPicPr>
                            <a:picLocks noChangeAspect="1"/>
                          </pic:cNvPicPr>
                        </pic:nvPicPr>
                        <pic:blipFill>
                          <a:blip r:embed="rId105"/>
                          <a:stretch>
                            <a:fillRect/>
                          </a:stretch>
                        </pic:blipFill>
                        <pic:spPr>
                          <a:xfrm>
                            <a:off x="0" y="0"/>
                            <a:ext cx="1257300" cy="790575"/>
                          </a:xfrm>
                          <a:prstGeom prst="rect">
                            <a:avLst/>
                          </a:prstGeom>
                          <a:noFill/>
                          <a:ln w="9525">
                            <a:noFill/>
                          </a:ln>
                        </pic:spPr>
                      </pic:pic>
                    </a:graphicData>
                  </a:graphic>
                </wp:inline>
              </w:drawing>
            </w:r>
          </w:p>
        </w:tc>
      </w:tr>
      <w:tr w14:paraId="328B9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7D8D033">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166" w:type="dxa"/>
            <w:tcBorders>
              <w:tl2br w:val="nil"/>
              <w:tr2bl w:val="nil"/>
            </w:tcBorders>
            <w:shd w:val="clear" w:color="auto" w:fill="auto"/>
            <w:vAlign w:val="center"/>
          </w:tcPr>
          <w:p w14:paraId="4022AF57">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b/>
                <w:bCs/>
                <w:i w:val="0"/>
                <w:iCs w:val="0"/>
                <w:color w:val="000000" w:themeColor="text1"/>
                <w:kern w:val="0"/>
                <w:sz w:val="20"/>
                <w:szCs w:val="20"/>
                <w:u w:val="none"/>
                <w:lang w:val="en-US" w:eastAsia="zh-CN" w:bidi="ar"/>
                <w14:textFill>
                  <w14:solidFill>
                    <w14:schemeClr w14:val="tx1"/>
                  </w14:solidFill>
                </w14:textFill>
              </w:rPr>
              <w:t>学生凳</w:t>
            </w:r>
          </w:p>
        </w:tc>
        <w:tc>
          <w:tcPr>
            <w:tcW w:w="8573" w:type="dxa"/>
            <w:tcBorders>
              <w:tl2br w:val="nil"/>
              <w:tr2bl w:val="nil"/>
            </w:tcBorders>
            <w:shd w:val="clear" w:color="auto" w:fill="auto"/>
            <w:vAlign w:val="center"/>
          </w:tcPr>
          <w:p w14:paraId="470F6748">
            <w:pPr>
              <w:keepNext w:val="0"/>
              <w:keepLines w:val="0"/>
              <w:widowControl/>
              <w:suppressLineNumbers w:val="0"/>
              <w:jc w:val="left"/>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1.规格：≥350*250*420mm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2.凳面:采用≥18mm厚橡胶木指接板，表面环保清水油漆处理。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3.凳架：采用≥25×25mm镀锌钢管，</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壁厚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经酸洗磷化处理，表面通过环氧树脂静电喷涂，达到防酸碱及防锈之效果。</w:t>
            </w:r>
          </w:p>
        </w:tc>
        <w:tc>
          <w:tcPr>
            <w:tcW w:w="816" w:type="dxa"/>
            <w:tcBorders>
              <w:tl2br w:val="nil"/>
              <w:tr2bl w:val="nil"/>
            </w:tcBorders>
            <w:shd w:val="clear" w:color="auto" w:fill="auto"/>
            <w:vAlign w:val="center"/>
          </w:tcPr>
          <w:p w14:paraId="72C5C4A2">
            <w:pPr>
              <w:keepNext w:val="0"/>
              <w:keepLines w:val="0"/>
              <w:widowControl/>
              <w:suppressLineNumbers w:val="0"/>
              <w:jc w:val="center"/>
              <w:textAlignment w:val="center"/>
              <w:rPr>
                <w:rFonts w:hint="default"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96</w:t>
            </w:r>
          </w:p>
        </w:tc>
        <w:tc>
          <w:tcPr>
            <w:tcW w:w="498" w:type="dxa"/>
            <w:tcBorders>
              <w:tl2br w:val="nil"/>
              <w:tr2bl w:val="nil"/>
            </w:tcBorders>
            <w:shd w:val="clear" w:color="auto" w:fill="auto"/>
            <w:vAlign w:val="center"/>
          </w:tcPr>
          <w:p w14:paraId="5B1EA9BC">
            <w:pPr>
              <w:keepNext w:val="0"/>
              <w:keepLines w:val="0"/>
              <w:widowControl/>
              <w:suppressLineNumbers w:val="0"/>
              <w:jc w:val="center"/>
              <w:textAlignment w:val="center"/>
              <w:rPr>
                <w:rFonts w:hint="eastAsia" w:ascii="宋体" w:hAnsi="宋体" w:eastAsia="宋体" w:cs="宋体"/>
                <w:color w:val="000000" w:themeColor="text1"/>
                <w:kern w:val="2"/>
                <w:sz w:val="20"/>
                <w:szCs w:val="20"/>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4B70E475">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762000" cy="790575"/>
                  <wp:effectExtent l="0" t="0" r="0" b="9525"/>
                  <wp:docPr id="198" name="图片 7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6" descr="IMG_258"/>
                          <pic:cNvPicPr>
                            <a:picLocks noChangeAspect="1"/>
                          </pic:cNvPicPr>
                        </pic:nvPicPr>
                        <pic:blipFill>
                          <a:blip r:embed="rId106"/>
                          <a:stretch>
                            <a:fillRect/>
                          </a:stretch>
                        </pic:blipFill>
                        <pic:spPr>
                          <a:xfrm>
                            <a:off x="0" y="0"/>
                            <a:ext cx="762000" cy="790575"/>
                          </a:xfrm>
                          <a:prstGeom prst="rect">
                            <a:avLst/>
                          </a:prstGeom>
                          <a:noFill/>
                          <a:ln w="9525">
                            <a:noFill/>
                          </a:ln>
                        </pic:spPr>
                      </pic:pic>
                    </a:graphicData>
                  </a:graphic>
                </wp:inline>
              </w:drawing>
            </w:r>
          </w:p>
        </w:tc>
      </w:tr>
      <w:tr w14:paraId="3C9C3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635" w:type="dxa"/>
            <w:gridSpan w:val="6"/>
            <w:tcBorders>
              <w:tl2br w:val="nil"/>
              <w:tr2bl w:val="nil"/>
            </w:tcBorders>
            <w:shd w:val="clear" w:color="auto" w:fill="auto"/>
            <w:vAlign w:val="center"/>
          </w:tcPr>
          <w:p w14:paraId="6945A9A1">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cs="宋体"/>
                <w:b/>
                <w:bCs/>
                <w:color w:val="000000" w:themeColor="text1"/>
                <w:sz w:val="32"/>
                <w:szCs w:val="40"/>
                <w:lang w:val="en-US" w:eastAsia="zh-CN"/>
                <w14:textFill>
                  <w14:solidFill>
                    <w14:schemeClr w14:val="tx1"/>
                  </w14:solidFill>
                </w14:textFill>
              </w:rPr>
              <w:t>16.</w:t>
            </w:r>
            <w:r>
              <w:rPr>
                <w:rFonts w:hint="eastAsia" w:ascii="宋体" w:hAnsi="宋体" w:eastAsia="宋体" w:cs="宋体"/>
                <w:b/>
                <w:bCs/>
                <w:color w:val="000000" w:themeColor="text1"/>
                <w:sz w:val="32"/>
                <w:szCs w:val="40"/>
                <w:lang w:val="en-US" w:eastAsia="zh-CN"/>
                <w14:textFill>
                  <w14:solidFill>
                    <w14:schemeClr w14:val="tx1"/>
                  </w14:solidFill>
                </w14:textFill>
              </w:rPr>
              <w:t>书法教室</w:t>
            </w:r>
          </w:p>
        </w:tc>
      </w:tr>
      <w:tr w14:paraId="428CEE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773BFA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75A91E07">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8573" w:type="dxa"/>
            <w:tcBorders>
              <w:tl2br w:val="nil"/>
              <w:tr2bl w:val="nil"/>
            </w:tcBorders>
            <w:shd w:val="clear" w:color="auto" w:fill="auto"/>
            <w:vAlign w:val="center"/>
          </w:tcPr>
          <w:p w14:paraId="2F5BDEBE">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2.台面：采用≥25mm三聚氰胺防潮双贴面板(基板为E1级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)，板材所有截面厚度≥2.0mmPVC机器封边，粘力强、密封性好、外形美观、经久耐用。组装接缝严密，连接牢固，无松动现象。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2.五金配件：采用304不锈钢拉手、铰链、三节导轨等，所有五金配件全部经过防锈、防腐处理。</w:t>
            </w:r>
          </w:p>
        </w:tc>
        <w:tc>
          <w:tcPr>
            <w:tcW w:w="816" w:type="dxa"/>
            <w:tcBorders>
              <w:tl2br w:val="nil"/>
              <w:tr2bl w:val="nil"/>
            </w:tcBorders>
            <w:shd w:val="clear" w:color="auto" w:fill="auto"/>
            <w:vAlign w:val="center"/>
          </w:tcPr>
          <w:p w14:paraId="0620309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498" w:type="dxa"/>
            <w:tcBorders>
              <w:tl2br w:val="nil"/>
              <w:tr2bl w:val="nil"/>
            </w:tcBorders>
            <w:shd w:val="clear" w:color="auto" w:fill="auto"/>
            <w:vAlign w:val="center"/>
          </w:tcPr>
          <w:p w14:paraId="141CABE5">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796" w:type="dxa"/>
            <w:tcBorders>
              <w:tl2br w:val="nil"/>
              <w:tr2bl w:val="nil"/>
            </w:tcBorders>
            <w:shd w:val="clear" w:color="auto" w:fill="auto"/>
            <w:vAlign w:val="center"/>
          </w:tcPr>
          <w:p w14:paraId="6CBF2CBE">
            <w:pPr>
              <w:keepNext w:val="0"/>
              <w:keepLines w:val="0"/>
              <w:widowControl/>
              <w:suppressLineNumbers w:val="0"/>
              <w:jc w:val="left"/>
              <w:textAlignment w:val="center"/>
              <w:rPr>
                <w:rFonts w:hint="eastAsia" w:ascii="宋体" w:hAnsi="宋体" w:eastAsia="宋体" w:cs="宋体"/>
                <w:i w:val="0"/>
                <w:iCs w:val="0"/>
                <w:color w:val="000000" w:themeColor="text1"/>
                <w:kern w:val="2"/>
                <w:sz w:val="20"/>
                <w:szCs w:val="20"/>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1066800" cy="609600"/>
                  <wp:effectExtent l="0" t="0" r="0" b="0"/>
                  <wp:docPr id="19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9" descr="IMG_256"/>
                          <pic:cNvPicPr>
                            <a:picLocks noChangeAspect="1"/>
                          </pic:cNvPicPr>
                        </pic:nvPicPr>
                        <pic:blipFill>
                          <a:blip r:embed="rId31"/>
                          <a:stretch>
                            <a:fillRect/>
                          </a:stretch>
                        </pic:blipFill>
                        <pic:spPr>
                          <a:xfrm>
                            <a:off x="0" y="0"/>
                            <a:ext cx="1066800" cy="609600"/>
                          </a:xfrm>
                          <a:prstGeom prst="rect">
                            <a:avLst/>
                          </a:prstGeom>
                          <a:noFill/>
                          <a:ln w="9525">
                            <a:noFill/>
                          </a:ln>
                        </pic:spPr>
                      </pic:pic>
                    </a:graphicData>
                  </a:graphic>
                </wp:inline>
              </w:drawing>
            </w:r>
          </w:p>
        </w:tc>
      </w:tr>
      <w:tr w14:paraId="61AC69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565FF7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166" w:type="dxa"/>
            <w:tcBorders>
              <w:tl2br w:val="nil"/>
              <w:tr2bl w:val="nil"/>
            </w:tcBorders>
            <w:shd w:val="clear" w:color="auto" w:fill="auto"/>
            <w:vAlign w:val="center"/>
          </w:tcPr>
          <w:p w14:paraId="42910AF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学生桌</w:t>
            </w:r>
          </w:p>
        </w:tc>
        <w:tc>
          <w:tcPr>
            <w:tcW w:w="8573" w:type="dxa"/>
            <w:tcBorders>
              <w:tl2br w:val="nil"/>
              <w:tr2bl w:val="nil"/>
            </w:tcBorders>
            <w:shd w:val="clear" w:color="auto" w:fill="auto"/>
            <w:vAlign w:val="center"/>
          </w:tcPr>
          <w:p w14:paraId="28546241">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1、规格：≥1800*1000*720mm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2、结构：全木结构（卯榫方式连接）</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3、材质：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(1)台面：采用≥18mm厚橡胶木指接板，四周围边整体可视厚度100mm，四角倒圆角，防止学生磕碰。表面环保清水油漆处理，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（2）桌脚：采用≥60*60mm橡胶木原木脚；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（3）工艺：边缘抛圆处理，外表面和内表面以及手指可触及的隐蔽处，均不得有锐利的棱角、毛刺及小五金部件露出的锐利尖锐；</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（4）油漆： 环保水性漆，甲醛释放量等各项技术指标达到国际E1级环保标准。</w:t>
            </w:r>
          </w:p>
        </w:tc>
        <w:tc>
          <w:tcPr>
            <w:tcW w:w="816" w:type="dxa"/>
            <w:tcBorders>
              <w:tl2br w:val="nil"/>
              <w:tr2bl w:val="nil"/>
            </w:tcBorders>
            <w:shd w:val="clear" w:color="auto" w:fill="auto"/>
            <w:vAlign w:val="center"/>
          </w:tcPr>
          <w:p w14:paraId="6FBF593D">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w:t>
            </w:r>
          </w:p>
        </w:tc>
        <w:tc>
          <w:tcPr>
            <w:tcW w:w="498" w:type="dxa"/>
            <w:tcBorders>
              <w:tl2br w:val="nil"/>
              <w:tr2bl w:val="nil"/>
            </w:tcBorders>
            <w:shd w:val="clear" w:color="auto" w:fill="auto"/>
            <w:vAlign w:val="center"/>
          </w:tcPr>
          <w:p w14:paraId="47CF8E9C">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796" w:type="dxa"/>
            <w:tcBorders>
              <w:tl2br w:val="nil"/>
              <w:tr2bl w:val="nil"/>
            </w:tcBorders>
            <w:shd w:val="clear" w:color="auto" w:fill="auto"/>
            <w:vAlign w:val="center"/>
          </w:tcPr>
          <w:p w14:paraId="2F070975">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16"/>
                <w:szCs w:val="16"/>
                <w:u w:val="none"/>
                <w:lang w:val="en-US" w:eastAsia="zh-CN" w:bidi="ar"/>
                <w14:textFill>
                  <w14:solidFill>
                    <w14:schemeClr w14:val="tx1"/>
                  </w14:solidFill>
                </w14:textFill>
              </w:rPr>
              <w:drawing>
                <wp:inline distT="0" distB="0" distL="114300" distR="114300">
                  <wp:extent cx="723900" cy="476250"/>
                  <wp:effectExtent l="0" t="0" r="0" b="0"/>
                  <wp:docPr id="200" name="图片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7" descr="IMG_256"/>
                          <pic:cNvPicPr>
                            <a:picLocks noChangeAspect="1"/>
                          </pic:cNvPicPr>
                        </pic:nvPicPr>
                        <pic:blipFill>
                          <a:blip r:embed="rId35"/>
                          <a:stretch>
                            <a:fillRect/>
                          </a:stretch>
                        </pic:blipFill>
                        <pic:spPr>
                          <a:xfrm>
                            <a:off x="0" y="0"/>
                            <a:ext cx="723900" cy="476250"/>
                          </a:xfrm>
                          <a:prstGeom prst="rect">
                            <a:avLst/>
                          </a:prstGeom>
                          <a:noFill/>
                          <a:ln w="9525">
                            <a:noFill/>
                          </a:ln>
                        </pic:spPr>
                      </pic:pic>
                    </a:graphicData>
                  </a:graphic>
                </wp:inline>
              </w:drawing>
            </w:r>
          </w:p>
        </w:tc>
      </w:tr>
      <w:tr w14:paraId="650DB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7165D25">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166" w:type="dxa"/>
            <w:tcBorders>
              <w:tl2br w:val="nil"/>
              <w:tr2bl w:val="nil"/>
            </w:tcBorders>
            <w:shd w:val="clear" w:color="auto" w:fill="auto"/>
            <w:vAlign w:val="center"/>
          </w:tcPr>
          <w:p w14:paraId="0A1C379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学生凳</w:t>
            </w:r>
          </w:p>
        </w:tc>
        <w:tc>
          <w:tcPr>
            <w:tcW w:w="8573" w:type="dxa"/>
            <w:tcBorders>
              <w:tl2br w:val="nil"/>
              <w:tr2bl w:val="nil"/>
            </w:tcBorders>
            <w:shd w:val="clear" w:color="auto" w:fill="auto"/>
            <w:vAlign w:val="center"/>
          </w:tcPr>
          <w:p w14:paraId="34FDE606">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1.规格：≥320*320*420mm（卯榫方式连接）</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2.台面：采用≥18mm厚橡胶木指接板，表面环保清水油漆处理。四角倒圆角</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凳脚：采用不≥30*30mm实木脚，表面环保清水油漆处理。</w:t>
            </w:r>
          </w:p>
        </w:tc>
        <w:tc>
          <w:tcPr>
            <w:tcW w:w="816" w:type="dxa"/>
            <w:tcBorders>
              <w:tl2br w:val="nil"/>
              <w:tr2bl w:val="nil"/>
            </w:tcBorders>
            <w:shd w:val="clear" w:color="auto" w:fill="auto"/>
            <w:vAlign w:val="center"/>
          </w:tcPr>
          <w:p w14:paraId="0DB5FF2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4B00CA45">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6CD2FD66">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drawing>
                <wp:inline distT="0" distB="0" distL="114300" distR="114300">
                  <wp:extent cx="552450" cy="476250"/>
                  <wp:effectExtent l="0" t="0" r="0" b="0"/>
                  <wp:docPr id="201" name="图片 7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8" descr="IMG_257"/>
                          <pic:cNvPicPr>
                            <a:picLocks noChangeAspect="1"/>
                          </pic:cNvPicPr>
                        </pic:nvPicPr>
                        <pic:blipFill>
                          <a:blip r:embed="rId36"/>
                          <a:stretch>
                            <a:fillRect/>
                          </a:stretch>
                        </pic:blipFill>
                        <pic:spPr>
                          <a:xfrm>
                            <a:off x="0" y="0"/>
                            <a:ext cx="552450" cy="476250"/>
                          </a:xfrm>
                          <a:prstGeom prst="rect">
                            <a:avLst/>
                          </a:prstGeom>
                          <a:noFill/>
                          <a:ln w="9525">
                            <a:noFill/>
                          </a:ln>
                        </pic:spPr>
                      </pic:pic>
                    </a:graphicData>
                  </a:graphic>
                </wp:inline>
              </w:drawing>
            </w:r>
          </w:p>
        </w:tc>
      </w:tr>
      <w:tr w14:paraId="1A8E3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A7D1E1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09E049FB">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毛毡</w:t>
            </w:r>
          </w:p>
        </w:tc>
        <w:tc>
          <w:tcPr>
            <w:tcW w:w="8573" w:type="dxa"/>
            <w:tcBorders>
              <w:tl2br w:val="nil"/>
              <w:tr2bl w:val="nil"/>
            </w:tcBorders>
            <w:shd w:val="clear" w:color="auto" w:fill="auto"/>
            <w:vAlign w:val="center"/>
          </w:tcPr>
          <w:p w14:paraId="337F0364">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书法专用毛毡</w:t>
            </w:r>
          </w:p>
        </w:tc>
        <w:tc>
          <w:tcPr>
            <w:tcW w:w="816" w:type="dxa"/>
            <w:tcBorders>
              <w:tl2br w:val="nil"/>
              <w:tr2bl w:val="nil"/>
            </w:tcBorders>
            <w:shd w:val="clear" w:color="auto" w:fill="auto"/>
            <w:vAlign w:val="center"/>
          </w:tcPr>
          <w:p w14:paraId="266C8976">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1FFB703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796" w:type="dxa"/>
            <w:tcBorders>
              <w:tl2br w:val="nil"/>
              <w:tr2bl w:val="nil"/>
            </w:tcBorders>
            <w:shd w:val="clear" w:color="auto" w:fill="auto"/>
            <w:vAlign w:val="center"/>
          </w:tcPr>
          <w:p w14:paraId="6C031F1E">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476250" cy="476250"/>
                  <wp:effectExtent l="0" t="0" r="0" b="0"/>
                  <wp:docPr id="203" name="图片 8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0" descr="IMG_259"/>
                          <pic:cNvPicPr>
                            <a:picLocks noChangeAspect="1"/>
                          </pic:cNvPicPr>
                        </pic:nvPicPr>
                        <pic:blipFill>
                          <a:blip r:embed="rId107"/>
                          <a:stretch>
                            <a:fillRect/>
                          </a:stretch>
                        </pic:blipFill>
                        <pic:spPr>
                          <a:xfrm>
                            <a:off x="0" y="0"/>
                            <a:ext cx="476250" cy="476250"/>
                          </a:xfrm>
                          <a:prstGeom prst="rect">
                            <a:avLst/>
                          </a:prstGeom>
                          <a:noFill/>
                          <a:ln w="9525">
                            <a:noFill/>
                          </a:ln>
                        </pic:spPr>
                      </pic:pic>
                    </a:graphicData>
                  </a:graphic>
                </wp:inline>
              </w:drawing>
            </w:r>
          </w:p>
        </w:tc>
      </w:tr>
      <w:tr w14:paraId="419DDC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53CCC67">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707A5CF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墨汁</w:t>
            </w:r>
          </w:p>
        </w:tc>
        <w:tc>
          <w:tcPr>
            <w:tcW w:w="8573" w:type="dxa"/>
            <w:tcBorders>
              <w:tl2br w:val="nil"/>
              <w:tr2bl w:val="nil"/>
            </w:tcBorders>
            <w:shd w:val="clear" w:color="auto" w:fill="auto"/>
            <w:vAlign w:val="center"/>
          </w:tcPr>
          <w:p w14:paraId="1868B0AC">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250g墨汁</w:t>
            </w:r>
          </w:p>
        </w:tc>
        <w:tc>
          <w:tcPr>
            <w:tcW w:w="816" w:type="dxa"/>
            <w:tcBorders>
              <w:tl2br w:val="nil"/>
              <w:tr2bl w:val="nil"/>
            </w:tcBorders>
            <w:shd w:val="clear" w:color="auto" w:fill="auto"/>
            <w:vAlign w:val="center"/>
          </w:tcPr>
          <w:p w14:paraId="7D5C10BD">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5BFBAE7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瓶</w:t>
            </w:r>
          </w:p>
        </w:tc>
        <w:tc>
          <w:tcPr>
            <w:tcW w:w="2796" w:type="dxa"/>
            <w:tcBorders>
              <w:tl2br w:val="nil"/>
              <w:tr2bl w:val="nil"/>
            </w:tcBorders>
            <w:shd w:val="clear" w:color="auto" w:fill="auto"/>
            <w:vAlign w:val="center"/>
          </w:tcPr>
          <w:p w14:paraId="79A0E71F">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285750" cy="476250"/>
                  <wp:effectExtent l="0" t="0" r="0" b="0"/>
                  <wp:docPr id="204" name="图片 8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1" descr="IMG_260"/>
                          <pic:cNvPicPr>
                            <a:picLocks noChangeAspect="1"/>
                          </pic:cNvPicPr>
                        </pic:nvPicPr>
                        <pic:blipFill>
                          <a:blip r:embed="rId108"/>
                          <a:stretch>
                            <a:fillRect/>
                          </a:stretch>
                        </pic:blipFill>
                        <pic:spPr>
                          <a:xfrm>
                            <a:off x="0" y="0"/>
                            <a:ext cx="285750" cy="476250"/>
                          </a:xfrm>
                          <a:prstGeom prst="rect">
                            <a:avLst/>
                          </a:prstGeom>
                          <a:noFill/>
                          <a:ln w="9525">
                            <a:noFill/>
                          </a:ln>
                        </pic:spPr>
                      </pic:pic>
                    </a:graphicData>
                  </a:graphic>
                </wp:inline>
              </w:drawing>
            </w:r>
          </w:p>
        </w:tc>
      </w:tr>
      <w:tr w14:paraId="74E8A3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CD05750">
            <w:pPr>
              <w:keepNext w:val="0"/>
              <w:keepLines w:val="0"/>
              <w:widowControl/>
              <w:suppressLineNumbers w:val="0"/>
              <w:jc w:val="center"/>
              <w:textAlignment w:val="center"/>
              <w:rPr>
                <w:rFonts w:hint="default"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4F4E721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毛笔</w:t>
            </w:r>
          </w:p>
        </w:tc>
        <w:tc>
          <w:tcPr>
            <w:tcW w:w="8573" w:type="dxa"/>
            <w:tcBorders>
              <w:tl2br w:val="nil"/>
              <w:tr2bl w:val="nil"/>
            </w:tcBorders>
            <w:shd w:val="clear" w:color="auto" w:fill="auto"/>
            <w:vAlign w:val="center"/>
          </w:tcPr>
          <w:p w14:paraId="4B053A25">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专用毛笔，兼毫中锋</w:t>
            </w:r>
          </w:p>
        </w:tc>
        <w:tc>
          <w:tcPr>
            <w:tcW w:w="816" w:type="dxa"/>
            <w:tcBorders>
              <w:tl2br w:val="nil"/>
              <w:tr2bl w:val="nil"/>
            </w:tcBorders>
            <w:shd w:val="clear" w:color="auto" w:fill="auto"/>
            <w:vAlign w:val="center"/>
          </w:tcPr>
          <w:p w14:paraId="5D9089F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4E63D2B6">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支</w:t>
            </w:r>
          </w:p>
        </w:tc>
        <w:tc>
          <w:tcPr>
            <w:tcW w:w="2796" w:type="dxa"/>
            <w:tcBorders>
              <w:tl2br w:val="nil"/>
              <w:tr2bl w:val="nil"/>
            </w:tcBorders>
            <w:shd w:val="clear" w:color="auto" w:fill="auto"/>
            <w:vAlign w:val="center"/>
          </w:tcPr>
          <w:p w14:paraId="7CB5CD7A">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790575" cy="476250"/>
                  <wp:effectExtent l="0" t="0" r="9525" b="0"/>
                  <wp:docPr id="205" name="图片 8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82" descr="IMG_261"/>
                          <pic:cNvPicPr>
                            <a:picLocks noChangeAspect="1"/>
                          </pic:cNvPicPr>
                        </pic:nvPicPr>
                        <pic:blipFill>
                          <a:blip r:embed="rId109"/>
                          <a:stretch>
                            <a:fillRect/>
                          </a:stretch>
                        </pic:blipFill>
                        <pic:spPr>
                          <a:xfrm>
                            <a:off x="0" y="0"/>
                            <a:ext cx="790575" cy="476250"/>
                          </a:xfrm>
                          <a:prstGeom prst="rect">
                            <a:avLst/>
                          </a:prstGeom>
                          <a:noFill/>
                          <a:ln w="9525">
                            <a:noFill/>
                          </a:ln>
                        </pic:spPr>
                      </pic:pic>
                    </a:graphicData>
                  </a:graphic>
                </wp:inline>
              </w:drawing>
            </w:r>
          </w:p>
        </w:tc>
      </w:tr>
      <w:tr w14:paraId="2682E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66007FD">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7</w:t>
            </w:r>
          </w:p>
        </w:tc>
        <w:tc>
          <w:tcPr>
            <w:tcW w:w="1166" w:type="dxa"/>
            <w:tcBorders>
              <w:tl2br w:val="nil"/>
              <w:tr2bl w:val="nil"/>
            </w:tcBorders>
            <w:shd w:val="clear" w:color="auto" w:fill="auto"/>
            <w:vAlign w:val="center"/>
          </w:tcPr>
          <w:p w14:paraId="28149552">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镇尺</w:t>
            </w:r>
          </w:p>
        </w:tc>
        <w:tc>
          <w:tcPr>
            <w:tcW w:w="8573" w:type="dxa"/>
            <w:tcBorders>
              <w:tl2br w:val="nil"/>
              <w:tr2bl w:val="nil"/>
            </w:tcBorders>
            <w:shd w:val="clear" w:color="auto" w:fill="auto"/>
            <w:vAlign w:val="center"/>
          </w:tcPr>
          <w:p w14:paraId="69717C45">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专用实木镇尺，尺寸≥长20cm×宽4cm×高2cm</w:t>
            </w:r>
          </w:p>
        </w:tc>
        <w:tc>
          <w:tcPr>
            <w:tcW w:w="816" w:type="dxa"/>
            <w:tcBorders>
              <w:tl2br w:val="nil"/>
              <w:tr2bl w:val="nil"/>
            </w:tcBorders>
            <w:shd w:val="clear" w:color="auto" w:fill="auto"/>
            <w:vAlign w:val="center"/>
          </w:tcPr>
          <w:p w14:paraId="57EBC41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78A929BA">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对</w:t>
            </w:r>
          </w:p>
        </w:tc>
        <w:tc>
          <w:tcPr>
            <w:tcW w:w="2796" w:type="dxa"/>
            <w:tcBorders>
              <w:tl2br w:val="nil"/>
              <w:tr2bl w:val="nil"/>
            </w:tcBorders>
            <w:shd w:val="clear" w:color="auto" w:fill="auto"/>
            <w:vAlign w:val="center"/>
          </w:tcPr>
          <w:p w14:paraId="2A35356B">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428625" cy="476250"/>
                  <wp:effectExtent l="0" t="0" r="9525" b="0"/>
                  <wp:docPr id="206" name="图片 8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83" descr="IMG_262"/>
                          <pic:cNvPicPr>
                            <a:picLocks noChangeAspect="1"/>
                          </pic:cNvPicPr>
                        </pic:nvPicPr>
                        <pic:blipFill>
                          <a:blip r:embed="rId110"/>
                          <a:stretch>
                            <a:fillRect/>
                          </a:stretch>
                        </pic:blipFill>
                        <pic:spPr>
                          <a:xfrm>
                            <a:off x="0" y="0"/>
                            <a:ext cx="428625" cy="476250"/>
                          </a:xfrm>
                          <a:prstGeom prst="rect">
                            <a:avLst/>
                          </a:prstGeom>
                          <a:noFill/>
                          <a:ln w="9525">
                            <a:noFill/>
                          </a:ln>
                        </pic:spPr>
                      </pic:pic>
                    </a:graphicData>
                  </a:graphic>
                </wp:inline>
              </w:drawing>
            </w:r>
          </w:p>
        </w:tc>
      </w:tr>
      <w:tr w14:paraId="7FACDE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1E6EF84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8</w:t>
            </w:r>
          </w:p>
        </w:tc>
        <w:tc>
          <w:tcPr>
            <w:tcW w:w="1166" w:type="dxa"/>
            <w:tcBorders>
              <w:tl2br w:val="nil"/>
              <w:tr2bl w:val="nil"/>
            </w:tcBorders>
            <w:shd w:val="clear" w:color="auto" w:fill="auto"/>
            <w:vAlign w:val="center"/>
          </w:tcPr>
          <w:p w14:paraId="2974EEB3">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临摹专用纸</w:t>
            </w:r>
          </w:p>
        </w:tc>
        <w:tc>
          <w:tcPr>
            <w:tcW w:w="8573" w:type="dxa"/>
            <w:tcBorders>
              <w:tl2br w:val="nil"/>
              <w:tr2bl w:val="nil"/>
            </w:tcBorders>
            <w:shd w:val="clear" w:color="auto" w:fill="auto"/>
            <w:vAlign w:val="center"/>
          </w:tcPr>
          <w:p w14:paraId="5200D6C5">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书法专用临摹纸，100张/包，吸墨性好，且不透墨。</w:t>
            </w:r>
          </w:p>
        </w:tc>
        <w:tc>
          <w:tcPr>
            <w:tcW w:w="816" w:type="dxa"/>
            <w:tcBorders>
              <w:tl2br w:val="nil"/>
              <w:tr2bl w:val="nil"/>
            </w:tcBorders>
            <w:shd w:val="clear" w:color="auto" w:fill="auto"/>
            <w:vAlign w:val="center"/>
          </w:tcPr>
          <w:p w14:paraId="5D99356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63A66DE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包</w:t>
            </w:r>
          </w:p>
        </w:tc>
        <w:tc>
          <w:tcPr>
            <w:tcW w:w="2796" w:type="dxa"/>
            <w:tcBorders>
              <w:tl2br w:val="nil"/>
              <w:tr2bl w:val="nil"/>
            </w:tcBorders>
            <w:shd w:val="clear" w:color="auto" w:fill="auto"/>
            <w:vAlign w:val="center"/>
          </w:tcPr>
          <w:p w14:paraId="5C445117">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466725" cy="476250"/>
                  <wp:effectExtent l="0" t="0" r="9525" b="0"/>
                  <wp:docPr id="207" name="图片 8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4" descr="IMG_263"/>
                          <pic:cNvPicPr>
                            <a:picLocks noChangeAspect="1"/>
                          </pic:cNvPicPr>
                        </pic:nvPicPr>
                        <pic:blipFill>
                          <a:blip r:embed="rId111"/>
                          <a:stretch>
                            <a:fillRect/>
                          </a:stretch>
                        </pic:blipFill>
                        <pic:spPr>
                          <a:xfrm>
                            <a:off x="0" y="0"/>
                            <a:ext cx="466725" cy="476250"/>
                          </a:xfrm>
                          <a:prstGeom prst="rect">
                            <a:avLst/>
                          </a:prstGeom>
                          <a:noFill/>
                          <a:ln w="9525">
                            <a:noFill/>
                          </a:ln>
                        </pic:spPr>
                      </pic:pic>
                    </a:graphicData>
                  </a:graphic>
                </wp:inline>
              </w:drawing>
            </w:r>
          </w:p>
        </w:tc>
      </w:tr>
      <w:tr w14:paraId="5C7A62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2ACDD2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9</w:t>
            </w:r>
          </w:p>
        </w:tc>
        <w:tc>
          <w:tcPr>
            <w:tcW w:w="1166" w:type="dxa"/>
            <w:tcBorders>
              <w:tl2br w:val="nil"/>
              <w:tr2bl w:val="nil"/>
            </w:tcBorders>
            <w:shd w:val="clear" w:color="auto" w:fill="auto"/>
            <w:vAlign w:val="center"/>
          </w:tcPr>
          <w:p w14:paraId="64414243">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陶瓷笔洗</w:t>
            </w:r>
          </w:p>
        </w:tc>
        <w:tc>
          <w:tcPr>
            <w:tcW w:w="8573" w:type="dxa"/>
            <w:tcBorders>
              <w:tl2br w:val="nil"/>
              <w:tr2bl w:val="nil"/>
            </w:tcBorders>
            <w:shd w:val="clear" w:color="auto" w:fill="auto"/>
            <w:vAlign w:val="center"/>
          </w:tcPr>
          <w:p w14:paraId="49B444ED">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陶瓷笔洗</w:t>
            </w:r>
          </w:p>
        </w:tc>
        <w:tc>
          <w:tcPr>
            <w:tcW w:w="816" w:type="dxa"/>
            <w:tcBorders>
              <w:tl2br w:val="nil"/>
              <w:tr2bl w:val="nil"/>
            </w:tcBorders>
            <w:shd w:val="clear" w:color="auto" w:fill="auto"/>
            <w:vAlign w:val="center"/>
          </w:tcPr>
          <w:p w14:paraId="263B557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6D890275">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2E192030">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57225" cy="476250"/>
                  <wp:effectExtent l="0" t="0" r="9525" b="0"/>
                  <wp:docPr id="208" name="图片 8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5" descr="IMG_264"/>
                          <pic:cNvPicPr>
                            <a:picLocks noChangeAspect="1"/>
                          </pic:cNvPicPr>
                        </pic:nvPicPr>
                        <pic:blipFill>
                          <a:blip r:embed="rId112"/>
                          <a:stretch>
                            <a:fillRect/>
                          </a:stretch>
                        </pic:blipFill>
                        <pic:spPr>
                          <a:xfrm>
                            <a:off x="0" y="0"/>
                            <a:ext cx="657225" cy="476250"/>
                          </a:xfrm>
                          <a:prstGeom prst="rect">
                            <a:avLst/>
                          </a:prstGeom>
                          <a:noFill/>
                          <a:ln w="9525">
                            <a:noFill/>
                          </a:ln>
                        </pic:spPr>
                      </pic:pic>
                    </a:graphicData>
                  </a:graphic>
                </wp:inline>
              </w:drawing>
            </w:r>
          </w:p>
        </w:tc>
      </w:tr>
      <w:tr w14:paraId="164C69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DD89D4C">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p>
        </w:tc>
        <w:tc>
          <w:tcPr>
            <w:tcW w:w="1166" w:type="dxa"/>
            <w:tcBorders>
              <w:tl2br w:val="nil"/>
              <w:tr2bl w:val="nil"/>
            </w:tcBorders>
            <w:shd w:val="clear" w:color="auto" w:fill="auto"/>
            <w:vAlign w:val="center"/>
          </w:tcPr>
          <w:p w14:paraId="6978978B">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笔架</w:t>
            </w:r>
          </w:p>
        </w:tc>
        <w:tc>
          <w:tcPr>
            <w:tcW w:w="8573" w:type="dxa"/>
            <w:tcBorders>
              <w:tl2br w:val="nil"/>
              <w:tr2bl w:val="nil"/>
            </w:tcBorders>
            <w:shd w:val="clear" w:color="auto" w:fill="auto"/>
            <w:vAlign w:val="center"/>
          </w:tcPr>
          <w:p w14:paraId="62AC3AC2">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山字形实木笔架</w:t>
            </w:r>
          </w:p>
        </w:tc>
        <w:tc>
          <w:tcPr>
            <w:tcW w:w="816" w:type="dxa"/>
            <w:tcBorders>
              <w:tl2br w:val="nil"/>
              <w:tr2bl w:val="nil"/>
            </w:tcBorders>
            <w:shd w:val="clear" w:color="auto" w:fill="auto"/>
            <w:vAlign w:val="center"/>
          </w:tcPr>
          <w:p w14:paraId="645E968D">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4DD1313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4CF84FB1">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514350" cy="476250"/>
                  <wp:effectExtent l="0" t="0" r="0" b="0"/>
                  <wp:docPr id="209" name="图片 8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6" descr="IMG_265"/>
                          <pic:cNvPicPr>
                            <a:picLocks noChangeAspect="1"/>
                          </pic:cNvPicPr>
                        </pic:nvPicPr>
                        <pic:blipFill>
                          <a:blip r:embed="rId113"/>
                          <a:stretch>
                            <a:fillRect/>
                          </a:stretch>
                        </pic:blipFill>
                        <pic:spPr>
                          <a:xfrm>
                            <a:off x="0" y="0"/>
                            <a:ext cx="514350" cy="476250"/>
                          </a:xfrm>
                          <a:prstGeom prst="rect">
                            <a:avLst/>
                          </a:prstGeom>
                          <a:noFill/>
                          <a:ln w="9525">
                            <a:noFill/>
                          </a:ln>
                        </pic:spPr>
                      </pic:pic>
                    </a:graphicData>
                  </a:graphic>
                </wp:inline>
              </w:drawing>
            </w:r>
          </w:p>
        </w:tc>
      </w:tr>
      <w:tr w14:paraId="2650FE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1D2DE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04BBF3D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墨盒</w:t>
            </w:r>
          </w:p>
        </w:tc>
        <w:tc>
          <w:tcPr>
            <w:tcW w:w="8573" w:type="dxa"/>
            <w:tcBorders>
              <w:tl2br w:val="nil"/>
              <w:tr2bl w:val="nil"/>
            </w:tcBorders>
            <w:shd w:val="clear" w:color="auto" w:fill="auto"/>
            <w:vAlign w:val="center"/>
          </w:tcPr>
          <w:p w14:paraId="758F11AC">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石质螺纹砚台</w:t>
            </w:r>
          </w:p>
        </w:tc>
        <w:tc>
          <w:tcPr>
            <w:tcW w:w="816" w:type="dxa"/>
            <w:tcBorders>
              <w:tl2br w:val="nil"/>
              <w:tr2bl w:val="nil"/>
            </w:tcBorders>
            <w:shd w:val="clear" w:color="auto" w:fill="auto"/>
            <w:vAlign w:val="center"/>
          </w:tcPr>
          <w:p w14:paraId="27772EDD">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498" w:type="dxa"/>
            <w:tcBorders>
              <w:tl2br w:val="nil"/>
              <w:tr2bl w:val="nil"/>
            </w:tcBorders>
            <w:shd w:val="clear" w:color="auto" w:fill="auto"/>
            <w:vAlign w:val="center"/>
          </w:tcPr>
          <w:p w14:paraId="17B36E5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796" w:type="dxa"/>
            <w:tcBorders>
              <w:tl2br w:val="nil"/>
              <w:tr2bl w:val="nil"/>
            </w:tcBorders>
            <w:shd w:val="clear" w:color="auto" w:fill="auto"/>
            <w:vAlign w:val="center"/>
          </w:tcPr>
          <w:p w14:paraId="769EE00A">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楷体" w:hAnsi="楷体" w:eastAsia="楷体" w:cs="楷体"/>
                <w:i w:val="0"/>
                <w:iCs w:val="0"/>
                <w:color w:val="000000" w:themeColor="text1"/>
                <w:kern w:val="0"/>
                <w:sz w:val="20"/>
                <w:szCs w:val="20"/>
                <w:u w:val="none"/>
                <w:lang w:val="en-US" w:eastAsia="zh-CN" w:bidi="ar"/>
                <w14:textFill>
                  <w14:solidFill>
                    <w14:schemeClr w14:val="tx1"/>
                  </w14:solidFill>
                </w14:textFill>
              </w:rPr>
              <w:drawing>
                <wp:inline distT="0" distB="0" distL="114300" distR="114300">
                  <wp:extent cx="666750" cy="476250"/>
                  <wp:effectExtent l="0" t="0" r="0" b="0"/>
                  <wp:docPr id="210" name="图片 8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7" descr="IMG_266"/>
                          <pic:cNvPicPr>
                            <a:picLocks noChangeAspect="1"/>
                          </pic:cNvPicPr>
                        </pic:nvPicPr>
                        <pic:blipFill>
                          <a:blip r:embed="rId114"/>
                          <a:stretch>
                            <a:fillRect/>
                          </a:stretch>
                        </pic:blipFill>
                        <pic:spPr>
                          <a:xfrm>
                            <a:off x="0" y="0"/>
                            <a:ext cx="666750" cy="476250"/>
                          </a:xfrm>
                          <a:prstGeom prst="rect">
                            <a:avLst/>
                          </a:prstGeom>
                          <a:noFill/>
                          <a:ln w="9525">
                            <a:noFill/>
                          </a:ln>
                        </pic:spPr>
                      </pic:pic>
                    </a:graphicData>
                  </a:graphic>
                </wp:inline>
              </w:drawing>
            </w:r>
          </w:p>
        </w:tc>
      </w:tr>
      <w:tr w14:paraId="0D207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1C45523">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1166" w:type="dxa"/>
            <w:tcBorders>
              <w:tl2br w:val="nil"/>
              <w:tr2bl w:val="nil"/>
            </w:tcBorders>
            <w:shd w:val="clear" w:color="auto" w:fill="auto"/>
            <w:vAlign w:val="center"/>
          </w:tcPr>
          <w:p w14:paraId="0D25BF1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石膏板吊顶</w:t>
            </w:r>
          </w:p>
        </w:tc>
        <w:tc>
          <w:tcPr>
            <w:tcW w:w="8573" w:type="dxa"/>
            <w:tcBorders>
              <w:tl2br w:val="nil"/>
              <w:tr2bl w:val="nil"/>
            </w:tcBorders>
            <w:shd w:val="clear" w:color="auto" w:fill="auto"/>
            <w:vAlign w:val="center"/>
          </w:tcPr>
          <w:p w14:paraId="4360AAE3">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顶面四周轻钢龙骨支架，一层纸面石膏板，吊顶乳胶漆三底两遍，造型定制。</w:t>
            </w:r>
          </w:p>
        </w:tc>
        <w:tc>
          <w:tcPr>
            <w:tcW w:w="816" w:type="dxa"/>
            <w:tcBorders>
              <w:tl2br w:val="nil"/>
              <w:tr2bl w:val="nil"/>
            </w:tcBorders>
            <w:shd w:val="clear" w:color="auto" w:fill="auto"/>
            <w:vAlign w:val="center"/>
          </w:tcPr>
          <w:p w14:paraId="44A584CB">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51.00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w:t>
            </w:r>
          </w:p>
        </w:tc>
        <w:tc>
          <w:tcPr>
            <w:tcW w:w="498" w:type="dxa"/>
            <w:tcBorders>
              <w:tl2br w:val="nil"/>
              <w:tr2bl w:val="nil"/>
            </w:tcBorders>
            <w:shd w:val="clear" w:color="auto" w:fill="auto"/>
            <w:vAlign w:val="center"/>
          </w:tcPr>
          <w:p w14:paraId="4F8D11DF">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093B5011">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2B6C7A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2C28066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w:t>
            </w:r>
          </w:p>
        </w:tc>
        <w:tc>
          <w:tcPr>
            <w:tcW w:w="1166" w:type="dxa"/>
            <w:tcBorders>
              <w:tl2br w:val="nil"/>
              <w:tr2bl w:val="nil"/>
            </w:tcBorders>
            <w:shd w:val="clear" w:color="auto" w:fill="auto"/>
            <w:vAlign w:val="center"/>
          </w:tcPr>
          <w:p w14:paraId="4357071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w:t>
            </w:r>
          </w:p>
        </w:tc>
        <w:tc>
          <w:tcPr>
            <w:tcW w:w="8573" w:type="dxa"/>
            <w:tcBorders>
              <w:tl2br w:val="nil"/>
              <w:tr2bl w:val="nil"/>
            </w:tcBorders>
            <w:shd w:val="clear" w:color="auto" w:fill="auto"/>
            <w:vAlign w:val="center"/>
          </w:tcPr>
          <w:p w14:paraId="601A9480">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铝方通吊顶,规格不小于≧75mm*40mm，间距≤100mm,厚度不少于0.5mm，颜色按需定制，材料达到E1级标准。</w:t>
            </w:r>
          </w:p>
        </w:tc>
        <w:tc>
          <w:tcPr>
            <w:tcW w:w="816" w:type="dxa"/>
            <w:tcBorders>
              <w:tl2br w:val="nil"/>
              <w:tr2bl w:val="nil"/>
            </w:tcBorders>
            <w:shd w:val="clear" w:color="auto" w:fill="auto"/>
            <w:vAlign w:val="center"/>
          </w:tcPr>
          <w:p w14:paraId="7ACAC07C">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100.2</w:t>
            </w:r>
          </w:p>
        </w:tc>
        <w:tc>
          <w:tcPr>
            <w:tcW w:w="498" w:type="dxa"/>
            <w:tcBorders>
              <w:tl2br w:val="nil"/>
              <w:tr2bl w:val="nil"/>
            </w:tcBorders>
            <w:shd w:val="clear" w:color="auto" w:fill="auto"/>
            <w:vAlign w:val="center"/>
          </w:tcPr>
          <w:p w14:paraId="09137E7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1014EC7F">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48ABFA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69C5B02">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p>
        </w:tc>
        <w:tc>
          <w:tcPr>
            <w:tcW w:w="1166" w:type="dxa"/>
            <w:tcBorders>
              <w:tl2br w:val="nil"/>
              <w:tr2bl w:val="nil"/>
            </w:tcBorders>
            <w:shd w:val="clear" w:color="auto" w:fill="auto"/>
            <w:vAlign w:val="center"/>
          </w:tcPr>
          <w:p w14:paraId="4559DFD5">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涂料</w:t>
            </w:r>
          </w:p>
        </w:tc>
        <w:tc>
          <w:tcPr>
            <w:tcW w:w="8573" w:type="dxa"/>
            <w:tcBorders>
              <w:tl2br w:val="nil"/>
              <w:tr2bl w:val="nil"/>
            </w:tcBorders>
            <w:shd w:val="clear" w:color="auto" w:fill="auto"/>
            <w:vAlign w:val="center"/>
          </w:tcPr>
          <w:p w14:paraId="7ECAC967">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石膏板接缝处满嵌接缝膏，不少于两道抗裂网格布，拉法基和石膏覆盖，找平腻子两道找平，特细滑石粉罩面，砂纸打磨。喷涂或滚涂一底两面环保乳胶漆。</w:t>
            </w:r>
          </w:p>
        </w:tc>
        <w:tc>
          <w:tcPr>
            <w:tcW w:w="816" w:type="dxa"/>
            <w:tcBorders>
              <w:tl2br w:val="nil"/>
              <w:tr2bl w:val="nil"/>
            </w:tcBorders>
            <w:shd w:val="clear" w:color="auto" w:fill="auto"/>
            <w:vAlign w:val="center"/>
          </w:tcPr>
          <w:p w14:paraId="0F538AD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187.00 </w:t>
            </w:r>
          </w:p>
        </w:tc>
        <w:tc>
          <w:tcPr>
            <w:tcW w:w="498" w:type="dxa"/>
            <w:tcBorders>
              <w:tl2br w:val="nil"/>
              <w:tr2bl w:val="nil"/>
            </w:tcBorders>
            <w:shd w:val="clear" w:color="auto" w:fill="auto"/>
            <w:vAlign w:val="center"/>
          </w:tcPr>
          <w:p w14:paraId="76418DC7">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3DA402DF">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10BE40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19D75E0">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w:t>
            </w:r>
          </w:p>
        </w:tc>
        <w:tc>
          <w:tcPr>
            <w:tcW w:w="1166" w:type="dxa"/>
            <w:tcBorders>
              <w:tl2br w:val="nil"/>
              <w:tr2bl w:val="nil"/>
            </w:tcBorders>
            <w:shd w:val="clear" w:color="auto" w:fill="auto"/>
            <w:vAlign w:val="center"/>
          </w:tcPr>
          <w:p w14:paraId="38EE53E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8573" w:type="dxa"/>
            <w:tcBorders>
              <w:tl2br w:val="nil"/>
              <w:tr2bl w:val="nil"/>
            </w:tcBorders>
            <w:shd w:val="clear" w:color="auto" w:fill="auto"/>
            <w:vAlign w:val="center"/>
          </w:tcPr>
          <w:p w14:paraId="42E54C8A">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816" w:type="dxa"/>
            <w:tcBorders>
              <w:tl2br w:val="nil"/>
              <w:tr2bl w:val="nil"/>
            </w:tcBorders>
            <w:shd w:val="clear" w:color="auto" w:fill="auto"/>
            <w:vAlign w:val="center"/>
          </w:tcPr>
          <w:p w14:paraId="685C506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498" w:type="dxa"/>
            <w:tcBorders>
              <w:tl2br w:val="nil"/>
              <w:tr2bl w:val="nil"/>
            </w:tcBorders>
            <w:shd w:val="clear" w:color="auto" w:fill="auto"/>
            <w:vAlign w:val="center"/>
          </w:tcPr>
          <w:p w14:paraId="11AB8FB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788A5E74">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20C9DC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07089F40">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166" w:type="dxa"/>
            <w:tcBorders>
              <w:tl2br w:val="nil"/>
              <w:tr2bl w:val="nil"/>
            </w:tcBorders>
            <w:shd w:val="clear" w:color="auto" w:fill="auto"/>
            <w:vAlign w:val="center"/>
          </w:tcPr>
          <w:p w14:paraId="6252950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顶面LED筒灯</w:t>
            </w:r>
          </w:p>
        </w:tc>
        <w:tc>
          <w:tcPr>
            <w:tcW w:w="8573" w:type="dxa"/>
            <w:tcBorders>
              <w:tl2br w:val="nil"/>
              <w:tr2bl w:val="nil"/>
            </w:tcBorders>
            <w:shd w:val="clear" w:color="auto" w:fill="auto"/>
            <w:vAlign w:val="center"/>
          </w:tcPr>
          <w:p w14:paraId="385A4463">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加厚铝材，明亮耐用，高亮LED芯片，输入电压：AC220V，光色色温：3000K-6000K。灯光线路采用黑色专用套管，整体灯光亮度符合国家中小学专用教室照明设计规范。</w:t>
            </w:r>
          </w:p>
        </w:tc>
        <w:tc>
          <w:tcPr>
            <w:tcW w:w="816" w:type="dxa"/>
            <w:tcBorders>
              <w:tl2br w:val="nil"/>
              <w:tr2bl w:val="nil"/>
            </w:tcBorders>
            <w:shd w:val="clear" w:color="auto" w:fill="auto"/>
            <w:vAlign w:val="center"/>
          </w:tcPr>
          <w:p w14:paraId="246BD234">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20</w:t>
            </w:r>
          </w:p>
        </w:tc>
        <w:tc>
          <w:tcPr>
            <w:tcW w:w="498" w:type="dxa"/>
            <w:tcBorders>
              <w:tl2br w:val="nil"/>
              <w:tr2bl w:val="nil"/>
            </w:tcBorders>
            <w:shd w:val="clear" w:color="auto" w:fill="auto"/>
            <w:vAlign w:val="center"/>
          </w:tcPr>
          <w:p w14:paraId="05361B0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top"/>
          </w:tcPr>
          <w:p w14:paraId="57058313">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033256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522FE7BC">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7</w:t>
            </w:r>
          </w:p>
        </w:tc>
        <w:tc>
          <w:tcPr>
            <w:tcW w:w="1166" w:type="dxa"/>
            <w:tcBorders>
              <w:tl2br w:val="nil"/>
              <w:tr2bl w:val="nil"/>
            </w:tcBorders>
            <w:shd w:val="clear" w:color="auto" w:fill="auto"/>
            <w:vAlign w:val="center"/>
          </w:tcPr>
          <w:p w14:paraId="26BC9837">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顶面LED条形灯</w:t>
            </w:r>
          </w:p>
        </w:tc>
        <w:tc>
          <w:tcPr>
            <w:tcW w:w="8573" w:type="dxa"/>
            <w:tcBorders>
              <w:tl2br w:val="nil"/>
              <w:tr2bl w:val="nil"/>
            </w:tcBorders>
            <w:shd w:val="clear" w:color="auto" w:fill="auto"/>
            <w:vAlign w:val="center"/>
          </w:tcPr>
          <w:p w14:paraId="6C846E0E">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1.LED环保条形灯，LED灯具尺寸：≥1200mm*100mm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2.外壳材质：1.4mm黑色铝材灯框，亚克力白色灯罩；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4.光源功率：≥18W ；光通量：≥1190Lm ；显色指数：≥80；灯光线路采用黑色专用套管，整体灯光亮度符合国家中小学专用教室照明设计规范。</w:t>
            </w:r>
          </w:p>
        </w:tc>
        <w:tc>
          <w:tcPr>
            <w:tcW w:w="816" w:type="dxa"/>
            <w:tcBorders>
              <w:tl2br w:val="nil"/>
              <w:tr2bl w:val="nil"/>
            </w:tcBorders>
            <w:shd w:val="clear" w:color="auto" w:fill="auto"/>
            <w:vAlign w:val="center"/>
          </w:tcPr>
          <w:p w14:paraId="0AE66872">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498" w:type="dxa"/>
            <w:tcBorders>
              <w:tl2br w:val="nil"/>
              <w:tr2bl w:val="nil"/>
            </w:tcBorders>
            <w:shd w:val="clear" w:color="auto" w:fill="auto"/>
            <w:vAlign w:val="center"/>
          </w:tcPr>
          <w:p w14:paraId="7AB7C82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796" w:type="dxa"/>
            <w:tcBorders>
              <w:tl2br w:val="nil"/>
              <w:tr2bl w:val="nil"/>
            </w:tcBorders>
            <w:shd w:val="clear" w:color="auto" w:fill="auto"/>
            <w:vAlign w:val="top"/>
          </w:tcPr>
          <w:p w14:paraId="271AC06D">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70C83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78FC586">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8</w:t>
            </w:r>
          </w:p>
        </w:tc>
        <w:tc>
          <w:tcPr>
            <w:tcW w:w="1166" w:type="dxa"/>
            <w:tcBorders>
              <w:tl2br w:val="nil"/>
              <w:tr2bl w:val="nil"/>
            </w:tcBorders>
            <w:shd w:val="clear" w:color="auto" w:fill="auto"/>
            <w:vAlign w:val="center"/>
          </w:tcPr>
          <w:p w14:paraId="2CFCEBAA">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8573" w:type="dxa"/>
            <w:tcBorders>
              <w:tl2br w:val="nil"/>
              <w:tr2bl w:val="nil"/>
            </w:tcBorders>
            <w:shd w:val="clear" w:color="auto" w:fill="auto"/>
            <w:vAlign w:val="center"/>
          </w:tcPr>
          <w:p w14:paraId="69CF0451">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816" w:type="dxa"/>
            <w:tcBorders>
              <w:tl2br w:val="nil"/>
              <w:tr2bl w:val="nil"/>
            </w:tcBorders>
            <w:shd w:val="clear" w:color="auto" w:fill="auto"/>
            <w:vAlign w:val="center"/>
          </w:tcPr>
          <w:p w14:paraId="0FE95420">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498" w:type="dxa"/>
            <w:tcBorders>
              <w:tl2br w:val="nil"/>
              <w:tr2bl w:val="nil"/>
            </w:tcBorders>
            <w:shd w:val="clear" w:color="auto" w:fill="auto"/>
            <w:vAlign w:val="center"/>
          </w:tcPr>
          <w:p w14:paraId="3F71772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796" w:type="dxa"/>
            <w:tcBorders>
              <w:tl2br w:val="nil"/>
              <w:tr2bl w:val="nil"/>
            </w:tcBorders>
            <w:shd w:val="clear" w:color="auto" w:fill="auto"/>
            <w:vAlign w:val="top"/>
          </w:tcPr>
          <w:p w14:paraId="1CEECE46">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04A205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759CBE6C">
            <w:pPr>
              <w:keepNext w:val="0"/>
              <w:keepLines w:val="0"/>
              <w:widowControl/>
              <w:suppressLineNumbers w:val="0"/>
              <w:jc w:val="center"/>
              <w:textAlignment w:val="center"/>
              <w:rPr>
                <w:rFonts w:hint="default"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19</w:t>
            </w:r>
          </w:p>
        </w:tc>
        <w:tc>
          <w:tcPr>
            <w:tcW w:w="1166" w:type="dxa"/>
            <w:tcBorders>
              <w:tl2br w:val="nil"/>
              <w:tr2bl w:val="nil"/>
            </w:tcBorders>
            <w:shd w:val="clear" w:color="auto" w:fill="auto"/>
            <w:vAlign w:val="center"/>
          </w:tcPr>
          <w:p w14:paraId="070603B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展示墙</w:t>
            </w:r>
          </w:p>
        </w:tc>
        <w:tc>
          <w:tcPr>
            <w:tcW w:w="8573" w:type="dxa"/>
            <w:tcBorders>
              <w:tl2br w:val="nil"/>
              <w:tr2bl w:val="nil"/>
            </w:tcBorders>
            <w:shd w:val="clear" w:color="auto" w:fill="auto"/>
            <w:vAlign w:val="center"/>
          </w:tcPr>
          <w:p w14:paraId="07976AF0">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多层实木框架，局部石膏板饰面，内部12mm聚酯纤维毛毡装饰。</w:t>
            </w:r>
          </w:p>
        </w:tc>
        <w:tc>
          <w:tcPr>
            <w:tcW w:w="816" w:type="dxa"/>
            <w:tcBorders>
              <w:tl2br w:val="nil"/>
              <w:tr2bl w:val="nil"/>
            </w:tcBorders>
            <w:shd w:val="clear" w:color="auto" w:fill="auto"/>
            <w:vAlign w:val="center"/>
          </w:tcPr>
          <w:p w14:paraId="3C9A1237">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14.50 </w:t>
            </w:r>
          </w:p>
        </w:tc>
        <w:tc>
          <w:tcPr>
            <w:tcW w:w="498" w:type="dxa"/>
            <w:tcBorders>
              <w:tl2br w:val="nil"/>
              <w:tr2bl w:val="nil"/>
            </w:tcBorders>
            <w:shd w:val="clear" w:color="auto" w:fill="auto"/>
            <w:vAlign w:val="center"/>
          </w:tcPr>
          <w:p w14:paraId="188C5E36">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796" w:type="dxa"/>
            <w:tcBorders>
              <w:tl2br w:val="nil"/>
              <w:tr2bl w:val="nil"/>
            </w:tcBorders>
            <w:shd w:val="clear" w:color="auto" w:fill="auto"/>
            <w:vAlign w:val="top"/>
          </w:tcPr>
          <w:p w14:paraId="2ACF8853">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79873B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42DD68BB">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0</w:t>
            </w:r>
          </w:p>
        </w:tc>
        <w:tc>
          <w:tcPr>
            <w:tcW w:w="1166" w:type="dxa"/>
            <w:tcBorders>
              <w:tl2br w:val="nil"/>
              <w:tr2bl w:val="nil"/>
            </w:tcBorders>
            <w:shd w:val="clear" w:color="auto" w:fill="auto"/>
            <w:vAlign w:val="center"/>
          </w:tcPr>
          <w:p w14:paraId="7BA2F6F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8573" w:type="dxa"/>
            <w:tcBorders>
              <w:tl2br w:val="nil"/>
              <w:tr2bl w:val="nil"/>
            </w:tcBorders>
            <w:shd w:val="clear" w:color="auto" w:fill="auto"/>
            <w:vAlign w:val="center"/>
          </w:tcPr>
          <w:p w14:paraId="67C9BD9C">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816" w:type="dxa"/>
            <w:tcBorders>
              <w:tl2br w:val="nil"/>
              <w:tr2bl w:val="nil"/>
            </w:tcBorders>
            <w:shd w:val="clear" w:color="auto" w:fill="auto"/>
            <w:vAlign w:val="center"/>
          </w:tcPr>
          <w:p w14:paraId="2E0FE8AE">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498" w:type="dxa"/>
            <w:tcBorders>
              <w:tl2br w:val="nil"/>
              <w:tr2bl w:val="nil"/>
            </w:tcBorders>
            <w:shd w:val="clear" w:color="auto" w:fill="auto"/>
            <w:vAlign w:val="center"/>
          </w:tcPr>
          <w:p w14:paraId="56DB9758">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796" w:type="dxa"/>
            <w:tcBorders>
              <w:tl2br w:val="nil"/>
              <w:tr2bl w:val="nil"/>
            </w:tcBorders>
            <w:shd w:val="clear" w:color="auto" w:fill="auto"/>
            <w:vAlign w:val="top"/>
          </w:tcPr>
          <w:p w14:paraId="032B1915">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r w14:paraId="610E92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86" w:type="dxa"/>
            <w:tcBorders>
              <w:tl2br w:val="nil"/>
              <w:tr2bl w:val="nil"/>
            </w:tcBorders>
            <w:shd w:val="clear" w:color="auto" w:fill="auto"/>
            <w:vAlign w:val="center"/>
          </w:tcPr>
          <w:p w14:paraId="3A610481">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w:t>
            </w:r>
          </w:p>
        </w:tc>
        <w:tc>
          <w:tcPr>
            <w:tcW w:w="1166" w:type="dxa"/>
            <w:tcBorders>
              <w:tl2br w:val="nil"/>
              <w:tr2bl w:val="nil"/>
            </w:tcBorders>
            <w:shd w:val="clear" w:color="auto" w:fill="auto"/>
            <w:vAlign w:val="center"/>
          </w:tcPr>
          <w:p w14:paraId="3107BF20">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8573" w:type="dxa"/>
            <w:tcBorders>
              <w:tl2br w:val="nil"/>
              <w:tr2bl w:val="nil"/>
            </w:tcBorders>
            <w:shd w:val="clear" w:color="auto" w:fill="auto"/>
            <w:vAlign w:val="center"/>
          </w:tcPr>
          <w:p w14:paraId="7C822998">
            <w:pPr>
              <w:keepNext w:val="0"/>
              <w:keepLines w:val="0"/>
              <w:widowControl/>
              <w:suppressLineNumbers w:val="0"/>
              <w:jc w:val="left"/>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816" w:type="dxa"/>
            <w:tcBorders>
              <w:tl2br w:val="nil"/>
              <w:tr2bl w:val="nil"/>
            </w:tcBorders>
            <w:shd w:val="clear" w:color="auto" w:fill="auto"/>
            <w:vAlign w:val="center"/>
          </w:tcPr>
          <w:p w14:paraId="406C2CC9">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498" w:type="dxa"/>
            <w:tcBorders>
              <w:tl2br w:val="nil"/>
              <w:tr2bl w:val="nil"/>
            </w:tcBorders>
            <w:shd w:val="clear" w:color="auto" w:fill="auto"/>
            <w:vAlign w:val="center"/>
          </w:tcPr>
          <w:p w14:paraId="6CC7CCF2">
            <w:pPr>
              <w:keepNext w:val="0"/>
              <w:keepLines w:val="0"/>
              <w:widowControl/>
              <w:suppressLineNumbers w:val="0"/>
              <w:jc w:val="center"/>
              <w:textAlignment w:val="cente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796" w:type="dxa"/>
            <w:tcBorders>
              <w:tl2br w:val="nil"/>
              <w:tr2bl w:val="nil"/>
            </w:tcBorders>
            <w:shd w:val="clear" w:color="auto" w:fill="auto"/>
            <w:vAlign w:val="top"/>
          </w:tcPr>
          <w:p w14:paraId="34634117">
            <w:pPr>
              <w:rPr>
                <w:rFonts w:hint="eastAsia" w:ascii="宋体" w:hAnsi="宋体" w:eastAsia="宋体" w:cs="宋体"/>
                <w:color w:val="000000" w:themeColor="text1"/>
                <w:kern w:val="2"/>
                <w:sz w:val="21"/>
                <w:szCs w:val="24"/>
                <w:vertAlign w:val="baseline"/>
                <w:lang w:val="en-US" w:eastAsia="zh-CN" w:bidi="ar-SA"/>
                <w14:textFill>
                  <w14:solidFill>
                    <w14:schemeClr w14:val="tx1"/>
                  </w14:solidFill>
                </w14:textFill>
              </w:rPr>
            </w:pPr>
          </w:p>
        </w:tc>
      </w:tr>
    </w:tbl>
    <w:p w14:paraId="539399AC">
      <w:pPr>
        <w:keepNext w:val="0"/>
        <w:keepLines w:val="0"/>
        <w:pageBreakBefore w:val="0"/>
        <w:widowControl w:val="0"/>
        <w:numPr>
          <w:ilvl w:val="0"/>
          <w:numId w:val="0"/>
        </w:numPr>
        <w:kinsoku/>
        <w:wordWrap w:val="0"/>
        <w:overflowPunct/>
        <w:topLinePunct w:val="0"/>
        <w:autoSpaceDE/>
        <w:autoSpaceDN/>
        <w:bidi w:val="0"/>
        <w:adjustRightInd/>
        <w:snapToGrid w:val="0"/>
        <w:spacing w:line="480" w:lineRule="exact"/>
        <w:ind w:leftChars="0"/>
        <w:jc w:val="left"/>
        <w:textAlignment w:val="auto"/>
        <w:outlineLvl w:val="1"/>
        <w:rPr>
          <w:rFonts w:hint="eastAsia" w:ascii="宋体" w:hAnsi="宋体" w:cs="宋体"/>
          <w:b/>
          <w:bCs/>
          <w:color w:val="000000" w:themeColor="text1"/>
          <w:kern w:val="2"/>
          <w:sz w:val="28"/>
          <w:szCs w:val="18"/>
          <w:lang w:val="en-US" w:eastAsia="zh-CN" w:bidi="ar-SA"/>
          <w14:textFill>
            <w14:solidFill>
              <w14:schemeClr w14:val="tx1"/>
            </w14:solidFill>
          </w14:textFill>
        </w:rPr>
      </w:pPr>
    </w:p>
    <w:p w14:paraId="25B6B6A2">
      <w:pPr>
        <w:pStyle w:val="3"/>
        <w:rPr>
          <w:rFonts w:hint="eastAsia"/>
          <w:lang w:val="en-US" w:eastAsia="zh-CN"/>
        </w:rPr>
      </w:pPr>
    </w:p>
    <w:p w14:paraId="7E7D1123">
      <w:pPr>
        <w:rPr>
          <w:rFonts w:hint="eastAsia"/>
          <w:lang w:val="en-US" w:eastAsia="zh-CN"/>
        </w:rPr>
      </w:pPr>
    </w:p>
    <w:p w14:paraId="40DEC113">
      <w:pPr>
        <w:pStyle w:val="3"/>
        <w:rPr>
          <w:rFonts w:hint="eastAsia" w:ascii="宋体" w:hAnsi="宋体" w:eastAsia="宋体" w:cs="宋体"/>
          <w:b/>
          <w:bCs/>
          <w:color w:val="auto"/>
          <w:sz w:val="28"/>
          <w:szCs w:val="18"/>
          <w:lang w:val="en-US" w:eastAsia="zh-CN"/>
        </w:rPr>
      </w:pPr>
    </w:p>
    <w:p w14:paraId="00AC4155">
      <w:pPr>
        <w:rPr>
          <w:rFonts w:hint="eastAsia" w:ascii="宋体" w:hAnsi="宋体" w:eastAsia="宋体" w:cs="宋体"/>
          <w:color w:val="auto"/>
          <w:lang w:val="en-US" w:eastAsia="zh-CN"/>
        </w:rPr>
      </w:pPr>
    </w:p>
    <w:p w14:paraId="524B2B8C">
      <w:pPr>
        <w:pStyle w:val="3"/>
        <w:rPr>
          <w:rFonts w:hint="eastAsia" w:ascii="宋体" w:hAnsi="宋体" w:eastAsia="宋体" w:cs="宋体"/>
          <w:lang w:val="en-US" w:eastAsia="zh-CN"/>
        </w:rPr>
      </w:pPr>
    </w:p>
    <w:p w14:paraId="0AF2EF47">
      <w:pPr>
        <w:pStyle w:val="3"/>
        <w:ind w:left="0" w:leftChars="0" w:firstLine="0" w:firstLineChars="0"/>
        <w:jc w:val="center"/>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标项二：小学部专用教室</w:t>
      </w:r>
    </w:p>
    <w:p w14:paraId="000866C3">
      <w:pPr>
        <w:pStyle w:val="3"/>
        <w:jc w:val="center"/>
        <w:rPr>
          <w:rFonts w:hint="eastAsia" w:ascii="宋体" w:hAnsi="宋体" w:eastAsia="宋体" w:cs="宋体"/>
        </w:rPr>
      </w:pPr>
    </w:p>
    <w:p w14:paraId="0E94854B">
      <w:pPr>
        <w:rPr>
          <w:rFonts w:hint="eastAsia" w:ascii="宋体" w:hAnsi="宋体" w:eastAsia="宋体" w:cs="宋体"/>
          <w:sz w:val="22"/>
          <w:szCs w:val="28"/>
          <w:lang w:eastAsia="zh-CN"/>
        </w:rPr>
      </w:pPr>
      <w:r>
        <w:rPr>
          <w:rFonts w:hint="eastAsia" w:ascii="宋体" w:hAnsi="宋体" w:eastAsia="宋体" w:cs="宋体"/>
          <w:b/>
          <w:bCs/>
          <w:sz w:val="28"/>
          <w:szCs w:val="36"/>
          <w:lang w:eastAsia="zh-CN"/>
        </w:rPr>
        <w:t>采购清单</w:t>
      </w:r>
    </w:p>
    <w:tbl>
      <w:tblPr>
        <w:tblStyle w:val="28"/>
        <w:tblW w:w="145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273"/>
        <w:gridCol w:w="2950"/>
        <w:gridCol w:w="4367"/>
        <w:gridCol w:w="2289"/>
        <w:gridCol w:w="1717"/>
      </w:tblGrid>
      <w:tr w14:paraId="61E52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DE4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9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4AC3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科学</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351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科学教室1</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61E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BFE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2AE85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B53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9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273585">
            <w:pPr>
              <w:jc w:val="center"/>
              <w:rPr>
                <w:rFonts w:hint="eastAsia" w:ascii="宋体" w:hAnsi="宋体" w:eastAsia="宋体" w:cs="宋体"/>
                <w:i w:val="0"/>
                <w:iCs w:val="0"/>
                <w:color w:val="000000"/>
                <w:sz w:val="20"/>
                <w:szCs w:val="20"/>
                <w:u w:val="none"/>
              </w:rPr>
            </w:pP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20E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科学教室2</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D40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528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1C3661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767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950" w:type="dxa"/>
            <w:vMerge w:val="restart"/>
            <w:tcBorders>
              <w:top w:val="single" w:color="000000" w:sz="4" w:space="0"/>
              <w:left w:val="single" w:color="000000" w:sz="4" w:space="0"/>
              <w:right w:val="single" w:color="000000" w:sz="4" w:space="0"/>
            </w:tcBorders>
            <w:shd w:val="clear" w:color="auto" w:fill="auto"/>
            <w:vAlign w:val="center"/>
          </w:tcPr>
          <w:p w14:paraId="697522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音乐</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57EC0">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音乐教室1</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297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30F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0CD168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E815A">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4</w:t>
            </w:r>
          </w:p>
        </w:tc>
        <w:tc>
          <w:tcPr>
            <w:tcW w:w="2950" w:type="dxa"/>
            <w:vMerge w:val="continue"/>
            <w:tcBorders>
              <w:left w:val="single" w:color="000000" w:sz="4" w:space="0"/>
              <w:bottom w:val="single" w:color="000000" w:sz="4" w:space="0"/>
              <w:right w:val="single" w:color="000000" w:sz="4" w:space="0"/>
            </w:tcBorders>
            <w:shd w:val="clear" w:color="auto" w:fill="auto"/>
            <w:vAlign w:val="center"/>
          </w:tcPr>
          <w:p w14:paraId="668352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DC0E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音乐教室</w:t>
            </w:r>
            <w:r>
              <w:rPr>
                <w:rFonts w:hint="eastAsia" w:ascii="宋体" w:hAnsi="宋体" w:cs="宋体"/>
                <w:i w:val="0"/>
                <w:iCs w:val="0"/>
                <w:color w:val="000000"/>
                <w:kern w:val="0"/>
                <w:sz w:val="20"/>
                <w:szCs w:val="20"/>
                <w:u w:val="none"/>
                <w:lang w:val="en-US" w:eastAsia="zh-CN" w:bidi="ar"/>
              </w:rPr>
              <w:t>2</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3BD03">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488E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间</w:t>
            </w:r>
          </w:p>
        </w:tc>
      </w:tr>
      <w:tr w14:paraId="658505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E322B">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5</w:t>
            </w:r>
          </w:p>
        </w:tc>
        <w:tc>
          <w:tcPr>
            <w:tcW w:w="2950" w:type="dxa"/>
            <w:vMerge w:val="restart"/>
            <w:tcBorders>
              <w:top w:val="single" w:color="000000" w:sz="4" w:space="0"/>
              <w:left w:val="single" w:color="000000" w:sz="4" w:space="0"/>
              <w:right w:val="single" w:color="000000" w:sz="4" w:space="0"/>
            </w:tcBorders>
            <w:shd w:val="clear" w:color="auto" w:fill="auto"/>
            <w:vAlign w:val="center"/>
          </w:tcPr>
          <w:p w14:paraId="44871D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美术</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31C6B">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美术教室</w:t>
            </w:r>
            <w:r>
              <w:rPr>
                <w:rFonts w:hint="eastAsia" w:ascii="宋体" w:hAnsi="宋体" w:cs="宋体"/>
                <w:i w:val="0"/>
                <w:iCs w:val="0"/>
                <w:color w:val="000000"/>
                <w:kern w:val="0"/>
                <w:sz w:val="20"/>
                <w:szCs w:val="20"/>
                <w:u w:val="none"/>
                <w:lang w:val="en-US" w:eastAsia="zh-CN" w:bidi="ar"/>
              </w:rPr>
              <w:t>1</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DB0C7">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8D1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间</w:t>
            </w:r>
          </w:p>
        </w:tc>
      </w:tr>
      <w:tr w14:paraId="654FD7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C76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6</w:t>
            </w:r>
          </w:p>
        </w:tc>
        <w:tc>
          <w:tcPr>
            <w:tcW w:w="2950" w:type="dxa"/>
            <w:vMerge w:val="continue"/>
            <w:tcBorders>
              <w:left w:val="single" w:color="000000" w:sz="4" w:space="0"/>
              <w:bottom w:val="single" w:color="000000" w:sz="4" w:space="0"/>
              <w:right w:val="single" w:color="000000" w:sz="4" w:space="0"/>
            </w:tcBorders>
            <w:shd w:val="clear" w:color="auto" w:fill="auto"/>
            <w:vAlign w:val="center"/>
          </w:tcPr>
          <w:p w14:paraId="760268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09605">
            <w:pPr>
              <w:keepNext w:val="0"/>
              <w:keepLines w:val="0"/>
              <w:widowControl/>
              <w:suppressLineNumbers w:val="0"/>
              <w:jc w:val="center"/>
              <w:textAlignment w:val="center"/>
              <w:rPr>
                <w:rFonts w:hint="default" w:ascii="宋体" w:hAnsi="宋体" w:eastAsia="宋体" w:cs="宋体"/>
                <w:i w:val="0"/>
                <w:iCs w:val="0"/>
                <w:color w:val="000000"/>
                <w:sz w:val="20"/>
                <w:szCs w:val="20"/>
                <w:u w:val="none"/>
                <w:lang w:val="en-US"/>
              </w:rPr>
            </w:pPr>
            <w:r>
              <w:rPr>
                <w:rFonts w:hint="eastAsia" w:ascii="宋体" w:hAnsi="宋体" w:eastAsia="宋体" w:cs="宋体"/>
                <w:i w:val="0"/>
                <w:iCs w:val="0"/>
                <w:color w:val="000000"/>
                <w:kern w:val="0"/>
                <w:sz w:val="20"/>
                <w:szCs w:val="20"/>
                <w:u w:val="none"/>
                <w:lang w:val="en-US" w:eastAsia="zh-CN" w:bidi="ar"/>
              </w:rPr>
              <w:t>美术教室</w:t>
            </w:r>
            <w:r>
              <w:rPr>
                <w:rFonts w:hint="eastAsia" w:ascii="宋体" w:hAnsi="宋体" w:cs="宋体"/>
                <w:i w:val="0"/>
                <w:iCs w:val="0"/>
                <w:color w:val="000000"/>
                <w:kern w:val="0"/>
                <w:sz w:val="20"/>
                <w:szCs w:val="20"/>
                <w:u w:val="none"/>
                <w:lang w:val="en-US" w:eastAsia="zh-CN" w:bidi="ar"/>
              </w:rPr>
              <w:t>2</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DA9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3E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7E450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F26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7</w:t>
            </w:r>
          </w:p>
        </w:tc>
        <w:tc>
          <w:tcPr>
            <w:tcW w:w="29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252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劳技</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75A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劳技教室</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335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522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1209CC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FA8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8</w:t>
            </w:r>
          </w:p>
        </w:tc>
        <w:tc>
          <w:tcPr>
            <w:tcW w:w="29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A2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计算机</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D81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计算机教室</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58F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566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0C46C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962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cs="宋体"/>
                <w:i w:val="0"/>
                <w:iCs w:val="0"/>
                <w:color w:val="000000"/>
                <w:kern w:val="0"/>
                <w:sz w:val="20"/>
                <w:szCs w:val="20"/>
                <w:u w:val="none"/>
                <w:lang w:val="en-US" w:eastAsia="zh-CN" w:bidi="ar"/>
              </w:rPr>
              <w:t>9</w:t>
            </w:r>
          </w:p>
        </w:tc>
        <w:tc>
          <w:tcPr>
            <w:tcW w:w="29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2AE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录播</w:t>
            </w: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668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录播教室</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669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F71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间</w:t>
            </w:r>
          </w:p>
        </w:tc>
      </w:tr>
      <w:tr w14:paraId="51C9A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3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594D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tc>
        <w:tc>
          <w:tcPr>
            <w:tcW w:w="29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7CA9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tc>
        <w:tc>
          <w:tcPr>
            <w:tcW w:w="43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0B20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合计</w:t>
            </w:r>
          </w:p>
        </w:tc>
        <w:tc>
          <w:tcPr>
            <w:tcW w:w="22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F12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tc>
        <w:tc>
          <w:tcPr>
            <w:tcW w:w="17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2F4D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tc>
      </w:tr>
    </w:tbl>
    <w:p w14:paraId="43879E68">
      <w:pPr>
        <w:pStyle w:val="3"/>
        <w:numPr>
          <w:ilvl w:val="0"/>
          <w:numId w:val="0"/>
        </w:numPr>
        <w:rPr>
          <w:rFonts w:hint="eastAsia" w:ascii="宋体" w:hAnsi="宋体" w:eastAsia="宋体" w:cs="宋体"/>
          <w:b/>
          <w:bCs/>
          <w:color w:val="auto"/>
          <w:sz w:val="24"/>
          <w:szCs w:val="24"/>
          <w:lang w:val="en-US" w:eastAsia="zh-CN"/>
        </w:rPr>
      </w:pPr>
    </w:p>
    <w:p w14:paraId="63B89F6E">
      <w:pPr>
        <w:rPr>
          <w:rFonts w:hint="eastAsia" w:ascii="宋体" w:hAnsi="宋体" w:eastAsia="宋体" w:cs="宋体"/>
          <w:color w:val="auto"/>
          <w:lang w:val="en-US" w:eastAsia="zh-CN"/>
        </w:rPr>
      </w:pPr>
    </w:p>
    <w:p w14:paraId="59F74C18">
      <w:pPr>
        <w:pStyle w:val="5"/>
        <w:keepNext w:val="0"/>
        <w:keepLines w:val="0"/>
        <w:spacing w:after="0"/>
        <w:ind w:left="0" w:leftChars="0" w:firstLine="0" w:firstLineChars="0"/>
        <w:jc w:val="both"/>
        <w:rPr>
          <w:rFonts w:hint="eastAsia" w:ascii="宋体" w:hAnsi="宋体" w:eastAsia="宋体" w:cs="宋体"/>
          <w:color w:val="auto"/>
          <w:sz w:val="28"/>
          <w:szCs w:val="18"/>
          <w:lang w:val="en-US" w:eastAsia="zh-CN"/>
        </w:rPr>
      </w:pPr>
      <w:r>
        <w:rPr>
          <w:rFonts w:hint="eastAsia" w:ascii="宋体" w:hAnsi="宋体" w:eastAsia="宋体" w:cs="宋体"/>
          <w:color w:val="auto"/>
          <w:sz w:val="28"/>
          <w:szCs w:val="18"/>
          <w:lang w:val="en-US" w:eastAsia="zh-CN"/>
        </w:rPr>
        <w:t>技术参数要求</w:t>
      </w:r>
    </w:p>
    <w:tbl>
      <w:tblPr>
        <w:tblStyle w:val="29"/>
        <w:tblW w:w="14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304"/>
        <w:gridCol w:w="7370"/>
        <w:gridCol w:w="1191"/>
        <w:gridCol w:w="1049"/>
        <w:gridCol w:w="2937"/>
      </w:tblGrid>
      <w:tr w14:paraId="2402F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DB1EFFC">
            <w:pPr>
              <w:keepNext w:val="0"/>
              <w:keepLines w:val="0"/>
              <w:widowControl/>
              <w:suppressLineNumbers w:val="0"/>
              <w:jc w:val="center"/>
              <w:textAlignment w:val="center"/>
              <w:rPr>
                <w:rFonts w:hint="eastAsia" w:ascii="宋体" w:hAnsi="宋体" w:eastAsia="宋体" w:cs="宋体"/>
                <w:b w:val="0"/>
                <w:bCs w:val="0"/>
                <w:color w:val="auto"/>
                <w:sz w:val="20"/>
                <w:szCs w:val="20"/>
                <w:vertAlign w:val="baseline"/>
                <w:lang w:val="en-US" w:eastAsia="zh-CN"/>
              </w:rPr>
            </w:pPr>
            <w:r>
              <w:rPr>
                <w:rFonts w:hint="eastAsia" w:ascii="宋体" w:hAnsi="宋体" w:eastAsia="宋体" w:cs="宋体"/>
                <w:b w:val="0"/>
                <w:bCs w:val="0"/>
                <w:i w:val="0"/>
                <w:iCs w:val="0"/>
                <w:color w:val="000000"/>
                <w:kern w:val="0"/>
                <w:sz w:val="20"/>
                <w:szCs w:val="20"/>
                <w:u w:val="none"/>
                <w:lang w:val="en-US" w:eastAsia="zh-CN" w:bidi="ar"/>
              </w:rPr>
              <w:t>序号</w:t>
            </w:r>
          </w:p>
        </w:tc>
        <w:tc>
          <w:tcPr>
            <w:tcW w:w="1304" w:type="dxa"/>
            <w:vAlign w:val="center"/>
          </w:tcPr>
          <w:p w14:paraId="448804F6">
            <w:pPr>
              <w:keepNext w:val="0"/>
              <w:keepLines w:val="0"/>
              <w:widowControl/>
              <w:suppressLineNumbers w:val="0"/>
              <w:jc w:val="center"/>
              <w:textAlignment w:val="center"/>
              <w:rPr>
                <w:rFonts w:hint="eastAsia" w:ascii="宋体" w:hAnsi="宋体" w:eastAsia="宋体" w:cs="宋体"/>
                <w:b w:val="0"/>
                <w:bCs w:val="0"/>
                <w:color w:val="auto"/>
                <w:sz w:val="20"/>
                <w:szCs w:val="20"/>
                <w:vertAlign w:val="baseline"/>
                <w:lang w:val="en-US" w:eastAsia="zh-CN"/>
              </w:rPr>
            </w:pPr>
            <w:r>
              <w:rPr>
                <w:rFonts w:hint="eastAsia" w:ascii="宋体" w:hAnsi="宋体" w:eastAsia="宋体" w:cs="宋体"/>
                <w:b w:val="0"/>
                <w:bCs w:val="0"/>
                <w:i w:val="0"/>
                <w:iCs w:val="0"/>
                <w:color w:val="000000"/>
                <w:kern w:val="0"/>
                <w:sz w:val="20"/>
                <w:szCs w:val="20"/>
                <w:u w:val="none"/>
                <w:lang w:val="en-US" w:eastAsia="zh-CN" w:bidi="ar"/>
              </w:rPr>
              <w:t>名称</w:t>
            </w:r>
          </w:p>
        </w:tc>
        <w:tc>
          <w:tcPr>
            <w:tcW w:w="7370" w:type="dxa"/>
            <w:vAlign w:val="center"/>
          </w:tcPr>
          <w:p w14:paraId="1B6C2EDA">
            <w:pPr>
              <w:keepNext w:val="0"/>
              <w:keepLines w:val="0"/>
              <w:widowControl/>
              <w:suppressLineNumbers w:val="0"/>
              <w:jc w:val="center"/>
              <w:textAlignment w:val="center"/>
              <w:rPr>
                <w:rFonts w:hint="eastAsia" w:ascii="宋体" w:hAnsi="宋体" w:eastAsia="宋体" w:cs="宋体"/>
                <w:b w:val="0"/>
                <w:bCs w:val="0"/>
                <w:color w:val="auto"/>
                <w:sz w:val="20"/>
                <w:szCs w:val="20"/>
                <w:vertAlign w:val="baseline"/>
                <w:lang w:val="en-US" w:eastAsia="zh-CN"/>
              </w:rPr>
            </w:pPr>
            <w:r>
              <w:rPr>
                <w:rFonts w:hint="eastAsia" w:ascii="宋体" w:hAnsi="宋体" w:eastAsia="宋体" w:cs="宋体"/>
                <w:b w:val="0"/>
                <w:bCs w:val="0"/>
                <w:i w:val="0"/>
                <w:iCs w:val="0"/>
                <w:color w:val="000000"/>
                <w:kern w:val="0"/>
                <w:sz w:val="20"/>
                <w:szCs w:val="20"/>
                <w:u w:val="none"/>
                <w:lang w:val="en-US" w:eastAsia="zh-CN" w:bidi="ar"/>
              </w:rPr>
              <w:t>规格参数</w:t>
            </w:r>
          </w:p>
        </w:tc>
        <w:tc>
          <w:tcPr>
            <w:tcW w:w="1191" w:type="dxa"/>
            <w:vAlign w:val="center"/>
          </w:tcPr>
          <w:p w14:paraId="775C50F3">
            <w:pPr>
              <w:keepNext w:val="0"/>
              <w:keepLines w:val="0"/>
              <w:widowControl/>
              <w:suppressLineNumbers w:val="0"/>
              <w:jc w:val="center"/>
              <w:textAlignment w:val="center"/>
              <w:rPr>
                <w:rFonts w:hint="eastAsia" w:ascii="宋体" w:hAnsi="宋体" w:eastAsia="宋体" w:cs="宋体"/>
                <w:b w:val="0"/>
                <w:bCs w:val="0"/>
                <w:color w:val="auto"/>
                <w:sz w:val="20"/>
                <w:szCs w:val="20"/>
                <w:vertAlign w:val="baseline"/>
                <w:lang w:val="en-US" w:eastAsia="zh-CN"/>
              </w:rPr>
            </w:pPr>
            <w:r>
              <w:rPr>
                <w:rFonts w:hint="eastAsia" w:ascii="宋体" w:hAnsi="宋体" w:eastAsia="宋体" w:cs="宋体"/>
                <w:b w:val="0"/>
                <w:bCs w:val="0"/>
                <w:i w:val="0"/>
                <w:iCs w:val="0"/>
                <w:color w:val="000000"/>
                <w:kern w:val="0"/>
                <w:sz w:val="20"/>
                <w:szCs w:val="20"/>
                <w:u w:val="none"/>
                <w:lang w:val="en-US" w:eastAsia="zh-CN" w:bidi="ar"/>
              </w:rPr>
              <w:t>数量</w:t>
            </w:r>
          </w:p>
        </w:tc>
        <w:tc>
          <w:tcPr>
            <w:tcW w:w="1049" w:type="dxa"/>
            <w:vAlign w:val="center"/>
          </w:tcPr>
          <w:p w14:paraId="73CDDE5C">
            <w:pPr>
              <w:keepNext w:val="0"/>
              <w:keepLines w:val="0"/>
              <w:widowControl/>
              <w:suppressLineNumbers w:val="0"/>
              <w:jc w:val="center"/>
              <w:textAlignment w:val="center"/>
              <w:rPr>
                <w:rFonts w:hint="eastAsia" w:ascii="宋体" w:hAnsi="宋体" w:eastAsia="宋体" w:cs="宋体"/>
                <w:b w:val="0"/>
                <w:bCs w:val="0"/>
                <w:color w:val="auto"/>
                <w:sz w:val="20"/>
                <w:szCs w:val="20"/>
                <w:vertAlign w:val="baseline"/>
                <w:lang w:val="en-US" w:eastAsia="zh-CN"/>
              </w:rPr>
            </w:pPr>
            <w:r>
              <w:rPr>
                <w:rFonts w:hint="eastAsia" w:ascii="宋体" w:hAnsi="宋体" w:eastAsia="宋体" w:cs="宋体"/>
                <w:b w:val="0"/>
                <w:bCs w:val="0"/>
                <w:i w:val="0"/>
                <w:iCs w:val="0"/>
                <w:color w:val="000000"/>
                <w:kern w:val="0"/>
                <w:sz w:val="20"/>
                <w:szCs w:val="20"/>
                <w:u w:val="none"/>
                <w:lang w:val="en-US" w:eastAsia="zh-CN" w:bidi="ar"/>
              </w:rPr>
              <w:t>单位</w:t>
            </w:r>
          </w:p>
        </w:tc>
        <w:tc>
          <w:tcPr>
            <w:tcW w:w="2937" w:type="dxa"/>
            <w:vAlign w:val="center"/>
          </w:tcPr>
          <w:p w14:paraId="1F2066A1">
            <w:pPr>
              <w:jc w:val="center"/>
              <w:rPr>
                <w:rFonts w:hint="eastAsia" w:ascii="宋体" w:hAnsi="宋体" w:eastAsia="宋体" w:cs="宋体"/>
                <w:color w:val="auto"/>
                <w:sz w:val="20"/>
                <w:szCs w:val="20"/>
                <w:vertAlign w:val="baseline"/>
                <w:lang w:val="en-US" w:eastAsia="zh-CN"/>
              </w:rPr>
            </w:pPr>
            <w:r>
              <w:rPr>
                <w:rFonts w:hint="eastAsia" w:ascii="宋体" w:hAnsi="宋体" w:eastAsia="宋体" w:cs="宋体"/>
                <w:color w:val="auto"/>
                <w:sz w:val="20"/>
                <w:szCs w:val="22"/>
                <w:vertAlign w:val="baseline"/>
                <w:lang w:val="en-US" w:eastAsia="zh-CN"/>
              </w:rPr>
              <w:t>图片</w:t>
            </w:r>
          </w:p>
        </w:tc>
      </w:tr>
      <w:tr w14:paraId="46597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09F607C3">
            <w:pPr>
              <w:jc w:val="left"/>
              <w:rPr>
                <w:rFonts w:hint="eastAsia" w:ascii="宋体" w:hAnsi="宋体" w:eastAsia="宋体" w:cs="宋体"/>
                <w:color w:val="auto"/>
                <w:vertAlign w:val="baseline"/>
                <w:lang w:val="en-US" w:eastAsia="zh-CN"/>
              </w:rPr>
            </w:pPr>
            <w:r>
              <w:rPr>
                <w:rFonts w:hint="eastAsia" w:ascii="宋体" w:hAnsi="宋体" w:cs="宋体"/>
                <w:b/>
                <w:bCs/>
                <w:color w:val="auto"/>
                <w:sz w:val="24"/>
                <w:szCs w:val="32"/>
                <w:vertAlign w:val="baseline"/>
                <w:lang w:val="en-US" w:eastAsia="zh-CN"/>
              </w:rPr>
              <w:t>1.</w:t>
            </w:r>
            <w:r>
              <w:rPr>
                <w:rFonts w:hint="eastAsia" w:ascii="宋体" w:hAnsi="宋体" w:eastAsia="宋体" w:cs="宋体"/>
                <w:b/>
                <w:bCs/>
                <w:color w:val="auto"/>
                <w:sz w:val="24"/>
                <w:szCs w:val="32"/>
                <w:vertAlign w:val="baseline"/>
                <w:lang w:val="en-US" w:eastAsia="zh-CN"/>
              </w:rPr>
              <w:t>科学教室1</w:t>
            </w:r>
          </w:p>
        </w:tc>
      </w:tr>
      <w:tr w14:paraId="67AF5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F17635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 </w:t>
            </w:r>
          </w:p>
        </w:tc>
        <w:tc>
          <w:tcPr>
            <w:tcW w:w="1304" w:type="dxa"/>
            <w:vAlign w:val="center"/>
          </w:tcPr>
          <w:p w14:paraId="6CB0CDA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教师演示台</w:t>
            </w:r>
          </w:p>
        </w:tc>
        <w:tc>
          <w:tcPr>
            <w:tcW w:w="7370" w:type="dxa"/>
            <w:vAlign w:val="center"/>
          </w:tcPr>
          <w:p w14:paraId="0E30AFE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1.规格：≥2000*700*850mm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2.台面：采用≥12.7mm厚双面理化膜实芯理化板。台面需倒圆边，经机械打磨，表面光滑平整，需具有耐强酸碱、防腐蚀、防静电、耐辐射、耐磨、抗污染、易清洁、耐冲击、耐高温、防水、防火等特点。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3.桌架：采用≥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1.Omm厚度镀锌钢管, 立脚≥38*38*1.2mm、拉档≥20*30*1.2mm，表面经过十道防锈前处理,,喷雾式自动喷涂。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4.柜体：采用≥18mm厚三聚氰胺防潮双贴面板，(基板为E1级环保板)，板材所有截面优质（厚度≥1MM）PVC机器封边。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5.五金配件：采用304不锈钢拉手、铰链、三节导轨等。</w:t>
            </w:r>
          </w:p>
        </w:tc>
        <w:tc>
          <w:tcPr>
            <w:tcW w:w="1191" w:type="dxa"/>
            <w:vAlign w:val="center"/>
          </w:tcPr>
          <w:p w14:paraId="5694F76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 </w:t>
            </w:r>
          </w:p>
        </w:tc>
        <w:tc>
          <w:tcPr>
            <w:tcW w:w="1049" w:type="dxa"/>
            <w:vAlign w:val="center"/>
          </w:tcPr>
          <w:p w14:paraId="2ACA91A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3B4FD9D1">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339090</wp:posOffset>
                  </wp:positionH>
                  <wp:positionV relativeFrom="paragraph">
                    <wp:posOffset>346710</wp:posOffset>
                  </wp:positionV>
                  <wp:extent cx="1096645" cy="655955"/>
                  <wp:effectExtent l="0" t="0" r="8255" b="10795"/>
                  <wp:wrapNone/>
                  <wp:docPr id="308" name="图片_3"/>
                  <wp:cNvGraphicFramePr/>
                  <a:graphic xmlns:a="http://schemas.openxmlformats.org/drawingml/2006/main">
                    <a:graphicData uri="http://schemas.openxmlformats.org/drawingml/2006/picture">
                      <pic:pic xmlns:pic="http://schemas.openxmlformats.org/drawingml/2006/picture">
                        <pic:nvPicPr>
                          <pic:cNvPr id="308" name="图片_3"/>
                          <pic:cNvPicPr/>
                        </pic:nvPicPr>
                        <pic:blipFill>
                          <a:blip r:embed="rId115"/>
                          <a:stretch>
                            <a:fillRect/>
                          </a:stretch>
                        </pic:blipFill>
                        <pic:spPr>
                          <a:xfrm>
                            <a:off x="0" y="0"/>
                            <a:ext cx="1096645" cy="655955"/>
                          </a:xfrm>
                          <a:prstGeom prst="rect">
                            <a:avLst/>
                          </a:prstGeom>
                          <a:noFill/>
                          <a:ln>
                            <a:noFill/>
                          </a:ln>
                        </pic:spPr>
                      </pic:pic>
                    </a:graphicData>
                  </a:graphic>
                </wp:anchor>
              </w:drawing>
            </w:r>
          </w:p>
        </w:tc>
      </w:tr>
      <w:tr w14:paraId="524E8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940AF6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2 </w:t>
            </w:r>
          </w:p>
        </w:tc>
        <w:tc>
          <w:tcPr>
            <w:tcW w:w="1304" w:type="dxa"/>
            <w:vAlign w:val="center"/>
          </w:tcPr>
          <w:p w14:paraId="4E78E704">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b/>
                <w:bCs/>
                <w:i w:val="0"/>
                <w:iCs w:val="0"/>
                <w:color w:val="auto"/>
                <w:kern w:val="0"/>
                <w:sz w:val="20"/>
                <w:szCs w:val="20"/>
                <w:u w:val="none"/>
                <w:lang w:val="en-US" w:eastAsia="zh-CN" w:bidi="ar"/>
              </w:rPr>
              <w:t>学生实验桌（提供样品1张）</w:t>
            </w:r>
          </w:p>
        </w:tc>
        <w:tc>
          <w:tcPr>
            <w:tcW w:w="7370" w:type="dxa"/>
            <w:vAlign w:val="center"/>
          </w:tcPr>
          <w:p w14:paraId="2135EFAC">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1.规格：≥1200*600*780mm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2.台面：采用≥12.7mm厚双面理化膜实芯理化板。台面需倒圆边，经机械打磨，表面光滑平整，需具有耐强酸碱、防腐蚀、防静电、耐辐射、耐磨、抗污染、易清洁、耐冲击、耐高温、防水、防火等特点。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身：立柱采用铝合金拉伸椭圆管设计，铝型材立柱≥90*42*1.0mm，笔直支撑，嵌入上下铸铝脚内；桌架下端配备加固支撑梁，横档拉梁≥60*30*1.2mm；桌架背部具有≥46*90*1.2mm（含挡水条)档水板、桌架前部具≥30*49*1.2mm支撑条，后端挡水板、前端支撑条采用挤出铝合金型材，各部分连接设置卡位，通过采用高强度螺丝连接，表面经静电喷涂高温固化处理，便于组装及拆卸，易碰撞处全部采用倒圆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4.书包斗：采用≥10mm厚度ABS注塑一体注塑成型，整体尺寸≥400*300*128mm，镂空设计，便于清理，前端设置挂凳卡口，方便教室地面卫生清洁；</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5.桌脚配有固定式可调整底脚，设置专用孔位可与地面固定，配有材质ABS脚套装饰盖。</w:t>
            </w:r>
          </w:p>
        </w:tc>
        <w:tc>
          <w:tcPr>
            <w:tcW w:w="1191" w:type="dxa"/>
            <w:vAlign w:val="center"/>
          </w:tcPr>
          <w:p w14:paraId="7110C760">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24 </w:t>
            </w:r>
          </w:p>
        </w:tc>
        <w:tc>
          <w:tcPr>
            <w:tcW w:w="1049" w:type="dxa"/>
            <w:vAlign w:val="center"/>
          </w:tcPr>
          <w:p w14:paraId="5E68FF7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27F643BF">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857250" cy="847725"/>
                  <wp:effectExtent l="0" t="0" r="0" b="9525"/>
                  <wp:docPr id="309" name="图片 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8" descr="IMG_256"/>
                          <pic:cNvPicPr>
                            <a:picLocks noChangeAspect="1"/>
                          </pic:cNvPicPr>
                        </pic:nvPicPr>
                        <pic:blipFill>
                          <a:blip r:embed="rId116"/>
                          <a:stretch>
                            <a:fillRect/>
                          </a:stretch>
                        </pic:blipFill>
                        <pic:spPr>
                          <a:xfrm>
                            <a:off x="0" y="0"/>
                            <a:ext cx="857250" cy="847725"/>
                          </a:xfrm>
                          <a:prstGeom prst="rect">
                            <a:avLst/>
                          </a:prstGeom>
                          <a:noFill/>
                          <a:ln w="9525">
                            <a:noFill/>
                          </a:ln>
                        </pic:spPr>
                      </pic:pic>
                    </a:graphicData>
                  </a:graphic>
                </wp:inline>
              </w:drawing>
            </w:r>
          </w:p>
        </w:tc>
      </w:tr>
      <w:tr w14:paraId="1B1B8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398543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3 </w:t>
            </w:r>
          </w:p>
        </w:tc>
        <w:tc>
          <w:tcPr>
            <w:tcW w:w="1304" w:type="dxa"/>
            <w:vAlign w:val="center"/>
          </w:tcPr>
          <w:p w14:paraId="0D2E697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b/>
                <w:bCs/>
                <w:i w:val="0"/>
                <w:iCs w:val="0"/>
                <w:color w:val="000000"/>
                <w:kern w:val="0"/>
                <w:sz w:val="20"/>
                <w:szCs w:val="20"/>
                <w:u w:val="none"/>
                <w:lang w:val="en-US" w:eastAsia="zh-CN" w:bidi="ar"/>
              </w:rPr>
              <w:t>学生凳</w:t>
            </w:r>
          </w:p>
        </w:tc>
        <w:tc>
          <w:tcPr>
            <w:tcW w:w="7370" w:type="dxa"/>
            <w:vAlign w:val="center"/>
          </w:tcPr>
          <w:p w14:paraId="4DF94360">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优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1191" w:type="dxa"/>
            <w:vAlign w:val="center"/>
          </w:tcPr>
          <w:p w14:paraId="46621EFD">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48 </w:t>
            </w:r>
          </w:p>
        </w:tc>
        <w:tc>
          <w:tcPr>
            <w:tcW w:w="1049" w:type="dxa"/>
            <w:vAlign w:val="center"/>
          </w:tcPr>
          <w:p w14:paraId="6A27F37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0A64DF28">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47700" cy="1000125"/>
                  <wp:effectExtent l="0" t="0" r="0" b="9525"/>
                  <wp:docPr id="310" name="图片 8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89" descr="IMG_257"/>
                          <pic:cNvPicPr>
                            <a:picLocks noChangeAspect="1"/>
                          </pic:cNvPicPr>
                        </pic:nvPicPr>
                        <pic:blipFill>
                          <a:blip r:embed="rId117"/>
                          <a:stretch>
                            <a:fillRect/>
                          </a:stretch>
                        </pic:blipFill>
                        <pic:spPr>
                          <a:xfrm>
                            <a:off x="0" y="0"/>
                            <a:ext cx="647700" cy="1000125"/>
                          </a:xfrm>
                          <a:prstGeom prst="rect">
                            <a:avLst/>
                          </a:prstGeom>
                          <a:noFill/>
                          <a:ln w="9525">
                            <a:noFill/>
                          </a:ln>
                        </pic:spPr>
                      </pic:pic>
                    </a:graphicData>
                  </a:graphic>
                </wp:inline>
              </w:drawing>
            </w:r>
          </w:p>
        </w:tc>
      </w:tr>
      <w:tr w14:paraId="3D054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45DA9D4">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4 </w:t>
            </w:r>
          </w:p>
        </w:tc>
        <w:tc>
          <w:tcPr>
            <w:tcW w:w="1304" w:type="dxa"/>
            <w:vAlign w:val="center"/>
          </w:tcPr>
          <w:p w14:paraId="594BAD32">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准备桌</w:t>
            </w:r>
          </w:p>
        </w:tc>
        <w:tc>
          <w:tcPr>
            <w:tcW w:w="7370" w:type="dxa"/>
            <w:vAlign w:val="center"/>
          </w:tcPr>
          <w:p w14:paraId="684DFD5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1.规格尺寸：≥7500*600*850mm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2.钢木结</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构：采用≥1.Omm厚度镀锌方管钢架，所有钢制配件经过磷化、除油、除锈并经过粉末喷涂固化处理。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3.面板：台面采用≥12.7mm厚实芯理化板，截面机械打磨，边缘倒圆角。台面颜色：学校自由选择。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4.柜身：三聚氰胺防潮双贴面板，(基板为E1级环保板)，可见截面均厚度≥2.0mmPVC封边。</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5.连接件：ABS专用连接组装件。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6.固定桌脚：ABS注塑专用桌垫，可调节平衡。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7.含四组尺寸一高两低防酸碱、防锈、防虹吸、防阻塞，表</w:t>
            </w:r>
            <w:r>
              <w:rPr>
                <w:rFonts w:hint="eastAsia" w:ascii="宋体" w:hAnsi="宋体" w:eastAsia="宋体" w:cs="宋体"/>
                <w:i w:val="0"/>
                <w:iCs w:val="0"/>
                <w:color w:val="000000"/>
                <w:kern w:val="0"/>
                <w:sz w:val="20"/>
                <w:szCs w:val="20"/>
                <w:u w:val="none"/>
                <w:lang w:val="en-US" w:eastAsia="zh-CN" w:bidi="ar"/>
              </w:rPr>
              <w:t>面环氧树脂喷涂，出水嘴为铜质瓷芯鹅颈式化验水嘴，可拆卸清洗阻塞。出水嘴可拆卸，内有成型螺纹，可方便连接循环等特殊用水水管。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8.含四组尺寸≥440*330*190mm高密度PP一体化成型水槽，含下水配件（4套）</w:t>
            </w:r>
          </w:p>
        </w:tc>
        <w:tc>
          <w:tcPr>
            <w:tcW w:w="1191" w:type="dxa"/>
            <w:vAlign w:val="center"/>
          </w:tcPr>
          <w:p w14:paraId="1C858482">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49E25B8">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1F742DCA">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1104900</wp:posOffset>
                  </wp:positionH>
                  <wp:positionV relativeFrom="paragraph">
                    <wp:posOffset>-101600</wp:posOffset>
                  </wp:positionV>
                  <wp:extent cx="514350" cy="664210"/>
                  <wp:effectExtent l="0" t="0" r="0" b="2540"/>
                  <wp:wrapNone/>
                  <wp:docPr id="313" name="ID_1BE0580CAF6A40D0B553359997D87287"/>
                  <wp:cNvGraphicFramePr/>
                  <a:graphic xmlns:a="http://schemas.openxmlformats.org/drawingml/2006/main">
                    <a:graphicData uri="http://schemas.openxmlformats.org/drawingml/2006/picture">
                      <pic:pic xmlns:pic="http://schemas.openxmlformats.org/drawingml/2006/picture">
                        <pic:nvPicPr>
                          <pic:cNvPr id="313" name="ID_1BE0580CAF6A40D0B553359997D87287"/>
                          <pic:cNvPicPr/>
                        </pic:nvPicPr>
                        <pic:blipFill>
                          <a:blip r:embed="rId118"/>
                          <a:stretch>
                            <a:fillRect/>
                          </a:stretch>
                        </pic:blipFill>
                        <pic:spPr>
                          <a:xfrm>
                            <a:off x="0" y="0"/>
                            <a:ext cx="514350" cy="664210"/>
                          </a:xfrm>
                          <a:prstGeom prst="rect">
                            <a:avLst/>
                          </a:prstGeom>
                          <a:noFill/>
                          <a:ln>
                            <a:noFill/>
                          </a:ln>
                        </pic:spPr>
                      </pic:pic>
                    </a:graphicData>
                  </a:graphic>
                </wp:anchor>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57785</wp:posOffset>
                  </wp:positionH>
                  <wp:positionV relativeFrom="paragraph">
                    <wp:posOffset>86995</wp:posOffset>
                  </wp:positionV>
                  <wp:extent cx="885190" cy="473710"/>
                  <wp:effectExtent l="0" t="0" r="10160" b="2540"/>
                  <wp:wrapNone/>
                  <wp:docPr id="311" name="ID_6D89272751084BAEB9D83D1676908CF4"/>
                  <wp:cNvGraphicFramePr/>
                  <a:graphic xmlns:a="http://schemas.openxmlformats.org/drawingml/2006/main">
                    <a:graphicData uri="http://schemas.openxmlformats.org/drawingml/2006/picture">
                      <pic:pic xmlns:pic="http://schemas.openxmlformats.org/drawingml/2006/picture">
                        <pic:nvPicPr>
                          <pic:cNvPr id="311" name="ID_6D89272751084BAEB9D83D1676908CF4"/>
                          <pic:cNvPicPr/>
                        </pic:nvPicPr>
                        <pic:blipFill>
                          <a:blip r:embed="rId119"/>
                          <a:stretch>
                            <a:fillRect/>
                          </a:stretch>
                        </pic:blipFill>
                        <pic:spPr>
                          <a:xfrm>
                            <a:off x="0" y="0"/>
                            <a:ext cx="885190" cy="473710"/>
                          </a:xfrm>
                          <a:prstGeom prst="rect">
                            <a:avLst/>
                          </a:prstGeom>
                          <a:noFill/>
                          <a:ln>
                            <a:noFill/>
                          </a:ln>
                        </pic:spPr>
                      </pic:pic>
                    </a:graphicData>
                  </a:graphic>
                </wp:anchor>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581025</wp:posOffset>
                  </wp:positionH>
                  <wp:positionV relativeFrom="paragraph">
                    <wp:posOffset>608965</wp:posOffset>
                  </wp:positionV>
                  <wp:extent cx="775970" cy="552450"/>
                  <wp:effectExtent l="0" t="0" r="5080" b="0"/>
                  <wp:wrapNone/>
                  <wp:docPr id="312" name="ID_EF9C43DE9D87478790AA4BA1677E8671"/>
                  <wp:cNvGraphicFramePr/>
                  <a:graphic xmlns:a="http://schemas.openxmlformats.org/drawingml/2006/main">
                    <a:graphicData uri="http://schemas.openxmlformats.org/drawingml/2006/picture">
                      <pic:pic xmlns:pic="http://schemas.openxmlformats.org/drawingml/2006/picture">
                        <pic:nvPicPr>
                          <pic:cNvPr id="312" name="ID_EF9C43DE9D87478790AA4BA1677E8671"/>
                          <pic:cNvPicPr/>
                        </pic:nvPicPr>
                        <pic:blipFill>
                          <a:blip r:embed="rId120"/>
                          <a:stretch>
                            <a:fillRect/>
                          </a:stretch>
                        </pic:blipFill>
                        <pic:spPr>
                          <a:xfrm>
                            <a:off x="0" y="0"/>
                            <a:ext cx="775970" cy="552450"/>
                          </a:xfrm>
                          <a:prstGeom prst="rect">
                            <a:avLst/>
                          </a:prstGeom>
                          <a:noFill/>
                          <a:ln>
                            <a:noFill/>
                          </a:ln>
                        </pic:spPr>
                      </pic:pic>
                    </a:graphicData>
                  </a:graphic>
                </wp:anchor>
              </w:drawing>
            </w:r>
          </w:p>
        </w:tc>
      </w:tr>
      <w:tr w14:paraId="3E6F6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C4167F9">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5 </w:t>
            </w:r>
          </w:p>
        </w:tc>
        <w:tc>
          <w:tcPr>
            <w:tcW w:w="1304" w:type="dxa"/>
            <w:vAlign w:val="center"/>
          </w:tcPr>
          <w:p w14:paraId="4C54CF2D">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一、二年级科学配套材料箱</w:t>
            </w:r>
          </w:p>
        </w:tc>
        <w:tc>
          <w:tcPr>
            <w:tcW w:w="7370" w:type="dxa"/>
            <w:vAlign w:val="center"/>
          </w:tcPr>
          <w:p w14:paraId="60C18B93">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规格：≥530*410*430mm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1.材料内容：植物卡片、塑料花、种植、小花盆、植物种子、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大树卡片、树叶卡片、叶脉标本、植物的叶卡片、植物发芽包埋标本、一年四季树图片、硬质塑料记录夹、放大镜、阅读卡牌，比较与测量：恐龙模型、彩笔、弹跳青蛙、手工纸、打印纸带、白纸卷、透明胶带、不干胶圆贴、回形针数数棒、长条橡皮、立方体木块、立方体塑料块、剪刀、软尺、钢卷尺</w:t>
            </w:r>
          </w:p>
        </w:tc>
        <w:tc>
          <w:tcPr>
            <w:tcW w:w="1191" w:type="dxa"/>
            <w:vAlign w:val="center"/>
          </w:tcPr>
          <w:p w14:paraId="35323CC4">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44B1889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3DC134DA">
            <w:pPr>
              <w:jc w:val="center"/>
              <w:rPr>
                <w:rFonts w:hint="eastAsia" w:ascii="宋体" w:hAnsi="宋体" w:eastAsia="宋体" w:cs="宋体"/>
                <w:color w:val="auto"/>
                <w:vertAlign w:val="baseline"/>
                <w:lang w:val="en-US" w:eastAsia="zh-CN"/>
              </w:rPr>
            </w:pPr>
          </w:p>
        </w:tc>
      </w:tr>
      <w:tr w14:paraId="05CCC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743D3AA">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6 </w:t>
            </w:r>
          </w:p>
        </w:tc>
        <w:tc>
          <w:tcPr>
            <w:tcW w:w="1304" w:type="dxa"/>
            <w:vAlign w:val="center"/>
          </w:tcPr>
          <w:p w14:paraId="7B97F41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三年级科学配套材料箱</w:t>
            </w:r>
          </w:p>
        </w:tc>
        <w:tc>
          <w:tcPr>
            <w:tcW w:w="7370" w:type="dxa"/>
            <w:vAlign w:val="center"/>
          </w:tcPr>
          <w:p w14:paraId="243AD65B">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规格：≥530*410*430mm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1.材料内容：植物种子、塑料种子罐、自封袋、塑料花盆、园艺小工具、一性次杯子、纸巾、植物茎卡片，蚕卵、蚕饲料、放大镜、饲养盒、结茧网、生命周期卡片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温度与水的变化：温度计、体温计、针式温度计、塑料盒、盐、冰格、自封袋、培养皿、加热勺、玻璃管、橡胶塞、色素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磁铁：硬币、材料隔板、大号磁铁、钢珠、棉线、带塑回形针、胶带、塑料尺、指南针、大头针、吹塑纸、司南模型、橡胶磁片</w:t>
            </w:r>
          </w:p>
        </w:tc>
        <w:tc>
          <w:tcPr>
            <w:tcW w:w="1191" w:type="dxa"/>
            <w:vAlign w:val="center"/>
          </w:tcPr>
          <w:p w14:paraId="772AFA2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184467C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6B123B16">
            <w:pPr>
              <w:jc w:val="center"/>
              <w:rPr>
                <w:rFonts w:hint="eastAsia" w:ascii="宋体" w:hAnsi="宋体" w:eastAsia="宋体" w:cs="宋体"/>
                <w:color w:val="auto"/>
                <w:vertAlign w:val="baseline"/>
                <w:lang w:val="en-US" w:eastAsia="zh-CN"/>
              </w:rPr>
            </w:pPr>
          </w:p>
        </w:tc>
      </w:tr>
      <w:tr w14:paraId="5BC27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2C9217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7 </w:t>
            </w:r>
          </w:p>
        </w:tc>
        <w:tc>
          <w:tcPr>
            <w:tcW w:w="1304" w:type="dxa"/>
            <w:vAlign w:val="center"/>
          </w:tcPr>
          <w:p w14:paraId="4D691C70">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四年级科学配套材料箱</w:t>
            </w:r>
          </w:p>
        </w:tc>
        <w:tc>
          <w:tcPr>
            <w:tcW w:w="7370" w:type="dxa"/>
            <w:vAlign w:val="center"/>
          </w:tcPr>
          <w:p w14:paraId="4DB40B23">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规格：≥530*410*430mm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1.材料内容：电：梳子、吸管、静电感应球、小泡沫球、气球、线、毛皮、灯泡、电池、导线、U形导线、电池盒、灯座、开关、铜铝铁橡塑、人体导电球、手电筒、木块、图钉、回形针、电路暗盒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新的生命：镊子、放大镜、各种花卡片、植物种子、发芽实验盒、鸡的孵化卡片、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食物：食物卡片、淀粉、花生、碘伏、滴管、一次性手套、保鲜袋、面条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岩石和矿物：岩石化石标本、矿物标本、瓷板、铜钥匙、小刀</w:t>
            </w:r>
          </w:p>
        </w:tc>
        <w:tc>
          <w:tcPr>
            <w:tcW w:w="1191" w:type="dxa"/>
            <w:vAlign w:val="center"/>
          </w:tcPr>
          <w:p w14:paraId="3EFF4A8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1101839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6A893665">
            <w:pPr>
              <w:jc w:val="center"/>
              <w:rPr>
                <w:rFonts w:hint="eastAsia" w:ascii="宋体" w:hAnsi="宋体" w:eastAsia="宋体" w:cs="宋体"/>
                <w:color w:val="auto"/>
                <w:vertAlign w:val="baseline"/>
                <w:lang w:val="en-US" w:eastAsia="zh-CN"/>
              </w:rPr>
            </w:pPr>
          </w:p>
        </w:tc>
      </w:tr>
      <w:tr w14:paraId="076D0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37BEB9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8 </w:t>
            </w:r>
          </w:p>
        </w:tc>
        <w:tc>
          <w:tcPr>
            <w:tcW w:w="1304" w:type="dxa"/>
            <w:vAlign w:val="center"/>
          </w:tcPr>
          <w:p w14:paraId="03D3A1C9">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五年级科学配套材料箱</w:t>
            </w:r>
          </w:p>
        </w:tc>
        <w:tc>
          <w:tcPr>
            <w:tcW w:w="7370" w:type="dxa"/>
            <w:vAlign w:val="center"/>
          </w:tcPr>
          <w:p w14:paraId="4729F13D">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规格：≥530*410*430mm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1.材料内容：沉和浮：沉浮材料、沉浮球、橡皮泥、垫片、泡沫塑料块、带柄定滑轮、石块、胶带、滴管、勺子、盐、糖、电子秤、量筒、比重计、浮沉子瓶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热：小毛巾、温度计、自封袋、塑料水槽、皮筋、橡胶塞、玻璃管、色素、气球、固体热胀冷缩器、铜棒、火柴、铁片、热传导演示器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时间的测量：日晷、秒表、滴漏器、沙漏、螺母、线、木块（摆锤）、金属圆片、树木年轮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地球的运动：地球仪、手电筒。</w:t>
            </w:r>
          </w:p>
        </w:tc>
        <w:tc>
          <w:tcPr>
            <w:tcW w:w="1191" w:type="dxa"/>
            <w:vAlign w:val="center"/>
          </w:tcPr>
          <w:p w14:paraId="629A188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2B3FDE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2D234F6C">
            <w:pPr>
              <w:jc w:val="center"/>
              <w:rPr>
                <w:rFonts w:hint="eastAsia" w:ascii="宋体" w:hAnsi="宋体" w:eastAsia="宋体" w:cs="宋体"/>
                <w:color w:val="auto"/>
                <w:vertAlign w:val="baseline"/>
                <w:lang w:val="en-US" w:eastAsia="zh-CN"/>
              </w:rPr>
            </w:pPr>
          </w:p>
        </w:tc>
      </w:tr>
      <w:tr w14:paraId="6A8DF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16BB96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9 </w:t>
            </w:r>
          </w:p>
        </w:tc>
        <w:tc>
          <w:tcPr>
            <w:tcW w:w="1304" w:type="dxa"/>
            <w:vAlign w:val="center"/>
          </w:tcPr>
          <w:p w14:paraId="5DA6EBB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六年级科学配套材料箱</w:t>
            </w:r>
          </w:p>
        </w:tc>
        <w:tc>
          <w:tcPr>
            <w:tcW w:w="7370" w:type="dxa"/>
            <w:vAlign w:val="center"/>
          </w:tcPr>
          <w:p w14:paraId="623FEAAA">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规格：≥530*410*430mm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1.材料内容：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微小世界：水滴放大镜材料、晶体材料、放大镜、显微镜、切片标本、自制切片材料、培养皿、微生物卡片、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物质的变化：蜡烛、火柴、铁丝、铁钉、沙、大豆、筛网、勺子、铝箔、淀粉、碘伏、小苏打、白醋、细竹条、生锈铁片、硫酸铜、试管、柠檬酸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宇宙：月相图、月相模拟器、泡沫球、沙、石子、塑料盒</w:t>
            </w:r>
          </w:p>
        </w:tc>
        <w:tc>
          <w:tcPr>
            <w:tcW w:w="1191" w:type="dxa"/>
            <w:vAlign w:val="center"/>
          </w:tcPr>
          <w:p w14:paraId="6096F32B">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3F479FE">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3D5EF06C">
            <w:pPr>
              <w:jc w:val="center"/>
              <w:rPr>
                <w:rFonts w:hint="eastAsia" w:ascii="宋体" w:hAnsi="宋体" w:eastAsia="宋体" w:cs="宋体"/>
                <w:color w:val="auto"/>
                <w:vertAlign w:val="baseline"/>
                <w:lang w:val="en-US" w:eastAsia="zh-CN"/>
              </w:rPr>
            </w:pPr>
          </w:p>
        </w:tc>
      </w:tr>
      <w:tr w14:paraId="4A64B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3FFC82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10 </w:t>
            </w:r>
          </w:p>
        </w:tc>
        <w:tc>
          <w:tcPr>
            <w:tcW w:w="1304" w:type="dxa"/>
            <w:vAlign w:val="center"/>
          </w:tcPr>
          <w:p w14:paraId="57EA1348">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b/>
                <w:bCs/>
                <w:i w:val="0"/>
                <w:iCs w:val="0"/>
                <w:color w:val="000000" w:themeColor="text1"/>
                <w:kern w:val="0"/>
                <w:sz w:val="20"/>
                <w:szCs w:val="20"/>
                <w:u w:val="none"/>
                <w:lang w:val="en-US" w:eastAsia="zh-CN" w:bidi="ar"/>
                <w14:textFill>
                  <w14:solidFill>
                    <w14:schemeClr w14:val="tx1"/>
                  </w14:solidFill>
                </w14:textFill>
              </w:rPr>
              <w:t>科学材料系统</w:t>
            </w:r>
            <w:r>
              <w:rPr>
                <w:rFonts w:hint="eastAsia" w:ascii="宋体" w:hAnsi="宋体" w:cs="宋体"/>
                <w:b/>
                <w:bCs/>
                <w:i w:val="0"/>
                <w:iCs w:val="0"/>
                <w:color w:val="000000" w:themeColor="text1"/>
                <w:kern w:val="0"/>
                <w:sz w:val="20"/>
                <w:szCs w:val="20"/>
                <w:u w:val="none"/>
                <w:lang w:val="en-US" w:eastAsia="zh-CN" w:bidi="ar"/>
                <w14:textFill>
                  <w14:solidFill>
                    <w14:schemeClr w14:val="tx1"/>
                  </w14:solidFill>
                </w14:textFill>
              </w:rPr>
              <w:t>（演示）</w:t>
            </w:r>
          </w:p>
        </w:tc>
        <w:tc>
          <w:tcPr>
            <w:tcW w:w="7370" w:type="dxa"/>
            <w:vAlign w:val="center"/>
          </w:tcPr>
          <w:p w14:paraId="6E14D4A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8"/>
                <w:szCs w:val="18"/>
                <w:u w:val="none"/>
                <w:lang w:val="en-US" w:eastAsia="zh-CN" w:bidi="ar"/>
              </w:rPr>
              <w:t>一.数据采集分析仪：</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1.屏幕：LCD 液晶10.1寸零间隙IPS电容触摸屏幕，分辨率1280X800，多点触控，全平面贴合技术；</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2.处理器：四核处理器；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3.系统：android 9.0操作系统；</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4.蓝牙模块：Bluetooth 4.X包含BLE(低能耗蓝牙)；</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5.摄像头：网络摄像头 x2. 后置：800万像素（带闪光灯）.前置200万像素.自动对焦；</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6.接口：USB 1个，Mini HDMI 1个（通过HDMI 高清接口可直接连接投影或一体机屏幕），microSD卡扩展槽  1个，耳机插孔 3.5 毫米 1个，支持麦克风功能.外置传感器专用接口 4个；</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7.扬声器：2个；</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8.高续航电池8000mAh/3.8V（USB充电）；</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9.超薄强韧的设计，金属外壳抗物理冲击；</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10.内置10种传感器，包括声强、气压、心率、GPS、温度、湿度、加速度、光照、声音（麦克风）、UVI紫外线指数。内置传感器集成固化在一体化平板内部，通过位于一体化平板边缘的固定感应装置即可进行采集数据，无需另外插接其它任何配件。并通过内置的软件进行数据分析和探究活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11.可兼容60种外部传感器；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12.通过分配器最多可同时连接8种外置传感器同时采集数据；</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13.含系统分析软件一套；</w:t>
            </w:r>
          </w:p>
        </w:tc>
        <w:tc>
          <w:tcPr>
            <w:tcW w:w="1191" w:type="dxa"/>
            <w:vAlign w:val="center"/>
          </w:tcPr>
          <w:p w14:paraId="2E81C16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0D6C01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5EF905D7">
            <w:pPr>
              <w:jc w:val="center"/>
              <w:rPr>
                <w:rFonts w:hint="eastAsia" w:ascii="宋体" w:hAnsi="宋体" w:eastAsia="宋体" w:cs="宋体"/>
                <w:color w:val="auto"/>
                <w:vertAlign w:val="baseline"/>
                <w:lang w:val="en-US" w:eastAsia="zh-CN"/>
              </w:rPr>
            </w:pPr>
          </w:p>
        </w:tc>
      </w:tr>
      <w:tr w14:paraId="0C36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13B1AF16">
            <w:pPr>
              <w:jc w:val="left"/>
              <w:rPr>
                <w:rFonts w:hint="eastAsia" w:ascii="宋体" w:hAnsi="宋体" w:eastAsia="宋体" w:cs="宋体"/>
                <w:color w:val="auto"/>
                <w:vertAlign w:val="baseline"/>
                <w:lang w:val="en-US" w:eastAsia="zh-CN"/>
              </w:rPr>
            </w:pPr>
            <w:r>
              <w:rPr>
                <w:rFonts w:hint="eastAsia" w:ascii="宋体" w:hAnsi="宋体" w:cs="宋体"/>
                <w:b/>
                <w:bCs/>
                <w:color w:val="auto"/>
                <w:sz w:val="24"/>
                <w:szCs w:val="32"/>
                <w:vertAlign w:val="baseline"/>
                <w:lang w:val="en-US" w:eastAsia="zh-CN"/>
              </w:rPr>
              <w:t>2.</w:t>
            </w:r>
            <w:r>
              <w:rPr>
                <w:rFonts w:hint="eastAsia" w:ascii="宋体" w:hAnsi="宋体" w:eastAsia="宋体" w:cs="宋体"/>
                <w:b/>
                <w:bCs/>
                <w:color w:val="auto"/>
                <w:sz w:val="24"/>
                <w:szCs w:val="32"/>
                <w:vertAlign w:val="baseline"/>
                <w:lang w:val="en-US" w:eastAsia="zh-CN"/>
              </w:rPr>
              <w:t>科学教室2</w:t>
            </w:r>
          </w:p>
        </w:tc>
      </w:tr>
      <w:tr w14:paraId="1805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DABA0F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 </w:t>
            </w:r>
          </w:p>
        </w:tc>
        <w:tc>
          <w:tcPr>
            <w:tcW w:w="1304" w:type="dxa"/>
            <w:vAlign w:val="center"/>
          </w:tcPr>
          <w:p w14:paraId="78268A3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教师演示台</w:t>
            </w:r>
          </w:p>
        </w:tc>
        <w:tc>
          <w:tcPr>
            <w:tcW w:w="7370" w:type="dxa"/>
            <w:vAlign w:val="center"/>
          </w:tcPr>
          <w:p w14:paraId="09226CF8">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1.规格：≥2000*700*850mm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2.台面：采用≥12.7mm厚双面理化膜实芯理化板。台面需倒圆边，经机械打磨，表面光滑平整，需具有耐强酸碱、防腐蚀、防静电、耐辐射、耐磨、抗污染、易清洁、耐冲击、耐高温、防水、防火等特点。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3.桌架：采用一级无缝镀锌钢管, 立脚≥38*38*1.2mm、拉档≥20*30*1.2mm，表面经过十道防锈前处理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4.柜体：采用≥18mm厚三聚氰胺防潮双贴面板，(基板为E1级环保板)板材所</w:t>
            </w:r>
            <w:r>
              <w:rPr>
                <w:rFonts w:hint="eastAsia" w:ascii="宋体" w:hAnsi="宋体" w:eastAsia="宋体" w:cs="宋体"/>
                <w:i w:val="0"/>
                <w:iCs w:val="0"/>
                <w:color w:val="000000"/>
                <w:kern w:val="0"/>
                <w:sz w:val="20"/>
                <w:szCs w:val="20"/>
                <w:u w:val="none"/>
                <w:lang w:val="en-US" w:eastAsia="zh-CN" w:bidi="ar"/>
              </w:rPr>
              <w:t>有截面（厚度≥1MM）PVC机器封边。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5.五金配件：采用304不锈钢拉手、铰链、三节导轨等。</w:t>
            </w:r>
          </w:p>
        </w:tc>
        <w:tc>
          <w:tcPr>
            <w:tcW w:w="1191" w:type="dxa"/>
            <w:vAlign w:val="center"/>
          </w:tcPr>
          <w:p w14:paraId="25A5651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 </w:t>
            </w:r>
          </w:p>
        </w:tc>
        <w:tc>
          <w:tcPr>
            <w:tcW w:w="1049" w:type="dxa"/>
            <w:vAlign w:val="center"/>
          </w:tcPr>
          <w:p w14:paraId="495AB072">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68FD52E0">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362075" cy="819150"/>
                  <wp:effectExtent l="0" t="0" r="9525" b="0"/>
                  <wp:docPr id="320" name="图片 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90" descr="IMG_256"/>
                          <pic:cNvPicPr>
                            <a:picLocks noChangeAspect="1"/>
                          </pic:cNvPicPr>
                        </pic:nvPicPr>
                        <pic:blipFill>
                          <a:blip r:embed="rId121"/>
                          <a:stretch>
                            <a:fillRect/>
                          </a:stretch>
                        </pic:blipFill>
                        <pic:spPr>
                          <a:xfrm>
                            <a:off x="0" y="0"/>
                            <a:ext cx="1362075" cy="819150"/>
                          </a:xfrm>
                          <a:prstGeom prst="rect">
                            <a:avLst/>
                          </a:prstGeom>
                          <a:noFill/>
                          <a:ln w="9525">
                            <a:noFill/>
                          </a:ln>
                        </pic:spPr>
                      </pic:pic>
                    </a:graphicData>
                  </a:graphic>
                </wp:inline>
              </w:drawing>
            </w:r>
          </w:p>
        </w:tc>
      </w:tr>
      <w:tr w14:paraId="56559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ACBB3D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2 </w:t>
            </w:r>
          </w:p>
        </w:tc>
        <w:tc>
          <w:tcPr>
            <w:tcW w:w="1304" w:type="dxa"/>
            <w:vAlign w:val="center"/>
          </w:tcPr>
          <w:p w14:paraId="58008B5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学生实验桌</w:t>
            </w:r>
          </w:p>
        </w:tc>
        <w:tc>
          <w:tcPr>
            <w:tcW w:w="7370" w:type="dxa"/>
            <w:vAlign w:val="center"/>
          </w:tcPr>
          <w:p w14:paraId="79F6EF20">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1.规格：≥600*600*750mm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2.台面：采用≥12.7mm厚双面理化膜实芯理化板。台面需倒圆边，经机械打磨，表面光滑平整，需具有耐强酸碱、防腐蚀、防静电、耐辐射、耐磨、抗污染、易清洁、耐冲击、耐高温、防水、防火等特点。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3.桌架：采用≥1.0mm厚度镀锌无缝钢管, 立脚≥38*58*1.2mm、拉档≥20*30*1.2mm，表面经过十道防锈前处理,,隧道喷雾式自动喷涂。</w:t>
            </w:r>
          </w:p>
        </w:tc>
        <w:tc>
          <w:tcPr>
            <w:tcW w:w="1191" w:type="dxa"/>
            <w:vAlign w:val="center"/>
          </w:tcPr>
          <w:p w14:paraId="6DCA64A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48 </w:t>
            </w:r>
          </w:p>
        </w:tc>
        <w:tc>
          <w:tcPr>
            <w:tcW w:w="1049" w:type="dxa"/>
            <w:vAlign w:val="center"/>
          </w:tcPr>
          <w:p w14:paraId="0B3E27D0">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465ABCF0">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970280" cy="1048385"/>
                  <wp:effectExtent l="0" t="0" r="1270" b="18415"/>
                  <wp:docPr id="321" name="图片 9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91" descr="IMG_257"/>
                          <pic:cNvPicPr>
                            <a:picLocks noChangeAspect="1"/>
                          </pic:cNvPicPr>
                        </pic:nvPicPr>
                        <pic:blipFill>
                          <a:blip r:embed="rId122"/>
                          <a:stretch>
                            <a:fillRect/>
                          </a:stretch>
                        </pic:blipFill>
                        <pic:spPr>
                          <a:xfrm>
                            <a:off x="0" y="0"/>
                            <a:ext cx="970280" cy="1048385"/>
                          </a:xfrm>
                          <a:prstGeom prst="rect">
                            <a:avLst/>
                          </a:prstGeom>
                          <a:noFill/>
                          <a:ln w="9525">
                            <a:noFill/>
                          </a:ln>
                        </pic:spPr>
                      </pic:pic>
                    </a:graphicData>
                  </a:graphic>
                </wp:inline>
              </w:drawing>
            </w:r>
          </w:p>
        </w:tc>
      </w:tr>
      <w:tr w14:paraId="23460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FEED6D2">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3 </w:t>
            </w:r>
          </w:p>
        </w:tc>
        <w:tc>
          <w:tcPr>
            <w:tcW w:w="1304" w:type="dxa"/>
            <w:vAlign w:val="center"/>
          </w:tcPr>
          <w:p w14:paraId="375F019D">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学生凳</w:t>
            </w:r>
          </w:p>
        </w:tc>
        <w:tc>
          <w:tcPr>
            <w:tcW w:w="7370" w:type="dxa"/>
            <w:vAlign w:val="center"/>
          </w:tcPr>
          <w:p w14:paraId="5E3134E9">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产品规格：≥320*450-500mm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1、凳面材质：采用环保型≥35mm厚度ABS改性塑料一次性注塑成型。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2、凳面尺寸：凳面≥ф320mm×厚6mm。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3、表面带防滑，舒适耐用。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凳钢架椭圆形，脚钢架材质及形状：椭圆形无缝钢管，钢管尺寸≥16×34×1.2mm。固定圆盘采用SPCC钢板，经大型激光机雕刻成型，直径≥185mm，厚度≥4mm。机械手满焊接完成，结构牢固，经高温粉体烤漆处理，长时间使用也不会产生表面烤漆剥落现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5、脚垫材质：采用PP加耐磨纤维质塑料，实心倒勾式一体射出成型。实验凳有调节升降功能，带定位销，具有防晃动功能；高度可以在450mm-500mm范围内自由调整</w:t>
            </w:r>
          </w:p>
        </w:tc>
        <w:tc>
          <w:tcPr>
            <w:tcW w:w="1191" w:type="dxa"/>
            <w:vAlign w:val="center"/>
          </w:tcPr>
          <w:p w14:paraId="00551601">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48 </w:t>
            </w:r>
          </w:p>
        </w:tc>
        <w:tc>
          <w:tcPr>
            <w:tcW w:w="1049" w:type="dxa"/>
            <w:vAlign w:val="center"/>
          </w:tcPr>
          <w:p w14:paraId="5856836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38B2CC20">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47700" cy="1000125"/>
                  <wp:effectExtent l="0" t="0" r="0" b="9525"/>
                  <wp:docPr id="322" name="图片 9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92" descr="IMG_258"/>
                          <pic:cNvPicPr>
                            <a:picLocks noChangeAspect="1"/>
                          </pic:cNvPicPr>
                        </pic:nvPicPr>
                        <pic:blipFill>
                          <a:blip r:embed="rId117"/>
                          <a:stretch>
                            <a:fillRect/>
                          </a:stretch>
                        </pic:blipFill>
                        <pic:spPr>
                          <a:xfrm>
                            <a:off x="0" y="0"/>
                            <a:ext cx="647700" cy="1000125"/>
                          </a:xfrm>
                          <a:prstGeom prst="rect">
                            <a:avLst/>
                          </a:prstGeom>
                          <a:noFill/>
                          <a:ln w="9525">
                            <a:noFill/>
                          </a:ln>
                        </pic:spPr>
                      </pic:pic>
                    </a:graphicData>
                  </a:graphic>
                </wp:inline>
              </w:drawing>
            </w:r>
          </w:p>
        </w:tc>
      </w:tr>
      <w:tr w14:paraId="44958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4BACAE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4 </w:t>
            </w:r>
          </w:p>
        </w:tc>
        <w:tc>
          <w:tcPr>
            <w:tcW w:w="1304" w:type="dxa"/>
            <w:vAlign w:val="center"/>
          </w:tcPr>
          <w:p w14:paraId="5828AD17">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准备桌</w:t>
            </w:r>
          </w:p>
        </w:tc>
        <w:tc>
          <w:tcPr>
            <w:tcW w:w="7370" w:type="dxa"/>
            <w:vAlign w:val="center"/>
          </w:tcPr>
          <w:p w14:paraId="4B2DB562">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1.规格尺寸：≥7500*600*850mm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2.钢木结构：采用≥1.Omm厚度镀锌方管钢架，所有钢制配件经过磷化、除油、除锈并经过粉末喷涂固化处理。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3.面板：台面采用≥12.7mm厚实芯理化板，截面机械打磨，边缘倒圆角。台面颜色：学校自由选择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4.柜身：采用环保型三聚氰胺防潮双贴面板，(基板为E1级环保板)，可见</w:t>
            </w:r>
            <w:r>
              <w:rPr>
                <w:rFonts w:hint="eastAsia" w:ascii="宋体" w:hAnsi="宋体" w:eastAsia="宋体" w:cs="宋体"/>
                <w:i w:val="0"/>
                <w:iCs w:val="0"/>
                <w:color w:val="000000"/>
                <w:kern w:val="0"/>
                <w:sz w:val="20"/>
                <w:szCs w:val="20"/>
                <w:u w:val="none"/>
                <w:lang w:val="en-US" w:eastAsia="zh-CN" w:bidi="ar"/>
              </w:rPr>
              <w:t>截面均厚度≥2.0mmPVC封边。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5.连接件：ABS专用连接组装件。</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6.固定桌脚：ABS注塑固定式桌垫，可调节平衡。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7.含四组尺寸一高两低防酸碱、防锈、防虹吸、防阻塞，表面环氧树脂喷涂，出水嘴为铜质瓷芯鹅颈式化验水嘴，可拆卸清洗阻塞。出水嘴可拆卸，内有成型螺纹，可方便连接循环等特殊用水水管。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8.含四组尺寸≥440*330*190mm高密度PP一体化成型水槽，含下水配件（4套）</w:t>
            </w:r>
          </w:p>
        </w:tc>
        <w:tc>
          <w:tcPr>
            <w:tcW w:w="1191" w:type="dxa"/>
            <w:vAlign w:val="center"/>
          </w:tcPr>
          <w:p w14:paraId="32AE560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2167DFDA">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7DEB1477">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429895</wp:posOffset>
                  </wp:positionH>
                  <wp:positionV relativeFrom="paragraph">
                    <wp:posOffset>672465</wp:posOffset>
                  </wp:positionV>
                  <wp:extent cx="775970" cy="552450"/>
                  <wp:effectExtent l="0" t="0" r="5080" b="0"/>
                  <wp:wrapNone/>
                  <wp:docPr id="324" name="ID_EF9C43DE9D87478790AA4BA1677E8671"/>
                  <wp:cNvGraphicFramePr/>
                  <a:graphic xmlns:a="http://schemas.openxmlformats.org/drawingml/2006/main">
                    <a:graphicData uri="http://schemas.openxmlformats.org/drawingml/2006/picture">
                      <pic:pic xmlns:pic="http://schemas.openxmlformats.org/drawingml/2006/picture">
                        <pic:nvPicPr>
                          <pic:cNvPr id="324" name="ID_EF9C43DE9D87478790AA4BA1677E8671"/>
                          <pic:cNvPicPr/>
                        </pic:nvPicPr>
                        <pic:blipFill>
                          <a:blip r:embed="rId120"/>
                          <a:stretch>
                            <a:fillRect/>
                          </a:stretch>
                        </pic:blipFill>
                        <pic:spPr>
                          <a:xfrm>
                            <a:off x="0" y="0"/>
                            <a:ext cx="775970" cy="552450"/>
                          </a:xfrm>
                          <a:prstGeom prst="rect">
                            <a:avLst/>
                          </a:prstGeom>
                          <a:noFill/>
                          <a:ln>
                            <a:noFill/>
                          </a:ln>
                        </pic:spPr>
                      </pic:pic>
                    </a:graphicData>
                  </a:graphic>
                </wp:anchor>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57785</wp:posOffset>
                  </wp:positionH>
                  <wp:positionV relativeFrom="paragraph">
                    <wp:posOffset>86995</wp:posOffset>
                  </wp:positionV>
                  <wp:extent cx="885190" cy="473710"/>
                  <wp:effectExtent l="0" t="0" r="10160" b="2540"/>
                  <wp:wrapNone/>
                  <wp:docPr id="323" name="ID_6D89272751084BAEB9D83D1676908CF4"/>
                  <wp:cNvGraphicFramePr/>
                  <a:graphic xmlns:a="http://schemas.openxmlformats.org/drawingml/2006/main">
                    <a:graphicData uri="http://schemas.openxmlformats.org/drawingml/2006/picture">
                      <pic:pic xmlns:pic="http://schemas.openxmlformats.org/drawingml/2006/picture">
                        <pic:nvPicPr>
                          <pic:cNvPr id="323" name="ID_6D89272751084BAEB9D83D1676908CF4"/>
                          <pic:cNvPicPr/>
                        </pic:nvPicPr>
                        <pic:blipFill>
                          <a:blip r:embed="rId123"/>
                          <a:stretch>
                            <a:fillRect/>
                          </a:stretch>
                        </pic:blipFill>
                        <pic:spPr>
                          <a:xfrm>
                            <a:off x="0" y="0"/>
                            <a:ext cx="885190" cy="473710"/>
                          </a:xfrm>
                          <a:prstGeom prst="rect">
                            <a:avLst/>
                          </a:prstGeom>
                          <a:noFill/>
                          <a:ln>
                            <a:noFill/>
                          </a:ln>
                        </pic:spPr>
                      </pic:pic>
                    </a:graphicData>
                  </a:graphic>
                </wp:anchor>
              </w:drawing>
            </w:r>
            <w:r>
              <w:rPr>
                <w:rFonts w:hint="eastAsia" w:ascii="楷体" w:hAnsi="楷体" w:eastAsia="楷体" w:cs="楷体"/>
                <w:i w:val="0"/>
                <w:iCs w:val="0"/>
                <w:color w:val="000000"/>
                <w:kern w:val="0"/>
                <w:sz w:val="20"/>
                <w:szCs w:val="20"/>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1295400</wp:posOffset>
                  </wp:positionH>
                  <wp:positionV relativeFrom="paragraph">
                    <wp:posOffset>88900</wp:posOffset>
                  </wp:positionV>
                  <wp:extent cx="514350" cy="664210"/>
                  <wp:effectExtent l="0" t="0" r="0" b="2540"/>
                  <wp:wrapNone/>
                  <wp:docPr id="325" name="ID_1BE0580CAF6A40D0B553359997D87287"/>
                  <wp:cNvGraphicFramePr/>
                  <a:graphic xmlns:a="http://schemas.openxmlformats.org/drawingml/2006/main">
                    <a:graphicData uri="http://schemas.openxmlformats.org/drawingml/2006/picture">
                      <pic:pic xmlns:pic="http://schemas.openxmlformats.org/drawingml/2006/picture">
                        <pic:nvPicPr>
                          <pic:cNvPr id="325" name="ID_1BE0580CAF6A40D0B553359997D87287"/>
                          <pic:cNvPicPr/>
                        </pic:nvPicPr>
                        <pic:blipFill>
                          <a:blip r:embed="rId124"/>
                          <a:stretch>
                            <a:fillRect/>
                          </a:stretch>
                        </pic:blipFill>
                        <pic:spPr>
                          <a:xfrm>
                            <a:off x="0" y="0"/>
                            <a:ext cx="514350" cy="664210"/>
                          </a:xfrm>
                          <a:prstGeom prst="rect">
                            <a:avLst/>
                          </a:prstGeom>
                          <a:noFill/>
                          <a:ln>
                            <a:noFill/>
                          </a:ln>
                        </pic:spPr>
                      </pic:pic>
                    </a:graphicData>
                  </a:graphic>
                </wp:anchor>
              </w:drawing>
            </w:r>
          </w:p>
        </w:tc>
      </w:tr>
      <w:tr w14:paraId="20219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36CA21DF">
            <w:pPr>
              <w:numPr>
                <w:ilvl w:val="0"/>
                <w:numId w:val="0"/>
              </w:numPr>
              <w:tabs>
                <w:tab w:val="left" w:pos="748"/>
                <w:tab w:val="left" w:pos="2052"/>
                <w:tab w:val="left" w:pos="9422"/>
                <w:tab w:val="left" w:pos="10613"/>
                <w:tab w:val="left" w:pos="11662"/>
              </w:tabs>
              <w:spacing w:line="360" w:lineRule="auto"/>
              <w:ind w:leftChars="0"/>
              <w:jc w:val="both"/>
              <w:rPr>
                <w:rFonts w:hint="default" w:ascii="宋体" w:hAnsi="宋体" w:eastAsia="宋体" w:cs="宋体"/>
                <w:color w:val="auto"/>
                <w:vertAlign w:val="baseline"/>
                <w:lang w:val="en-US" w:eastAsia="zh-CN"/>
              </w:rPr>
            </w:pPr>
            <w:r>
              <w:rPr>
                <w:rFonts w:hint="eastAsia" w:ascii="宋体" w:hAnsi="宋体" w:cs="宋体"/>
                <w:b/>
                <w:bCs/>
                <w:color w:val="auto"/>
                <w:sz w:val="30"/>
                <w:szCs w:val="30"/>
                <w:vertAlign w:val="baseline"/>
                <w:lang w:val="en-US" w:eastAsia="zh-CN"/>
              </w:rPr>
              <w:t>3.</w:t>
            </w:r>
            <w:r>
              <w:rPr>
                <w:rFonts w:hint="eastAsia" w:ascii="宋体" w:hAnsi="宋体" w:eastAsia="宋体" w:cs="宋体"/>
                <w:b/>
                <w:bCs/>
                <w:color w:val="auto"/>
                <w:sz w:val="30"/>
                <w:szCs w:val="30"/>
                <w:vertAlign w:val="baseline"/>
                <w:lang w:val="en-US" w:eastAsia="zh-CN"/>
              </w:rPr>
              <w:t>音乐教室</w:t>
            </w:r>
            <w:r>
              <w:rPr>
                <w:rFonts w:hint="eastAsia" w:ascii="宋体" w:hAnsi="宋体" w:cs="宋体"/>
                <w:b/>
                <w:bCs/>
                <w:color w:val="auto"/>
                <w:sz w:val="30"/>
                <w:szCs w:val="30"/>
                <w:vertAlign w:val="baseline"/>
                <w:lang w:val="en-US" w:eastAsia="zh-CN"/>
              </w:rPr>
              <w:t>1</w:t>
            </w:r>
          </w:p>
        </w:tc>
      </w:tr>
      <w:tr w14:paraId="2DF84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00E0D8D">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304" w:type="dxa"/>
            <w:vAlign w:val="center"/>
          </w:tcPr>
          <w:p w14:paraId="6D5BBA1F">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移动升降讲台</w:t>
            </w:r>
          </w:p>
        </w:tc>
        <w:tc>
          <w:tcPr>
            <w:tcW w:w="7370" w:type="dxa"/>
            <w:vAlign w:val="center"/>
          </w:tcPr>
          <w:p w14:paraId="1A9D555B">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1.尺寸：≥670*550*760-1060mm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2.材质：支架采用优质铝合金，台面环保板材，可折叠升降</w:t>
            </w:r>
          </w:p>
        </w:tc>
        <w:tc>
          <w:tcPr>
            <w:tcW w:w="1191" w:type="dxa"/>
            <w:vAlign w:val="center"/>
          </w:tcPr>
          <w:p w14:paraId="798328DB">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6387CCE2">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03FB2CC1">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666750" cy="476250"/>
                  <wp:effectExtent l="0" t="0" r="0" b="0"/>
                  <wp:docPr id="330" name="图片 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93" descr="IMG_256"/>
                          <pic:cNvPicPr>
                            <a:picLocks noChangeAspect="1"/>
                          </pic:cNvPicPr>
                        </pic:nvPicPr>
                        <pic:blipFill>
                          <a:blip r:embed="rId49"/>
                          <a:stretch>
                            <a:fillRect/>
                          </a:stretch>
                        </pic:blipFill>
                        <pic:spPr>
                          <a:xfrm>
                            <a:off x="0" y="0"/>
                            <a:ext cx="666750" cy="476250"/>
                          </a:xfrm>
                          <a:prstGeom prst="rect">
                            <a:avLst/>
                          </a:prstGeom>
                          <a:noFill/>
                          <a:ln w="9525">
                            <a:noFill/>
                          </a:ln>
                        </pic:spPr>
                      </pic:pic>
                    </a:graphicData>
                  </a:graphic>
                </wp:inline>
              </w:drawing>
            </w:r>
          </w:p>
        </w:tc>
      </w:tr>
      <w:tr w14:paraId="0B371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0102799">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304" w:type="dxa"/>
            <w:vAlign w:val="center"/>
          </w:tcPr>
          <w:p w14:paraId="3EC771E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★音乐凳</w:t>
            </w:r>
          </w:p>
        </w:tc>
        <w:tc>
          <w:tcPr>
            <w:tcW w:w="7370" w:type="dxa"/>
            <w:vAlign w:val="center"/>
          </w:tcPr>
          <w:p w14:paraId="71058D16">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1.尺寸：≥450*350*350mmmm；（厚度）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2.材质：高密度PE一体滚塑成型；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3.工艺：（1）滚塑成型。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（2）硬度和强度高，吸水性小，优良的电绝缘性，耐寒。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4.功能：（1）异形三面可坐，三种高度（215/350/450mm)适合各年级师生使用。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（2）为保证产品牢固耐用，产品必须一体成型，不可采用插接拼凑等组装方式。</w:t>
            </w:r>
          </w:p>
        </w:tc>
        <w:tc>
          <w:tcPr>
            <w:tcW w:w="1191" w:type="dxa"/>
            <w:vAlign w:val="center"/>
          </w:tcPr>
          <w:p w14:paraId="053EA45F">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48</w:t>
            </w:r>
          </w:p>
        </w:tc>
        <w:tc>
          <w:tcPr>
            <w:tcW w:w="1049" w:type="dxa"/>
            <w:vAlign w:val="center"/>
          </w:tcPr>
          <w:p w14:paraId="59A84984">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77E78AA4">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933450" cy="476250"/>
                  <wp:effectExtent l="0" t="0" r="0" b="0"/>
                  <wp:docPr id="331" name="图片 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4" descr="IMG_257"/>
                          <pic:cNvPicPr>
                            <a:picLocks noChangeAspect="1"/>
                          </pic:cNvPicPr>
                        </pic:nvPicPr>
                        <pic:blipFill>
                          <a:blip r:embed="rId125"/>
                          <a:stretch>
                            <a:fillRect/>
                          </a:stretch>
                        </pic:blipFill>
                        <pic:spPr>
                          <a:xfrm>
                            <a:off x="0" y="0"/>
                            <a:ext cx="933450" cy="476250"/>
                          </a:xfrm>
                          <a:prstGeom prst="rect">
                            <a:avLst/>
                          </a:prstGeom>
                          <a:noFill/>
                          <a:ln w="9525">
                            <a:noFill/>
                          </a:ln>
                        </pic:spPr>
                      </pic:pic>
                    </a:graphicData>
                  </a:graphic>
                </wp:inline>
              </w:drawing>
            </w:r>
          </w:p>
        </w:tc>
      </w:tr>
      <w:tr w14:paraId="19E5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A97CF76">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3</w:t>
            </w:r>
          </w:p>
        </w:tc>
        <w:tc>
          <w:tcPr>
            <w:tcW w:w="1304" w:type="dxa"/>
            <w:vAlign w:val="center"/>
          </w:tcPr>
          <w:p w14:paraId="325C449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线性音柱</w:t>
            </w:r>
          </w:p>
        </w:tc>
        <w:tc>
          <w:tcPr>
            <w:tcW w:w="7370" w:type="dxa"/>
            <w:vAlign w:val="center"/>
          </w:tcPr>
          <w:p w14:paraId="13A3D1A8">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可组阵有源线性音柱系列的DSP有源低音单元。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箱体采用环保漆木箱，防尘网罩，更牢固耐用且美观。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大功率喇叭单元设计，让用户体验更震撼的效果。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覆盖面广，演出更轻松便捷。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单元组成：中高频喇叭：≥4x2.3寸线性阵列设计的喇叭，低音箱≥8寸带通双倒相式设计的喇叭。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功率放大器额定功率：≥300W，其中低频通道功率：≥150W，高频通道功率：≥150W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连接器：≥2xXLR/TRS多功能插孔输入、≥1个立体声RCA输入、≥1个无线蓝牙输入、≥1个XLR THRU输出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频率响应(-3dB)：42Hz-20KHz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频率范围(-10dB)：40Hz-20KHz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最大声压级：≥122dB </w:t>
            </w:r>
          </w:p>
        </w:tc>
        <w:tc>
          <w:tcPr>
            <w:tcW w:w="1191" w:type="dxa"/>
            <w:vAlign w:val="center"/>
          </w:tcPr>
          <w:p w14:paraId="017F4AA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AC54F7D">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20ADB60A">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323850" cy="476250"/>
                  <wp:effectExtent l="0" t="0" r="0" b="0"/>
                  <wp:docPr id="332" name="图片 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5" descr="IMG_258"/>
                          <pic:cNvPicPr>
                            <a:picLocks noChangeAspect="1"/>
                          </pic:cNvPicPr>
                        </pic:nvPicPr>
                        <pic:blipFill>
                          <a:blip r:embed="rId126"/>
                          <a:stretch>
                            <a:fillRect/>
                          </a:stretch>
                        </pic:blipFill>
                        <pic:spPr>
                          <a:xfrm>
                            <a:off x="0" y="0"/>
                            <a:ext cx="323850" cy="476250"/>
                          </a:xfrm>
                          <a:prstGeom prst="rect">
                            <a:avLst/>
                          </a:prstGeom>
                          <a:noFill/>
                          <a:ln w="9525">
                            <a:noFill/>
                          </a:ln>
                        </pic:spPr>
                      </pic:pic>
                    </a:graphicData>
                  </a:graphic>
                </wp:inline>
              </w:drawing>
            </w:r>
          </w:p>
        </w:tc>
      </w:tr>
      <w:tr w14:paraId="6CAB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2FBAE4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4</w:t>
            </w:r>
          </w:p>
        </w:tc>
        <w:tc>
          <w:tcPr>
            <w:tcW w:w="1304" w:type="dxa"/>
            <w:vAlign w:val="center"/>
          </w:tcPr>
          <w:p w14:paraId="6E20E7AB">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无线话筒</w:t>
            </w:r>
          </w:p>
        </w:tc>
        <w:tc>
          <w:tcPr>
            <w:tcW w:w="7370" w:type="dxa"/>
            <w:vAlign w:val="center"/>
          </w:tcPr>
          <w:p w14:paraId="102DBDF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具有LED液晶屏显示RF/AF信号强度，自动选讯，可设定频道/频率，状态一目了然；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具有频率自动选定功能，自动回避干扰；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灵</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敏度可调，接收距离从25米-60米之间可以分段设置；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全新独特ID编码功能，对周围环境或≥10台叠机多套使用，具备优良的抗干扰能力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支持自动搜索无干扰信道功能，PLL相位锁定频率合成振荡模式；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双频道频道组数，可切换频率数≥ 400组；</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 在偏移度等于40KHz,输入6dBμ V时，S/N&gt;80dB；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最大偏移度： ±68KHz具有音量扩展 ；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频带宽度： 50MHz，频率间隔：</w:t>
            </w:r>
            <w:r>
              <w:rPr>
                <w:rFonts w:hint="eastAsia" w:ascii="宋体" w:hAnsi="宋体" w:eastAsia="宋体" w:cs="宋体"/>
                <w:i w:val="0"/>
                <w:iCs w:val="0"/>
                <w:color w:val="000000"/>
                <w:kern w:val="0"/>
                <w:sz w:val="20"/>
                <w:szCs w:val="20"/>
                <w:u w:val="none"/>
                <w:lang w:val="en-US" w:eastAsia="zh-CN" w:bidi="ar"/>
              </w:rPr>
              <w:t xml:space="preserve">125KHz；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话筒输出功率： 30MW；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综合S/N比： ±105dB(1KHz-A)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综合失真度： &lt;0.5% @ 1KHz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综合频率响应： 50Hz-18KHz±3dB具低频衰减滤频电路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最大输出电压： 平衡式MIC-LEVEL-0dBV/600Ω,非平衡式0dBV/600Ω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音频输出：XLR平衡式插座独立输出及Φ6.3不平衡式插座混合输出 ；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音量输出调整： 输出电平可随意调整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静音控制模式： 独立“音码及杂讯锁定”双重静音控制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麦克风使用易购的5号电池，续用时间达≥8小时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天线座带DC9V供电，可直接接放大天线使用； </w:t>
            </w:r>
          </w:p>
        </w:tc>
        <w:tc>
          <w:tcPr>
            <w:tcW w:w="1191" w:type="dxa"/>
            <w:vAlign w:val="center"/>
          </w:tcPr>
          <w:p w14:paraId="2D7F1544">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3D9DC04A">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4813FAD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76275" cy="476250"/>
                  <wp:effectExtent l="0" t="0" r="9525" b="0"/>
                  <wp:docPr id="333" name="图片 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96" descr="IMG_259"/>
                          <pic:cNvPicPr>
                            <a:picLocks noChangeAspect="1"/>
                          </pic:cNvPicPr>
                        </pic:nvPicPr>
                        <pic:blipFill>
                          <a:blip r:embed="rId127"/>
                          <a:stretch>
                            <a:fillRect/>
                          </a:stretch>
                        </pic:blipFill>
                        <pic:spPr>
                          <a:xfrm>
                            <a:off x="0" y="0"/>
                            <a:ext cx="676275" cy="476250"/>
                          </a:xfrm>
                          <a:prstGeom prst="rect">
                            <a:avLst/>
                          </a:prstGeom>
                          <a:noFill/>
                          <a:ln w="9525">
                            <a:noFill/>
                          </a:ln>
                        </pic:spPr>
                      </pic:pic>
                    </a:graphicData>
                  </a:graphic>
                </wp:inline>
              </w:drawing>
            </w:r>
          </w:p>
        </w:tc>
      </w:tr>
      <w:tr w14:paraId="51847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EF7849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5</w:t>
            </w:r>
          </w:p>
        </w:tc>
        <w:tc>
          <w:tcPr>
            <w:tcW w:w="1304" w:type="dxa"/>
            <w:vAlign w:val="center"/>
          </w:tcPr>
          <w:p w14:paraId="0BE76CB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音叉</w:t>
            </w:r>
          </w:p>
        </w:tc>
        <w:tc>
          <w:tcPr>
            <w:tcW w:w="7370" w:type="dxa"/>
            <w:vAlign w:val="center"/>
          </w:tcPr>
          <w:p w14:paraId="731DF3EA">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1.材质：钢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2.规格：音叉≥120*20mm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3.配套音锤</w:t>
            </w:r>
          </w:p>
        </w:tc>
        <w:tc>
          <w:tcPr>
            <w:tcW w:w="1191" w:type="dxa"/>
            <w:vAlign w:val="center"/>
          </w:tcPr>
          <w:p w14:paraId="044F2CEA">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37A3100F">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2D9FCFFC">
            <w:pPr>
              <w:jc w:val="center"/>
              <w:rPr>
                <w:rFonts w:hint="eastAsia" w:ascii="宋体" w:hAnsi="宋体" w:eastAsia="宋体" w:cs="宋体"/>
                <w:color w:val="auto"/>
                <w:vertAlign w:val="baseline"/>
                <w:lang w:val="en-US" w:eastAsia="zh-CN"/>
              </w:rPr>
            </w:pPr>
          </w:p>
        </w:tc>
      </w:tr>
      <w:tr w14:paraId="56D5D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9E1021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6</w:t>
            </w:r>
          </w:p>
        </w:tc>
        <w:tc>
          <w:tcPr>
            <w:tcW w:w="1304" w:type="dxa"/>
            <w:vAlign w:val="center"/>
          </w:tcPr>
          <w:p w14:paraId="4C814DD8">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非洲鼓</w:t>
            </w:r>
          </w:p>
        </w:tc>
        <w:tc>
          <w:tcPr>
            <w:tcW w:w="7370" w:type="dxa"/>
            <w:vAlign w:val="center"/>
          </w:tcPr>
          <w:p w14:paraId="4A63B00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1.规格：直径≥12英寸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2.材质：实木鼓身，羊皮鼓面</w:t>
            </w:r>
          </w:p>
        </w:tc>
        <w:tc>
          <w:tcPr>
            <w:tcW w:w="1191" w:type="dxa"/>
            <w:vAlign w:val="center"/>
          </w:tcPr>
          <w:p w14:paraId="7396ED3E">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788EDB89">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4E754884">
            <w:pPr>
              <w:jc w:val="center"/>
              <w:rPr>
                <w:rFonts w:hint="eastAsia" w:ascii="宋体" w:hAnsi="宋体" w:eastAsia="宋体" w:cs="宋体"/>
                <w:color w:val="auto"/>
                <w:vertAlign w:val="baseline"/>
                <w:lang w:val="en-US" w:eastAsia="zh-CN"/>
              </w:rPr>
            </w:pPr>
          </w:p>
        </w:tc>
      </w:tr>
      <w:tr w14:paraId="72694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795EEBE">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7</w:t>
            </w:r>
          </w:p>
        </w:tc>
        <w:tc>
          <w:tcPr>
            <w:tcW w:w="1304" w:type="dxa"/>
            <w:vAlign w:val="center"/>
          </w:tcPr>
          <w:p w14:paraId="0C9F939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戏曲电子锣鼓打击板</w:t>
            </w:r>
          </w:p>
        </w:tc>
        <w:tc>
          <w:tcPr>
            <w:tcW w:w="7370" w:type="dxa"/>
            <w:vAlign w:val="center"/>
          </w:tcPr>
          <w:p w14:paraId="587F3F05">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1.规格：支持蓝牙，双音箱，便携式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2.按键：录音键、音量键、高中低音键、播放键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3.音组：16组锣鼓镲</w:t>
            </w:r>
          </w:p>
        </w:tc>
        <w:tc>
          <w:tcPr>
            <w:tcW w:w="1191" w:type="dxa"/>
            <w:vAlign w:val="center"/>
          </w:tcPr>
          <w:p w14:paraId="3EF0FA0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7471F20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4ACCA5F0">
            <w:pPr>
              <w:jc w:val="center"/>
              <w:rPr>
                <w:rFonts w:hint="eastAsia" w:ascii="宋体" w:hAnsi="宋体" w:eastAsia="宋体" w:cs="宋体"/>
                <w:color w:val="auto"/>
                <w:vertAlign w:val="baseline"/>
                <w:lang w:val="en-US" w:eastAsia="zh-CN"/>
              </w:rPr>
            </w:pPr>
          </w:p>
        </w:tc>
      </w:tr>
      <w:tr w14:paraId="2B7B1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F62AF9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8</w:t>
            </w:r>
          </w:p>
        </w:tc>
        <w:tc>
          <w:tcPr>
            <w:tcW w:w="1304" w:type="dxa"/>
            <w:vAlign w:val="center"/>
          </w:tcPr>
          <w:p w14:paraId="002BFEDE">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海浪鼓</w:t>
            </w:r>
          </w:p>
        </w:tc>
        <w:tc>
          <w:tcPr>
            <w:tcW w:w="7370" w:type="dxa"/>
            <w:vAlign w:val="top"/>
          </w:tcPr>
          <w:p w14:paraId="1F9AA7B8">
            <w:pPr>
              <w:keepNext w:val="0"/>
              <w:keepLines w:val="0"/>
              <w:widowControl/>
              <w:suppressLineNumbers w:val="0"/>
              <w:jc w:val="left"/>
              <w:textAlignment w:val="top"/>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1.规格：≥14英寸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2.材质：木质鼓圈、ABS鼓皮、内置金属滚珠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3.颜色：蓝色海洋图案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4.工艺：鼓圈包布工艺</w:t>
            </w:r>
          </w:p>
        </w:tc>
        <w:tc>
          <w:tcPr>
            <w:tcW w:w="1191" w:type="dxa"/>
            <w:vAlign w:val="center"/>
          </w:tcPr>
          <w:p w14:paraId="5C559BF1">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44C5790E">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514C1BEB">
            <w:pPr>
              <w:jc w:val="center"/>
              <w:rPr>
                <w:rFonts w:hint="eastAsia" w:ascii="宋体" w:hAnsi="宋体" w:eastAsia="宋体" w:cs="宋体"/>
                <w:color w:val="auto"/>
                <w:vertAlign w:val="baseline"/>
                <w:lang w:val="en-US" w:eastAsia="zh-CN"/>
              </w:rPr>
            </w:pPr>
          </w:p>
        </w:tc>
      </w:tr>
      <w:tr w14:paraId="73BDB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2D8711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9</w:t>
            </w:r>
          </w:p>
        </w:tc>
        <w:tc>
          <w:tcPr>
            <w:tcW w:w="1304" w:type="dxa"/>
            <w:vAlign w:val="center"/>
          </w:tcPr>
          <w:p w14:paraId="5E38E537">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空灵鼓</w:t>
            </w:r>
          </w:p>
        </w:tc>
        <w:tc>
          <w:tcPr>
            <w:tcW w:w="7370" w:type="dxa"/>
            <w:vAlign w:val="center"/>
          </w:tcPr>
          <w:p w14:paraId="2A2B10A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1.规格：11音 直径≥300mm</w:t>
            </w:r>
          </w:p>
        </w:tc>
        <w:tc>
          <w:tcPr>
            <w:tcW w:w="1191" w:type="dxa"/>
            <w:vAlign w:val="center"/>
          </w:tcPr>
          <w:p w14:paraId="74059BF8">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71583E6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22CF6B74">
            <w:pPr>
              <w:jc w:val="center"/>
              <w:rPr>
                <w:rFonts w:hint="eastAsia" w:ascii="宋体" w:hAnsi="宋体" w:eastAsia="宋体" w:cs="宋体"/>
                <w:color w:val="auto"/>
                <w:vertAlign w:val="baseline"/>
                <w:lang w:val="en-US" w:eastAsia="zh-CN"/>
              </w:rPr>
            </w:pPr>
          </w:p>
        </w:tc>
      </w:tr>
      <w:tr w14:paraId="1ED26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2EAD68C">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10</w:t>
            </w:r>
          </w:p>
        </w:tc>
        <w:tc>
          <w:tcPr>
            <w:tcW w:w="1304" w:type="dxa"/>
            <w:vAlign w:val="center"/>
          </w:tcPr>
          <w:p w14:paraId="6AEB1D52">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小打包18件套</w:t>
            </w:r>
          </w:p>
        </w:tc>
        <w:tc>
          <w:tcPr>
            <w:tcW w:w="7370" w:type="dxa"/>
            <w:vAlign w:val="center"/>
          </w:tcPr>
          <w:p w14:paraId="59ED129D">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b/>
                <w:bCs/>
                <w:i w:val="0"/>
                <w:iCs w:val="0"/>
                <w:color w:val="000000"/>
                <w:kern w:val="0"/>
                <w:sz w:val="20"/>
                <w:szCs w:val="20"/>
                <w:u w:val="none"/>
                <w:lang w:val="en-US" w:eastAsia="zh-CN" w:bidi="ar"/>
              </w:rPr>
              <w:t>铃鼓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1.规格：≥8英寸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2.材质：木质圈、不锈钢铃片、羊皮鼓面、泡钉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响板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2.尺寸：全长≥210mm，整厚≥30mm，手柄直径≥15mm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舞板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2.尺寸：直径≥55mm，单片厚≥8mm，整体厚≥25mm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4.工艺：光滑无毛刺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双响筒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1.材质：榉木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筒长≥175mm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筒外直径≥35mm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筒内直径≥24mm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手柄长≥155mm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手柄直径≥14mm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3.配件：敲棒1支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梆子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2.尺寸：长≥175mm，宽≥50mm，高≥35mm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3.配件：木槌1支（直径≥16mm）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1.材质：黄铜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2.尺寸：直径≥150mm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3.净重：220g/对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打棒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2.尺寸：长≥200mm，直径≥20mm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4.工艺：打磨光滑细腻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蛙鸣器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直径≥59mm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发音孔2个直径≥15mm、≥15mm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整长≥250mm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3.颜色：原木色，彩绘图案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4.配件：刮棒（≥长129mm）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沙锤</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2.尺寸：全长≥210mm，球体直径≥55mm，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手柄直径≥20mm，手柄长≥110mm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3.颜色：原木手柄+彩绘球体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沙蛋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2.尺寸：高≥65mm，直径≥45mm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串铃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1.材质：木棒+电镀铃铛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2.尺寸：整长≥165mm，手柄直径≥20mm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手柄直径≥12mm，手柄长≥75mm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3.规格：13铃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4.工艺：手柄表面光滑、凹槽细腻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腕铃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1.尺寸：4铃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2.材质：彩色尼龙腕带+电镀铃铛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3.工艺：腕带缝有魔术贴，可调节长短；</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4.铃铛底部铆钉平整光滑不伤手。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刮胡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1.材质：实木，内含小颗粒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2.尺寸：≥长150mm，直径≥40mm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4.工艺：加沟设计，精细打磨，无毛刺，不伤手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5.配件：刮棒1支，长≥130mm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 xml:space="preserve">高低音梆子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2.尺寸：整长≥255mm，高音响筒直径≥35mm、低音响筒直径手柄直径≥20mm手柄长≥100mm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4.配件：木槌1支(直径≥12mm）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棒钟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材质：黄铜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尺寸：整长≥120mm，钟口直径≥30mm，手柄长≥90mm，手柄直径≥15mm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阿果果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1.规格：双向喇叭，大小喇叭口径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2.配件：配敲槌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板镲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四铃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1.材质：木质手柄+不锈钢卷边铃片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2.尺寸：整长≥225mm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镲片直径≥35mm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手柄直径≥12mm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手柄长≥90mm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3.颜色：原木色手柄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4.结构：4组铃片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5.工艺：精工打磨、光滑圆润。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铝板琴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1.材质：木质框架+铝质琴片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2.颜色：彩色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3.规格：8音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4.配件：敲槌2支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乐器包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材质：高档牛津布，耐磨，包内多个口袋，附带衬布海绵隔层，防止乐器相互碰撞摩擦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尺寸：≥480*320*120mm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奥尔夫打击乐18件套专用收纳包</w:t>
            </w:r>
          </w:p>
        </w:tc>
        <w:tc>
          <w:tcPr>
            <w:tcW w:w="1191" w:type="dxa"/>
            <w:vAlign w:val="center"/>
          </w:tcPr>
          <w:p w14:paraId="5F7A29F3">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118ADC05">
            <w:pPr>
              <w:keepNext w:val="0"/>
              <w:keepLines w:val="0"/>
              <w:widowControl/>
              <w:suppressLineNumbers w:val="0"/>
              <w:jc w:val="center"/>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4904CC84">
            <w:pPr>
              <w:jc w:val="center"/>
              <w:rPr>
                <w:rFonts w:hint="eastAsia" w:ascii="宋体" w:hAnsi="宋体" w:eastAsia="宋体" w:cs="宋体"/>
                <w:color w:val="auto"/>
                <w:vertAlign w:val="baseline"/>
                <w:lang w:val="en-US" w:eastAsia="zh-CN"/>
              </w:rPr>
            </w:pPr>
          </w:p>
        </w:tc>
      </w:tr>
      <w:tr w14:paraId="4C582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0F89A3B">
            <w:pPr>
              <w:keepNext w:val="0"/>
              <w:keepLines w:val="0"/>
              <w:widowControl/>
              <w:suppressLineNumbers w:val="0"/>
              <w:jc w:val="center"/>
              <w:textAlignment w:val="center"/>
              <w:rPr>
                <w:rFonts w:hint="eastAsia" w:ascii="宋体" w:hAnsi="宋体" w:eastAsia="宋体" w:cs="宋体"/>
                <w:strike/>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11</w:t>
            </w:r>
          </w:p>
        </w:tc>
        <w:tc>
          <w:tcPr>
            <w:tcW w:w="1304" w:type="dxa"/>
            <w:vAlign w:val="center"/>
          </w:tcPr>
          <w:p w14:paraId="517F27E0">
            <w:pPr>
              <w:keepNext w:val="0"/>
              <w:keepLines w:val="0"/>
              <w:widowControl/>
              <w:suppressLineNumbers w:val="0"/>
              <w:jc w:val="center"/>
              <w:textAlignment w:val="center"/>
              <w:rPr>
                <w:rFonts w:hint="eastAsia" w:ascii="宋体" w:hAnsi="宋体" w:eastAsia="宋体" w:cs="宋体"/>
                <w:strike/>
                <w:dstrike w:val="0"/>
                <w:color w:val="000000" w:themeColor="text1"/>
                <w:vertAlign w:val="baseline"/>
                <w:lang w:val="en-US" w:eastAsia="zh-CN"/>
                <w14:textFill>
                  <w14:solidFill>
                    <w14:schemeClr w14:val="tx1"/>
                  </w14:solidFill>
                </w14:textFill>
              </w:rPr>
            </w:pPr>
            <w:r>
              <w:rPr>
                <w:rFonts w:hint="eastAsia" w:ascii="宋体" w:hAnsi="宋体" w:cs="宋体"/>
                <w:i w:val="0"/>
                <w:iCs w:val="0"/>
                <w:strike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吊顶</w:t>
            </w:r>
          </w:p>
        </w:tc>
        <w:tc>
          <w:tcPr>
            <w:tcW w:w="7370" w:type="dxa"/>
            <w:vAlign w:val="center"/>
          </w:tcPr>
          <w:p w14:paraId="124E02D2">
            <w:pPr>
              <w:keepNext w:val="0"/>
              <w:keepLines w:val="0"/>
              <w:widowControl/>
              <w:suppressLineNumbers w:val="0"/>
              <w:jc w:val="left"/>
              <w:textAlignment w:val="center"/>
              <w:rPr>
                <w:rFonts w:hint="eastAsia" w:ascii="宋体" w:hAnsi="宋体" w:eastAsia="宋体" w:cs="宋体"/>
                <w:strike/>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1191" w:type="dxa"/>
            <w:vAlign w:val="center"/>
          </w:tcPr>
          <w:p w14:paraId="6631ECD1">
            <w:pPr>
              <w:keepNext w:val="0"/>
              <w:keepLines w:val="0"/>
              <w:widowControl/>
              <w:suppressLineNumbers w:val="0"/>
              <w:jc w:val="center"/>
              <w:textAlignment w:val="center"/>
              <w:rPr>
                <w:rFonts w:hint="eastAsia" w:ascii="宋体" w:hAnsi="宋体" w:eastAsia="宋体" w:cs="宋体"/>
                <w:strike/>
                <w:dstrike w:val="0"/>
                <w:color w:val="000000" w:themeColor="text1"/>
                <w:vertAlign w:val="baseline"/>
                <w:lang w:val="en-US" w:eastAsia="zh-CN"/>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98.20</w:t>
            </w:r>
          </w:p>
        </w:tc>
        <w:tc>
          <w:tcPr>
            <w:tcW w:w="1049" w:type="dxa"/>
            <w:vAlign w:val="center"/>
          </w:tcPr>
          <w:p w14:paraId="29E2CDAD">
            <w:pPr>
              <w:keepNext w:val="0"/>
              <w:keepLines w:val="0"/>
              <w:widowControl/>
              <w:suppressLineNumbers w:val="0"/>
              <w:jc w:val="center"/>
              <w:textAlignment w:val="center"/>
              <w:rPr>
                <w:rFonts w:hint="eastAsia" w:ascii="宋体" w:hAnsi="宋体" w:eastAsia="宋体" w:cs="宋体"/>
                <w:strike/>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11</w:t>
            </w:r>
          </w:p>
        </w:tc>
        <w:tc>
          <w:tcPr>
            <w:tcW w:w="2937" w:type="dxa"/>
            <w:vAlign w:val="center"/>
          </w:tcPr>
          <w:p w14:paraId="6FB5CA05">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7364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4C454E5">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1304" w:type="dxa"/>
            <w:vAlign w:val="center"/>
          </w:tcPr>
          <w:p w14:paraId="03CD18A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7370" w:type="dxa"/>
            <w:vAlign w:val="center"/>
          </w:tcPr>
          <w:p w14:paraId="7D2226D0">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1191" w:type="dxa"/>
            <w:vAlign w:val="center"/>
          </w:tcPr>
          <w:p w14:paraId="332967E9">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1049" w:type="dxa"/>
            <w:vAlign w:val="center"/>
          </w:tcPr>
          <w:p w14:paraId="438570A0">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23BBDF9C">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049CD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A3C4CD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13</w:t>
            </w:r>
          </w:p>
        </w:tc>
        <w:tc>
          <w:tcPr>
            <w:tcW w:w="1304" w:type="dxa"/>
            <w:vAlign w:val="center"/>
          </w:tcPr>
          <w:p w14:paraId="66C106C7">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strike w:val="0"/>
                <w:color w:val="000000" w:themeColor="text1"/>
                <w:kern w:val="0"/>
                <w:sz w:val="20"/>
                <w:szCs w:val="20"/>
                <w:u w:val="none"/>
                <w:lang w:val="en-US" w:eastAsia="zh-CN" w:bidi="ar"/>
                <w14:textFill>
                  <w14:solidFill>
                    <w14:schemeClr w14:val="tx1"/>
                  </w14:solidFill>
                </w14:textFill>
              </w:rPr>
              <w:t>格栅灯</w:t>
            </w:r>
          </w:p>
        </w:tc>
        <w:tc>
          <w:tcPr>
            <w:tcW w:w="7370" w:type="dxa"/>
            <w:vAlign w:val="center"/>
          </w:tcPr>
          <w:p w14:paraId="7E399208">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1191" w:type="dxa"/>
            <w:vAlign w:val="center"/>
          </w:tcPr>
          <w:p w14:paraId="21CBD1F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049" w:type="dxa"/>
            <w:vAlign w:val="center"/>
          </w:tcPr>
          <w:p w14:paraId="7D375F0F">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937" w:type="dxa"/>
            <w:vAlign w:val="center"/>
          </w:tcPr>
          <w:p w14:paraId="74DA728C">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09F7D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F811431">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p>
        </w:tc>
        <w:tc>
          <w:tcPr>
            <w:tcW w:w="1304" w:type="dxa"/>
            <w:vAlign w:val="center"/>
          </w:tcPr>
          <w:p w14:paraId="42EE7E51">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实木柜</w:t>
            </w:r>
          </w:p>
        </w:tc>
        <w:tc>
          <w:tcPr>
            <w:tcW w:w="7370" w:type="dxa"/>
            <w:vAlign w:val="center"/>
          </w:tcPr>
          <w:p w14:paraId="56C80621">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整体采用≥16mm厚实木多层免漆板，深度≥350mmmm，高度≥400mm，底部镂空可放置东西，表面可坐人。颜色可选,总体不变型、不脱榫、坚固耐用。</w:t>
            </w:r>
          </w:p>
        </w:tc>
        <w:tc>
          <w:tcPr>
            <w:tcW w:w="1191" w:type="dxa"/>
            <w:vAlign w:val="center"/>
          </w:tcPr>
          <w:p w14:paraId="50A34463">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7.00 </w:t>
            </w:r>
          </w:p>
        </w:tc>
        <w:tc>
          <w:tcPr>
            <w:tcW w:w="1049" w:type="dxa"/>
            <w:vAlign w:val="center"/>
          </w:tcPr>
          <w:p w14:paraId="47362BE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w:t>
            </w:r>
          </w:p>
        </w:tc>
        <w:tc>
          <w:tcPr>
            <w:tcW w:w="2937" w:type="dxa"/>
            <w:vAlign w:val="center"/>
          </w:tcPr>
          <w:p w14:paraId="4225B5F6">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52C88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31695BE">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5</w:t>
            </w:r>
          </w:p>
        </w:tc>
        <w:tc>
          <w:tcPr>
            <w:tcW w:w="1304" w:type="dxa"/>
            <w:vAlign w:val="center"/>
          </w:tcPr>
          <w:p w14:paraId="6162E785">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展示墙</w:t>
            </w:r>
          </w:p>
        </w:tc>
        <w:tc>
          <w:tcPr>
            <w:tcW w:w="7370" w:type="dxa"/>
            <w:vAlign w:val="center"/>
          </w:tcPr>
          <w:p w14:paraId="0BEC3508">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多层实木框架，局部石膏板饰面，内部12mm聚酯纤维毛毡装饰。</w:t>
            </w:r>
          </w:p>
        </w:tc>
        <w:tc>
          <w:tcPr>
            <w:tcW w:w="1191" w:type="dxa"/>
            <w:vAlign w:val="center"/>
          </w:tcPr>
          <w:p w14:paraId="29CDAD50">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14.50 </w:t>
            </w:r>
          </w:p>
        </w:tc>
        <w:tc>
          <w:tcPr>
            <w:tcW w:w="1049" w:type="dxa"/>
            <w:vAlign w:val="center"/>
          </w:tcPr>
          <w:p w14:paraId="376B4FDE">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39FC228A">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4CCC2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DDA031E">
            <w:pPr>
              <w:keepNext w:val="0"/>
              <w:keepLines w:val="0"/>
              <w:widowControl/>
              <w:suppressLineNumbers w:val="0"/>
              <w:jc w:val="center"/>
              <w:textAlignment w:val="center"/>
              <w:rPr>
                <w:rFonts w:hint="default"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16</w:t>
            </w:r>
          </w:p>
        </w:tc>
        <w:tc>
          <w:tcPr>
            <w:tcW w:w="1304" w:type="dxa"/>
            <w:vAlign w:val="center"/>
          </w:tcPr>
          <w:p w14:paraId="355CD90D">
            <w:pPr>
              <w:keepNext w:val="0"/>
              <w:keepLines w:val="0"/>
              <w:widowControl/>
              <w:suppressLineNumbers w:val="0"/>
              <w:jc w:val="center"/>
              <w:textAlignment w:val="center"/>
              <w:rPr>
                <w:rFonts w:hint="eastAsia" w:ascii="宋体" w:hAnsi="宋体" w:eastAsia="宋体" w:cs="宋体"/>
                <w:strike w:val="0"/>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装修集成、管理</w:t>
            </w:r>
          </w:p>
        </w:tc>
        <w:tc>
          <w:tcPr>
            <w:tcW w:w="7370" w:type="dxa"/>
            <w:vAlign w:val="center"/>
          </w:tcPr>
          <w:p w14:paraId="4F6B3C02">
            <w:pPr>
              <w:keepNext w:val="0"/>
              <w:keepLines w:val="0"/>
              <w:widowControl/>
              <w:suppressLineNumbers w:val="0"/>
              <w:jc w:val="left"/>
              <w:textAlignment w:val="center"/>
              <w:rPr>
                <w:rFonts w:hint="eastAsia" w:ascii="宋体" w:hAnsi="宋体" w:eastAsia="宋体" w:cs="宋体"/>
                <w:strike w:val="0"/>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1191" w:type="dxa"/>
            <w:vAlign w:val="center"/>
          </w:tcPr>
          <w:p w14:paraId="6E4C2B96">
            <w:pPr>
              <w:keepNext w:val="0"/>
              <w:keepLines w:val="0"/>
              <w:widowControl/>
              <w:suppressLineNumbers w:val="0"/>
              <w:jc w:val="center"/>
              <w:textAlignment w:val="center"/>
              <w:rPr>
                <w:rFonts w:hint="eastAsia" w:ascii="宋体" w:hAnsi="宋体" w:eastAsia="宋体" w:cs="宋体"/>
                <w:strike w:val="0"/>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1.00 </w:t>
            </w:r>
          </w:p>
        </w:tc>
        <w:tc>
          <w:tcPr>
            <w:tcW w:w="1049" w:type="dxa"/>
            <w:vAlign w:val="center"/>
          </w:tcPr>
          <w:p w14:paraId="02B85B3C">
            <w:pPr>
              <w:keepNext w:val="0"/>
              <w:keepLines w:val="0"/>
              <w:widowControl/>
              <w:suppressLineNumbers w:val="0"/>
              <w:jc w:val="center"/>
              <w:textAlignment w:val="center"/>
              <w:rPr>
                <w:rFonts w:hint="eastAsia" w:ascii="宋体" w:hAnsi="宋体" w:eastAsia="宋体" w:cs="宋体"/>
                <w:strike w:val="0"/>
                <w:dstrike w:val="0"/>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项</w:t>
            </w:r>
          </w:p>
        </w:tc>
        <w:tc>
          <w:tcPr>
            <w:tcW w:w="2937" w:type="dxa"/>
            <w:vAlign w:val="center"/>
          </w:tcPr>
          <w:p w14:paraId="59C0618E">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23FC5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2A61E83">
            <w:pPr>
              <w:keepNext w:val="0"/>
              <w:keepLines w:val="0"/>
              <w:widowControl/>
              <w:suppressLineNumbers w:val="0"/>
              <w:jc w:val="center"/>
              <w:textAlignment w:val="center"/>
              <w:rPr>
                <w:rFonts w:hint="default"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17</w:t>
            </w:r>
          </w:p>
        </w:tc>
        <w:tc>
          <w:tcPr>
            <w:tcW w:w="1304" w:type="dxa"/>
            <w:vAlign w:val="center"/>
          </w:tcPr>
          <w:p w14:paraId="6578CD4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7370" w:type="dxa"/>
            <w:vAlign w:val="center"/>
          </w:tcPr>
          <w:p w14:paraId="3132444B">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1191" w:type="dxa"/>
            <w:vAlign w:val="center"/>
          </w:tcPr>
          <w:p w14:paraId="6769D7E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1049" w:type="dxa"/>
            <w:vAlign w:val="center"/>
          </w:tcPr>
          <w:p w14:paraId="5063AF1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937" w:type="dxa"/>
            <w:vAlign w:val="center"/>
          </w:tcPr>
          <w:p w14:paraId="5884EDB0">
            <w:pPr>
              <w:jc w:val="center"/>
              <w:rPr>
                <w:rFonts w:hint="eastAsia" w:ascii="宋体" w:hAnsi="宋体" w:eastAsia="宋体" w:cs="宋体"/>
                <w:color w:val="000000" w:themeColor="text1"/>
                <w:vertAlign w:val="baseline"/>
                <w:lang w:val="en-US" w:eastAsia="zh-CN"/>
                <w14:textFill>
                  <w14:solidFill>
                    <w14:schemeClr w14:val="tx1"/>
                  </w14:solidFill>
                </w14:textFill>
              </w:rPr>
            </w:pPr>
          </w:p>
        </w:tc>
      </w:tr>
      <w:tr w14:paraId="11D43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3AED5BF4">
            <w:pPr>
              <w:jc w:val="left"/>
              <w:rPr>
                <w:rFonts w:hint="default"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b/>
                <w:bCs/>
                <w:color w:val="000000" w:themeColor="text1"/>
                <w:sz w:val="30"/>
                <w:szCs w:val="30"/>
                <w:vertAlign w:val="baseline"/>
                <w:lang w:val="en-US" w:eastAsia="zh-CN"/>
                <w14:textFill>
                  <w14:solidFill>
                    <w14:schemeClr w14:val="tx1"/>
                  </w14:solidFill>
                </w14:textFill>
              </w:rPr>
              <w:t>4.</w:t>
            </w:r>
            <w:r>
              <w:rPr>
                <w:rFonts w:hint="eastAsia" w:ascii="宋体" w:hAnsi="宋体" w:eastAsia="宋体" w:cs="宋体"/>
                <w:b/>
                <w:bCs/>
                <w:color w:val="000000" w:themeColor="text1"/>
                <w:sz w:val="30"/>
                <w:szCs w:val="30"/>
                <w:vertAlign w:val="baseline"/>
                <w:lang w:val="en-US" w:eastAsia="zh-CN"/>
                <w14:textFill>
                  <w14:solidFill>
                    <w14:schemeClr w14:val="tx1"/>
                  </w14:solidFill>
                </w14:textFill>
              </w:rPr>
              <w:t>音乐教室</w:t>
            </w:r>
            <w:r>
              <w:rPr>
                <w:rFonts w:hint="eastAsia" w:ascii="宋体" w:hAnsi="宋体" w:cs="宋体"/>
                <w:b/>
                <w:bCs/>
                <w:color w:val="000000" w:themeColor="text1"/>
                <w:sz w:val="30"/>
                <w:szCs w:val="30"/>
                <w:vertAlign w:val="baseline"/>
                <w:lang w:val="en-US" w:eastAsia="zh-CN"/>
                <w14:textFill>
                  <w14:solidFill>
                    <w14:schemeClr w14:val="tx1"/>
                  </w14:solidFill>
                </w14:textFill>
              </w:rPr>
              <w:t>2</w:t>
            </w:r>
          </w:p>
        </w:tc>
      </w:tr>
      <w:tr w14:paraId="377F4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FEFE0F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304" w:type="dxa"/>
            <w:vAlign w:val="center"/>
          </w:tcPr>
          <w:p w14:paraId="0C07103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移动升降讲台</w:t>
            </w:r>
          </w:p>
        </w:tc>
        <w:tc>
          <w:tcPr>
            <w:tcW w:w="7370" w:type="dxa"/>
            <w:vAlign w:val="center"/>
          </w:tcPr>
          <w:p w14:paraId="2852F9F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1.尺寸：≥670*550*760-1060mm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2.材质：支架采用优质铝合金，台面环保板材，可折叠升降</w:t>
            </w:r>
          </w:p>
        </w:tc>
        <w:tc>
          <w:tcPr>
            <w:tcW w:w="1191" w:type="dxa"/>
            <w:vAlign w:val="center"/>
          </w:tcPr>
          <w:p w14:paraId="338D0F3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0A2686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00C1C216">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666750" cy="476250"/>
                  <wp:effectExtent l="0" t="0" r="0" b="0"/>
                  <wp:docPr id="293" name="图片 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3" descr="IMG_256"/>
                          <pic:cNvPicPr>
                            <a:picLocks noChangeAspect="1"/>
                          </pic:cNvPicPr>
                        </pic:nvPicPr>
                        <pic:blipFill>
                          <a:blip r:embed="rId49"/>
                          <a:stretch>
                            <a:fillRect/>
                          </a:stretch>
                        </pic:blipFill>
                        <pic:spPr>
                          <a:xfrm>
                            <a:off x="0" y="0"/>
                            <a:ext cx="666750" cy="476250"/>
                          </a:xfrm>
                          <a:prstGeom prst="rect">
                            <a:avLst/>
                          </a:prstGeom>
                          <a:noFill/>
                          <a:ln w="9525">
                            <a:noFill/>
                          </a:ln>
                        </pic:spPr>
                      </pic:pic>
                    </a:graphicData>
                  </a:graphic>
                </wp:inline>
              </w:drawing>
            </w:r>
          </w:p>
        </w:tc>
      </w:tr>
      <w:tr w14:paraId="1A36B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75F277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304" w:type="dxa"/>
            <w:vAlign w:val="center"/>
          </w:tcPr>
          <w:p w14:paraId="314D392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★音乐凳</w:t>
            </w:r>
          </w:p>
        </w:tc>
        <w:tc>
          <w:tcPr>
            <w:tcW w:w="7370" w:type="dxa"/>
            <w:vAlign w:val="center"/>
          </w:tcPr>
          <w:p w14:paraId="696967B5">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1.尺寸：≥450*350*350mmmm；（厚度）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2.材质：高密度PE一体滚塑成型；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3.工艺：（1）滚塑成型。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（2）硬度和强度高，吸水性小，优良的电绝缘性，耐寒。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4.功能：（1）异形三面可坐，三种高度（215/350/450mm)适合各年级师生使用。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（2）为保证产品牢固耐用，产品必须一体成型，不可采用插接拼凑等组装方式。</w:t>
            </w:r>
          </w:p>
        </w:tc>
        <w:tc>
          <w:tcPr>
            <w:tcW w:w="1191" w:type="dxa"/>
            <w:vAlign w:val="center"/>
          </w:tcPr>
          <w:p w14:paraId="708733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1049" w:type="dxa"/>
            <w:vAlign w:val="center"/>
          </w:tcPr>
          <w:p w14:paraId="524FAAE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20755015">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933450" cy="476250"/>
                  <wp:effectExtent l="0" t="0" r="0" b="0"/>
                  <wp:docPr id="294" name="图片 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4" descr="IMG_257"/>
                          <pic:cNvPicPr>
                            <a:picLocks noChangeAspect="1"/>
                          </pic:cNvPicPr>
                        </pic:nvPicPr>
                        <pic:blipFill>
                          <a:blip r:embed="rId125"/>
                          <a:stretch>
                            <a:fillRect/>
                          </a:stretch>
                        </pic:blipFill>
                        <pic:spPr>
                          <a:xfrm>
                            <a:off x="0" y="0"/>
                            <a:ext cx="933450" cy="476250"/>
                          </a:xfrm>
                          <a:prstGeom prst="rect">
                            <a:avLst/>
                          </a:prstGeom>
                          <a:noFill/>
                          <a:ln w="9525">
                            <a:noFill/>
                          </a:ln>
                        </pic:spPr>
                      </pic:pic>
                    </a:graphicData>
                  </a:graphic>
                </wp:inline>
              </w:drawing>
            </w:r>
          </w:p>
        </w:tc>
      </w:tr>
      <w:tr w14:paraId="7DCE8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D38C7B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w:t>
            </w:r>
          </w:p>
        </w:tc>
        <w:tc>
          <w:tcPr>
            <w:tcW w:w="1304" w:type="dxa"/>
            <w:vAlign w:val="center"/>
          </w:tcPr>
          <w:p w14:paraId="1BB8E03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线性音柱</w:t>
            </w:r>
          </w:p>
        </w:tc>
        <w:tc>
          <w:tcPr>
            <w:tcW w:w="7370" w:type="dxa"/>
            <w:vAlign w:val="center"/>
          </w:tcPr>
          <w:p w14:paraId="4E46B71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可组阵有源线性音柱系列的DSP有源低音单元。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箱体采用环保漆木箱，防尘网罩，更牢固耐用且美观。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大功率喇叭单元设计，让用户体验更震撼的效果。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覆盖面广，演出更轻松便捷。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单元组成：中高频喇叭：≥4x2.3寸线性阵列设计的喇叭，低音箱≥8寸带通双倒相式设计的喇叭。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功率放大器额定功率：≥300W，其中低频通道功率：≥150W，高频通道功率：≥150W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连接器：≥2xXLR/TRS多功能插孔输入、≥1个立体声RCA输入、≥1个无线蓝牙输入、≥1个XLR THRU输出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频率响应(-3dB)：42Hz-20KHz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频率范围(-10dB)：40Hz-20KHz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最大声压级：≥122dB </w:t>
            </w:r>
          </w:p>
        </w:tc>
        <w:tc>
          <w:tcPr>
            <w:tcW w:w="1191" w:type="dxa"/>
            <w:vAlign w:val="center"/>
          </w:tcPr>
          <w:p w14:paraId="1AF146A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66C8429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7AF00841">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323850" cy="476250"/>
                  <wp:effectExtent l="0" t="0" r="0" b="0"/>
                  <wp:docPr id="295" name="图片 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5" descr="IMG_258"/>
                          <pic:cNvPicPr>
                            <a:picLocks noChangeAspect="1"/>
                          </pic:cNvPicPr>
                        </pic:nvPicPr>
                        <pic:blipFill>
                          <a:blip r:embed="rId126"/>
                          <a:stretch>
                            <a:fillRect/>
                          </a:stretch>
                        </pic:blipFill>
                        <pic:spPr>
                          <a:xfrm>
                            <a:off x="0" y="0"/>
                            <a:ext cx="323850" cy="476250"/>
                          </a:xfrm>
                          <a:prstGeom prst="rect">
                            <a:avLst/>
                          </a:prstGeom>
                          <a:noFill/>
                          <a:ln w="9525">
                            <a:noFill/>
                          </a:ln>
                        </pic:spPr>
                      </pic:pic>
                    </a:graphicData>
                  </a:graphic>
                </wp:inline>
              </w:drawing>
            </w:r>
          </w:p>
        </w:tc>
      </w:tr>
      <w:tr w14:paraId="7D34B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54F055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1304" w:type="dxa"/>
            <w:vAlign w:val="center"/>
          </w:tcPr>
          <w:p w14:paraId="649EC625">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无线话筒</w:t>
            </w:r>
          </w:p>
        </w:tc>
        <w:tc>
          <w:tcPr>
            <w:tcW w:w="7370" w:type="dxa"/>
            <w:vAlign w:val="center"/>
          </w:tcPr>
          <w:p w14:paraId="684C488A">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具有LED液晶屏显示RF/AF信号强度，自动选讯，可设定频道/频率，状态一目了然；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具有频率自动选定功能，自动回避干扰；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灵敏度可调，接收距离从25米-60米之间可以分段设置；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全新独特ID编码功能，对周围环境或≥10台叠机多套使用，具备优良的抗干扰能力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支持自动搜索无干扰信道功能，PLL相位锁定频率合成振荡模式；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双频道频道组数，可切换频率数≥ 400组；</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灵敏度： 在偏移度等于40KHz,输入6dBμ V时，S/N&gt;80dB；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最大偏移度： ±68KHz具有音量扩展 ；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频带宽度： 50MHz，频率间隔：125KHz；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话筒输出功率： 30MW；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综合S/N比： ±105dB(1KHz-A)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综合失真度： &lt;0.5% @ 1KHz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综合频率响应： 50Hz-18KHz±3dB具低频衰减滤频电路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最大输出电压： 平衡式MIC-LEVEL-0dBV/600Ω,非平衡式0dBV/600Ω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音频输出：XLR平衡式插座独立输出及Φ6.3不平衡式插座混合输出 ；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音量输出调整： 输出电平可随意调整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静音控制模式： 独立“音码及杂讯锁定”双重静音控制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麦克风使用易购的5号电池，续用时间达≥8小时 </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天线座带DC9V供电，可直接接放大天线使用； </w:t>
            </w:r>
          </w:p>
        </w:tc>
        <w:tc>
          <w:tcPr>
            <w:tcW w:w="1191" w:type="dxa"/>
            <w:vAlign w:val="center"/>
          </w:tcPr>
          <w:p w14:paraId="32A3B5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77D9FEF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2B02127F">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20"/>
                <w:szCs w:val="20"/>
                <w:u w:val="none"/>
                <w:lang w:val="en-US" w:eastAsia="zh-CN" w:bidi="ar"/>
              </w:rPr>
              <w:drawing>
                <wp:inline distT="0" distB="0" distL="114300" distR="114300">
                  <wp:extent cx="676275" cy="476250"/>
                  <wp:effectExtent l="0" t="0" r="9525" b="0"/>
                  <wp:docPr id="296" name="图片 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6" descr="IMG_259"/>
                          <pic:cNvPicPr>
                            <a:picLocks noChangeAspect="1"/>
                          </pic:cNvPicPr>
                        </pic:nvPicPr>
                        <pic:blipFill>
                          <a:blip r:embed="rId127"/>
                          <a:stretch>
                            <a:fillRect/>
                          </a:stretch>
                        </pic:blipFill>
                        <pic:spPr>
                          <a:xfrm>
                            <a:off x="0" y="0"/>
                            <a:ext cx="676275" cy="476250"/>
                          </a:xfrm>
                          <a:prstGeom prst="rect">
                            <a:avLst/>
                          </a:prstGeom>
                          <a:noFill/>
                          <a:ln w="9525">
                            <a:noFill/>
                          </a:ln>
                        </pic:spPr>
                      </pic:pic>
                    </a:graphicData>
                  </a:graphic>
                </wp:inline>
              </w:drawing>
            </w:r>
          </w:p>
        </w:tc>
      </w:tr>
      <w:tr w14:paraId="1F2C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1393FF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w:t>
            </w:r>
          </w:p>
        </w:tc>
        <w:tc>
          <w:tcPr>
            <w:tcW w:w="1304" w:type="dxa"/>
            <w:vAlign w:val="center"/>
          </w:tcPr>
          <w:p w14:paraId="711848F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音叉</w:t>
            </w:r>
          </w:p>
        </w:tc>
        <w:tc>
          <w:tcPr>
            <w:tcW w:w="7370" w:type="dxa"/>
            <w:vAlign w:val="center"/>
          </w:tcPr>
          <w:p w14:paraId="624D56C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1.材质：钢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2.规格：音叉≥120*20mm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3.配套音锤</w:t>
            </w:r>
          </w:p>
        </w:tc>
        <w:tc>
          <w:tcPr>
            <w:tcW w:w="1191" w:type="dxa"/>
            <w:vAlign w:val="center"/>
          </w:tcPr>
          <w:p w14:paraId="2C9C1CA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6D551DC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49825A51">
            <w:pPr>
              <w:jc w:val="center"/>
              <w:rPr>
                <w:rFonts w:hint="eastAsia" w:ascii="宋体" w:hAnsi="宋体" w:eastAsia="宋体" w:cs="宋体"/>
                <w:color w:val="auto"/>
                <w:vertAlign w:val="baseline"/>
                <w:lang w:val="en-US" w:eastAsia="zh-CN"/>
              </w:rPr>
            </w:pPr>
          </w:p>
        </w:tc>
      </w:tr>
      <w:tr w14:paraId="6646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81642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w:t>
            </w:r>
          </w:p>
        </w:tc>
        <w:tc>
          <w:tcPr>
            <w:tcW w:w="1304" w:type="dxa"/>
            <w:vAlign w:val="center"/>
          </w:tcPr>
          <w:p w14:paraId="68CD424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非洲鼓</w:t>
            </w:r>
          </w:p>
        </w:tc>
        <w:tc>
          <w:tcPr>
            <w:tcW w:w="7370" w:type="dxa"/>
            <w:vAlign w:val="center"/>
          </w:tcPr>
          <w:p w14:paraId="623E89B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1.规格：直径≥12英寸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2.材质：实木鼓身，羊皮鼓面</w:t>
            </w:r>
          </w:p>
        </w:tc>
        <w:tc>
          <w:tcPr>
            <w:tcW w:w="1191" w:type="dxa"/>
            <w:vAlign w:val="center"/>
          </w:tcPr>
          <w:p w14:paraId="3F16E98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088FA6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4A248C48">
            <w:pPr>
              <w:jc w:val="center"/>
              <w:rPr>
                <w:rFonts w:hint="eastAsia" w:ascii="宋体" w:hAnsi="宋体" w:eastAsia="宋体" w:cs="宋体"/>
                <w:color w:val="auto"/>
                <w:vertAlign w:val="baseline"/>
                <w:lang w:val="en-US" w:eastAsia="zh-CN"/>
              </w:rPr>
            </w:pPr>
          </w:p>
        </w:tc>
      </w:tr>
      <w:tr w14:paraId="7B35C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85D1A0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w:t>
            </w:r>
          </w:p>
        </w:tc>
        <w:tc>
          <w:tcPr>
            <w:tcW w:w="1304" w:type="dxa"/>
            <w:vAlign w:val="center"/>
          </w:tcPr>
          <w:p w14:paraId="2FE01ED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戏曲电子锣鼓打击板</w:t>
            </w:r>
          </w:p>
        </w:tc>
        <w:tc>
          <w:tcPr>
            <w:tcW w:w="7370" w:type="dxa"/>
            <w:vAlign w:val="center"/>
          </w:tcPr>
          <w:p w14:paraId="27A9E6A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1.规格：支持蓝牙，双音箱，便携式</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2.按键：录音键、音量键、高中低音键、播放键</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3.音组：16组锣鼓镲</w:t>
            </w:r>
          </w:p>
        </w:tc>
        <w:tc>
          <w:tcPr>
            <w:tcW w:w="1191" w:type="dxa"/>
            <w:vAlign w:val="center"/>
          </w:tcPr>
          <w:p w14:paraId="645C4CD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54EFEA8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23387D8D">
            <w:pPr>
              <w:jc w:val="center"/>
              <w:rPr>
                <w:rFonts w:hint="eastAsia" w:ascii="宋体" w:hAnsi="宋体" w:eastAsia="宋体" w:cs="宋体"/>
                <w:color w:val="auto"/>
                <w:vertAlign w:val="baseline"/>
                <w:lang w:val="en-US" w:eastAsia="zh-CN"/>
              </w:rPr>
            </w:pPr>
          </w:p>
        </w:tc>
      </w:tr>
      <w:tr w14:paraId="176F1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B201B5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1304" w:type="dxa"/>
            <w:vAlign w:val="center"/>
          </w:tcPr>
          <w:p w14:paraId="7F1A914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海浪鼓</w:t>
            </w:r>
          </w:p>
        </w:tc>
        <w:tc>
          <w:tcPr>
            <w:tcW w:w="7370" w:type="dxa"/>
            <w:vAlign w:val="top"/>
          </w:tcPr>
          <w:p w14:paraId="775AC3A9">
            <w:pPr>
              <w:keepNext w:val="0"/>
              <w:keepLines w:val="0"/>
              <w:widowControl/>
              <w:suppressLineNumbers w:val="0"/>
              <w:jc w:val="left"/>
              <w:textAlignment w:val="top"/>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1.规格：≥14英寸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2.材质：木质鼓圈、ABS鼓皮、内置金属滚珠</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3.颜色：蓝色海洋图案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4.工艺：鼓圈包布工艺</w:t>
            </w:r>
          </w:p>
        </w:tc>
        <w:tc>
          <w:tcPr>
            <w:tcW w:w="1191" w:type="dxa"/>
            <w:vAlign w:val="center"/>
          </w:tcPr>
          <w:p w14:paraId="27B4D2B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1E0B907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3808AF40">
            <w:pPr>
              <w:jc w:val="center"/>
              <w:rPr>
                <w:rFonts w:hint="eastAsia" w:ascii="宋体" w:hAnsi="宋体" w:eastAsia="宋体" w:cs="宋体"/>
                <w:color w:val="auto"/>
                <w:vertAlign w:val="baseline"/>
                <w:lang w:val="en-US" w:eastAsia="zh-CN"/>
              </w:rPr>
            </w:pPr>
          </w:p>
        </w:tc>
      </w:tr>
      <w:tr w14:paraId="2A4BC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67D3A0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9</w:t>
            </w:r>
          </w:p>
        </w:tc>
        <w:tc>
          <w:tcPr>
            <w:tcW w:w="1304" w:type="dxa"/>
            <w:vAlign w:val="center"/>
          </w:tcPr>
          <w:p w14:paraId="435DF0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空灵鼓</w:t>
            </w:r>
          </w:p>
        </w:tc>
        <w:tc>
          <w:tcPr>
            <w:tcW w:w="7370" w:type="dxa"/>
            <w:vAlign w:val="center"/>
          </w:tcPr>
          <w:p w14:paraId="0DB8A6A2">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1.规格：11音 直径≥300mm</w:t>
            </w:r>
          </w:p>
        </w:tc>
        <w:tc>
          <w:tcPr>
            <w:tcW w:w="1191" w:type="dxa"/>
            <w:vAlign w:val="center"/>
          </w:tcPr>
          <w:p w14:paraId="30440EF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2156839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只</w:t>
            </w:r>
          </w:p>
        </w:tc>
        <w:tc>
          <w:tcPr>
            <w:tcW w:w="2937" w:type="dxa"/>
            <w:vAlign w:val="center"/>
          </w:tcPr>
          <w:p w14:paraId="0F136EC3">
            <w:pPr>
              <w:jc w:val="center"/>
              <w:rPr>
                <w:rFonts w:hint="eastAsia" w:ascii="宋体" w:hAnsi="宋体" w:eastAsia="宋体" w:cs="宋体"/>
                <w:color w:val="auto"/>
                <w:vertAlign w:val="baseline"/>
                <w:lang w:val="en-US" w:eastAsia="zh-CN"/>
              </w:rPr>
            </w:pPr>
          </w:p>
        </w:tc>
      </w:tr>
      <w:tr w14:paraId="23E8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0D27ED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1304" w:type="dxa"/>
            <w:vAlign w:val="center"/>
          </w:tcPr>
          <w:p w14:paraId="1E5C6E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小打包18件套</w:t>
            </w:r>
          </w:p>
        </w:tc>
        <w:tc>
          <w:tcPr>
            <w:tcW w:w="7370" w:type="dxa"/>
            <w:vAlign w:val="center"/>
          </w:tcPr>
          <w:p w14:paraId="16A4469C">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iCs w:val="0"/>
                <w:color w:val="000000"/>
                <w:kern w:val="0"/>
                <w:sz w:val="20"/>
                <w:szCs w:val="20"/>
                <w:u w:val="none"/>
                <w:lang w:val="en-US" w:eastAsia="zh-CN" w:bidi="ar"/>
              </w:rPr>
              <w:t>铃鼓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1.规格：≥8英寸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2.材质：木质圈、不锈钢铃片、羊皮鼓面、泡钉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响板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2.尺寸：全长≥210mm，整厚≥30mm，手柄直径≥15mm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舞板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2.尺寸：直径≥55mm，单片厚≥8mm，整体厚≥25mm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4.工艺：光滑无毛刺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双响筒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1.材质：榉木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筒长≥175mm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筒外直径≥35mm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筒内直径≥24mm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手柄长≥155mm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手柄直径≥14mm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3.配件：敲棒1支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梆子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2.尺寸：长≥175mm，宽≥50mm，高≥35mm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3.配件：木槌1支（直径≥16mm）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1.材质：黄铜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2.尺寸：直径≥150mm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3.净重：220g/对</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打棒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2.尺寸：长≥200mm，直径≥20mm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4.工艺：打磨光滑细腻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蛙鸣器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直径≥59mm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发音孔2个直径≥15mm、≥15mm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整长≥250mm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3.颜色：原木色，彩绘图案</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4.配件：刮棒（≥长129mm）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沙锤</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2.尺寸：全长≥210mm，球体直径≥55mm，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手柄直径≥20mm，手柄长≥110mm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3.颜色：原木手柄+彩绘球体</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沙蛋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2.尺寸：高≥65mm，直径≥45mm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串铃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1.材质：木棒+电镀铃铛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2.尺寸：整长≥165mm，手柄直径≥20mm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手柄直径≥12mm，手柄长≥75mm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3.规格：13铃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4.工艺：手柄表面光滑、凹槽细腻</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腕铃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1.尺寸：4铃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2.材质：彩色尼龙腕带+电镀铃铛</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3.工艺：腕带缝有魔术贴，可调节长短；</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4.铃铛底部铆钉平整光滑不伤手。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刮胡</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1.材质：实木，内含小颗粒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2.尺寸：≥长150mm，直径≥40mm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4.工艺：加沟设计，精细打磨，无毛刺，不伤手</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5.配件：刮棒1支，长≥130mm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 xml:space="preserve">高低音梆子 </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2.尺寸：整长≥255mm，高音响筒直径≥35mm、低音响筒直径手柄直径≥20mm手柄长≥100mm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4.配件：木槌1支(直径≥12mm）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棒钟</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材质：黄铜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尺寸：整长≥120mm，钟口直径≥30mm，手柄长≥90mm，手柄直径≥15mm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阿果果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1.规格：双向喇叭，大小喇叭口径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2.配件：配敲槌</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四铃</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1.材质：木质手柄+不锈钢卷边铃片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2.尺寸：整长≥225mm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镲片直径≥35mm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手柄直径≥12mm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手柄长≥90mm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3.颜色：原木色手柄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4.结构：4组铃片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5.工艺：精工打磨、光滑圆润。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铝板琴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8音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1.材质：木质框架+铝质琴片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2.颜色：彩色</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3.规格：8音</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4.配件：敲槌2支</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b/>
                <w:bCs/>
                <w:i w:val="0"/>
                <w:iCs w:val="0"/>
                <w:color w:val="000000"/>
                <w:kern w:val="0"/>
                <w:sz w:val="20"/>
                <w:szCs w:val="20"/>
                <w:u w:val="none"/>
                <w:lang w:val="en-US" w:eastAsia="zh-CN" w:bidi="ar"/>
              </w:rPr>
              <w:t>乐器包</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材质：高档牛津布，耐磨，包内多个口袋，附带衬布海绵隔层，防止乐器相互碰撞摩擦</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尺寸：≥480*320*120mm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奥尔夫打击乐18件套专用收纳包</w:t>
            </w:r>
          </w:p>
        </w:tc>
        <w:tc>
          <w:tcPr>
            <w:tcW w:w="1191" w:type="dxa"/>
            <w:vAlign w:val="center"/>
          </w:tcPr>
          <w:p w14:paraId="7788A0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4D8A9B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460C4D54">
            <w:pPr>
              <w:jc w:val="center"/>
              <w:rPr>
                <w:rFonts w:hint="eastAsia" w:ascii="宋体" w:hAnsi="宋体" w:eastAsia="宋体" w:cs="宋体"/>
                <w:color w:val="auto"/>
                <w:vertAlign w:val="baseline"/>
                <w:lang w:val="en-US" w:eastAsia="zh-CN"/>
              </w:rPr>
            </w:pPr>
          </w:p>
        </w:tc>
      </w:tr>
      <w:tr w14:paraId="786EB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A7CDC28">
            <w:pPr>
              <w:keepNext w:val="0"/>
              <w:keepLines w:val="0"/>
              <w:widowControl/>
              <w:suppressLineNumbers w:val="0"/>
              <w:jc w:val="center"/>
              <w:textAlignment w:val="center"/>
              <w:rPr>
                <w:rFonts w:hint="eastAsia" w:ascii="宋体" w:hAnsi="宋体" w:eastAsia="宋体" w:cs="宋体"/>
                <w:i w:val="0"/>
                <w:iCs w:val="0"/>
                <w:strike/>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11</w:t>
            </w:r>
          </w:p>
        </w:tc>
        <w:tc>
          <w:tcPr>
            <w:tcW w:w="1304" w:type="dxa"/>
            <w:vAlign w:val="center"/>
          </w:tcPr>
          <w:p w14:paraId="42D22CD7">
            <w:pPr>
              <w:keepNext w:val="0"/>
              <w:keepLines w:val="0"/>
              <w:widowControl/>
              <w:suppressLineNumbers w:val="0"/>
              <w:jc w:val="center"/>
              <w:textAlignment w:val="center"/>
              <w:rPr>
                <w:rFonts w:hint="eastAsia" w:ascii="宋体" w:hAnsi="宋体" w:eastAsia="宋体" w:cs="宋体"/>
                <w:i w:val="0"/>
                <w:iCs w:val="0"/>
                <w:strike/>
                <w:dstrike w:val="0"/>
                <w:color w:val="000000" w:themeColor="text1"/>
                <w:kern w:val="0"/>
                <w:sz w:val="20"/>
                <w:szCs w:val="20"/>
                <w:u w:val="none"/>
                <w:lang w:val="en-US" w:eastAsia="zh-CN" w:bidi="ar"/>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吊顶</w:t>
            </w:r>
          </w:p>
        </w:tc>
        <w:tc>
          <w:tcPr>
            <w:tcW w:w="7370" w:type="dxa"/>
            <w:vAlign w:val="center"/>
          </w:tcPr>
          <w:p w14:paraId="47AFA4EF">
            <w:pPr>
              <w:keepNext w:val="0"/>
              <w:keepLines w:val="0"/>
              <w:widowControl/>
              <w:suppressLineNumbers w:val="0"/>
              <w:jc w:val="center"/>
              <w:textAlignment w:val="center"/>
              <w:rPr>
                <w:rFonts w:hint="eastAsia" w:ascii="宋体" w:hAnsi="宋体" w:eastAsia="宋体" w:cs="宋体"/>
                <w:i w:val="0"/>
                <w:iCs w:val="0"/>
                <w:strike/>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1191" w:type="dxa"/>
            <w:vAlign w:val="center"/>
          </w:tcPr>
          <w:p w14:paraId="3FE96558">
            <w:pPr>
              <w:keepNext w:val="0"/>
              <w:keepLines w:val="0"/>
              <w:widowControl/>
              <w:suppressLineNumbers w:val="0"/>
              <w:jc w:val="center"/>
              <w:textAlignment w:val="center"/>
              <w:rPr>
                <w:rFonts w:hint="eastAsia" w:ascii="宋体" w:hAnsi="宋体" w:eastAsia="宋体" w:cs="宋体"/>
                <w:i w:val="0"/>
                <w:iCs w:val="0"/>
                <w:strike/>
                <w:dstrike w:val="0"/>
                <w:color w:val="000000" w:themeColor="text1"/>
                <w:kern w:val="0"/>
                <w:sz w:val="20"/>
                <w:szCs w:val="20"/>
                <w:u w:val="none"/>
                <w:lang w:val="en-US" w:eastAsia="zh-CN" w:bidi="ar"/>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98.20</w:t>
            </w:r>
          </w:p>
        </w:tc>
        <w:tc>
          <w:tcPr>
            <w:tcW w:w="1049" w:type="dxa"/>
            <w:vAlign w:val="center"/>
          </w:tcPr>
          <w:p w14:paraId="6A9B9F93">
            <w:pPr>
              <w:keepNext w:val="0"/>
              <w:keepLines w:val="0"/>
              <w:widowControl/>
              <w:suppressLineNumbers w:val="0"/>
              <w:jc w:val="center"/>
              <w:textAlignment w:val="center"/>
              <w:rPr>
                <w:rFonts w:hint="eastAsia" w:ascii="宋体" w:hAnsi="宋体" w:eastAsia="宋体" w:cs="宋体"/>
                <w:i w:val="0"/>
                <w:iCs w:val="0"/>
                <w:strike/>
                <w:dstrike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r>
              <w:rPr>
                <w:color w:val="000000" w:themeColor="text1"/>
                <w14:textFill>
                  <w14:solidFill>
                    <w14:schemeClr w14:val="tx1"/>
                  </w14:solidFill>
                </w14:textFill>
              </w:rPr>
              <w:commentReference w:id="0"/>
            </w:r>
          </w:p>
        </w:tc>
        <w:tc>
          <w:tcPr>
            <w:tcW w:w="2937" w:type="dxa"/>
            <w:vAlign w:val="center"/>
          </w:tcPr>
          <w:p w14:paraId="22035544">
            <w:pPr>
              <w:jc w:val="center"/>
              <w:rPr>
                <w:rFonts w:hint="eastAsia" w:ascii="宋体" w:hAnsi="宋体" w:eastAsia="宋体" w:cs="宋体"/>
                <w:strike/>
                <w:dstrike w:val="0"/>
                <w:color w:val="auto"/>
                <w:vertAlign w:val="baseline"/>
                <w:lang w:val="en-US" w:eastAsia="zh-CN"/>
              </w:rPr>
            </w:pPr>
          </w:p>
        </w:tc>
      </w:tr>
      <w:tr w14:paraId="1F3F1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4AF049D">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1304" w:type="dxa"/>
            <w:vAlign w:val="center"/>
          </w:tcPr>
          <w:p w14:paraId="09350876">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7370" w:type="dxa"/>
            <w:vAlign w:val="center"/>
          </w:tcPr>
          <w:p w14:paraId="681A3908">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1191" w:type="dxa"/>
            <w:vAlign w:val="center"/>
          </w:tcPr>
          <w:p w14:paraId="64216E63">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1049" w:type="dxa"/>
            <w:vAlign w:val="center"/>
          </w:tcPr>
          <w:p w14:paraId="03BE99FA">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09DB0698">
            <w:pPr>
              <w:jc w:val="center"/>
              <w:rPr>
                <w:rFonts w:hint="eastAsia" w:ascii="宋体" w:hAnsi="宋体" w:eastAsia="宋体" w:cs="宋体"/>
                <w:color w:val="auto"/>
                <w:vertAlign w:val="baseline"/>
                <w:lang w:val="en-US" w:eastAsia="zh-CN"/>
              </w:rPr>
            </w:pPr>
          </w:p>
        </w:tc>
      </w:tr>
      <w:tr w14:paraId="3AC29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EF11662">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13</w:t>
            </w:r>
          </w:p>
        </w:tc>
        <w:tc>
          <w:tcPr>
            <w:tcW w:w="1304" w:type="dxa"/>
            <w:vAlign w:val="center"/>
          </w:tcPr>
          <w:p w14:paraId="7C9D5F7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格栅灯</w:t>
            </w:r>
          </w:p>
        </w:tc>
        <w:tc>
          <w:tcPr>
            <w:tcW w:w="7370" w:type="dxa"/>
            <w:vAlign w:val="center"/>
          </w:tcPr>
          <w:p w14:paraId="64C16CAB">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1191" w:type="dxa"/>
            <w:vAlign w:val="center"/>
          </w:tcPr>
          <w:p w14:paraId="0BC4A581">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049" w:type="dxa"/>
            <w:vAlign w:val="center"/>
          </w:tcPr>
          <w:p w14:paraId="6285045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937" w:type="dxa"/>
            <w:vAlign w:val="center"/>
          </w:tcPr>
          <w:p w14:paraId="3935586D">
            <w:pPr>
              <w:jc w:val="center"/>
              <w:rPr>
                <w:rFonts w:hint="eastAsia" w:ascii="宋体" w:hAnsi="宋体" w:eastAsia="宋体" w:cs="宋体"/>
                <w:color w:val="auto"/>
                <w:vertAlign w:val="baseline"/>
                <w:lang w:val="en-US" w:eastAsia="zh-CN"/>
              </w:rPr>
            </w:pPr>
          </w:p>
        </w:tc>
      </w:tr>
      <w:tr w14:paraId="63015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26CBE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4</w:t>
            </w:r>
          </w:p>
        </w:tc>
        <w:tc>
          <w:tcPr>
            <w:tcW w:w="1304" w:type="dxa"/>
            <w:vAlign w:val="center"/>
          </w:tcPr>
          <w:p w14:paraId="15672C8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实木柜</w:t>
            </w:r>
          </w:p>
        </w:tc>
        <w:tc>
          <w:tcPr>
            <w:tcW w:w="7370" w:type="dxa"/>
            <w:vAlign w:val="center"/>
          </w:tcPr>
          <w:p w14:paraId="30CDB47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整体采用≥16mm厚实木多层免漆板，深度≥350mmmm，高度≥400mm，底部镂空可放置东西，表面可坐人。颜色可选,总体不变型、不脱榫、坚固耐用。</w:t>
            </w:r>
          </w:p>
        </w:tc>
        <w:tc>
          <w:tcPr>
            <w:tcW w:w="1191" w:type="dxa"/>
            <w:vAlign w:val="center"/>
          </w:tcPr>
          <w:p w14:paraId="57B811F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7.00 </w:t>
            </w:r>
          </w:p>
        </w:tc>
        <w:tc>
          <w:tcPr>
            <w:tcW w:w="1049" w:type="dxa"/>
            <w:vAlign w:val="center"/>
          </w:tcPr>
          <w:p w14:paraId="36DDC0E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937" w:type="dxa"/>
            <w:vAlign w:val="center"/>
          </w:tcPr>
          <w:p w14:paraId="30A95A45">
            <w:pPr>
              <w:jc w:val="center"/>
              <w:rPr>
                <w:rFonts w:hint="eastAsia" w:ascii="宋体" w:hAnsi="宋体" w:eastAsia="宋体" w:cs="宋体"/>
                <w:color w:val="auto"/>
                <w:vertAlign w:val="baseline"/>
                <w:lang w:val="en-US" w:eastAsia="zh-CN"/>
              </w:rPr>
            </w:pPr>
          </w:p>
        </w:tc>
      </w:tr>
      <w:tr w14:paraId="44E48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423B4E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5</w:t>
            </w:r>
          </w:p>
        </w:tc>
        <w:tc>
          <w:tcPr>
            <w:tcW w:w="1304" w:type="dxa"/>
            <w:vAlign w:val="center"/>
          </w:tcPr>
          <w:p w14:paraId="43B9307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展示墙</w:t>
            </w:r>
          </w:p>
        </w:tc>
        <w:tc>
          <w:tcPr>
            <w:tcW w:w="7370" w:type="dxa"/>
            <w:vAlign w:val="center"/>
          </w:tcPr>
          <w:p w14:paraId="3909D0A8">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多层实木框架，局部石膏板饰面，内部12mm聚酯纤维毛毡装饰。</w:t>
            </w:r>
          </w:p>
        </w:tc>
        <w:tc>
          <w:tcPr>
            <w:tcW w:w="1191" w:type="dxa"/>
            <w:vAlign w:val="center"/>
          </w:tcPr>
          <w:p w14:paraId="39DA2F7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14.50 </w:t>
            </w:r>
          </w:p>
        </w:tc>
        <w:tc>
          <w:tcPr>
            <w:tcW w:w="1049" w:type="dxa"/>
            <w:vAlign w:val="center"/>
          </w:tcPr>
          <w:p w14:paraId="20817BC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937" w:type="dxa"/>
            <w:vAlign w:val="center"/>
          </w:tcPr>
          <w:p w14:paraId="16972DA1">
            <w:pPr>
              <w:jc w:val="center"/>
              <w:rPr>
                <w:rFonts w:hint="eastAsia" w:ascii="宋体" w:hAnsi="宋体" w:eastAsia="宋体" w:cs="宋体"/>
                <w:color w:val="auto"/>
                <w:vertAlign w:val="baseline"/>
                <w:lang w:val="en-US" w:eastAsia="zh-CN"/>
              </w:rPr>
            </w:pPr>
          </w:p>
        </w:tc>
      </w:tr>
      <w:tr w14:paraId="66BC9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20BA814">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16</w:t>
            </w:r>
          </w:p>
        </w:tc>
        <w:tc>
          <w:tcPr>
            <w:tcW w:w="1304" w:type="dxa"/>
            <w:vAlign w:val="center"/>
          </w:tcPr>
          <w:p w14:paraId="33C571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装修集成、管理</w:t>
            </w:r>
          </w:p>
        </w:tc>
        <w:tc>
          <w:tcPr>
            <w:tcW w:w="7370" w:type="dxa"/>
            <w:vAlign w:val="center"/>
          </w:tcPr>
          <w:p w14:paraId="6F934FD0">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装修材料搬运、垃圾搬运、辅材附件、现场管理，原灯光拆除放置指定位置，综合布线等</w:t>
            </w:r>
            <w:r>
              <w:rPr>
                <w:rFonts w:hint="eastAsia" w:ascii="宋体" w:hAnsi="宋体" w:cs="宋体"/>
                <w:i w:val="0"/>
                <w:iCs w:val="0"/>
                <w:color w:val="000000"/>
                <w:kern w:val="0"/>
                <w:sz w:val="20"/>
                <w:szCs w:val="20"/>
                <w:u w:val="none"/>
                <w:lang w:val="en-US" w:eastAsia="zh-CN" w:bidi="ar"/>
              </w:rPr>
              <w:t>。</w:t>
            </w:r>
          </w:p>
        </w:tc>
        <w:tc>
          <w:tcPr>
            <w:tcW w:w="1191" w:type="dxa"/>
            <w:vAlign w:val="center"/>
          </w:tcPr>
          <w:p w14:paraId="0636B2A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 </w:t>
            </w:r>
          </w:p>
        </w:tc>
        <w:tc>
          <w:tcPr>
            <w:tcW w:w="1049" w:type="dxa"/>
            <w:vAlign w:val="center"/>
          </w:tcPr>
          <w:p w14:paraId="02D1CD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937" w:type="dxa"/>
            <w:vAlign w:val="center"/>
          </w:tcPr>
          <w:p w14:paraId="315C31F1">
            <w:pPr>
              <w:jc w:val="center"/>
              <w:rPr>
                <w:rFonts w:hint="eastAsia" w:ascii="宋体" w:hAnsi="宋体" w:eastAsia="宋体" w:cs="宋体"/>
                <w:color w:val="auto"/>
                <w:vertAlign w:val="baseline"/>
                <w:lang w:val="en-US" w:eastAsia="zh-CN"/>
              </w:rPr>
            </w:pPr>
          </w:p>
        </w:tc>
      </w:tr>
      <w:tr w14:paraId="1F316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C7579EE">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cs="宋体"/>
                <w:i w:val="0"/>
                <w:iCs w:val="0"/>
                <w:color w:val="000000"/>
                <w:kern w:val="0"/>
                <w:sz w:val="20"/>
                <w:szCs w:val="20"/>
                <w:u w:val="none"/>
                <w:lang w:val="en-US" w:eastAsia="zh-CN" w:bidi="ar"/>
              </w:rPr>
              <w:t>17</w:t>
            </w:r>
          </w:p>
        </w:tc>
        <w:tc>
          <w:tcPr>
            <w:tcW w:w="1304" w:type="dxa"/>
            <w:vAlign w:val="center"/>
          </w:tcPr>
          <w:p w14:paraId="3D02278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窗帘</w:t>
            </w:r>
          </w:p>
        </w:tc>
        <w:tc>
          <w:tcPr>
            <w:tcW w:w="7370" w:type="dxa"/>
            <w:vAlign w:val="center"/>
          </w:tcPr>
          <w:p w14:paraId="4332BF0B">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定制优质涤纶加厚遮阳文化氛围窗帘。</w:t>
            </w:r>
          </w:p>
        </w:tc>
        <w:tc>
          <w:tcPr>
            <w:tcW w:w="1191" w:type="dxa"/>
            <w:vAlign w:val="center"/>
          </w:tcPr>
          <w:p w14:paraId="769FB84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1049" w:type="dxa"/>
            <w:vAlign w:val="center"/>
          </w:tcPr>
          <w:p w14:paraId="29380F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米</w:t>
            </w:r>
          </w:p>
        </w:tc>
        <w:tc>
          <w:tcPr>
            <w:tcW w:w="2937" w:type="dxa"/>
            <w:vAlign w:val="center"/>
          </w:tcPr>
          <w:p w14:paraId="0CECF798">
            <w:pPr>
              <w:jc w:val="center"/>
              <w:rPr>
                <w:rFonts w:hint="eastAsia" w:ascii="宋体" w:hAnsi="宋体" w:eastAsia="宋体" w:cs="宋体"/>
                <w:color w:val="auto"/>
                <w:vertAlign w:val="baseline"/>
                <w:lang w:val="en-US" w:eastAsia="zh-CN"/>
              </w:rPr>
            </w:pPr>
          </w:p>
        </w:tc>
      </w:tr>
      <w:tr w14:paraId="153D2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18ED8E55">
            <w:pPr>
              <w:jc w:val="both"/>
              <w:rPr>
                <w:rFonts w:hint="eastAsia" w:ascii="宋体" w:hAnsi="宋体" w:eastAsia="宋体" w:cs="宋体"/>
                <w:color w:val="auto"/>
                <w:vertAlign w:val="baseline"/>
                <w:lang w:val="en-US" w:eastAsia="zh-CN"/>
              </w:rPr>
            </w:pPr>
            <w:r>
              <w:rPr>
                <w:rFonts w:hint="eastAsia" w:ascii="宋体" w:hAnsi="宋体" w:cs="宋体"/>
                <w:b/>
                <w:bCs/>
                <w:color w:val="auto"/>
                <w:sz w:val="30"/>
                <w:szCs w:val="30"/>
                <w:vertAlign w:val="baseline"/>
                <w:lang w:val="en-US" w:eastAsia="zh-CN"/>
              </w:rPr>
              <w:t>5.</w:t>
            </w:r>
            <w:r>
              <w:rPr>
                <w:rFonts w:hint="eastAsia" w:ascii="宋体" w:hAnsi="宋体" w:eastAsia="宋体" w:cs="宋体"/>
                <w:b/>
                <w:bCs/>
                <w:color w:val="auto"/>
                <w:sz w:val="30"/>
                <w:szCs w:val="30"/>
                <w:vertAlign w:val="baseline"/>
                <w:lang w:val="en-US" w:eastAsia="zh-CN"/>
              </w:rPr>
              <w:t>美术教室</w:t>
            </w:r>
            <w:r>
              <w:rPr>
                <w:rFonts w:hint="eastAsia" w:ascii="宋体" w:hAnsi="宋体" w:cs="宋体"/>
                <w:b/>
                <w:bCs/>
                <w:color w:val="auto"/>
                <w:sz w:val="30"/>
                <w:szCs w:val="30"/>
                <w:vertAlign w:val="baseline"/>
                <w:lang w:val="en-US" w:eastAsia="zh-CN"/>
              </w:rPr>
              <w:t>1</w:t>
            </w:r>
          </w:p>
        </w:tc>
      </w:tr>
      <w:tr w14:paraId="7C55F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B95314B">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304" w:type="dxa"/>
            <w:vAlign w:val="center"/>
          </w:tcPr>
          <w:p w14:paraId="2BFE1562">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7370" w:type="dxa"/>
            <w:vAlign w:val="center"/>
          </w:tcPr>
          <w:p w14:paraId="5E12AF72">
            <w:pPr>
              <w:keepNext w:val="0"/>
              <w:keepLines w:val="0"/>
              <w:widowControl/>
              <w:suppressLineNumbers w:val="0"/>
              <w:jc w:val="left"/>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2.台面：采用≥25mm三聚氰胺防潮双贴面板（基板为E1级实木多层板）；所有截面都采用进口自动封边机选用优质PVC封边，粘力强、密封性好、外形美观、经久耐用。组装接缝严密，连接牢固，无松动现象。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4.柜体：采用≥18mm厚优质三聚氰胺防潮双贴面板（基板为E1级实木多层板），板材所有截面厚度≥2.0mmPVC机器封边，粘力强、密封性好、外形美观、经久耐用。组装接缝严密，连接牢固，无松动现象。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2.五金配件：采用304不锈钢拉手、铰链、三节导轨等，所有五金配件全部经过防锈、防腐处理。</w:t>
            </w:r>
          </w:p>
        </w:tc>
        <w:tc>
          <w:tcPr>
            <w:tcW w:w="1191" w:type="dxa"/>
            <w:vAlign w:val="center"/>
          </w:tcPr>
          <w:p w14:paraId="7DA396D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2DDEDC75">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7E6E5C3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714375"/>
                  <wp:effectExtent l="0" t="0" r="9525" b="9525"/>
                  <wp:docPr id="342"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97" descr="IMG_256"/>
                          <pic:cNvPicPr>
                            <a:picLocks noChangeAspect="1"/>
                          </pic:cNvPicPr>
                        </pic:nvPicPr>
                        <pic:blipFill>
                          <a:blip r:embed="rId128"/>
                          <a:stretch>
                            <a:fillRect/>
                          </a:stretch>
                        </pic:blipFill>
                        <pic:spPr>
                          <a:xfrm>
                            <a:off x="0" y="0"/>
                            <a:ext cx="1266825" cy="714375"/>
                          </a:xfrm>
                          <a:prstGeom prst="rect">
                            <a:avLst/>
                          </a:prstGeom>
                          <a:noFill/>
                          <a:ln w="9525">
                            <a:noFill/>
                          </a:ln>
                        </pic:spPr>
                      </pic:pic>
                    </a:graphicData>
                  </a:graphic>
                </wp:inline>
              </w:drawing>
            </w:r>
          </w:p>
        </w:tc>
      </w:tr>
      <w:tr w14:paraId="5FA27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1C04A7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304" w:type="dxa"/>
            <w:vAlign w:val="center"/>
          </w:tcPr>
          <w:p w14:paraId="57C48C5E">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学生桌</w:t>
            </w:r>
          </w:p>
        </w:tc>
        <w:tc>
          <w:tcPr>
            <w:tcW w:w="7370" w:type="dxa"/>
            <w:vAlign w:val="center"/>
          </w:tcPr>
          <w:p w14:paraId="1216054C">
            <w:pPr>
              <w:keepNext w:val="0"/>
              <w:keepLines w:val="0"/>
              <w:widowControl/>
              <w:suppressLineNumbers w:val="0"/>
              <w:jc w:val="left"/>
              <w:textAlignment w:val="center"/>
              <w:rPr>
                <w:rFonts w:hint="default"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1、规格：≥1800*1000*720mm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2、结构：全木结构（卯榫方式连接）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(1)台面：采用≥18mm厚橡胶木指接板，四周围边整体可视厚度100mm，四角倒圆角，防止学生磕碰。表面环保清水油漆处理，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（2）桌脚：采用≥60*60mm橡胶木原木脚；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（3）工艺：边缘抛圆处理，外表面和内表面以及手指可触及的隐蔽处，均不得有锐利的棱角、毛刺及小五金部件露出的锐利尖锐；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（4）油漆： 环保水性漆，甲醛释放量等各项技术指标达到国际E1级环保标准</w:t>
            </w:r>
            <w:r>
              <w:rPr>
                <w:rFonts w:hint="eastAsia" w:ascii="宋体" w:hAnsi="宋体" w:cs="宋体"/>
                <w:i w:val="0"/>
                <w:iCs w:val="0"/>
                <w:color w:val="000000"/>
                <w:kern w:val="0"/>
                <w:sz w:val="20"/>
                <w:szCs w:val="20"/>
                <w:u w:val="none"/>
                <w:lang w:val="en-US" w:eastAsia="zh-CN" w:bidi="ar"/>
              </w:rPr>
              <w:t>.</w:t>
            </w:r>
          </w:p>
        </w:tc>
        <w:tc>
          <w:tcPr>
            <w:tcW w:w="1191" w:type="dxa"/>
            <w:vAlign w:val="center"/>
          </w:tcPr>
          <w:p w14:paraId="163B88C1">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8</w:t>
            </w:r>
          </w:p>
        </w:tc>
        <w:tc>
          <w:tcPr>
            <w:tcW w:w="1049" w:type="dxa"/>
            <w:vAlign w:val="center"/>
          </w:tcPr>
          <w:p w14:paraId="7CC31C49">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4A7DCB0E">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1266825" cy="828675"/>
                  <wp:effectExtent l="0" t="0" r="9525" b="9525"/>
                  <wp:docPr id="343" name="图片 9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8" descr="IMG_257"/>
                          <pic:cNvPicPr>
                            <a:picLocks noChangeAspect="1"/>
                          </pic:cNvPicPr>
                        </pic:nvPicPr>
                        <pic:blipFill>
                          <a:blip r:embed="rId35"/>
                          <a:stretch>
                            <a:fillRect/>
                          </a:stretch>
                        </pic:blipFill>
                        <pic:spPr>
                          <a:xfrm>
                            <a:off x="0" y="0"/>
                            <a:ext cx="1266825" cy="828675"/>
                          </a:xfrm>
                          <a:prstGeom prst="rect">
                            <a:avLst/>
                          </a:prstGeom>
                          <a:noFill/>
                          <a:ln w="9525">
                            <a:noFill/>
                          </a:ln>
                        </pic:spPr>
                      </pic:pic>
                    </a:graphicData>
                  </a:graphic>
                </wp:inline>
              </w:drawing>
            </w:r>
          </w:p>
        </w:tc>
      </w:tr>
      <w:tr w14:paraId="7B17E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0B3865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3</w:t>
            </w:r>
          </w:p>
        </w:tc>
        <w:tc>
          <w:tcPr>
            <w:tcW w:w="1304" w:type="dxa"/>
            <w:vAlign w:val="center"/>
          </w:tcPr>
          <w:p w14:paraId="241A533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学生凳</w:t>
            </w:r>
          </w:p>
        </w:tc>
        <w:tc>
          <w:tcPr>
            <w:tcW w:w="7370" w:type="dxa"/>
            <w:vAlign w:val="center"/>
          </w:tcPr>
          <w:p w14:paraId="19E1A3F5">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1.规格：≥320*320*420mm（卯榫方式连接）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2.台面：采用≥18mm厚橡胶木指接板，表面环保清水油漆处理。四角倒圆角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凳脚：采用不≥30*30mm实木脚，表面环保清水油漆处理。</w:t>
            </w:r>
          </w:p>
        </w:tc>
        <w:tc>
          <w:tcPr>
            <w:tcW w:w="1191" w:type="dxa"/>
            <w:vAlign w:val="center"/>
          </w:tcPr>
          <w:p w14:paraId="19E0C3FF">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48</w:t>
            </w:r>
          </w:p>
        </w:tc>
        <w:tc>
          <w:tcPr>
            <w:tcW w:w="1049" w:type="dxa"/>
            <w:vAlign w:val="center"/>
          </w:tcPr>
          <w:p w14:paraId="2DD7F03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3010ADC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0625" cy="1009650"/>
                  <wp:effectExtent l="0" t="0" r="9525" b="0"/>
                  <wp:docPr id="344" name="图片 9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99" descr="IMG_258"/>
                          <pic:cNvPicPr>
                            <a:picLocks noChangeAspect="1"/>
                          </pic:cNvPicPr>
                        </pic:nvPicPr>
                        <pic:blipFill>
                          <a:blip r:embed="rId129"/>
                          <a:stretch>
                            <a:fillRect/>
                          </a:stretch>
                        </pic:blipFill>
                        <pic:spPr>
                          <a:xfrm>
                            <a:off x="0" y="0"/>
                            <a:ext cx="1190625" cy="1009650"/>
                          </a:xfrm>
                          <a:prstGeom prst="rect">
                            <a:avLst/>
                          </a:prstGeom>
                          <a:noFill/>
                          <a:ln w="9525">
                            <a:noFill/>
                          </a:ln>
                        </pic:spPr>
                      </pic:pic>
                    </a:graphicData>
                  </a:graphic>
                </wp:inline>
              </w:drawing>
            </w:r>
          </w:p>
        </w:tc>
      </w:tr>
      <w:tr w14:paraId="0083E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844F6CD">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4</w:t>
            </w:r>
          </w:p>
        </w:tc>
        <w:tc>
          <w:tcPr>
            <w:tcW w:w="1304" w:type="dxa"/>
            <w:vAlign w:val="center"/>
          </w:tcPr>
          <w:p w14:paraId="33A31AE6">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水槽台</w:t>
            </w:r>
          </w:p>
        </w:tc>
        <w:tc>
          <w:tcPr>
            <w:tcW w:w="7370" w:type="dxa"/>
            <w:vAlign w:val="center"/>
          </w:tcPr>
          <w:p w14:paraId="6D0F6974">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1.规格尺寸：≥7500*600*850mm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2、台面：采用≥15mm厚优质人造石台面。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3、柜身：采用≥16mm优质实木多层免漆板制作。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水嘴：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1.采用304不锈钢材质单联造型水嘴，含全铜三角阀（两套）</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水槽：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1.不锈钢水槽：成品不锈钢水槽600*450*200±10mm；厚度≥1mm，304不锈钢拉丝工艺，含下水配件（两套）</w:t>
            </w:r>
          </w:p>
        </w:tc>
        <w:tc>
          <w:tcPr>
            <w:tcW w:w="1191" w:type="dxa"/>
            <w:vAlign w:val="center"/>
          </w:tcPr>
          <w:p w14:paraId="6B5F2E79">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2AD17D05">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44C8EA68">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18"/>
                <w:szCs w:val="18"/>
                <w:u w:val="none"/>
                <w:lang w:val="en-US" w:eastAsia="zh-CN" w:bidi="ar"/>
              </w:rPr>
              <w:drawing>
                <wp:inline distT="0" distB="0" distL="114300" distR="114300">
                  <wp:extent cx="1266825" cy="714375"/>
                  <wp:effectExtent l="0" t="0" r="9525" b="9525"/>
                  <wp:docPr id="345" name="图片 10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100" descr="IMG_259"/>
                          <pic:cNvPicPr>
                            <a:picLocks noChangeAspect="1"/>
                          </pic:cNvPicPr>
                        </pic:nvPicPr>
                        <pic:blipFill>
                          <a:blip r:embed="rId130"/>
                          <a:stretch>
                            <a:fillRect/>
                          </a:stretch>
                        </pic:blipFill>
                        <pic:spPr>
                          <a:xfrm>
                            <a:off x="0" y="0"/>
                            <a:ext cx="1266825" cy="714375"/>
                          </a:xfrm>
                          <a:prstGeom prst="rect">
                            <a:avLst/>
                          </a:prstGeom>
                          <a:noFill/>
                          <a:ln w="9525">
                            <a:noFill/>
                          </a:ln>
                        </pic:spPr>
                      </pic:pic>
                    </a:graphicData>
                  </a:graphic>
                </wp:inline>
              </w:drawing>
            </w:r>
          </w:p>
        </w:tc>
      </w:tr>
      <w:tr w14:paraId="2D4B9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14BAE99">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7</w:t>
            </w:r>
          </w:p>
        </w:tc>
        <w:tc>
          <w:tcPr>
            <w:tcW w:w="1304" w:type="dxa"/>
            <w:vAlign w:val="center"/>
          </w:tcPr>
          <w:p w14:paraId="73B11AB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写生画箱</w:t>
            </w:r>
          </w:p>
        </w:tc>
        <w:tc>
          <w:tcPr>
            <w:tcW w:w="7370" w:type="dxa"/>
            <w:vAlign w:val="center"/>
          </w:tcPr>
          <w:p w14:paraId="2FEF611D">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外形尺寸：330*460*80mm材质；实木多层板箱体：箱体分为上箱体和下箱体，可以打开闭合；下箱体内用木条分成四个格、箱内配有简易调画板1块，箱盖可支起作画架用；产品表面平整、无裂纹、无疖疤、无毛刺；支架为三条可便携式，铝合金腿可升降折叠。</w:t>
            </w:r>
          </w:p>
        </w:tc>
        <w:tc>
          <w:tcPr>
            <w:tcW w:w="1191" w:type="dxa"/>
            <w:vAlign w:val="center"/>
          </w:tcPr>
          <w:p w14:paraId="3613E54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1498DFE1">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6462FD04">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638175" cy="762000"/>
                  <wp:effectExtent l="0" t="0" r="9525" b="0"/>
                  <wp:docPr id="346" name="图片 10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01" descr="IMG_260"/>
                          <pic:cNvPicPr>
                            <a:picLocks noChangeAspect="1"/>
                          </pic:cNvPicPr>
                        </pic:nvPicPr>
                        <pic:blipFill>
                          <a:blip r:embed="rId131"/>
                          <a:stretch>
                            <a:fillRect/>
                          </a:stretch>
                        </pic:blipFill>
                        <pic:spPr>
                          <a:xfrm>
                            <a:off x="0" y="0"/>
                            <a:ext cx="638175" cy="762000"/>
                          </a:xfrm>
                          <a:prstGeom prst="rect">
                            <a:avLst/>
                          </a:prstGeom>
                          <a:noFill/>
                          <a:ln w="9525">
                            <a:noFill/>
                          </a:ln>
                        </pic:spPr>
                      </pic:pic>
                    </a:graphicData>
                  </a:graphic>
                </wp:inline>
              </w:drawing>
            </w:r>
          </w:p>
        </w:tc>
      </w:tr>
      <w:tr w14:paraId="68535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7F8B716">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8</w:t>
            </w:r>
          </w:p>
        </w:tc>
        <w:tc>
          <w:tcPr>
            <w:tcW w:w="1304" w:type="dxa"/>
            <w:vAlign w:val="center"/>
          </w:tcPr>
          <w:p w14:paraId="655A814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写生教具(1)</w:t>
            </w:r>
          </w:p>
        </w:tc>
        <w:tc>
          <w:tcPr>
            <w:tcW w:w="7370" w:type="dxa"/>
            <w:vAlign w:val="center"/>
          </w:tcPr>
          <w:p w14:paraId="29CE09A7">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石膏像包含：阿古力巴切面1件270*350mm， 腊空半面1件260*300mm， 太阳神头像1件200*170*380mm， 海盗头像1件500mm， 小大卫头像1件430*350*620mm，亚历山大1件330*410mm ，要求石膏像色泽洁白，轮廓清晰，形态逼真，表面无裂纹无沙眼。</w:t>
            </w:r>
          </w:p>
        </w:tc>
        <w:tc>
          <w:tcPr>
            <w:tcW w:w="1191" w:type="dxa"/>
            <w:vAlign w:val="center"/>
          </w:tcPr>
          <w:p w14:paraId="06A08166">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71D8C2E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3862362A">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838200"/>
                  <wp:effectExtent l="0" t="0" r="9525" b="0"/>
                  <wp:docPr id="347" name="图片 10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102" descr="IMG_261"/>
                          <pic:cNvPicPr>
                            <a:picLocks noChangeAspect="1"/>
                          </pic:cNvPicPr>
                        </pic:nvPicPr>
                        <pic:blipFill>
                          <a:blip r:embed="rId132"/>
                          <a:stretch>
                            <a:fillRect/>
                          </a:stretch>
                        </pic:blipFill>
                        <pic:spPr>
                          <a:xfrm>
                            <a:off x="0" y="0"/>
                            <a:ext cx="1266825" cy="838200"/>
                          </a:xfrm>
                          <a:prstGeom prst="rect">
                            <a:avLst/>
                          </a:prstGeom>
                          <a:noFill/>
                          <a:ln w="9525">
                            <a:noFill/>
                          </a:ln>
                        </pic:spPr>
                      </pic:pic>
                    </a:graphicData>
                  </a:graphic>
                </wp:inline>
              </w:drawing>
            </w:r>
          </w:p>
        </w:tc>
      </w:tr>
      <w:tr w14:paraId="1639C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740C82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9</w:t>
            </w:r>
          </w:p>
        </w:tc>
        <w:tc>
          <w:tcPr>
            <w:tcW w:w="1304" w:type="dxa"/>
            <w:vAlign w:val="center"/>
          </w:tcPr>
          <w:p w14:paraId="181457BB">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写生教具(2)</w:t>
            </w:r>
          </w:p>
        </w:tc>
        <w:tc>
          <w:tcPr>
            <w:tcW w:w="7370" w:type="dxa"/>
            <w:vAlign w:val="center"/>
          </w:tcPr>
          <w:p w14:paraId="328FCD41">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圆球、四棱锥、六棱锥、长方体、正方体、圆柱体、六棱柱、圆锥、方带方、方锥、方锥带方、圆锥带圆、多面体、八棱柱、圆切、十二面体，要求色泽洁白，轮廓清晰。</w:t>
            </w:r>
          </w:p>
        </w:tc>
        <w:tc>
          <w:tcPr>
            <w:tcW w:w="1191" w:type="dxa"/>
            <w:vAlign w:val="center"/>
          </w:tcPr>
          <w:p w14:paraId="7A56591A">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7D3EEF2F">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0C3B8CC6">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561975"/>
                  <wp:effectExtent l="0" t="0" r="9525" b="9525"/>
                  <wp:docPr id="348" name="图片 10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3" descr="IMG_262"/>
                          <pic:cNvPicPr>
                            <a:picLocks noChangeAspect="1"/>
                          </pic:cNvPicPr>
                        </pic:nvPicPr>
                        <pic:blipFill>
                          <a:blip r:embed="rId133"/>
                          <a:stretch>
                            <a:fillRect/>
                          </a:stretch>
                        </pic:blipFill>
                        <pic:spPr>
                          <a:xfrm>
                            <a:off x="0" y="0"/>
                            <a:ext cx="1266825" cy="561975"/>
                          </a:xfrm>
                          <a:prstGeom prst="rect">
                            <a:avLst/>
                          </a:prstGeom>
                          <a:noFill/>
                          <a:ln w="9525">
                            <a:noFill/>
                          </a:ln>
                        </pic:spPr>
                      </pic:pic>
                    </a:graphicData>
                  </a:graphic>
                </wp:inline>
              </w:drawing>
            </w:r>
          </w:p>
        </w:tc>
      </w:tr>
      <w:tr w14:paraId="78E0D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A66CF9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10</w:t>
            </w:r>
          </w:p>
        </w:tc>
        <w:tc>
          <w:tcPr>
            <w:tcW w:w="1304" w:type="dxa"/>
            <w:vAlign w:val="center"/>
          </w:tcPr>
          <w:p w14:paraId="44BE7D7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民间美术欣赏及写生样本</w:t>
            </w:r>
          </w:p>
        </w:tc>
        <w:tc>
          <w:tcPr>
            <w:tcW w:w="7370" w:type="dxa"/>
            <w:vAlign w:val="center"/>
          </w:tcPr>
          <w:p w14:paraId="18A8432A">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中国结、京剧脸谱、扎染、蜡染、皮影、年画、木板年画、剪纸、面具、泥塑、玩具、风车、纹样、风筝、唐三彩、彩陶器、瓷器</w:t>
            </w:r>
          </w:p>
        </w:tc>
        <w:tc>
          <w:tcPr>
            <w:tcW w:w="1191" w:type="dxa"/>
            <w:vAlign w:val="center"/>
          </w:tcPr>
          <w:p w14:paraId="7F4E5B79">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75B0157D">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52C50DBF">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1038225"/>
                  <wp:effectExtent l="0" t="0" r="9525" b="9525"/>
                  <wp:docPr id="349" name="图片 10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4" descr="IMG_263"/>
                          <pic:cNvPicPr>
                            <a:picLocks noChangeAspect="1"/>
                          </pic:cNvPicPr>
                        </pic:nvPicPr>
                        <pic:blipFill>
                          <a:blip r:embed="rId38"/>
                          <a:stretch>
                            <a:fillRect/>
                          </a:stretch>
                        </pic:blipFill>
                        <pic:spPr>
                          <a:xfrm>
                            <a:off x="0" y="0"/>
                            <a:ext cx="1266825" cy="1038225"/>
                          </a:xfrm>
                          <a:prstGeom prst="rect">
                            <a:avLst/>
                          </a:prstGeom>
                          <a:noFill/>
                          <a:ln w="9525">
                            <a:noFill/>
                          </a:ln>
                        </pic:spPr>
                      </pic:pic>
                    </a:graphicData>
                  </a:graphic>
                </wp:inline>
              </w:drawing>
            </w:r>
          </w:p>
        </w:tc>
      </w:tr>
      <w:tr w14:paraId="2A6EB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90403E2">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1</w:t>
            </w:r>
          </w:p>
        </w:tc>
        <w:tc>
          <w:tcPr>
            <w:tcW w:w="1304" w:type="dxa"/>
            <w:vAlign w:val="center"/>
          </w:tcPr>
          <w:p w14:paraId="61F3D2CA">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电路</w:t>
            </w:r>
          </w:p>
        </w:tc>
        <w:tc>
          <w:tcPr>
            <w:tcW w:w="7370" w:type="dxa"/>
            <w:vAlign w:val="center"/>
          </w:tcPr>
          <w:p w14:paraId="6B81CFCC">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根据吊顶造型及灯具，设备要求室内线路新排。灯光国标bv1.5双股线，电源国标bv2.5三股线。</w:t>
            </w:r>
          </w:p>
        </w:tc>
        <w:tc>
          <w:tcPr>
            <w:tcW w:w="1191" w:type="dxa"/>
            <w:vAlign w:val="center"/>
          </w:tcPr>
          <w:p w14:paraId="4E2D22A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90.00 </w:t>
            </w:r>
          </w:p>
        </w:tc>
        <w:tc>
          <w:tcPr>
            <w:tcW w:w="1049" w:type="dxa"/>
            <w:vAlign w:val="center"/>
          </w:tcPr>
          <w:p w14:paraId="7031396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M2</w:t>
            </w:r>
          </w:p>
        </w:tc>
        <w:tc>
          <w:tcPr>
            <w:tcW w:w="2937" w:type="dxa"/>
            <w:vAlign w:val="center"/>
          </w:tcPr>
          <w:p w14:paraId="3B3F5EE1">
            <w:pPr>
              <w:jc w:val="center"/>
              <w:rPr>
                <w:rFonts w:hint="eastAsia" w:ascii="宋体" w:hAnsi="宋体" w:eastAsia="宋体" w:cs="宋体"/>
                <w:color w:val="auto"/>
                <w:vertAlign w:val="baseline"/>
                <w:lang w:val="en-US" w:eastAsia="zh-CN"/>
              </w:rPr>
            </w:pPr>
          </w:p>
        </w:tc>
      </w:tr>
      <w:tr w14:paraId="0B4CD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4A9BBE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2</w:t>
            </w:r>
          </w:p>
        </w:tc>
        <w:tc>
          <w:tcPr>
            <w:tcW w:w="1304" w:type="dxa"/>
            <w:vAlign w:val="center"/>
          </w:tcPr>
          <w:p w14:paraId="414E8F5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顶面LED筒灯</w:t>
            </w:r>
          </w:p>
        </w:tc>
        <w:tc>
          <w:tcPr>
            <w:tcW w:w="7370" w:type="dxa"/>
            <w:vAlign w:val="center"/>
          </w:tcPr>
          <w:p w14:paraId="75707D53">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加厚铝材，明亮耐用，高亮LED芯片，输入电压：AC220V，光色色温：3000K-6000K。灯光线路采用黑色专用套管，整体灯光亮度符合国家中小学专用教室照明设计规范。</w:t>
            </w:r>
          </w:p>
        </w:tc>
        <w:tc>
          <w:tcPr>
            <w:tcW w:w="1191" w:type="dxa"/>
            <w:vAlign w:val="center"/>
          </w:tcPr>
          <w:p w14:paraId="1E1E5A0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20</w:t>
            </w:r>
          </w:p>
        </w:tc>
        <w:tc>
          <w:tcPr>
            <w:tcW w:w="1049" w:type="dxa"/>
            <w:vAlign w:val="center"/>
          </w:tcPr>
          <w:p w14:paraId="33650E0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盏</w:t>
            </w:r>
          </w:p>
        </w:tc>
        <w:tc>
          <w:tcPr>
            <w:tcW w:w="2937" w:type="dxa"/>
            <w:vAlign w:val="center"/>
          </w:tcPr>
          <w:p w14:paraId="0736165C">
            <w:pPr>
              <w:jc w:val="center"/>
              <w:rPr>
                <w:rFonts w:hint="eastAsia" w:ascii="宋体" w:hAnsi="宋体" w:eastAsia="宋体" w:cs="宋体"/>
                <w:color w:val="auto"/>
                <w:vertAlign w:val="baseline"/>
                <w:lang w:val="en-US" w:eastAsia="zh-CN"/>
              </w:rPr>
            </w:pPr>
          </w:p>
        </w:tc>
      </w:tr>
      <w:tr w14:paraId="3552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178C7EB">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3</w:t>
            </w:r>
          </w:p>
        </w:tc>
        <w:tc>
          <w:tcPr>
            <w:tcW w:w="1304" w:type="dxa"/>
            <w:vAlign w:val="center"/>
          </w:tcPr>
          <w:p w14:paraId="000E7A62">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顶面LED条形灯</w:t>
            </w:r>
          </w:p>
        </w:tc>
        <w:tc>
          <w:tcPr>
            <w:tcW w:w="7370" w:type="dxa"/>
            <w:vAlign w:val="center"/>
          </w:tcPr>
          <w:p w14:paraId="0D6F5C77">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1.LED环保条形灯，LED灯具尺寸：≥1200mm*100mm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2.外壳材质：1.4mm黑色铝材灯框，亚克力白色灯罩；</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3.驱动器：内置IC恒流驱动电源，有效降低电流噪声 ；色温：6000K</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4.光源功率：≥18W ；光通量：≥1190Lm ；显色指数：≥80；灯光线路采用黑色专用套管，整体灯光亮度符合国家中小学专用教室照明设计规范。</w:t>
            </w:r>
          </w:p>
        </w:tc>
        <w:tc>
          <w:tcPr>
            <w:tcW w:w="1191" w:type="dxa"/>
            <w:vAlign w:val="center"/>
          </w:tcPr>
          <w:p w14:paraId="2ED4AA0A">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12</w:t>
            </w:r>
          </w:p>
        </w:tc>
        <w:tc>
          <w:tcPr>
            <w:tcW w:w="1049" w:type="dxa"/>
            <w:vAlign w:val="center"/>
          </w:tcPr>
          <w:p w14:paraId="7134425C">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盏</w:t>
            </w:r>
          </w:p>
        </w:tc>
        <w:tc>
          <w:tcPr>
            <w:tcW w:w="2937" w:type="dxa"/>
            <w:vAlign w:val="center"/>
          </w:tcPr>
          <w:p w14:paraId="1D92BCB2">
            <w:pPr>
              <w:jc w:val="center"/>
              <w:rPr>
                <w:rFonts w:hint="eastAsia" w:ascii="宋体" w:hAnsi="宋体" w:eastAsia="宋体" w:cs="宋体"/>
                <w:color w:val="auto"/>
                <w:vertAlign w:val="baseline"/>
                <w:lang w:val="en-US" w:eastAsia="zh-CN"/>
              </w:rPr>
            </w:pPr>
          </w:p>
        </w:tc>
      </w:tr>
      <w:tr w14:paraId="59223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05C0401">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4</w:t>
            </w:r>
          </w:p>
        </w:tc>
        <w:tc>
          <w:tcPr>
            <w:tcW w:w="1304" w:type="dxa"/>
            <w:vAlign w:val="center"/>
          </w:tcPr>
          <w:p w14:paraId="07906FED">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展示墙</w:t>
            </w:r>
          </w:p>
        </w:tc>
        <w:tc>
          <w:tcPr>
            <w:tcW w:w="7370" w:type="dxa"/>
            <w:vAlign w:val="center"/>
          </w:tcPr>
          <w:p w14:paraId="19038BC9">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多层实木框架，局部石膏板饰面，内部≥12mm聚酯纤维毛毡装饰。</w:t>
            </w:r>
          </w:p>
        </w:tc>
        <w:tc>
          <w:tcPr>
            <w:tcW w:w="1191" w:type="dxa"/>
            <w:vAlign w:val="center"/>
          </w:tcPr>
          <w:p w14:paraId="35DEB09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14.50 </w:t>
            </w:r>
          </w:p>
        </w:tc>
        <w:tc>
          <w:tcPr>
            <w:tcW w:w="1049" w:type="dxa"/>
            <w:vAlign w:val="center"/>
          </w:tcPr>
          <w:p w14:paraId="36A44178">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M2</w:t>
            </w:r>
          </w:p>
        </w:tc>
        <w:tc>
          <w:tcPr>
            <w:tcW w:w="2937" w:type="dxa"/>
            <w:vAlign w:val="center"/>
          </w:tcPr>
          <w:p w14:paraId="0163EC13">
            <w:pPr>
              <w:jc w:val="center"/>
              <w:rPr>
                <w:rFonts w:hint="eastAsia" w:ascii="宋体" w:hAnsi="宋体" w:eastAsia="宋体" w:cs="宋体"/>
                <w:color w:val="auto"/>
                <w:vertAlign w:val="baseline"/>
                <w:lang w:val="en-US" w:eastAsia="zh-CN"/>
              </w:rPr>
            </w:pPr>
          </w:p>
        </w:tc>
      </w:tr>
      <w:tr w14:paraId="110E7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AF0699D">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5</w:t>
            </w:r>
          </w:p>
        </w:tc>
        <w:tc>
          <w:tcPr>
            <w:tcW w:w="1304" w:type="dxa"/>
            <w:vAlign w:val="center"/>
          </w:tcPr>
          <w:p w14:paraId="2EC1C831">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装修集成、管理</w:t>
            </w:r>
          </w:p>
        </w:tc>
        <w:tc>
          <w:tcPr>
            <w:tcW w:w="7370" w:type="dxa"/>
            <w:vAlign w:val="center"/>
          </w:tcPr>
          <w:p w14:paraId="01D9DE65">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装修材料搬运、垃圾搬运、辅材附件、现场管理，原灯光拆除放置指定位置，综合布线等</w:t>
            </w:r>
          </w:p>
        </w:tc>
        <w:tc>
          <w:tcPr>
            <w:tcW w:w="1191" w:type="dxa"/>
            <w:vAlign w:val="center"/>
          </w:tcPr>
          <w:p w14:paraId="0DE00D90">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 xml:space="preserve">1.00 </w:t>
            </w:r>
          </w:p>
        </w:tc>
        <w:tc>
          <w:tcPr>
            <w:tcW w:w="1049" w:type="dxa"/>
            <w:vAlign w:val="center"/>
          </w:tcPr>
          <w:p w14:paraId="16BF85EB">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项</w:t>
            </w:r>
          </w:p>
        </w:tc>
        <w:tc>
          <w:tcPr>
            <w:tcW w:w="2937" w:type="dxa"/>
            <w:vAlign w:val="center"/>
          </w:tcPr>
          <w:p w14:paraId="185B62AA">
            <w:pPr>
              <w:jc w:val="center"/>
              <w:rPr>
                <w:rFonts w:hint="eastAsia" w:ascii="宋体" w:hAnsi="宋体" w:eastAsia="宋体" w:cs="宋体"/>
                <w:color w:val="auto"/>
                <w:vertAlign w:val="baseline"/>
                <w:lang w:val="en-US" w:eastAsia="zh-CN"/>
              </w:rPr>
            </w:pPr>
          </w:p>
        </w:tc>
      </w:tr>
      <w:tr w14:paraId="15133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2FE8D94">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6</w:t>
            </w:r>
          </w:p>
        </w:tc>
        <w:tc>
          <w:tcPr>
            <w:tcW w:w="1304" w:type="dxa"/>
            <w:vAlign w:val="center"/>
          </w:tcPr>
          <w:p w14:paraId="62505B1E">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窗帘</w:t>
            </w:r>
          </w:p>
        </w:tc>
        <w:tc>
          <w:tcPr>
            <w:tcW w:w="7370" w:type="dxa"/>
            <w:vAlign w:val="center"/>
          </w:tcPr>
          <w:p w14:paraId="0C6936BC">
            <w:pPr>
              <w:keepNext w:val="0"/>
              <w:keepLines w:val="0"/>
              <w:widowControl/>
              <w:suppressLineNumbers w:val="0"/>
              <w:jc w:val="left"/>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定制优质涤纶加厚遮阳文化氛围窗帘。</w:t>
            </w:r>
          </w:p>
        </w:tc>
        <w:tc>
          <w:tcPr>
            <w:tcW w:w="1191" w:type="dxa"/>
            <w:vAlign w:val="center"/>
          </w:tcPr>
          <w:p w14:paraId="77D0D625">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10</w:t>
            </w:r>
          </w:p>
        </w:tc>
        <w:tc>
          <w:tcPr>
            <w:tcW w:w="1049" w:type="dxa"/>
            <w:vAlign w:val="center"/>
          </w:tcPr>
          <w:p w14:paraId="26D11163">
            <w:pPr>
              <w:keepNext w:val="0"/>
              <w:keepLines w:val="0"/>
              <w:widowControl/>
              <w:suppressLineNumbers w:val="0"/>
              <w:jc w:val="center"/>
              <w:textAlignment w:val="center"/>
              <w:rPr>
                <w:rFonts w:hint="eastAsia" w:ascii="宋体" w:hAnsi="宋体" w:eastAsia="宋体" w:cs="宋体"/>
                <w:color w:val="auto"/>
                <w:sz w:val="20"/>
                <w:szCs w:val="20"/>
                <w:vertAlign w:val="baseline"/>
                <w:lang w:val="en-US" w:eastAsia="zh-CN"/>
              </w:rPr>
            </w:pPr>
            <w:r>
              <w:rPr>
                <w:rFonts w:hint="eastAsia" w:ascii="宋体" w:hAnsi="宋体" w:eastAsia="宋体" w:cs="宋体"/>
                <w:i w:val="0"/>
                <w:iCs w:val="0"/>
                <w:color w:val="000000"/>
                <w:kern w:val="0"/>
                <w:sz w:val="20"/>
                <w:szCs w:val="20"/>
                <w:u w:val="none"/>
                <w:lang w:val="en-US" w:eastAsia="zh-CN" w:bidi="ar"/>
              </w:rPr>
              <w:t>米</w:t>
            </w:r>
          </w:p>
        </w:tc>
        <w:tc>
          <w:tcPr>
            <w:tcW w:w="2937" w:type="dxa"/>
            <w:vAlign w:val="center"/>
          </w:tcPr>
          <w:p w14:paraId="1C687A9D">
            <w:pPr>
              <w:jc w:val="center"/>
              <w:rPr>
                <w:rFonts w:hint="eastAsia" w:ascii="宋体" w:hAnsi="宋体" w:eastAsia="宋体" w:cs="宋体"/>
                <w:color w:val="auto"/>
                <w:vertAlign w:val="baseline"/>
                <w:lang w:val="en-US" w:eastAsia="zh-CN"/>
              </w:rPr>
            </w:pPr>
          </w:p>
        </w:tc>
      </w:tr>
      <w:tr w14:paraId="068FC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722777BF">
            <w:pPr>
              <w:jc w:val="left"/>
              <w:rPr>
                <w:rFonts w:hint="default" w:ascii="宋体" w:hAnsi="宋体" w:eastAsia="宋体" w:cs="宋体"/>
                <w:color w:val="auto"/>
                <w:vertAlign w:val="baseline"/>
                <w:lang w:val="en-US" w:eastAsia="zh-CN"/>
              </w:rPr>
            </w:pPr>
            <w:r>
              <w:rPr>
                <w:rFonts w:hint="eastAsia" w:ascii="宋体" w:hAnsi="宋体" w:cs="宋体"/>
                <w:b/>
                <w:bCs/>
                <w:color w:val="auto"/>
                <w:sz w:val="30"/>
                <w:szCs w:val="30"/>
                <w:vertAlign w:val="baseline"/>
                <w:lang w:val="en-US" w:eastAsia="zh-CN"/>
              </w:rPr>
              <w:t>6.</w:t>
            </w:r>
            <w:r>
              <w:rPr>
                <w:rFonts w:hint="eastAsia" w:ascii="宋体" w:hAnsi="宋体" w:eastAsia="宋体" w:cs="宋体"/>
                <w:b/>
                <w:bCs/>
                <w:color w:val="auto"/>
                <w:sz w:val="30"/>
                <w:szCs w:val="30"/>
                <w:vertAlign w:val="baseline"/>
                <w:lang w:val="en-US" w:eastAsia="zh-CN"/>
              </w:rPr>
              <w:t>美术教室</w:t>
            </w:r>
            <w:r>
              <w:rPr>
                <w:rFonts w:hint="eastAsia" w:ascii="宋体" w:hAnsi="宋体" w:cs="宋体"/>
                <w:b/>
                <w:bCs/>
                <w:color w:val="auto"/>
                <w:sz w:val="30"/>
                <w:szCs w:val="30"/>
                <w:vertAlign w:val="baseline"/>
                <w:lang w:val="en-US" w:eastAsia="zh-CN"/>
              </w:rPr>
              <w:t>2</w:t>
            </w:r>
          </w:p>
        </w:tc>
      </w:tr>
      <w:tr w14:paraId="55CD2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82D6E84">
            <w:pPr>
              <w:keepNext w:val="0"/>
              <w:keepLines w:val="0"/>
              <w:widowControl/>
              <w:suppressLineNumbers w:val="0"/>
              <w:jc w:val="center"/>
              <w:textAlignment w:val="center"/>
              <w:rPr>
                <w:rFonts w:hint="eastAsia"/>
                <w:color w:val="000000" w:themeColor="text1"/>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304" w:type="dxa"/>
            <w:vAlign w:val="center"/>
          </w:tcPr>
          <w:p w14:paraId="0BF9110C">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7370" w:type="dxa"/>
            <w:vAlign w:val="center"/>
          </w:tcPr>
          <w:p w14:paraId="61698C9E">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2.台面：采用≥25mm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三聚氰胺防潮双贴面板（基板为E1级实木多层板）；所有截面都采用进口自动封边机选用优质PVC封边，粘力强、密封性好、外形美观、经久耐用。组装接缝严密，连接牢固，无松动现象。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4.柜体：采用≥18mm厚优质三聚氰胺防潮双贴面板（基板为E1级实木多层板），板材所有截面厚度≥2.0mmPVC机器封边，粘力强、密封性好、外形美观、经久耐用。组装接缝严密，连接牢固，无松动现象。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2.五金配件：采用304不锈钢拉手、铰链、三节导轨等，所有五金配件全部经过防锈、防腐处理。</w:t>
            </w:r>
          </w:p>
        </w:tc>
        <w:tc>
          <w:tcPr>
            <w:tcW w:w="1191" w:type="dxa"/>
            <w:vAlign w:val="center"/>
          </w:tcPr>
          <w:p w14:paraId="38466EA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67718E3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27CD23D9">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714375"/>
                  <wp:effectExtent l="0" t="0" r="9525" b="9525"/>
                  <wp:docPr id="439"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97" descr="IMG_256"/>
                          <pic:cNvPicPr>
                            <a:picLocks noChangeAspect="1"/>
                          </pic:cNvPicPr>
                        </pic:nvPicPr>
                        <pic:blipFill>
                          <a:blip r:embed="rId128"/>
                          <a:stretch>
                            <a:fillRect/>
                          </a:stretch>
                        </pic:blipFill>
                        <pic:spPr>
                          <a:xfrm>
                            <a:off x="0" y="0"/>
                            <a:ext cx="1266825" cy="714375"/>
                          </a:xfrm>
                          <a:prstGeom prst="rect">
                            <a:avLst/>
                          </a:prstGeom>
                          <a:noFill/>
                          <a:ln w="9525">
                            <a:noFill/>
                          </a:ln>
                        </pic:spPr>
                      </pic:pic>
                    </a:graphicData>
                  </a:graphic>
                </wp:inline>
              </w:drawing>
            </w:r>
          </w:p>
        </w:tc>
      </w:tr>
      <w:tr w14:paraId="75A4D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81EEA83">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2</w:t>
            </w:r>
          </w:p>
        </w:tc>
        <w:tc>
          <w:tcPr>
            <w:tcW w:w="1304" w:type="dxa"/>
            <w:vAlign w:val="center"/>
          </w:tcPr>
          <w:p w14:paraId="000FC07B">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学生桌</w:t>
            </w:r>
          </w:p>
        </w:tc>
        <w:tc>
          <w:tcPr>
            <w:tcW w:w="7370" w:type="dxa"/>
            <w:vAlign w:val="center"/>
          </w:tcPr>
          <w:p w14:paraId="18619B0F">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1、规格：≥1800*1000*720mm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2、结构：全木结构（卯榫方式连接）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3、材质：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 xml:space="preserve"> (1)台面：采用≥18mm厚橡胶木指接板，四周围边整体可视厚度≥100mm，四角倒圆角，防止学生磕碰。表面环保清水油漆处理，</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（2）桌脚：采用≥60*60mm橡胶木原木脚；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（3）工艺：边缘抛圆处理，外表面和内表面以及手指可触及的隐蔽处，均不得有锐利的棱角、毛刺及小五金部件露出的锐利尖锐；</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（4）油漆： 环保水性漆，甲醛释放量等各项技术指标达到国际E1级环保标准。</w:t>
            </w:r>
          </w:p>
        </w:tc>
        <w:tc>
          <w:tcPr>
            <w:tcW w:w="1191" w:type="dxa"/>
            <w:vAlign w:val="center"/>
          </w:tcPr>
          <w:p w14:paraId="792E3DFE">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1049" w:type="dxa"/>
            <w:vAlign w:val="center"/>
          </w:tcPr>
          <w:p w14:paraId="571FE19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937" w:type="dxa"/>
            <w:vAlign w:val="center"/>
          </w:tcPr>
          <w:p w14:paraId="1997988D">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1266825" cy="828675"/>
                  <wp:effectExtent l="0" t="0" r="9525" b="9525"/>
                  <wp:docPr id="440" name="图片 9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98" descr="IMG_257"/>
                          <pic:cNvPicPr>
                            <a:picLocks noChangeAspect="1"/>
                          </pic:cNvPicPr>
                        </pic:nvPicPr>
                        <pic:blipFill>
                          <a:blip r:embed="rId35"/>
                          <a:stretch>
                            <a:fillRect/>
                          </a:stretch>
                        </pic:blipFill>
                        <pic:spPr>
                          <a:xfrm>
                            <a:off x="0" y="0"/>
                            <a:ext cx="1266825" cy="828675"/>
                          </a:xfrm>
                          <a:prstGeom prst="rect">
                            <a:avLst/>
                          </a:prstGeom>
                          <a:noFill/>
                          <a:ln w="9525">
                            <a:noFill/>
                          </a:ln>
                        </pic:spPr>
                      </pic:pic>
                    </a:graphicData>
                  </a:graphic>
                </wp:inline>
              </w:drawing>
            </w:r>
          </w:p>
        </w:tc>
      </w:tr>
      <w:tr w14:paraId="7BB69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7759B49">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3</w:t>
            </w:r>
          </w:p>
        </w:tc>
        <w:tc>
          <w:tcPr>
            <w:tcW w:w="1304" w:type="dxa"/>
            <w:vAlign w:val="center"/>
          </w:tcPr>
          <w:p w14:paraId="777FF5C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学生凳</w:t>
            </w:r>
          </w:p>
        </w:tc>
        <w:tc>
          <w:tcPr>
            <w:tcW w:w="7370" w:type="dxa"/>
            <w:vAlign w:val="center"/>
          </w:tcPr>
          <w:p w14:paraId="29935F0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1.规格：≥320*320*420mm（卯榫方式连接）</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2.台面：采用≥18mm厚橡胶木指接板，表面环保清水油漆处理。四角倒圆角</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凳脚：采用不≥30*30mm实木脚，表面环保清水油漆处理。</w:t>
            </w:r>
          </w:p>
        </w:tc>
        <w:tc>
          <w:tcPr>
            <w:tcW w:w="1191" w:type="dxa"/>
            <w:vAlign w:val="center"/>
          </w:tcPr>
          <w:p w14:paraId="5887061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1049" w:type="dxa"/>
            <w:vAlign w:val="center"/>
          </w:tcPr>
          <w:p w14:paraId="0356E9D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937" w:type="dxa"/>
            <w:vAlign w:val="center"/>
          </w:tcPr>
          <w:p w14:paraId="6CFFF94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0625" cy="1009650"/>
                  <wp:effectExtent l="0" t="0" r="9525" b="0"/>
                  <wp:docPr id="441" name="图片 9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99" descr="IMG_258"/>
                          <pic:cNvPicPr>
                            <a:picLocks noChangeAspect="1"/>
                          </pic:cNvPicPr>
                        </pic:nvPicPr>
                        <pic:blipFill>
                          <a:blip r:embed="rId129"/>
                          <a:stretch>
                            <a:fillRect/>
                          </a:stretch>
                        </pic:blipFill>
                        <pic:spPr>
                          <a:xfrm>
                            <a:off x="0" y="0"/>
                            <a:ext cx="1190625" cy="1009650"/>
                          </a:xfrm>
                          <a:prstGeom prst="rect">
                            <a:avLst/>
                          </a:prstGeom>
                          <a:noFill/>
                          <a:ln w="9525">
                            <a:noFill/>
                          </a:ln>
                        </pic:spPr>
                      </pic:pic>
                    </a:graphicData>
                  </a:graphic>
                </wp:inline>
              </w:drawing>
            </w:r>
          </w:p>
        </w:tc>
      </w:tr>
      <w:tr w14:paraId="2E343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B39EDDE">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4</w:t>
            </w:r>
          </w:p>
        </w:tc>
        <w:tc>
          <w:tcPr>
            <w:tcW w:w="1304" w:type="dxa"/>
            <w:vAlign w:val="center"/>
          </w:tcPr>
          <w:p w14:paraId="50A1690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水槽台</w:t>
            </w:r>
          </w:p>
        </w:tc>
        <w:tc>
          <w:tcPr>
            <w:tcW w:w="7370" w:type="dxa"/>
            <w:vAlign w:val="center"/>
          </w:tcPr>
          <w:p w14:paraId="6CC29C37">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1.规格尺寸：≥7500*600*850mm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2、台面：采用≥15mm厚优质人造石台面。</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3、柜身：采用≥16mm优质实木多层免漆板制作。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水嘴：</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1.采用304不锈钢材质单联造型水嘴，含全铜三角阀（两套）</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水槽：</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1.不锈钢水槽：成品不锈钢水槽600*450*200±10mm；，厚度≥1mm，304不锈钢拉丝工艺，含下水配件（两套）</w:t>
            </w:r>
          </w:p>
        </w:tc>
        <w:tc>
          <w:tcPr>
            <w:tcW w:w="1191" w:type="dxa"/>
            <w:vAlign w:val="center"/>
          </w:tcPr>
          <w:p w14:paraId="4010C5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1049" w:type="dxa"/>
            <w:vAlign w:val="center"/>
          </w:tcPr>
          <w:p w14:paraId="67F42C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组</w:t>
            </w:r>
          </w:p>
        </w:tc>
        <w:tc>
          <w:tcPr>
            <w:tcW w:w="2937" w:type="dxa"/>
            <w:vAlign w:val="center"/>
          </w:tcPr>
          <w:p w14:paraId="7886735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楷体" w:hAnsi="楷体" w:eastAsia="楷体" w:cs="楷体"/>
                <w:i w:val="0"/>
                <w:iCs w:val="0"/>
                <w:color w:val="000000"/>
                <w:kern w:val="0"/>
                <w:sz w:val="18"/>
                <w:szCs w:val="18"/>
                <w:u w:val="none"/>
                <w:lang w:val="en-US" w:eastAsia="zh-CN" w:bidi="ar"/>
              </w:rPr>
              <w:drawing>
                <wp:inline distT="0" distB="0" distL="114300" distR="114300">
                  <wp:extent cx="1266825" cy="714375"/>
                  <wp:effectExtent l="0" t="0" r="9525" b="9525"/>
                  <wp:docPr id="442" name="图片 10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00" descr="IMG_259"/>
                          <pic:cNvPicPr>
                            <a:picLocks noChangeAspect="1"/>
                          </pic:cNvPicPr>
                        </pic:nvPicPr>
                        <pic:blipFill>
                          <a:blip r:embed="rId130"/>
                          <a:stretch>
                            <a:fillRect/>
                          </a:stretch>
                        </pic:blipFill>
                        <pic:spPr>
                          <a:xfrm>
                            <a:off x="0" y="0"/>
                            <a:ext cx="1266825" cy="714375"/>
                          </a:xfrm>
                          <a:prstGeom prst="rect">
                            <a:avLst/>
                          </a:prstGeom>
                          <a:noFill/>
                          <a:ln w="9525">
                            <a:noFill/>
                          </a:ln>
                        </pic:spPr>
                      </pic:pic>
                    </a:graphicData>
                  </a:graphic>
                </wp:inline>
              </w:drawing>
            </w:r>
          </w:p>
        </w:tc>
      </w:tr>
      <w:tr w14:paraId="649CC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B5AC17C">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7</w:t>
            </w:r>
          </w:p>
        </w:tc>
        <w:tc>
          <w:tcPr>
            <w:tcW w:w="1304" w:type="dxa"/>
            <w:vAlign w:val="center"/>
          </w:tcPr>
          <w:p w14:paraId="00F305E9">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写生画箱</w:t>
            </w:r>
          </w:p>
        </w:tc>
        <w:tc>
          <w:tcPr>
            <w:tcW w:w="7370" w:type="dxa"/>
            <w:vAlign w:val="center"/>
          </w:tcPr>
          <w:p w14:paraId="7C33D00F">
            <w:pPr>
              <w:keepNext w:val="0"/>
              <w:keepLines w:val="0"/>
              <w:widowControl/>
              <w:suppressLineNumbers w:val="0"/>
              <w:jc w:val="left"/>
              <w:textAlignment w:val="center"/>
              <w:rPr>
                <w:rFonts w:hint="eastAsia" w:ascii="宋体" w:hAnsi="宋体" w:eastAsia="宋体" w:cs="宋体"/>
                <w:i w:val="0"/>
                <w:iCs w:val="0"/>
                <w:color w:val="000000" w:themeColor="text1"/>
                <w:kern w:val="0"/>
                <w:sz w:val="20"/>
                <w:szCs w:val="20"/>
                <w:u w:val="singl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外形尺寸：330*460*80mm材质；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E1级</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实木多层板箱体：箱体分为上箱体和下箱体，可以打开闭合；下箱体内用木条分成四个格、箱内配有简易调画板1块，箱盖可支起作画架用；产品表面平整、无裂纹、无疖疤、无毛刺；支架为三条可便携式，铝合金腿可升降折叠。</w:t>
            </w:r>
          </w:p>
        </w:tc>
        <w:tc>
          <w:tcPr>
            <w:tcW w:w="1191" w:type="dxa"/>
            <w:vAlign w:val="center"/>
          </w:tcPr>
          <w:p w14:paraId="2FAEAEE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2AB2C68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2D17DE00">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638175" cy="762000"/>
                  <wp:effectExtent l="0" t="0" r="9525" b="0"/>
                  <wp:docPr id="443" name="图片 10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01" descr="IMG_260"/>
                          <pic:cNvPicPr>
                            <a:picLocks noChangeAspect="1"/>
                          </pic:cNvPicPr>
                        </pic:nvPicPr>
                        <pic:blipFill>
                          <a:blip r:embed="rId131"/>
                          <a:stretch>
                            <a:fillRect/>
                          </a:stretch>
                        </pic:blipFill>
                        <pic:spPr>
                          <a:xfrm>
                            <a:off x="0" y="0"/>
                            <a:ext cx="638175" cy="762000"/>
                          </a:xfrm>
                          <a:prstGeom prst="rect">
                            <a:avLst/>
                          </a:prstGeom>
                          <a:noFill/>
                          <a:ln w="9525">
                            <a:noFill/>
                          </a:ln>
                        </pic:spPr>
                      </pic:pic>
                    </a:graphicData>
                  </a:graphic>
                </wp:inline>
              </w:drawing>
            </w:r>
          </w:p>
        </w:tc>
      </w:tr>
      <w:tr w14:paraId="5FBF2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7F9B8E7">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8</w:t>
            </w:r>
          </w:p>
        </w:tc>
        <w:tc>
          <w:tcPr>
            <w:tcW w:w="1304" w:type="dxa"/>
            <w:vAlign w:val="center"/>
          </w:tcPr>
          <w:p w14:paraId="5EE4292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写生教具(1)</w:t>
            </w:r>
          </w:p>
        </w:tc>
        <w:tc>
          <w:tcPr>
            <w:tcW w:w="7370" w:type="dxa"/>
            <w:vAlign w:val="center"/>
          </w:tcPr>
          <w:p w14:paraId="73C2573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石膏像包含：阿古力巴切面1件270*350mm， 腊空半面1件260*300mm， 太阳神头像1件200*170*380mm， 海盗头像1件500mm， 小大卫头像1件430*350*620mm，亚历山大1件330*410mm ，要求石膏像色泽洁白，轮廓清晰，形态逼真，表面无裂纹无沙眼。</w:t>
            </w:r>
          </w:p>
        </w:tc>
        <w:tc>
          <w:tcPr>
            <w:tcW w:w="1191" w:type="dxa"/>
            <w:vAlign w:val="center"/>
          </w:tcPr>
          <w:p w14:paraId="72263D28">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37AC160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568836B8">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838200"/>
                  <wp:effectExtent l="0" t="0" r="9525" b="0"/>
                  <wp:docPr id="444" name="图片 10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02" descr="IMG_261"/>
                          <pic:cNvPicPr>
                            <a:picLocks noChangeAspect="1"/>
                          </pic:cNvPicPr>
                        </pic:nvPicPr>
                        <pic:blipFill>
                          <a:blip r:embed="rId132"/>
                          <a:stretch>
                            <a:fillRect/>
                          </a:stretch>
                        </pic:blipFill>
                        <pic:spPr>
                          <a:xfrm>
                            <a:off x="0" y="0"/>
                            <a:ext cx="1266825" cy="838200"/>
                          </a:xfrm>
                          <a:prstGeom prst="rect">
                            <a:avLst/>
                          </a:prstGeom>
                          <a:noFill/>
                          <a:ln w="9525">
                            <a:noFill/>
                          </a:ln>
                        </pic:spPr>
                      </pic:pic>
                    </a:graphicData>
                  </a:graphic>
                </wp:inline>
              </w:drawing>
            </w:r>
          </w:p>
        </w:tc>
      </w:tr>
      <w:tr w14:paraId="1C68C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450FACD">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9</w:t>
            </w:r>
          </w:p>
        </w:tc>
        <w:tc>
          <w:tcPr>
            <w:tcW w:w="1304" w:type="dxa"/>
            <w:vAlign w:val="center"/>
          </w:tcPr>
          <w:p w14:paraId="7C3DD41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写生教具(2)</w:t>
            </w:r>
          </w:p>
        </w:tc>
        <w:tc>
          <w:tcPr>
            <w:tcW w:w="7370" w:type="dxa"/>
            <w:vAlign w:val="center"/>
          </w:tcPr>
          <w:p w14:paraId="27DBAC66">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圆球、四棱锥、六棱锥、长方体、正方体、圆柱体、六棱柱、圆锥、方带方、方锥、方锥带方、圆锥带圆、多面体、八棱柱、圆切、十二面体，要求色泽洁白，轮廓清晰。</w:t>
            </w:r>
          </w:p>
        </w:tc>
        <w:tc>
          <w:tcPr>
            <w:tcW w:w="1191" w:type="dxa"/>
            <w:vAlign w:val="center"/>
          </w:tcPr>
          <w:p w14:paraId="141929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105BC25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601F0512">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561975"/>
                  <wp:effectExtent l="0" t="0" r="9525" b="9525"/>
                  <wp:docPr id="445" name="图片 10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03" descr="IMG_262"/>
                          <pic:cNvPicPr>
                            <a:picLocks noChangeAspect="1"/>
                          </pic:cNvPicPr>
                        </pic:nvPicPr>
                        <pic:blipFill>
                          <a:blip r:embed="rId133"/>
                          <a:stretch>
                            <a:fillRect/>
                          </a:stretch>
                        </pic:blipFill>
                        <pic:spPr>
                          <a:xfrm>
                            <a:off x="0" y="0"/>
                            <a:ext cx="1266825" cy="561975"/>
                          </a:xfrm>
                          <a:prstGeom prst="rect">
                            <a:avLst/>
                          </a:prstGeom>
                          <a:noFill/>
                          <a:ln w="9525">
                            <a:noFill/>
                          </a:ln>
                        </pic:spPr>
                      </pic:pic>
                    </a:graphicData>
                  </a:graphic>
                </wp:inline>
              </w:drawing>
            </w:r>
          </w:p>
        </w:tc>
      </w:tr>
      <w:tr w14:paraId="7629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BD8793B">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10</w:t>
            </w:r>
          </w:p>
        </w:tc>
        <w:tc>
          <w:tcPr>
            <w:tcW w:w="1304" w:type="dxa"/>
            <w:vAlign w:val="center"/>
          </w:tcPr>
          <w:p w14:paraId="4B35942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民间美术欣赏及写生样本</w:t>
            </w:r>
          </w:p>
        </w:tc>
        <w:tc>
          <w:tcPr>
            <w:tcW w:w="7370" w:type="dxa"/>
            <w:vAlign w:val="center"/>
          </w:tcPr>
          <w:p w14:paraId="7B06001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中国结、京剧脸谱、扎染、蜡染、皮影、年画、木板年画、剪纸、面具、泥塑、玩具、风车、纹样、风筝、唐三彩、彩陶器、瓷器</w:t>
            </w:r>
          </w:p>
        </w:tc>
        <w:tc>
          <w:tcPr>
            <w:tcW w:w="1191" w:type="dxa"/>
            <w:vAlign w:val="center"/>
          </w:tcPr>
          <w:p w14:paraId="377AAF1D">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1049" w:type="dxa"/>
            <w:vAlign w:val="center"/>
          </w:tcPr>
          <w:p w14:paraId="1F6DEBA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937" w:type="dxa"/>
            <w:vAlign w:val="center"/>
          </w:tcPr>
          <w:p w14:paraId="3679B164">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66825" cy="1038225"/>
                  <wp:effectExtent l="0" t="0" r="9525" b="9525"/>
                  <wp:docPr id="446" name="图片 10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04" descr="IMG_263"/>
                          <pic:cNvPicPr>
                            <a:picLocks noChangeAspect="1"/>
                          </pic:cNvPicPr>
                        </pic:nvPicPr>
                        <pic:blipFill>
                          <a:blip r:embed="rId38"/>
                          <a:stretch>
                            <a:fillRect/>
                          </a:stretch>
                        </pic:blipFill>
                        <pic:spPr>
                          <a:xfrm>
                            <a:off x="0" y="0"/>
                            <a:ext cx="1266825" cy="1038225"/>
                          </a:xfrm>
                          <a:prstGeom prst="rect">
                            <a:avLst/>
                          </a:prstGeom>
                          <a:noFill/>
                          <a:ln w="9525">
                            <a:noFill/>
                          </a:ln>
                        </pic:spPr>
                      </pic:pic>
                    </a:graphicData>
                  </a:graphic>
                </wp:inline>
              </w:drawing>
            </w:r>
          </w:p>
        </w:tc>
      </w:tr>
      <w:tr w14:paraId="75CB3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F0702A7">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1</w:t>
            </w:r>
          </w:p>
        </w:tc>
        <w:tc>
          <w:tcPr>
            <w:tcW w:w="1304" w:type="dxa"/>
            <w:vAlign w:val="center"/>
          </w:tcPr>
          <w:p w14:paraId="03A4862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电路</w:t>
            </w:r>
          </w:p>
        </w:tc>
        <w:tc>
          <w:tcPr>
            <w:tcW w:w="7370" w:type="dxa"/>
            <w:vAlign w:val="center"/>
          </w:tcPr>
          <w:p w14:paraId="56B32484">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根据吊顶造型及灯具，设备要求室内线路新排。灯光国标bv1.5双股线，电源国标bv2.5三股线。</w:t>
            </w:r>
          </w:p>
        </w:tc>
        <w:tc>
          <w:tcPr>
            <w:tcW w:w="1191" w:type="dxa"/>
            <w:vAlign w:val="center"/>
          </w:tcPr>
          <w:p w14:paraId="56122E00">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90.00 </w:t>
            </w:r>
          </w:p>
        </w:tc>
        <w:tc>
          <w:tcPr>
            <w:tcW w:w="1049" w:type="dxa"/>
            <w:vAlign w:val="center"/>
          </w:tcPr>
          <w:p w14:paraId="0E3ACFA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937" w:type="dxa"/>
            <w:vAlign w:val="center"/>
          </w:tcPr>
          <w:p w14:paraId="32B4D08F">
            <w:pPr>
              <w:jc w:val="center"/>
              <w:rPr>
                <w:rFonts w:hint="eastAsia" w:ascii="宋体" w:hAnsi="宋体" w:eastAsia="宋体" w:cs="宋体"/>
                <w:color w:val="auto"/>
                <w:vertAlign w:val="baseline"/>
                <w:lang w:val="en-US" w:eastAsia="zh-CN"/>
              </w:rPr>
            </w:pPr>
          </w:p>
        </w:tc>
      </w:tr>
      <w:tr w14:paraId="167A7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0476411">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2</w:t>
            </w:r>
          </w:p>
        </w:tc>
        <w:tc>
          <w:tcPr>
            <w:tcW w:w="1304" w:type="dxa"/>
            <w:vAlign w:val="center"/>
          </w:tcPr>
          <w:p w14:paraId="078165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顶面LED筒灯</w:t>
            </w:r>
          </w:p>
        </w:tc>
        <w:tc>
          <w:tcPr>
            <w:tcW w:w="7370" w:type="dxa"/>
            <w:vAlign w:val="center"/>
          </w:tcPr>
          <w:p w14:paraId="3AB4EC3D">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加厚铝材，明亮耐用，高亮LED芯片，输入电压：AC220V，光色色温：3000K-6000K。灯光线路采用黑色专用套管，整体灯光亮度符合国家中小学专用教室照明设计规范。</w:t>
            </w:r>
          </w:p>
        </w:tc>
        <w:tc>
          <w:tcPr>
            <w:tcW w:w="1191" w:type="dxa"/>
            <w:vAlign w:val="center"/>
          </w:tcPr>
          <w:p w14:paraId="4677A53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20</w:t>
            </w:r>
          </w:p>
        </w:tc>
        <w:tc>
          <w:tcPr>
            <w:tcW w:w="1049" w:type="dxa"/>
            <w:vAlign w:val="center"/>
          </w:tcPr>
          <w:p w14:paraId="29ACDDC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盏</w:t>
            </w:r>
          </w:p>
        </w:tc>
        <w:tc>
          <w:tcPr>
            <w:tcW w:w="2937" w:type="dxa"/>
            <w:vAlign w:val="center"/>
          </w:tcPr>
          <w:p w14:paraId="1D26C694">
            <w:pPr>
              <w:jc w:val="center"/>
              <w:rPr>
                <w:rFonts w:hint="eastAsia" w:ascii="宋体" w:hAnsi="宋体" w:eastAsia="宋体" w:cs="宋体"/>
                <w:color w:val="auto"/>
                <w:vertAlign w:val="baseline"/>
                <w:lang w:val="en-US" w:eastAsia="zh-CN"/>
              </w:rPr>
            </w:pPr>
          </w:p>
        </w:tc>
      </w:tr>
      <w:tr w14:paraId="7B9E4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84E95D4">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3</w:t>
            </w:r>
          </w:p>
        </w:tc>
        <w:tc>
          <w:tcPr>
            <w:tcW w:w="1304" w:type="dxa"/>
            <w:vAlign w:val="center"/>
          </w:tcPr>
          <w:p w14:paraId="2882A8F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顶面LED条形灯</w:t>
            </w:r>
          </w:p>
        </w:tc>
        <w:tc>
          <w:tcPr>
            <w:tcW w:w="7370" w:type="dxa"/>
            <w:vAlign w:val="center"/>
          </w:tcPr>
          <w:p w14:paraId="4C97094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1.LED环保条形灯，LED灯具尺寸：≥1200mm*100mm</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2.外壳材质：1.4mm黑色铝材灯框，亚克力白色灯罩；</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3.驱动器：内置IC恒流驱动电源，有效降低电流噪声 ；色温：6000K</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4.光源功率：≥18W ；光通量：≥1190Lm ；显色指数：≥80；灯光线路采用黑色专用套管，整体灯光亮度符合国家中小学专用教室照明设计规范。</w:t>
            </w:r>
          </w:p>
        </w:tc>
        <w:tc>
          <w:tcPr>
            <w:tcW w:w="1191" w:type="dxa"/>
            <w:vAlign w:val="center"/>
          </w:tcPr>
          <w:p w14:paraId="69C2E442">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12</w:t>
            </w:r>
          </w:p>
        </w:tc>
        <w:tc>
          <w:tcPr>
            <w:tcW w:w="1049" w:type="dxa"/>
            <w:vAlign w:val="center"/>
          </w:tcPr>
          <w:p w14:paraId="6B0F215F">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盏</w:t>
            </w:r>
          </w:p>
        </w:tc>
        <w:tc>
          <w:tcPr>
            <w:tcW w:w="2937" w:type="dxa"/>
            <w:vAlign w:val="center"/>
          </w:tcPr>
          <w:p w14:paraId="7D204F4E">
            <w:pPr>
              <w:jc w:val="center"/>
              <w:rPr>
                <w:rFonts w:hint="eastAsia" w:ascii="宋体" w:hAnsi="宋体" w:eastAsia="宋体" w:cs="宋体"/>
                <w:color w:val="auto"/>
                <w:vertAlign w:val="baseline"/>
                <w:lang w:val="en-US" w:eastAsia="zh-CN"/>
              </w:rPr>
            </w:pPr>
          </w:p>
        </w:tc>
      </w:tr>
      <w:tr w14:paraId="0951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0104834">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4</w:t>
            </w:r>
          </w:p>
        </w:tc>
        <w:tc>
          <w:tcPr>
            <w:tcW w:w="1304" w:type="dxa"/>
            <w:vAlign w:val="center"/>
          </w:tcPr>
          <w:p w14:paraId="0D0133A3">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展示墙</w:t>
            </w:r>
          </w:p>
        </w:tc>
        <w:tc>
          <w:tcPr>
            <w:tcW w:w="7370" w:type="dxa"/>
            <w:vAlign w:val="center"/>
          </w:tcPr>
          <w:p w14:paraId="00D351AE">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多层实木框架，局部石膏板饰面，内部≥12mm聚酯纤维毛毡装饰。</w:t>
            </w:r>
          </w:p>
        </w:tc>
        <w:tc>
          <w:tcPr>
            <w:tcW w:w="1191" w:type="dxa"/>
            <w:vAlign w:val="center"/>
          </w:tcPr>
          <w:p w14:paraId="0808762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14.50 </w:t>
            </w:r>
          </w:p>
        </w:tc>
        <w:tc>
          <w:tcPr>
            <w:tcW w:w="1049" w:type="dxa"/>
            <w:vAlign w:val="center"/>
          </w:tcPr>
          <w:p w14:paraId="1B4EBF81">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937" w:type="dxa"/>
            <w:vAlign w:val="center"/>
          </w:tcPr>
          <w:p w14:paraId="32CFB002">
            <w:pPr>
              <w:jc w:val="center"/>
              <w:rPr>
                <w:rFonts w:hint="eastAsia" w:ascii="宋体" w:hAnsi="宋体" w:eastAsia="宋体" w:cs="宋体"/>
                <w:color w:val="auto"/>
                <w:vertAlign w:val="baseline"/>
                <w:lang w:val="en-US" w:eastAsia="zh-CN"/>
              </w:rPr>
            </w:pPr>
          </w:p>
        </w:tc>
      </w:tr>
      <w:tr w14:paraId="4AF5C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0FF7F67">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5</w:t>
            </w:r>
          </w:p>
        </w:tc>
        <w:tc>
          <w:tcPr>
            <w:tcW w:w="1304" w:type="dxa"/>
            <w:vAlign w:val="center"/>
          </w:tcPr>
          <w:p w14:paraId="36F17E55">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装修集成、管理</w:t>
            </w:r>
          </w:p>
        </w:tc>
        <w:tc>
          <w:tcPr>
            <w:tcW w:w="7370" w:type="dxa"/>
            <w:vAlign w:val="center"/>
          </w:tcPr>
          <w:p w14:paraId="39F20C53">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装修材料搬运、垃圾搬运、辅材附件、现场管理，原灯光拆除放置指定位置，综合布线等</w:t>
            </w:r>
          </w:p>
        </w:tc>
        <w:tc>
          <w:tcPr>
            <w:tcW w:w="1191" w:type="dxa"/>
            <w:vAlign w:val="center"/>
          </w:tcPr>
          <w:p w14:paraId="23002A6A">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1.00 </w:t>
            </w:r>
          </w:p>
        </w:tc>
        <w:tc>
          <w:tcPr>
            <w:tcW w:w="1049" w:type="dxa"/>
            <w:vAlign w:val="center"/>
          </w:tcPr>
          <w:p w14:paraId="63095D59">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937" w:type="dxa"/>
            <w:vAlign w:val="center"/>
          </w:tcPr>
          <w:p w14:paraId="36A6DCB8">
            <w:pPr>
              <w:jc w:val="center"/>
              <w:rPr>
                <w:rFonts w:hint="eastAsia" w:ascii="宋体" w:hAnsi="宋体" w:eastAsia="宋体" w:cs="宋体"/>
                <w:color w:val="auto"/>
                <w:vertAlign w:val="baseline"/>
                <w:lang w:val="en-US" w:eastAsia="zh-CN"/>
              </w:rPr>
            </w:pPr>
          </w:p>
        </w:tc>
      </w:tr>
      <w:tr w14:paraId="0CEC7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A809931">
            <w:pPr>
              <w:keepNext w:val="0"/>
              <w:keepLines w:val="0"/>
              <w:widowControl/>
              <w:suppressLineNumbers w:val="0"/>
              <w:jc w:val="center"/>
              <w:textAlignment w:val="center"/>
              <w:rPr>
                <w:rFonts w:hint="eastAsia"/>
                <w:lang w:val="en-US" w:eastAsia="zh-CN"/>
              </w:rPr>
            </w:pPr>
            <w:r>
              <w:rPr>
                <w:rFonts w:hint="eastAsia" w:ascii="宋体" w:hAnsi="宋体" w:eastAsia="宋体" w:cs="宋体"/>
                <w:i w:val="0"/>
                <w:iCs w:val="0"/>
                <w:color w:val="000000"/>
                <w:kern w:val="0"/>
                <w:sz w:val="20"/>
                <w:szCs w:val="20"/>
                <w:u w:val="none"/>
                <w:lang w:val="en-US" w:eastAsia="zh-CN" w:bidi="ar"/>
              </w:rPr>
              <w:t>1</w:t>
            </w:r>
            <w:r>
              <w:rPr>
                <w:rFonts w:hint="eastAsia" w:ascii="宋体" w:hAnsi="宋体" w:cs="宋体"/>
                <w:i w:val="0"/>
                <w:iCs w:val="0"/>
                <w:color w:val="000000"/>
                <w:kern w:val="0"/>
                <w:sz w:val="20"/>
                <w:szCs w:val="20"/>
                <w:u w:val="none"/>
                <w:lang w:val="en-US" w:eastAsia="zh-CN" w:bidi="ar"/>
              </w:rPr>
              <w:t>6</w:t>
            </w:r>
          </w:p>
        </w:tc>
        <w:tc>
          <w:tcPr>
            <w:tcW w:w="1304" w:type="dxa"/>
            <w:vAlign w:val="center"/>
          </w:tcPr>
          <w:p w14:paraId="205FFC56">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窗帘</w:t>
            </w:r>
          </w:p>
        </w:tc>
        <w:tc>
          <w:tcPr>
            <w:tcW w:w="7370" w:type="dxa"/>
            <w:vAlign w:val="center"/>
          </w:tcPr>
          <w:p w14:paraId="61144421">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定制优质涤纶加厚遮阳文化氛围窗帘。</w:t>
            </w:r>
          </w:p>
        </w:tc>
        <w:tc>
          <w:tcPr>
            <w:tcW w:w="1191" w:type="dxa"/>
            <w:vAlign w:val="center"/>
          </w:tcPr>
          <w:p w14:paraId="6226105C">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1049" w:type="dxa"/>
            <w:vAlign w:val="center"/>
          </w:tcPr>
          <w:p w14:paraId="55B13E64">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米</w:t>
            </w:r>
          </w:p>
        </w:tc>
        <w:tc>
          <w:tcPr>
            <w:tcW w:w="2937" w:type="dxa"/>
            <w:vAlign w:val="center"/>
          </w:tcPr>
          <w:p w14:paraId="41E2AD97">
            <w:pPr>
              <w:jc w:val="center"/>
              <w:rPr>
                <w:rFonts w:hint="eastAsia" w:ascii="宋体" w:hAnsi="宋体" w:eastAsia="宋体" w:cs="宋体"/>
                <w:color w:val="auto"/>
                <w:vertAlign w:val="baseline"/>
                <w:lang w:val="en-US" w:eastAsia="zh-CN"/>
              </w:rPr>
            </w:pPr>
          </w:p>
        </w:tc>
      </w:tr>
      <w:tr w14:paraId="6F810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7085EBF9">
            <w:pPr>
              <w:tabs>
                <w:tab w:val="left" w:pos="748"/>
                <w:tab w:val="left" w:pos="2052"/>
                <w:tab w:val="left" w:pos="9422"/>
                <w:tab w:val="left" w:pos="10613"/>
                <w:tab w:val="left" w:pos="11662"/>
              </w:tabs>
              <w:jc w:val="both"/>
              <w:rPr>
                <w:rFonts w:hint="eastAsia" w:ascii="宋体" w:hAnsi="宋体" w:eastAsia="宋体" w:cs="宋体"/>
                <w:color w:val="auto"/>
                <w:vertAlign w:val="baseline"/>
                <w:lang w:val="en-US" w:eastAsia="zh-CN"/>
              </w:rPr>
            </w:pPr>
            <w:r>
              <w:rPr>
                <w:rFonts w:hint="eastAsia" w:ascii="宋体" w:hAnsi="宋体" w:cs="宋体"/>
                <w:b/>
                <w:bCs/>
                <w:color w:val="auto"/>
                <w:sz w:val="30"/>
                <w:szCs w:val="30"/>
                <w:vertAlign w:val="baseline"/>
                <w:lang w:val="en-US" w:eastAsia="zh-CN"/>
              </w:rPr>
              <w:t>7.</w:t>
            </w:r>
            <w:r>
              <w:rPr>
                <w:rFonts w:hint="eastAsia" w:ascii="宋体" w:hAnsi="宋体" w:eastAsia="宋体" w:cs="宋体"/>
                <w:b/>
                <w:bCs/>
                <w:color w:val="auto"/>
                <w:sz w:val="30"/>
                <w:szCs w:val="30"/>
                <w:vertAlign w:val="baseline"/>
                <w:lang w:val="en-US" w:eastAsia="zh-CN"/>
              </w:rPr>
              <w:t>劳技教室</w:t>
            </w:r>
          </w:p>
        </w:tc>
      </w:tr>
      <w:tr w14:paraId="18B0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174F010D">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304" w:type="dxa"/>
            <w:vAlign w:val="center"/>
          </w:tcPr>
          <w:p w14:paraId="4905881A">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教师演示台</w:t>
            </w:r>
          </w:p>
        </w:tc>
        <w:tc>
          <w:tcPr>
            <w:tcW w:w="7370" w:type="dxa"/>
            <w:vAlign w:val="center"/>
          </w:tcPr>
          <w:p w14:paraId="64219444">
            <w:pPr>
              <w:keepNext w:val="0"/>
              <w:keepLines w:val="0"/>
              <w:widowControl/>
              <w:suppressLineNumbers w:val="0"/>
              <w:jc w:val="left"/>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1.规格：≥2000*700*850mm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2.台面：采用优质≥25mm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三聚氰胺防潮双贴面板（基板为E1级实木多层板）；所有截面都采用进口自动封边机选用厚度≥1mmPVC封边，粘力强、密封性好、外形美观、经久耐用。组装接缝严密，连接牢固，无松动现象。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3.桌架：采用≥1.Omm厚度镀锌钢管, 立脚≥38*38*1.2mm、拉档≥20*30*1.2mm，表面经过防锈前处理,,隧道喷雾式自动喷涂。</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4.柜体：采用≥18mm厚优质三聚氰胺防潮双贴面板（基板为E1级实木多层板），板材所有截面（厚度≥1mm）PVC机器封边，粘力强、密封性好、外形美观、经久耐用。组装接缝严密，连接牢固，无松动现象。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5.五金配件：304不锈钢拉手、铰链、三节导轨等。</w:t>
            </w:r>
          </w:p>
        </w:tc>
        <w:tc>
          <w:tcPr>
            <w:tcW w:w="1191" w:type="dxa"/>
            <w:vAlign w:val="center"/>
          </w:tcPr>
          <w:p w14:paraId="4E0CD476">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049" w:type="dxa"/>
            <w:vAlign w:val="center"/>
          </w:tcPr>
          <w:p w14:paraId="30ECB1BE">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937" w:type="dxa"/>
            <w:vAlign w:val="center"/>
          </w:tcPr>
          <w:p w14:paraId="18E9F9A5">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914400" cy="466725"/>
                  <wp:effectExtent l="0" t="0" r="0" b="9525"/>
                  <wp:docPr id="353" name="图片 1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05" descr="IMG_256"/>
                          <pic:cNvPicPr>
                            <a:picLocks noChangeAspect="1"/>
                          </pic:cNvPicPr>
                        </pic:nvPicPr>
                        <pic:blipFill>
                          <a:blip r:embed="rId134"/>
                          <a:stretch>
                            <a:fillRect/>
                          </a:stretch>
                        </pic:blipFill>
                        <pic:spPr>
                          <a:xfrm>
                            <a:off x="0" y="0"/>
                            <a:ext cx="914400" cy="466725"/>
                          </a:xfrm>
                          <a:prstGeom prst="rect">
                            <a:avLst/>
                          </a:prstGeom>
                          <a:noFill/>
                          <a:ln w="9525">
                            <a:noFill/>
                          </a:ln>
                        </pic:spPr>
                      </pic:pic>
                    </a:graphicData>
                  </a:graphic>
                </wp:inline>
              </w:drawing>
            </w:r>
          </w:p>
        </w:tc>
      </w:tr>
      <w:tr w14:paraId="4471A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2D6897A">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304" w:type="dxa"/>
            <w:vAlign w:val="center"/>
          </w:tcPr>
          <w:p w14:paraId="0023C5E3">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学生</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劳技</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桌</w:t>
            </w:r>
          </w:p>
        </w:tc>
        <w:tc>
          <w:tcPr>
            <w:tcW w:w="7370" w:type="dxa"/>
            <w:vAlign w:val="center"/>
          </w:tcPr>
          <w:p w14:paraId="0DA8F6EA">
            <w:pPr>
              <w:keepNext w:val="0"/>
              <w:keepLines w:val="0"/>
              <w:widowControl/>
              <w:suppressLineNumbers w:val="0"/>
              <w:jc w:val="left"/>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1.尺寸：≥W1200*D1200*H750mm;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2.材质：≥1.Omm抗倍特板+≥1.Omm厚度镀锌钢架;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材质采用抗倍特一体成型。耐80度以上高温。防水：浸水24小时后的膨胀指数不多于0.1mm，四周倒角修边，圆润光滑无任何毛边；桌架采用镀锌钢架，满焊焊接而成，表面采用高温粉体烤漆，耐腐蚀，不易生锈；</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4.功能：桌面设有防罩边角，悬挂抽屉储物功能，可收纳放置工具材料，钢制框架，结构牢固，具有超强承载能力。</w:t>
            </w:r>
          </w:p>
        </w:tc>
        <w:tc>
          <w:tcPr>
            <w:tcW w:w="1191" w:type="dxa"/>
            <w:vAlign w:val="center"/>
          </w:tcPr>
          <w:p w14:paraId="6DBD829F">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12</w:t>
            </w:r>
          </w:p>
        </w:tc>
        <w:tc>
          <w:tcPr>
            <w:tcW w:w="1049" w:type="dxa"/>
            <w:vAlign w:val="center"/>
          </w:tcPr>
          <w:p w14:paraId="05C1F7AB">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937" w:type="dxa"/>
            <w:vAlign w:val="center"/>
          </w:tcPr>
          <w:p w14:paraId="3EC16018">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16"/>
                <w:szCs w:val="16"/>
                <w:u w:val="none"/>
                <w:lang w:val="en-US" w:eastAsia="zh-CN" w:bidi="ar"/>
              </w:rPr>
              <w:drawing>
                <wp:inline distT="0" distB="0" distL="114300" distR="114300">
                  <wp:extent cx="914400" cy="609600"/>
                  <wp:effectExtent l="0" t="0" r="0" b="0"/>
                  <wp:docPr id="354" name="图片 10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6" descr="IMG_257"/>
                          <pic:cNvPicPr>
                            <a:picLocks noChangeAspect="1"/>
                          </pic:cNvPicPr>
                        </pic:nvPicPr>
                        <pic:blipFill>
                          <a:blip r:embed="rId135"/>
                          <a:stretch>
                            <a:fillRect/>
                          </a:stretch>
                        </pic:blipFill>
                        <pic:spPr>
                          <a:xfrm>
                            <a:off x="0" y="0"/>
                            <a:ext cx="914400" cy="609600"/>
                          </a:xfrm>
                          <a:prstGeom prst="rect">
                            <a:avLst/>
                          </a:prstGeom>
                          <a:noFill/>
                          <a:ln w="9525">
                            <a:noFill/>
                          </a:ln>
                        </pic:spPr>
                      </pic:pic>
                    </a:graphicData>
                  </a:graphic>
                </wp:inline>
              </w:drawing>
            </w:r>
          </w:p>
        </w:tc>
      </w:tr>
      <w:tr w14:paraId="7A823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38DC1AF7">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304" w:type="dxa"/>
            <w:vAlign w:val="center"/>
          </w:tcPr>
          <w:p w14:paraId="2AD41660">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悬挂凳</w:t>
            </w:r>
          </w:p>
        </w:tc>
        <w:tc>
          <w:tcPr>
            <w:tcW w:w="7370" w:type="dxa"/>
            <w:vAlign w:val="center"/>
          </w:tcPr>
          <w:p w14:paraId="73475E9E">
            <w:pPr>
              <w:keepNext w:val="0"/>
              <w:keepLines w:val="0"/>
              <w:widowControl/>
              <w:suppressLineNumbers w:val="0"/>
              <w:jc w:val="left"/>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1.规格：≥296*450mm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工艺：面板采用ABS新料一体注塑成型，面板直径≥296mm，中间有內弧造型，深度为≥10mm;坐垫下带有防滑凸条和防滑垫的塑料背盖，以便于悬挂，尺寸：≥125*120*35mm。中间有內弧造型，深度为≥10mm。椅腿钢管尺寸：≥32*22*2.0mm，采用鱼眼管满焊焊接，表面采用高温粉体烤漆，耐腐蚀，不易生锈；脚垫尺寸：≥75.5*50*17mm及≥40*30*40mm；采用Pa纤维质塑胶一体成型，防滑、耐用、耐摩擦；凳子底部加黑色护垫，保护地板防止摩擦，所有零部件采用永久性固定方式，不会产生松散、脱落之情形。</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3.功能：凳子可悬挂于桌子上方便收纳及打扫卫生。</w:t>
            </w:r>
          </w:p>
        </w:tc>
        <w:tc>
          <w:tcPr>
            <w:tcW w:w="1191" w:type="dxa"/>
            <w:vAlign w:val="center"/>
          </w:tcPr>
          <w:p w14:paraId="6CEBE022">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48</w:t>
            </w:r>
          </w:p>
        </w:tc>
        <w:tc>
          <w:tcPr>
            <w:tcW w:w="1049" w:type="dxa"/>
            <w:vAlign w:val="center"/>
          </w:tcPr>
          <w:p w14:paraId="7EA5ED46">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937" w:type="dxa"/>
            <w:vAlign w:val="center"/>
          </w:tcPr>
          <w:p w14:paraId="0104C811">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914400" cy="1066800"/>
                  <wp:effectExtent l="0" t="0" r="0" b="0"/>
                  <wp:docPr id="355" name="图片 10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7" descr="IMG_258"/>
                          <pic:cNvPicPr>
                            <a:picLocks noChangeAspect="1"/>
                          </pic:cNvPicPr>
                        </pic:nvPicPr>
                        <pic:blipFill>
                          <a:blip r:embed="rId136"/>
                          <a:stretch>
                            <a:fillRect/>
                          </a:stretch>
                        </pic:blipFill>
                        <pic:spPr>
                          <a:xfrm>
                            <a:off x="0" y="0"/>
                            <a:ext cx="914400" cy="1066800"/>
                          </a:xfrm>
                          <a:prstGeom prst="rect">
                            <a:avLst/>
                          </a:prstGeom>
                          <a:noFill/>
                          <a:ln w="9525">
                            <a:noFill/>
                          </a:ln>
                        </pic:spPr>
                      </pic:pic>
                    </a:graphicData>
                  </a:graphic>
                </wp:inline>
              </w:drawing>
            </w:r>
          </w:p>
        </w:tc>
      </w:tr>
      <w:tr w14:paraId="1A05C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C256E0A">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w:t>
            </w:r>
          </w:p>
        </w:tc>
        <w:tc>
          <w:tcPr>
            <w:tcW w:w="1304" w:type="dxa"/>
            <w:vAlign w:val="center"/>
          </w:tcPr>
          <w:p w14:paraId="4B30613C">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w:t>
            </w:r>
          </w:p>
        </w:tc>
        <w:tc>
          <w:tcPr>
            <w:tcW w:w="7370" w:type="dxa"/>
            <w:vAlign w:val="center"/>
          </w:tcPr>
          <w:p w14:paraId="51A4B7C7">
            <w:pPr>
              <w:keepNext w:val="0"/>
              <w:keepLines w:val="0"/>
              <w:widowControl/>
              <w:suppressLineNumbers w:val="0"/>
              <w:jc w:val="left"/>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铝方通吊顶,规格不小于≧75mm*40mm，间距≤100mm,厚度不少于0.5mm，颜色按需定制，材料达到E1级标准。</w:t>
            </w:r>
          </w:p>
        </w:tc>
        <w:tc>
          <w:tcPr>
            <w:tcW w:w="1191" w:type="dxa"/>
            <w:vAlign w:val="center"/>
          </w:tcPr>
          <w:p w14:paraId="2DA42459">
            <w:pPr>
              <w:keepNext w:val="0"/>
              <w:keepLines w:val="0"/>
              <w:widowControl/>
              <w:suppressLineNumbers w:val="0"/>
              <w:jc w:val="center"/>
              <w:textAlignment w:val="center"/>
              <w:rPr>
                <w:rFonts w:hint="default"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73.15</w:t>
            </w:r>
          </w:p>
        </w:tc>
        <w:tc>
          <w:tcPr>
            <w:tcW w:w="1049" w:type="dxa"/>
            <w:vAlign w:val="center"/>
          </w:tcPr>
          <w:p w14:paraId="7925858A">
            <w:pPr>
              <w:keepNext w:val="0"/>
              <w:keepLines w:val="0"/>
              <w:widowControl/>
              <w:suppressLineNumbers w:val="0"/>
              <w:jc w:val="center"/>
              <w:textAlignment w:val="center"/>
              <w:rPr>
                <w:rFonts w:hint="eastAsia" w:ascii="宋体" w:hAnsi="宋体" w:eastAsia="宋体" w:cs="宋体"/>
                <w:color w:val="000000" w:themeColor="text1"/>
                <w:sz w:val="20"/>
                <w:szCs w:val="20"/>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5F732183">
            <w:pPr>
              <w:jc w:val="center"/>
              <w:rPr>
                <w:rFonts w:hint="eastAsia" w:ascii="宋体" w:hAnsi="宋体" w:eastAsia="宋体" w:cs="宋体"/>
                <w:color w:val="auto"/>
                <w:vertAlign w:val="baseline"/>
                <w:lang w:val="en-US" w:eastAsia="zh-CN"/>
              </w:rPr>
            </w:pPr>
          </w:p>
        </w:tc>
      </w:tr>
      <w:tr w14:paraId="5F026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4FC56C3">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5</w:t>
            </w:r>
          </w:p>
        </w:tc>
        <w:tc>
          <w:tcPr>
            <w:tcW w:w="1304" w:type="dxa"/>
            <w:vAlign w:val="center"/>
          </w:tcPr>
          <w:p w14:paraId="7FF1747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顶面LED条形灯</w:t>
            </w:r>
          </w:p>
        </w:tc>
        <w:tc>
          <w:tcPr>
            <w:tcW w:w="7370" w:type="dxa"/>
            <w:vAlign w:val="center"/>
          </w:tcPr>
          <w:p w14:paraId="57633F40">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1.LED环保条形灯，LED灯具尺寸：≥1200mm*100mm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2.外壳材质：≥1.4mm黑色铝材灯框，亚克力白色灯罩；</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4.光源功率：≥18W ；光通量：≥1190Lm ；显色指数：≥80；灯光线路采用黑色专用套管，整体灯光亮度符合国家中小学专用教室照明设计规范。</w:t>
            </w:r>
          </w:p>
        </w:tc>
        <w:tc>
          <w:tcPr>
            <w:tcW w:w="1191" w:type="dxa"/>
            <w:vAlign w:val="center"/>
          </w:tcPr>
          <w:p w14:paraId="0E6A0663">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26</w:t>
            </w:r>
          </w:p>
        </w:tc>
        <w:tc>
          <w:tcPr>
            <w:tcW w:w="1049" w:type="dxa"/>
            <w:vAlign w:val="center"/>
          </w:tcPr>
          <w:p w14:paraId="5057158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937" w:type="dxa"/>
            <w:vAlign w:val="center"/>
          </w:tcPr>
          <w:p w14:paraId="658E30E8">
            <w:pPr>
              <w:jc w:val="center"/>
              <w:rPr>
                <w:rFonts w:hint="eastAsia" w:ascii="宋体" w:hAnsi="宋体" w:eastAsia="宋体" w:cs="宋体"/>
                <w:color w:val="auto"/>
                <w:vertAlign w:val="baseline"/>
                <w:lang w:val="en-US" w:eastAsia="zh-CN"/>
              </w:rPr>
            </w:pPr>
          </w:p>
        </w:tc>
      </w:tr>
      <w:tr w14:paraId="22453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6335D52E">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w:t>
            </w:r>
          </w:p>
        </w:tc>
        <w:tc>
          <w:tcPr>
            <w:tcW w:w="1304" w:type="dxa"/>
            <w:vAlign w:val="center"/>
          </w:tcPr>
          <w:p w14:paraId="7CE1B36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洞洞展示板</w:t>
            </w:r>
          </w:p>
        </w:tc>
        <w:tc>
          <w:tcPr>
            <w:tcW w:w="7370" w:type="dxa"/>
            <w:vAlign w:val="center"/>
          </w:tcPr>
          <w:p w14:paraId="68A1ED8E">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尺寸：≥600*20*600mm，采用≥16mm厚实木多层免漆板加≥1.0mm厚冷轧镀锌钢板，表面采用高温粉体烤漆，无痕钉固定。</w:t>
            </w:r>
          </w:p>
        </w:tc>
        <w:tc>
          <w:tcPr>
            <w:tcW w:w="1191" w:type="dxa"/>
            <w:vAlign w:val="center"/>
          </w:tcPr>
          <w:p w14:paraId="65356642">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10.00 </w:t>
            </w:r>
          </w:p>
        </w:tc>
        <w:tc>
          <w:tcPr>
            <w:tcW w:w="1049" w:type="dxa"/>
            <w:vAlign w:val="center"/>
          </w:tcPr>
          <w:p w14:paraId="21CFCF7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组</w:t>
            </w:r>
          </w:p>
        </w:tc>
        <w:tc>
          <w:tcPr>
            <w:tcW w:w="2937" w:type="dxa"/>
            <w:vAlign w:val="center"/>
          </w:tcPr>
          <w:p w14:paraId="2EEC9250">
            <w:pPr>
              <w:jc w:val="center"/>
              <w:rPr>
                <w:rFonts w:hint="eastAsia" w:ascii="宋体" w:hAnsi="宋体" w:eastAsia="宋体" w:cs="宋体"/>
                <w:color w:val="auto"/>
                <w:vertAlign w:val="baseline"/>
                <w:lang w:val="en-US" w:eastAsia="zh-CN"/>
              </w:rPr>
            </w:pPr>
          </w:p>
        </w:tc>
      </w:tr>
      <w:tr w14:paraId="5A34A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724C79D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7</w:t>
            </w:r>
          </w:p>
        </w:tc>
        <w:tc>
          <w:tcPr>
            <w:tcW w:w="1304" w:type="dxa"/>
            <w:vAlign w:val="center"/>
          </w:tcPr>
          <w:p w14:paraId="279CC65B">
            <w:pPr>
              <w:keepNext w:val="0"/>
              <w:keepLines w:val="0"/>
              <w:widowControl/>
              <w:suppressLineNumbers w:val="0"/>
              <w:jc w:val="center"/>
              <w:textAlignment w:val="center"/>
              <w:rPr>
                <w:rFonts w:hint="eastAsia" w:ascii="宋体" w:hAnsi="宋体" w:eastAsia="宋体" w:cs="宋体"/>
                <w:color w:val="000000" w:themeColor="text1"/>
                <w:u w:val="single"/>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涂料</w:t>
            </w:r>
          </w:p>
        </w:tc>
        <w:tc>
          <w:tcPr>
            <w:tcW w:w="7370" w:type="dxa"/>
            <w:vAlign w:val="center"/>
          </w:tcPr>
          <w:p w14:paraId="1DF37255">
            <w:pPr>
              <w:keepNext w:val="0"/>
              <w:keepLines w:val="0"/>
              <w:widowControl/>
              <w:suppressLineNumbers w:val="0"/>
              <w:jc w:val="left"/>
              <w:textAlignment w:val="center"/>
              <w:rPr>
                <w:rFonts w:hint="eastAsia" w:ascii="宋体" w:hAnsi="宋体" w:eastAsia="宋体" w:cs="宋体"/>
                <w:color w:val="000000" w:themeColor="text1"/>
                <w:u w:val="single"/>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石膏板接缝处满嵌接缝膏，不少于两道抗裂网格布，拉法基和石膏覆盖，找平腻子两道找平，特细滑石粉罩面，砂纸打磨。喷涂或滚涂一底两面环保乳胶漆</w:t>
            </w:r>
          </w:p>
        </w:tc>
        <w:tc>
          <w:tcPr>
            <w:tcW w:w="1191" w:type="dxa"/>
            <w:vAlign w:val="center"/>
          </w:tcPr>
          <w:p w14:paraId="79D13478">
            <w:pPr>
              <w:keepNext w:val="0"/>
              <w:keepLines w:val="0"/>
              <w:widowControl/>
              <w:suppressLineNumbers w:val="0"/>
              <w:jc w:val="center"/>
              <w:textAlignment w:val="center"/>
              <w:rPr>
                <w:rFonts w:hint="eastAsia" w:ascii="宋体" w:hAnsi="宋体" w:eastAsia="宋体" w:cs="宋体"/>
                <w:color w:val="000000" w:themeColor="text1"/>
                <w:u w:val="single"/>
                <w:vertAlign w:val="baseline"/>
                <w:lang w:val="en-US" w:eastAsia="zh-CN"/>
                <w14:textFill>
                  <w14:solidFill>
                    <w14:schemeClr w14:val="tx1"/>
                  </w14:solidFill>
                </w14:textFill>
              </w:rPr>
            </w:pPr>
            <w:r>
              <w:rPr>
                <w:rFonts w:hint="eastAsia" w:ascii="宋体" w:hAnsi="宋体" w:cs="宋体"/>
                <w:i w:val="0"/>
                <w:iCs w:val="0"/>
                <w:strike w:val="0"/>
                <w:dstrike w:val="0"/>
                <w:color w:val="000000" w:themeColor="text1"/>
                <w:kern w:val="0"/>
                <w:sz w:val="20"/>
                <w:szCs w:val="20"/>
                <w:u w:val="none"/>
                <w:lang w:val="en-US" w:eastAsia="zh-CN" w:bidi="ar"/>
                <w14:textFill>
                  <w14:solidFill>
                    <w14:schemeClr w14:val="tx1"/>
                  </w14:solidFill>
                </w14:textFill>
              </w:rPr>
              <w:t>119</w:t>
            </w: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 xml:space="preserve">.00 </w:t>
            </w:r>
          </w:p>
        </w:tc>
        <w:tc>
          <w:tcPr>
            <w:tcW w:w="1049" w:type="dxa"/>
            <w:vAlign w:val="center"/>
          </w:tcPr>
          <w:p w14:paraId="14DC52E8">
            <w:pPr>
              <w:keepNext w:val="0"/>
              <w:keepLines w:val="0"/>
              <w:widowControl/>
              <w:suppressLineNumbers w:val="0"/>
              <w:jc w:val="center"/>
              <w:textAlignment w:val="center"/>
              <w:rPr>
                <w:rFonts w:hint="eastAsia" w:ascii="宋体" w:hAnsi="宋体" w:eastAsia="宋体" w:cs="宋体"/>
                <w:color w:val="000000" w:themeColor="text1"/>
                <w:u w:val="single"/>
                <w:vertAlign w:val="baseline"/>
                <w:lang w:val="en-US" w:eastAsia="zh-CN"/>
                <w14:textFill>
                  <w14:solidFill>
                    <w14:schemeClr w14:val="tx1"/>
                  </w14:solidFill>
                </w14:textFill>
              </w:rPr>
            </w:pPr>
            <w:r>
              <w:rPr>
                <w:rFonts w:hint="eastAsia" w:ascii="宋体" w:hAnsi="宋体" w:eastAsia="宋体" w:cs="宋体"/>
                <w:i w:val="0"/>
                <w:iCs w:val="0"/>
                <w:strike w:val="0"/>
                <w:dstrike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3307D10B">
            <w:pPr>
              <w:jc w:val="center"/>
              <w:rPr>
                <w:rFonts w:hint="default" w:ascii="宋体" w:hAnsi="宋体" w:eastAsia="宋体" w:cs="宋体"/>
                <w:color w:val="auto"/>
                <w:vertAlign w:val="baseline"/>
                <w:lang w:val="en-US" w:eastAsia="zh-CN"/>
              </w:rPr>
            </w:pPr>
          </w:p>
        </w:tc>
      </w:tr>
      <w:tr w14:paraId="0C341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4140621">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8</w:t>
            </w:r>
          </w:p>
        </w:tc>
        <w:tc>
          <w:tcPr>
            <w:tcW w:w="1304" w:type="dxa"/>
            <w:vAlign w:val="center"/>
          </w:tcPr>
          <w:p w14:paraId="76BE0DD5">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7370" w:type="dxa"/>
            <w:vAlign w:val="center"/>
          </w:tcPr>
          <w:p w14:paraId="44970A99">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1191" w:type="dxa"/>
            <w:vAlign w:val="center"/>
          </w:tcPr>
          <w:p w14:paraId="7CB4A298">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1049" w:type="dxa"/>
            <w:vAlign w:val="center"/>
          </w:tcPr>
          <w:p w14:paraId="611993D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73CB358D">
            <w:pPr>
              <w:jc w:val="center"/>
              <w:rPr>
                <w:rFonts w:hint="eastAsia" w:ascii="宋体" w:hAnsi="宋体" w:eastAsia="宋体" w:cs="宋体"/>
                <w:color w:val="auto"/>
                <w:vertAlign w:val="baseline"/>
                <w:lang w:val="en-US" w:eastAsia="zh-CN"/>
              </w:rPr>
            </w:pPr>
          </w:p>
        </w:tc>
      </w:tr>
      <w:tr w14:paraId="7C441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0281E405">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9</w:t>
            </w:r>
          </w:p>
        </w:tc>
        <w:tc>
          <w:tcPr>
            <w:tcW w:w="1304" w:type="dxa"/>
            <w:vAlign w:val="center"/>
          </w:tcPr>
          <w:p w14:paraId="607BF99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7370" w:type="dxa"/>
            <w:vAlign w:val="center"/>
          </w:tcPr>
          <w:p w14:paraId="70476FC7">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1191" w:type="dxa"/>
            <w:vAlign w:val="center"/>
          </w:tcPr>
          <w:p w14:paraId="10CAF31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1049" w:type="dxa"/>
            <w:vAlign w:val="center"/>
          </w:tcPr>
          <w:p w14:paraId="6C02563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937" w:type="dxa"/>
            <w:vAlign w:val="center"/>
          </w:tcPr>
          <w:p w14:paraId="344EF52E">
            <w:pPr>
              <w:jc w:val="center"/>
              <w:rPr>
                <w:rFonts w:hint="eastAsia" w:ascii="宋体" w:hAnsi="宋体" w:eastAsia="宋体" w:cs="宋体"/>
                <w:color w:val="auto"/>
                <w:vertAlign w:val="baseline"/>
                <w:lang w:val="en-US" w:eastAsia="zh-CN"/>
              </w:rPr>
            </w:pPr>
          </w:p>
        </w:tc>
      </w:tr>
      <w:tr w14:paraId="64DCF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0FB7DE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1304" w:type="dxa"/>
            <w:vAlign w:val="center"/>
          </w:tcPr>
          <w:p w14:paraId="79BFC6E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窗帘</w:t>
            </w:r>
          </w:p>
        </w:tc>
        <w:tc>
          <w:tcPr>
            <w:tcW w:w="7370" w:type="dxa"/>
            <w:vAlign w:val="center"/>
          </w:tcPr>
          <w:p w14:paraId="5FA5D72D">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定制优质涤纶加厚遮阳文化氛围窗帘</w:t>
            </w:r>
          </w:p>
        </w:tc>
        <w:tc>
          <w:tcPr>
            <w:tcW w:w="1191" w:type="dxa"/>
            <w:vAlign w:val="center"/>
          </w:tcPr>
          <w:p w14:paraId="6E196D1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10</w:t>
            </w:r>
          </w:p>
        </w:tc>
        <w:tc>
          <w:tcPr>
            <w:tcW w:w="1049" w:type="dxa"/>
            <w:vAlign w:val="center"/>
          </w:tcPr>
          <w:p w14:paraId="78F25F18">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米</w:t>
            </w:r>
          </w:p>
        </w:tc>
        <w:tc>
          <w:tcPr>
            <w:tcW w:w="2937" w:type="dxa"/>
            <w:vAlign w:val="center"/>
          </w:tcPr>
          <w:p w14:paraId="1EB9EF6A">
            <w:pPr>
              <w:jc w:val="center"/>
              <w:rPr>
                <w:rFonts w:hint="eastAsia" w:ascii="宋体" w:hAnsi="宋体" w:eastAsia="宋体" w:cs="宋体"/>
                <w:color w:val="auto"/>
                <w:vertAlign w:val="baseline"/>
                <w:lang w:val="en-US" w:eastAsia="zh-CN"/>
              </w:rPr>
            </w:pPr>
          </w:p>
        </w:tc>
      </w:tr>
      <w:tr w14:paraId="3B855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7AC13316">
            <w:pPr>
              <w:numPr>
                <w:ilvl w:val="0"/>
                <w:numId w:val="0"/>
              </w:numPr>
              <w:tabs>
                <w:tab w:val="left" w:pos="748"/>
                <w:tab w:val="left" w:pos="2052"/>
                <w:tab w:val="left" w:pos="9422"/>
                <w:tab w:val="left" w:pos="10613"/>
                <w:tab w:val="left" w:pos="11662"/>
              </w:tabs>
              <w:spacing w:line="360" w:lineRule="auto"/>
              <w:jc w:val="both"/>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b/>
                <w:bCs/>
                <w:color w:val="000000" w:themeColor="text1"/>
                <w:sz w:val="30"/>
                <w:szCs w:val="30"/>
                <w:vertAlign w:val="baseline"/>
                <w:lang w:val="en-US" w:eastAsia="zh-CN"/>
                <w14:textFill>
                  <w14:solidFill>
                    <w14:schemeClr w14:val="tx1"/>
                  </w14:solidFill>
                </w14:textFill>
              </w:rPr>
              <w:t>8.</w:t>
            </w:r>
            <w:r>
              <w:rPr>
                <w:rFonts w:hint="eastAsia" w:ascii="宋体" w:hAnsi="宋体" w:eastAsia="宋体" w:cs="宋体"/>
                <w:b/>
                <w:bCs/>
                <w:color w:val="000000" w:themeColor="text1"/>
                <w:sz w:val="30"/>
                <w:szCs w:val="30"/>
                <w:vertAlign w:val="baseline"/>
                <w:lang w:val="en-US" w:eastAsia="zh-CN"/>
                <w14:textFill>
                  <w14:solidFill>
                    <w14:schemeClr w14:val="tx1"/>
                  </w14:solidFill>
                </w14:textFill>
              </w:rPr>
              <w:t>计算机教室</w:t>
            </w:r>
          </w:p>
        </w:tc>
      </w:tr>
      <w:tr w14:paraId="149AD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555207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304" w:type="dxa"/>
            <w:vAlign w:val="center"/>
          </w:tcPr>
          <w:p w14:paraId="75CAEC7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教师椅</w:t>
            </w:r>
          </w:p>
        </w:tc>
        <w:tc>
          <w:tcPr>
            <w:tcW w:w="7370" w:type="dxa"/>
            <w:vAlign w:val="center"/>
          </w:tcPr>
          <w:p w14:paraId="145273C1">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1.尺寸：≥640*540*940-1040mm；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2.材质：西皮/五星升降脚；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3.工艺：38扶手可向后90-165度，扶手高低调整6段式，靠背可随意依人体工学调整，同步动态倾仰4段锁定机构；优质气压杆，可随意调整高度，配直径60mm。</w:t>
            </w:r>
          </w:p>
        </w:tc>
        <w:tc>
          <w:tcPr>
            <w:tcW w:w="1191" w:type="dxa"/>
            <w:vAlign w:val="center"/>
          </w:tcPr>
          <w:p w14:paraId="0FF6CCB7">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1049" w:type="dxa"/>
            <w:vAlign w:val="center"/>
          </w:tcPr>
          <w:p w14:paraId="39CED79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937" w:type="dxa"/>
            <w:vAlign w:val="center"/>
          </w:tcPr>
          <w:p w14:paraId="540B83E7">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47725" cy="1190625"/>
                  <wp:effectExtent l="0" t="0" r="9525" b="9525"/>
                  <wp:docPr id="359" name="图片 1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08" descr="IMG_256"/>
                          <pic:cNvPicPr>
                            <a:picLocks noChangeAspect="1"/>
                          </pic:cNvPicPr>
                        </pic:nvPicPr>
                        <pic:blipFill>
                          <a:blip r:embed="rId137"/>
                          <a:stretch>
                            <a:fillRect/>
                          </a:stretch>
                        </pic:blipFill>
                        <pic:spPr>
                          <a:xfrm>
                            <a:off x="0" y="0"/>
                            <a:ext cx="847725" cy="1190625"/>
                          </a:xfrm>
                          <a:prstGeom prst="rect">
                            <a:avLst/>
                          </a:prstGeom>
                          <a:noFill/>
                          <a:ln w="9525">
                            <a:noFill/>
                          </a:ln>
                        </pic:spPr>
                      </pic:pic>
                    </a:graphicData>
                  </a:graphic>
                </wp:inline>
              </w:drawing>
            </w:r>
          </w:p>
        </w:tc>
      </w:tr>
      <w:tr w14:paraId="3D3AB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C781FE8">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w:t>
            </w:r>
          </w:p>
        </w:tc>
        <w:tc>
          <w:tcPr>
            <w:tcW w:w="1304" w:type="dxa"/>
            <w:vAlign w:val="center"/>
          </w:tcPr>
          <w:p w14:paraId="3EE499D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双人电脑桌</w:t>
            </w:r>
          </w:p>
        </w:tc>
        <w:tc>
          <w:tcPr>
            <w:tcW w:w="7370" w:type="dxa"/>
            <w:vAlign w:val="center"/>
          </w:tcPr>
          <w:p w14:paraId="4BB980C0">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1.尺寸：≥1400*600*750mm；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2.材质：实木多层板+烤漆钢架；</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3.工艺：桌面采用国家标准E1级</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实木多层板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，厚度≥18mm,双面采用免漆板</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厚度≥1mmPVC直封边制作，钢架尺寸：横梁: ≥30*50*1.35 mm，桌腿：≥ 30*60*1.5mm，上线扣板壁厚≥0.8mm采用满焊焊接，经高温粉体烤漆，长时间使用也不会产生表面漆剥落现象；</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4.功能：桌架配有接线槽，方便安装插座等。</w:t>
            </w:r>
          </w:p>
        </w:tc>
        <w:tc>
          <w:tcPr>
            <w:tcW w:w="1191" w:type="dxa"/>
            <w:vAlign w:val="center"/>
          </w:tcPr>
          <w:p w14:paraId="6BE6B4FA">
            <w:pPr>
              <w:keepNext w:val="0"/>
              <w:keepLines w:val="0"/>
              <w:widowControl/>
              <w:suppressLineNumbers w:val="0"/>
              <w:jc w:val="center"/>
              <w:textAlignment w:val="center"/>
              <w:rPr>
                <w:rFonts w:hint="default"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48</w:t>
            </w:r>
          </w:p>
        </w:tc>
        <w:tc>
          <w:tcPr>
            <w:tcW w:w="1049" w:type="dxa"/>
            <w:vAlign w:val="center"/>
          </w:tcPr>
          <w:p w14:paraId="009C90A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张</w:t>
            </w:r>
          </w:p>
        </w:tc>
        <w:tc>
          <w:tcPr>
            <w:tcW w:w="2937" w:type="dxa"/>
            <w:vAlign w:val="center"/>
          </w:tcPr>
          <w:p w14:paraId="1A44A4AF">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0625" cy="733425"/>
                  <wp:effectExtent l="0" t="0" r="9525" b="9525"/>
                  <wp:docPr id="360" name="图片 10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09" descr="IMG_257"/>
                          <pic:cNvPicPr>
                            <a:picLocks noChangeAspect="1"/>
                          </pic:cNvPicPr>
                        </pic:nvPicPr>
                        <pic:blipFill>
                          <a:blip r:embed="rId138"/>
                          <a:stretch>
                            <a:fillRect/>
                          </a:stretch>
                        </pic:blipFill>
                        <pic:spPr>
                          <a:xfrm>
                            <a:off x="0" y="0"/>
                            <a:ext cx="1190625" cy="733425"/>
                          </a:xfrm>
                          <a:prstGeom prst="rect">
                            <a:avLst/>
                          </a:prstGeom>
                          <a:noFill/>
                          <a:ln w="9525">
                            <a:noFill/>
                          </a:ln>
                        </pic:spPr>
                      </pic:pic>
                    </a:graphicData>
                  </a:graphic>
                </wp:inline>
              </w:drawing>
            </w:r>
          </w:p>
        </w:tc>
      </w:tr>
      <w:tr w14:paraId="2E93D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5AB8825B">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304" w:type="dxa"/>
            <w:vAlign w:val="center"/>
          </w:tcPr>
          <w:p w14:paraId="79465EB4">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学生凳</w:t>
            </w:r>
          </w:p>
        </w:tc>
        <w:tc>
          <w:tcPr>
            <w:tcW w:w="7370" w:type="dxa"/>
            <w:vAlign w:val="center"/>
          </w:tcPr>
          <w:p w14:paraId="10CDF3D3">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1.规格：≥350*250*420mm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2.凳面:采用≥18mm厚橡胶木指接板，表面环保清水油漆处理。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3.凳架：采用≥25×25mm镀锌钢管，</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壁厚</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1.5mm，</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经酸洗磷化处理，表面通过环氧树脂静电喷涂，达到防酸碱及防锈之效果。</w:t>
            </w:r>
          </w:p>
        </w:tc>
        <w:tc>
          <w:tcPr>
            <w:tcW w:w="1191" w:type="dxa"/>
            <w:vAlign w:val="center"/>
          </w:tcPr>
          <w:p w14:paraId="626E0B79">
            <w:pPr>
              <w:keepNext w:val="0"/>
              <w:keepLines w:val="0"/>
              <w:widowControl/>
              <w:suppressLineNumbers w:val="0"/>
              <w:jc w:val="center"/>
              <w:textAlignment w:val="center"/>
              <w:rPr>
                <w:rFonts w:hint="default"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96</w:t>
            </w:r>
          </w:p>
        </w:tc>
        <w:tc>
          <w:tcPr>
            <w:tcW w:w="1049" w:type="dxa"/>
            <w:vAlign w:val="center"/>
          </w:tcPr>
          <w:p w14:paraId="0C469FC7">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个</w:t>
            </w:r>
          </w:p>
        </w:tc>
        <w:tc>
          <w:tcPr>
            <w:tcW w:w="2937" w:type="dxa"/>
            <w:vAlign w:val="center"/>
          </w:tcPr>
          <w:p w14:paraId="46BBA974">
            <w:pPr>
              <w:keepNext w:val="0"/>
              <w:keepLines w:val="0"/>
              <w:widowControl/>
              <w:suppressLineNumbers w:val="0"/>
              <w:jc w:val="left"/>
              <w:textAlignment w:val="center"/>
              <w:rPr>
                <w:rFonts w:hint="eastAsia" w:ascii="宋体" w:hAnsi="宋体" w:eastAsia="宋体" w:cs="宋体"/>
                <w:color w:val="auto"/>
                <w:vertAlign w:val="baseline"/>
                <w:lang w:val="en-US" w:eastAsia="zh-CN"/>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838200" cy="876300"/>
                  <wp:effectExtent l="0" t="0" r="0" b="0"/>
                  <wp:docPr id="361" name="图片 1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10" descr="IMG_258"/>
                          <pic:cNvPicPr>
                            <a:picLocks noChangeAspect="1"/>
                          </pic:cNvPicPr>
                        </pic:nvPicPr>
                        <pic:blipFill>
                          <a:blip r:embed="rId106"/>
                          <a:stretch>
                            <a:fillRect/>
                          </a:stretch>
                        </pic:blipFill>
                        <pic:spPr>
                          <a:xfrm>
                            <a:off x="0" y="0"/>
                            <a:ext cx="838200" cy="876300"/>
                          </a:xfrm>
                          <a:prstGeom prst="rect">
                            <a:avLst/>
                          </a:prstGeom>
                          <a:noFill/>
                          <a:ln w="9525">
                            <a:noFill/>
                          </a:ln>
                        </pic:spPr>
                      </pic:pic>
                    </a:graphicData>
                  </a:graphic>
                </wp:inline>
              </w:drawing>
            </w:r>
          </w:p>
        </w:tc>
      </w:tr>
      <w:tr w14:paraId="5A25B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4599" w:type="dxa"/>
            <w:gridSpan w:val="6"/>
            <w:vAlign w:val="center"/>
          </w:tcPr>
          <w:p w14:paraId="541D32EF">
            <w:pPr>
              <w:jc w:val="both"/>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b/>
                <w:bCs/>
                <w:color w:val="000000" w:themeColor="text1"/>
                <w:sz w:val="32"/>
                <w:szCs w:val="40"/>
                <w:vertAlign w:val="baseline"/>
                <w:lang w:val="en-US" w:eastAsia="zh-CN"/>
                <w14:textFill>
                  <w14:solidFill>
                    <w14:schemeClr w14:val="tx1"/>
                  </w14:solidFill>
                </w14:textFill>
              </w:rPr>
              <w:t>9.</w:t>
            </w:r>
            <w:r>
              <w:rPr>
                <w:rFonts w:hint="eastAsia" w:ascii="宋体" w:hAnsi="宋体" w:eastAsia="宋体" w:cs="宋体"/>
                <w:b/>
                <w:bCs/>
                <w:color w:val="000000" w:themeColor="text1"/>
                <w:sz w:val="32"/>
                <w:szCs w:val="40"/>
                <w:vertAlign w:val="baseline"/>
                <w:lang w:val="en-US" w:eastAsia="zh-CN"/>
                <w14:textFill>
                  <w14:solidFill>
                    <w14:schemeClr w14:val="tx1"/>
                  </w14:solidFill>
                </w14:textFill>
              </w:rPr>
              <w:t>录播教室</w:t>
            </w:r>
          </w:p>
        </w:tc>
      </w:tr>
      <w:tr w14:paraId="68AB8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9420936">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1304" w:type="dxa"/>
            <w:vAlign w:val="center"/>
          </w:tcPr>
          <w:p w14:paraId="146CC993">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矿棉板</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吊顶</w:t>
            </w:r>
          </w:p>
        </w:tc>
        <w:tc>
          <w:tcPr>
            <w:tcW w:w="7370" w:type="dxa"/>
            <w:vAlign w:val="center"/>
          </w:tcPr>
          <w:p w14:paraId="270E6E7F">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规格≧</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mm，厚度不少于</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条形板（多孔）拼接安装</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采用</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轻钢龙骨支架</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材料达到E1级标准。</w:t>
            </w:r>
          </w:p>
        </w:tc>
        <w:tc>
          <w:tcPr>
            <w:tcW w:w="1191" w:type="dxa"/>
            <w:vAlign w:val="center"/>
          </w:tcPr>
          <w:p w14:paraId="5736B7D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color w:val="000000" w:themeColor="text1"/>
                <w:kern w:val="2"/>
                <w:sz w:val="20"/>
                <w:szCs w:val="20"/>
                <w:vertAlign w:val="baseline"/>
                <w:lang w:val="en-US" w:eastAsia="zh-CN" w:bidi="ar-SA"/>
                <w14:textFill>
                  <w14:solidFill>
                    <w14:schemeClr w14:val="tx1"/>
                  </w14:solidFill>
                </w14:textFill>
              </w:rPr>
              <w:t>98.20</w:t>
            </w:r>
          </w:p>
        </w:tc>
        <w:tc>
          <w:tcPr>
            <w:tcW w:w="1049" w:type="dxa"/>
            <w:vAlign w:val="center"/>
          </w:tcPr>
          <w:p w14:paraId="74E18FE7">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p>
        </w:tc>
        <w:tc>
          <w:tcPr>
            <w:tcW w:w="2937" w:type="dxa"/>
            <w:vAlign w:val="center"/>
          </w:tcPr>
          <w:p w14:paraId="2763282D">
            <w:pPr>
              <w:jc w:val="center"/>
              <w:rPr>
                <w:rFonts w:hint="default" w:ascii="宋体" w:hAnsi="宋体" w:eastAsia="宋体" w:cs="宋体"/>
                <w:color w:val="0000FF"/>
                <w:vertAlign w:val="baseline"/>
                <w:lang w:val="en-US" w:eastAsia="zh-CN"/>
              </w:rPr>
            </w:pPr>
          </w:p>
        </w:tc>
      </w:tr>
      <w:tr w14:paraId="5BE7B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EF94F6D">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2</w:t>
            </w:r>
          </w:p>
        </w:tc>
        <w:tc>
          <w:tcPr>
            <w:tcW w:w="1304" w:type="dxa"/>
            <w:vAlign w:val="center"/>
          </w:tcPr>
          <w:p w14:paraId="5ED73BBC">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电路</w:t>
            </w:r>
          </w:p>
        </w:tc>
        <w:tc>
          <w:tcPr>
            <w:tcW w:w="7370" w:type="dxa"/>
            <w:vAlign w:val="center"/>
          </w:tcPr>
          <w:p w14:paraId="0C1894D1">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根据吊顶造型及灯具，设备要求室内线路新排。灯光国标bv1.5双股线，电源国标bv2.5三股线。</w:t>
            </w:r>
          </w:p>
        </w:tc>
        <w:tc>
          <w:tcPr>
            <w:tcW w:w="1191" w:type="dxa"/>
            <w:vAlign w:val="center"/>
          </w:tcPr>
          <w:p w14:paraId="2FA123C9">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90.00 </w:t>
            </w:r>
          </w:p>
        </w:tc>
        <w:tc>
          <w:tcPr>
            <w:tcW w:w="1049" w:type="dxa"/>
            <w:vAlign w:val="center"/>
          </w:tcPr>
          <w:p w14:paraId="56EEBB0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M2</w:t>
            </w:r>
          </w:p>
        </w:tc>
        <w:tc>
          <w:tcPr>
            <w:tcW w:w="2937" w:type="dxa"/>
            <w:vAlign w:val="center"/>
          </w:tcPr>
          <w:p w14:paraId="407700A4">
            <w:pPr>
              <w:jc w:val="center"/>
              <w:rPr>
                <w:rFonts w:hint="eastAsia" w:ascii="宋体" w:hAnsi="宋体" w:eastAsia="宋体" w:cs="宋体"/>
                <w:color w:val="auto"/>
                <w:vertAlign w:val="baseline"/>
                <w:lang w:val="en-US" w:eastAsia="zh-CN"/>
              </w:rPr>
            </w:pPr>
          </w:p>
        </w:tc>
      </w:tr>
      <w:tr w14:paraId="42335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200A7D80">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w:t>
            </w:r>
          </w:p>
        </w:tc>
        <w:tc>
          <w:tcPr>
            <w:tcW w:w="1304" w:type="dxa"/>
            <w:vAlign w:val="center"/>
          </w:tcPr>
          <w:p w14:paraId="75F7CB2F">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顶面</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格栅灯</w:t>
            </w:r>
          </w:p>
        </w:tc>
        <w:tc>
          <w:tcPr>
            <w:tcW w:w="7370" w:type="dxa"/>
            <w:vAlign w:val="center"/>
          </w:tcPr>
          <w:p w14:paraId="5EDD824A">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灯具尺寸：≥</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600</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mm</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2.外壳材质：</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白色</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铝材灯框；</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3.驱动器：内置IC恒流驱动电源，有效降低电流噪声 ；色温：</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6000K</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4.光源功率：≥</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30W</w:t>
            </w: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 ；显色指数：≥80；整体灯光亮度符合国家中小学专用教室照明设计规范。</w:t>
            </w:r>
          </w:p>
        </w:tc>
        <w:tc>
          <w:tcPr>
            <w:tcW w:w="1191" w:type="dxa"/>
            <w:vAlign w:val="center"/>
          </w:tcPr>
          <w:p w14:paraId="2D3FC097">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1</w:t>
            </w: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6</w:t>
            </w:r>
          </w:p>
        </w:tc>
        <w:tc>
          <w:tcPr>
            <w:tcW w:w="1049" w:type="dxa"/>
            <w:vAlign w:val="center"/>
          </w:tcPr>
          <w:p w14:paraId="5B6CFFFE">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盏</w:t>
            </w:r>
          </w:p>
        </w:tc>
        <w:tc>
          <w:tcPr>
            <w:tcW w:w="2937" w:type="dxa"/>
            <w:vAlign w:val="center"/>
          </w:tcPr>
          <w:p w14:paraId="29438C6F">
            <w:pPr>
              <w:jc w:val="center"/>
              <w:rPr>
                <w:rFonts w:hint="eastAsia" w:ascii="宋体" w:hAnsi="宋体" w:eastAsia="宋体" w:cs="宋体"/>
                <w:color w:val="auto"/>
                <w:vertAlign w:val="baseline"/>
                <w:lang w:val="en-US" w:eastAsia="zh-CN"/>
              </w:rPr>
            </w:pPr>
          </w:p>
        </w:tc>
      </w:tr>
      <w:tr w14:paraId="6F585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48" w:type="dxa"/>
            <w:vAlign w:val="center"/>
          </w:tcPr>
          <w:p w14:paraId="4203F8C8">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cs="宋体"/>
                <w:i w:val="0"/>
                <w:iCs w:val="0"/>
                <w:color w:val="000000" w:themeColor="text1"/>
                <w:kern w:val="0"/>
                <w:sz w:val="20"/>
                <w:szCs w:val="20"/>
                <w:u w:val="none"/>
                <w:lang w:val="en-US" w:eastAsia="zh-CN" w:bidi="ar"/>
                <w14:textFill>
                  <w14:solidFill>
                    <w14:schemeClr w14:val="tx1"/>
                  </w14:solidFill>
                </w14:textFill>
              </w:rPr>
              <w:t>4</w:t>
            </w:r>
          </w:p>
        </w:tc>
        <w:tc>
          <w:tcPr>
            <w:tcW w:w="1304" w:type="dxa"/>
            <w:vAlign w:val="center"/>
          </w:tcPr>
          <w:p w14:paraId="5B0C7E8A">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装修集成、管理</w:t>
            </w:r>
          </w:p>
        </w:tc>
        <w:tc>
          <w:tcPr>
            <w:tcW w:w="7370" w:type="dxa"/>
            <w:vAlign w:val="center"/>
          </w:tcPr>
          <w:p w14:paraId="2F137187">
            <w:pPr>
              <w:keepNext w:val="0"/>
              <w:keepLines w:val="0"/>
              <w:widowControl/>
              <w:suppressLineNumbers w:val="0"/>
              <w:jc w:val="left"/>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装修材料搬运、垃圾搬运、辅材附件、现场管理，原灯光拆除放置指定位置，综合布线等</w:t>
            </w:r>
          </w:p>
        </w:tc>
        <w:tc>
          <w:tcPr>
            <w:tcW w:w="1191" w:type="dxa"/>
            <w:vAlign w:val="center"/>
          </w:tcPr>
          <w:p w14:paraId="2A23085F">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 xml:space="preserve">1.00 </w:t>
            </w:r>
          </w:p>
        </w:tc>
        <w:tc>
          <w:tcPr>
            <w:tcW w:w="1049" w:type="dxa"/>
            <w:vAlign w:val="center"/>
          </w:tcPr>
          <w:p w14:paraId="5D62F4B1">
            <w:pPr>
              <w:keepNext w:val="0"/>
              <w:keepLines w:val="0"/>
              <w:widowControl/>
              <w:suppressLineNumbers w:val="0"/>
              <w:jc w:val="center"/>
              <w:textAlignment w:val="center"/>
              <w:rPr>
                <w:rFonts w:hint="eastAsia" w:ascii="宋体" w:hAnsi="宋体" w:eastAsia="宋体" w:cs="宋体"/>
                <w:color w:val="000000" w:themeColor="text1"/>
                <w:vertAlign w:val="baseline"/>
                <w:lang w:val="en-US" w:eastAsia="zh-CN"/>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项</w:t>
            </w:r>
          </w:p>
        </w:tc>
        <w:tc>
          <w:tcPr>
            <w:tcW w:w="2937" w:type="dxa"/>
            <w:vAlign w:val="center"/>
          </w:tcPr>
          <w:p w14:paraId="2B1108CD">
            <w:pPr>
              <w:jc w:val="center"/>
              <w:rPr>
                <w:rFonts w:hint="eastAsia" w:ascii="宋体" w:hAnsi="宋体" w:eastAsia="宋体" w:cs="宋体"/>
                <w:color w:val="auto"/>
                <w:vertAlign w:val="baseline"/>
                <w:lang w:val="en-US" w:eastAsia="zh-CN"/>
              </w:rPr>
            </w:pPr>
          </w:p>
        </w:tc>
      </w:tr>
    </w:tbl>
    <w:p w14:paraId="722FACBF">
      <w:pPr>
        <w:tabs>
          <w:tab w:val="left" w:pos="748"/>
          <w:tab w:val="left" w:pos="2052"/>
          <w:tab w:val="left" w:pos="9422"/>
          <w:tab w:val="left" w:pos="10613"/>
          <w:tab w:val="left" w:pos="11662"/>
        </w:tabs>
        <w:jc w:val="both"/>
        <w:rPr>
          <w:rFonts w:hint="eastAsia" w:ascii="宋体" w:hAnsi="宋体" w:eastAsia="宋体" w:cs="宋体"/>
          <w:color w:val="auto"/>
          <w:sz w:val="20"/>
          <w:szCs w:val="20"/>
          <w:vertAlign w:val="baseline"/>
          <w:lang w:val="en-US" w:eastAsia="zh-CN"/>
        </w:rPr>
      </w:pPr>
      <w:r>
        <w:rPr>
          <w:rFonts w:hint="eastAsia" w:ascii="宋体" w:hAnsi="宋体" w:eastAsia="宋体" w:cs="宋体"/>
          <w:color w:val="auto"/>
          <w:sz w:val="20"/>
          <w:szCs w:val="20"/>
          <w:vertAlign w:val="baseline"/>
          <w:lang w:val="en-US" w:eastAsia="zh-CN"/>
        </w:rPr>
        <w:tab/>
      </w:r>
      <w:r>
        <w:rPr>
          <w:rFonts w:hint="eastAsia" w:ascii="宋体" w:hAnsi="宋体" w:eastAsia="宋体" w:cs="宋体"/>
          <w:color w:val="auto"/>
          <w:sz w:val="20"/>
          <w:szCs w:val="20"/>
          <w:vertAlign w:val="baseline"/>
          <w:lang w:val="en-US" w:eastAsia="zh-CN"/>
        </w:rPr>
        <w:tab/>
      </w:r>
    </w:p>
    <w:p w14:paraId="6E2B5893">
      <w:pPr>
        <w:tabs>
          <w:tab w:val="left" w:pos="748"/>
          <w:tab w:val="left" w:pos="2052"/>
          <w:tab w:val="left" w:pos="9422"/>
          <w:tab w:val="left" w:pos="10613"/>
          <w:tab w:val="left" w:pos="11662"/>
        </w:tabs>
        <w:jc w:val="both"/>
        <w:rPr>
          <w:rFonts w:hint="eastAsia" w:ascii="宋体" w:hAnsi="宋体" w:eastAsia="宋体" w:cs="宋体"/>
          <w:color w:val="auto"/>
          <w:lang w:val="en-US" w:eastAsia="zh-CN"/>
        </w:rPr>
        <w:sectPr>
          <w:pgSz w:w="16838" w:h="11906" w:orient="landscape"/>
          <w:pgMar w:top="1440" w:right="1440" w:bottom="1440" w:left="1440" w:header="851" w:footer="850" w:gutter="0"/>
          <w:pgNumType w:fmt="decimal"/>
          <w:cols w:space="0" w:num="1"/>
          <w:rtlGutter w:val="0"/>
          <w:docGrid w:linePitch="312" w:charSpace="0"/>
        </w:sectPr>
      </w:pPr>
    </w:p>
    <w:p w14:paraId="0B698F31">
      <w:pPr>
        <w:keepNext w:val="0"/>
        <w:keepLines w:val="0"/>
        <w:pageBreakBefore w:val="0"/>
        <w:widowControl w:val="0"/>
        <w:shd w:val="clear" w:color="auto"/>
        <w:kinsoku/>
        <w:wordWrap w:val="0"/>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bookmarkStart w:id="87" w:name="_Toc155272985"/>
    </w:p>
    <w:p w14:paraId="2A9862DA">
      <w:pPr>
        <w:keepNext w:val="0"/>
        <w:keepLines w:val="0"/>
        <w:pageBreakBefore w:val="0"/>
        <w:widowControl w:val="0"/>
        <w:shd w:val="clear" w:color="auto"/>
        <w:kinsoku/>
        <w:wordWrap w:val="0"/>
        <w:overflowPunct/>
        <w:topLinePunct w:val="0"/>
        <w:autoSpaceDE/>
        <w:autoSpaceDN/>
        <w:bidi w:val="0"/>
        <w:adjustRightInd/>
        <w:snapToGrid w:val="0"/>
        <w:spacing w:line="360" w:lineRule="auto"/>
        <w:textAlignment w:val="auto"/>
        <w:outlineLvl w:val="1"/>
        <w:rPr>
          <w:rFonts w:hint="eastAsia" w:ascii="宋体" w:hAnsi="宋体" w:eastAsia="宋体" w:cs="宋体"/>
          <w:b/>
          <w:bCs/>
          <w:color w:val="000000" w:themeColor="text1"/>
          <w:sz w:val="24"/>
          <w:szCs w:val="24"/>
          <w:highlight w:val="none"/>
          <w:lang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四</w:t>
      </w:r>
      <w:r>
        <w:rPr>
          <w:rFonts w:hint="eastAsia" w:ascii="宋体" w:hAnsi="宋体" w:eastAsia="宋体" w:cs="宋体"/>
          <w:b/>
          <w:bCs/>
          <w:color w:val="000000" w:themeColor="text1"/>
          <w:sz w:val="24"/>
          <w:szCs w:val="24"/>
          <w:highlight w:val="none"/>
          <w:lang w:eastAsia="zh-CN"/>
          <w14:textFill>
            <w14:solidFill>
              <w14:schemeClr w14:val="tx1"/>
            </w14:solidFill>
          </w14:textFill>
        </w:rPr>
        <w:t>、</w:t>
      </w:r>
      <w:r>
        <w:rPr>
          <w:rFonts w:hint="eastAsia" w:ascii="宋体" w:hAnsi="宋体" w:cs="宋体"/>
          <w:b/>
          <w:bCs/>
          <w:color w:val="000000" w:themeColor="text1"/>
          <w:sz w:val="24"/>
          <w:szCs w:val="24"/>
          <w:highlight w:val="none"/>
          <w:lang w:val="en-US" w:eastAsia="zh-CN"/>
          <w14:textFill>
            <w14:solidFill>
              <w14:schemeClr w14:val="tx1"/>
            </w14:solidFill>
          </w14:textFill>
        </w:rPr>
        <w:t>商务</w:t>
      </w:r>
      <w:r>
        <w:rPr>
          <w:rFonts w:hint="eastAsia" w:ascii="宋体" w:hAnsi="宋体" w:eastAsia="宋体" w:cs="宋体"/>
          <w:b/>
          <w:bCs/>
          <w:color w:val="000000" w:themeColor="text1"/>
          <w:sz w:val="24"/>
          <w:szCs w:val="24"/>
          <w:highlight w:val="none"/>
          <w:lang w:eastAsia="zh-CN"/>
          <w14:textFill>
            <w14:solidFill>
              <w14:schemeClr w14:val="tx1"/>
            </w14:solidFill>
          </w14:textFill>
        </w:rPr>
        <w:t>要求</w:t>
      </w:r>
      <w:bookmarkEnd w:id="87"/>
    </w:p>
    <w:p w14:paraId="58E9B7B3">
      <w:pPr>
        <w:shd w:val="clear" w:color="auto"/>
        <w:spacing w:line="360" w:lineRule="auto"/>
        <w:ind w:firstLine="472" w:firstLineChars="196"/>
        <w:rPr>
          <w:rFonts w:hint="eastAsia" w:ascii="宋体" w:hAnsi="宋体" w:eastAsia="宋体" w:cs="宋体"/>
          <w:b/>
          <w:color w:val="000000" w:themeColor="text1"/>
          <w:sz w:val="24"/>
          <w:szCs w:val="24"/>
          <w:highlight w:val="none"/>
          <w14:textFill>
            <w14:solidFill>
              <w14:schemeClr w14:val="tx1"/>
            </w14:solidFill>
          </w14:textFill>
        </w:rPr>
      </w:pPr>
      <w:r>
        <w:rPr>
          <w:rFonts w:hint="eastAsia" w:ascii="宋体" w:hAnsi="宋体" w:eastAsia="宋体" w:cs="宋体"/>
          <w:b/>
          <w:color w:val="000000" w:themeColor="text1"/>
          <w:sz w:val="24"/>
          <w:szCs w:val="24"/>
          <w:highlight w:val="none"/>
          <w14:textFill>
            <w14:solidFill>
              <w14:schemeClr w14:val="tx1"/>
            </w14:solidFill>
          </w14:textFill>
        </w:rPr>
        <w:t>1、工期要求：合同签订后</w:t>
      </w:r>
      <w:r>
        <w:rPr>
          <w:rFonts w:hint="eastAsia" w:ascii="宋体" w:hAnsi="宋体" w:eastAsia="宋体" w:cs="宋体"/>
          <w:b/>
          <w:color w:val="000000" w:themeColor="text1"/>
          <w:sz w:val="24"/>
          <w:szCs w:val="24"/>
          <w:highlight w:val="none"/>
          <w:lang w:val="en-US" w:eastAsia="zh-CN"/>
          <w14:textFill>
            <w14:solidFill>
              <w14:schemeClr w14:val="tx1"/>
            </w14:solidFill>
          </w14:textFill>
        </w:rPr>
        <w:t>3</w:t>
      </w:r>
      <w:r>
        <w:rPr>
          <w:rFonts w:hint="eastAsia" w:ascii="宋体" w:hAnsi="宋体" w:eastAsia="宋体" w:cs="宋体"/>
          <w:b/>
          <w:color w:val="000000" w:themeColor="text1"/>
          <w:sz w:val="24"/>
          <w:szCs w:val="24"/>
          <w:highlight w:val="none"/>
          <w14:textFill>
            <w14:solidFill>
              <w14:schemeClr w14:val="tx1"/>
            </w14:solidFill>
          </w14:textFill>
        </w:rPr>
        <w:t>0天内安装调试验收完毕</w:t>
      </w:r>
      <w:r>
        <w:rPr>
          <w:rFonts w:hint="eastAsia" w:ascii="宋体" w:hAnsi="宋体" w:cs="宋体"/>
          <w:b/>
          <w:color w:val="000000" w:themeColor="text1"/>
          <w:sz w:val="24"/>
          <w:szCs w:val="24"/>
          <w:highlight w:val="none"/>
          <w:lang w:eastAsia="zh-CN"/>
          <w14:textFill>
            <w14:solidFill>
              <w14:schemeClr w14:val="tx1"/>
            </w14:solidFill>
          </w14:textFill>
        </w:rPr>
        <w:t>（</w:t>
      </w:r>
      <w:r>
        <w:rPr>
          <w:rFonts w:hint="eastAsia" w:ascii="宋体" w:hAnsi="宋体" w:cs="宋体"/>
          <w:b/>
          <w:color w:val="000000" w:themeColor="text1"/>
          <w:sz w:val="24"/>
          <w:szCs w:val="24"/>
          <w:highlight w:val="none"/>
          <w:lang w:val="en-US" w:eastAsia="zh-CN"/>
          <w14:textFill>
            <w14:solidFill>
              <w14:schemeClr w14:val="tx1"/>
            </w14:solidFill>
          </w14:textFill>
        </w:rPr>
        <w:t>按甲方实际需求</w:t>
      </w:r>
      <w:r>
        <w:rPr>
          <w:rFonts w:hint="eastAsia" w:ascii="宋体" w:hAnsi="宋体" w:cs="宋体"/>
          <w:b/>
          <w:color w:val="000000" w:themeColor="text1"/>
          <w:sz w:val="24"/>
          <w:szCs w:val="24"/>
          <w:highlight w:val="none"/>
          <w:lang w:eastAsia="zh-CN"/>
          <w14:textFill>
            <w14:solidFill>
              <w14:schemeClr w14:val="tx1"/>
            </w14:solidFill>
          </w14:textFill>
        </w:rPr>
        <w:t>）</w:t>
      </w:r>
      <w:r>
        <w:rPr>
          <w:rFonts w:hint="eastAsia" w:ascii="宋体" w:hAnsi="宋体" w:eastAsia="宋体" w:cs="宋体"/>
          <w:b/>
          <w:color w:val="000000" w:themeColor="text1"/>
          <w:sz w:val="24"/>
          <w:szCs w:val="24"/>
          <w:highlight w:val="none"/>
          <w14:textFill>
            <w14:solidFill>
              <w14:schemeClr w14:val="tx1"/>
            </w14:solidFill>
          </w14:textFill>
        </w:rPr>
        <w:t>。</w:t>
      </w:r>
    </w:p>
    <w:p w14:paraId="34E60FD1">
      <w:pPr>
        <w:shd w:val="clear" w:color="auto" w:fill="auto"/>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2、供货安装地点：采购人指定地点。</w:t>
      </w:r>
    </w:p>
    <w:p w14:paraId="2AAC59FB">
      <w:pPr>
        <w:shd w:val="clear" w:color="auto" w:fill="auto"/>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3、资料提供：货物到场后，中标人须向招标人出具产品合格证，并提供货物清单。</w:t>
      </w:r>
    </w:p>
    <w:p w14:paraId="06FCA25A">
      <w:pPr>
        <w:shd w:val="clear" w:color="auto" w:fill="auto"/>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4、到场初步验收及调试：在合同工期内按时供货，货到场初步验收</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经</w:t>
      </w:r>
      <w:r>
        <w:rPr>
          <w:rFonts w:hint="eastAsia" w:ascii="宋体" w:hAnsi="宋体" w:eastAsia="宋体" w:cs="宋体"/>
          <w:color w:val="000000" w:themeColor="text1"/>
          <w:sz w:val="24"/>
          <w:szCs w:val="24"/>
          <w:highlight w:val="none"/>
          <w14:textFill>
            <w14:solidFill>
              <w14:schemeClr w14:val="tx1"/>
            </w14:solidFill>
          </w14:textFill>
        </w:rPr>
        <w:t>安装调试</w:t>
      </w:r>
      <w:r>
        <w:rPr>
          <w:rFonts w:hint="eastAsia" w:ascii="宋体" w:hAnsi="宋体" w:eastAsia="宋体" w:cs="宋体"/>
          <w:color w:val="000000" w:themeColor="text1"/>
          <w:sz w:val="24"/>
          <w:szCs w:val="24"/>
          <w:highlight w:val="none"/>
          <w:lang w:val="en-US" w:eastAsia="zh-CN"/>
          <w14:textFill>
            <w14:solidFill>
              <w14:schemeClr w14:val="tx1"/>
            </w14:solidFill>
          </w14:textFill>
        </w:rPr>
        <w:t>后组织正式验收</w:t>
      </w:r>
      <w:r>
        <w:rPr>
          <w:rFonts w:hint="eastAsia" w:ascii="宋体" w:hAnsi="宋体" w:eastAsia="宋体" w:cs="宋体"/>
          <w:color w:val="000000" w:themeColor="text1"/>
          <w:sz w:val="24"/>
          <w:szCs w:val="24"/>
          <w:highlight w:val="none"/>
          <w14:textFill>
            <w14:solidFill>
              <w14:schemeClr w14:val="tx1"/>
            </w14:solidFill>
          </w14:textFill>
        </w:rPr>
        <w:t>。</w:t>
      </w:r>
    </w:p>
    <w:p w14:paraId="749456CE">
      <w:pPr>
        <w:shd w:val="clear" w:color="auto" w:fill="auto"/>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5、质量要求：达到国家及浙江省相关最新规定。</w:t>
      </w:r>
    </w:p>
    <w:p w14:paraId="676C34A0">
      <w:pPr>
        <w:shd w:val="clear" w:color="auto" w:fill="auto"/>
        <w:spacing w:line="360" w:lineRule="auto"/>
        <w:ind w:firstLine="470" w:firstLineChars="196"/>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6</w:t>
      </w:r>
      <w:r>
        <w:rPr>
          <w:rFonts w:hint="eastAsia" w:ascii="宋体" w:hAnsi="宋体" w:eastAsia="宋体" w:cs="宋体"/>
          <w:color w:val="000000" w:themeColor="text1"/>
          <w:sz w:val="24"/>
          <w:szCs w:val="24"/>
          <w:highlight w:val="none"/>
          <w14:textFill>
            <w14:solidFill>
              <w14:schemeClr w14:val="tx1"/>
            </w14:solidFill>
          </w14:textFill>
        </w:rPr>
        <w:t>、产品保护：设备安装完成后，中标人须负责全部设备的保护和清洁工作，直至设备验收合格并正常运行后为止。在安装过程中，如建筑结构或其它设备被损坏，中标人必须无条件负责修理或赔偿损失。</w:t>
      </w:r>
    </w:p>
    <w:p w14:paraId="7F103D76">
      <w:pPr>
        <w:keepNext w:val="0"/>
        <w:keepLines w:val="0"/>
        <w:pageBreakBefore w:val="0"/>
        <w:widowControl w:val="0"/>
        <w:shd w:val="clear" w:color="auto" w:fill="auto"/>
        <w:kinsoku/>
        <w:wordWrap w:val="0"/>
        <w:overflowPunct/>
        <w:topLinePunct w:val="0"/>
        <w:autoSpaceDE/>
        <w:autoSpaceDN/>
        <w:bidi w:val="0"/>
        <w:adjustRightInd/>
        <w:snapToGrid w:val="0"/>
        <w:spacing w:line="360" w:lineRule="auto"/>
        <w:ind w:left="0" w:leftChars="0" w:firstLine="482" w:firstLineChars="200"/>
        <w:textAlignment w:val="auto"/>
        <w:outlineLvl w:val="1"/>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五、</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安装、</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验收和售后服务</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要求</w:t>
      </w:r>
    </w:p>
    <w:p w14:paraId="7900486E">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（一）</w:t>
      </w:r>
      <w:r>
        <w:rPr>
          <w:rFonts w:hint="eastAsia" w:ascii="宋体" w:hAnsi="宋体" w:eastAsia="宋体" w:cs="宋体"/>
          <w:color w:val="000000" w:themeColor="text1"/>
          <w:sz w:val="24"/>
          <w:szCs w:val="24"/>
          <w:highlight w:val="none"/>
          <w14:textFill>
            <w14:solidFill>
              <w14:schemeClr w14:val="tx1"/>
            </w14:solidFill>
          </w14:textFill>
        </w:rPr>
        <w:t xml:space="preserve"> 安装要求：</w:t>
      </w:r>
    </w:p>
    <w:p w14:paraId="4D87D8E1">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中标人提供货物安装、调试等服务，中标人须对货物的完整性负责，如相关货物、配件在招标清单中未列出但安装所采购货物时必需，由中标人提供，产生的一切费用，均由中标人负责。搬运安装过程中造成原建筑设施、室外道路、绿化、墙体、门窗、锁具等损坏及下水道堵塞的，由中标人进行修复或按实赔偿，或由采购人委托第三方修复，所产生费用由中标人支付。</w:t>
      </w:r>
    </w:p>
    <w:p w14:paraId="117AC616">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（二）</w:t>
      </w:r>
      <w:r>
        <w:rPr>
          <w:rFonts w:hint="eastAsia" w:ascii="宋体" w:hAnsi="宋体" w:eastAsia="宋体" w:cs="宋体"/>
          <w:color w:val="000000" w:themeColor="text1"/>
          <w:sz w:val="24"/>
          <w:szCs w:val="24"/>
          <w:highlight w:val="none"/>
          <w14:textFill>
            <w14:solidFill>
              <w14:schemeClr w14:val="tx1"/>
            </w14:solidFill>
          </w14:textFill>
        </w:rPr>
        <w:t xml:space="preserve">验收要求： </w:t>
      </w:r>
    </w:p>
    <w:p w14:paraId="43AAE968">
      <w:pPr>
        <w:shd w:val="clear" w:color="auto" w:fill="auto"/>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本项目安装调试完成，平稳运行30天内组织验收。成交人向采购人提交竣工报告、第三方检测报告（如需）等资料（纸质装订成册，电子文档一并交于采购人）；5个工作日内，由采购人委托第三方验收或邀请政府采购评标专家与学校代表组成验收小组做现场验收，并由验收小组出具验收报告；如验收过程中发现问题，成交人需做出书面解决承诺。首次验收过程中产生的费用，由采购人承担；如首次验收不合格，整改的费用及重新验收产生的所有费用由成交人承担。</w:t>
      </w:r>
    </w:p>
    <w:p w14:paraId="45471B9D">
      <w:pPr>
        <w:shd w:val="clear" w:color="auto" w:fill="auto"/>
        <w:spacing w:line="360" w:lineRule="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w:t>
      </w:r>
      <w:r>
        <w:rPr>
          <w:rFonts w:hint="eastAsia" w:ascii="宋体" w:hAnsi="宋体" w:cs="宋体"/>
          <w:color w:val="000000" w:themeColor="text1"/>
          <w:sz w:val="24"/>
          <w:szCs w:val="24"/>
          <w:highlight w:val="none"/>
          <w:lang w:eastAsia="zh-CN"/>
          <w14:textFill>
            <w14:solidFill>
              <w14:schemeClr w14:val="tx1"/>
            </w14:solidFill>
          </w14:textFill>
        </w:rPr>
        <w:t>（</w:t>
      </w:r>
      <w:r>
        <w:rPr>
          <w:rFonts w:hint="eastAsia" w:ascii="宋体" w:hAnsi="宋体" w:cs="宋体"/>
          <w:color w:val="000000" w:themeColor="text1"/>
          <w:sz w:val="24"/>
          <w:szCs w:val="24"/>
          <w:highlight w:val="none"/>
          <w:lang w:val="en-US" w:eastAsia="zh-CN"/>
          <w14:textFill>
            <w14:solidFill>
              <w14:schemeClr w14:val="tx1"/>
            </w14:solidFill>
          </w14:textFill>
        </w:rPr>
        <w:t>三</w:t>
      </w:r>
      <w:r>
        <w:rPr>
          <w:rFonts w:hint="eastAsia" w:ascii="宋体" w:hAnsi="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售后服务</w:t>
      </w:r>
      <w:r>
        <w:rPr>
          <w:rFonts w:hint="eastAsia" w:ascii="宋体" w:hAnsi="宋体" w:cs="宋体"/>
          <w:color w:val="000000" w:themeColor="text1"/>
          <w:sz w:val="24"/>
          <w:szCs w:val="24"/>
          <w:highlight w:val="none"/>
          <w:lang w:val="en-US" w:eastAsia="zh-CN"/>
          <w14:textFill>
            <w14:solidFill>
              <w14:schemeClr w14:val="tx1"/>
            </w14:solidFill>
          </w14:textFill>
        </w:rPr>
        <w:t>要求</w:t>
      </w:r>
    </w:p>
    <w:p w14:paraId="4657EDDF">
      <w:pPr>
        <w:shd w:val="clear" w:color="auto" w:fill="auto"/>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（1）</w:t>
      </w:r>
      <w:r>
        <w:rPr>
          <w:rFonts w:hint="eastAsia" w:ascii="宋体" w:hAnsi="宋体" w:eastAsia="宋体" w:cs="宋体"/>
          <w:b/>
          <w:color w:val="000000" w:themeColor="text1"/>
          <w:sz w:val="24"/>
          <w:szCs w:val="24"/>
          <w:highlight w:val="none"/>
          <w14:textFill>
            <w14:solidFill>
              <w14:schemeClr w14:val="tx1"/>
            </w14:solidFill>
          </w14:textFill>
        </w:rPr>
        <w:t>设备质保及维护期不少于3年</w:t>
      </w:r>
      <w:r>
        <w:rPr>
          <w:rFonts w:hint="eastAsia" w:ascii="宋体" w:hAnsi="宋体" w:eastAsia="宋体" w:cs="宋体"/>
          <w:color w:val="000000" w:themeColor="text1"/>
          <w:sz w:val="24"/>
          <w:szCs w:val="24"/>
          <w:highlight w:val="none"/>
          <w14:textFill>
            <w14:solidFill>
              <w14:schemeClr w14:val="tx1"/>
            </w14:solidFill>
          </w14:textFill>
        </w:rPr>
        <w:t>，自竣工验收合格之日起计算，质保维护期内中标人为招标人提供项目免费咨询、日常维护、保养、维修及零配件更换。质保维护期满后，中标人须提供长期维修服务，收取维修成本费，零配件不高于中标时零配件的投标价格。在质保期内非人为破坏因素引起的维修、保</w:t>
      </w:r>
      <w:r>
        <w:rPr>
          <w:rFonts w:hint="eastAsia" w:ascii="宋体" w:hAnsi="宋体" w:eastAsia="宋体" w:cs="宋体"/>
          <w:color w:val="000000" w:themeColor="text1"/>
          <w:kern w:val="0"/>
          <w:sz w:val="24"/>
          <w:szCs w:val="24"/>
          <w:highlight w:val="none"/>
          <w14:textFill>
            <w14:solidFill>
              <w14:schemeClr w14:val="tx1"/>
            </w14:solidFill>
          </w14:textFill>
        </w:rPr>
        <w:t>养</w:t>
      </w:r>
      <w:r>
        <w:rPr>
          <w:rFonts w:hint="eastAsia" w:ascii="宋体" w:hAnsi="宋体" w:eastAsia="宋体" w:cs="宋体"/>
          <w:color w:val="000000" w:themeColor="text1"/>
          <w:sz w:val="24"/>
          <w:szCs w:val="24"/>
          <w:highlight w:val="none"/>
          <w14:textFill>
            <w14:solidFill>
              <w14:schemeClr w14:val="tx1"/>
            </w14:solidFill>
          </w14:textFill>
        </w:rPr>
        <w:t>均由中标人承担，合同内的所有产品要求提供上门服务（招标文件另有规定除外）。</w:t>
      </w:r>
    </w:p>
    <w:p w14:paraId="0A67AF6F">
      <w:pPr>
        <w:keepNext w:val="0"/>
        <w:keepLines w:val="0"/>
        <w:pageBreakBefore w:val="0"/>
        <w:widowControl w:val="0"/>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（2）技术培训：中标人须对采购人的技术人员、维修人员及操作人员进行免费培训。中标人须在</w:t>
      </w:r>
      <w:r>
        <w:rPr>
          <w:rFonts w:hint="eastAsia" w:ascii="宋体" w:hAnsi="宋体" w:eastAsia="宋体" w:cs="宋体"/>
          <w:color w:val="000000" w:themeColor="text1"/>
          <w:sz w:val="24"/>
          <w:szCs w:val="24"/>
          <w:highlight w:val="none"/>
          <w:lang w:val="en-US" w:eastAsia="zh-CN"/>
          <w14:textFill>
            <w14:solidFill>
              <w14:schemeClr w14:val="tx1"/>
            </w14:solidFill>
          </w14:textFill>
        </w:rPr>
        <w:t>投标</w:t>
      </w:r>
      <w:r>
        <w:rPr>
          <w:rFonts w:hint="eastAsia" w:ascii="宋体" w:hAnsi="宋体" w:eastAsia="宋体" w:cs="宋体"/>
          <w:color w:val="000000" w:themeColor="text1"/>
          <w:sz w:val="24"/>
          <w:szCs w:val="24"/>
          <w:highlight w:val="none"/>
          <w14:textFill>
            <w14:solidFill>
              <w14:schemeClr w14:val="tx1"/>
            </w14:solidFill>
          </w14:textFill>
        </w:rPr>
        <w:t>文件中提供详细的培训计划，包括培训内容、地点、培训时间等。</w:t>
      </w:r>
    </w:p>
    <w:p w14:paraId="6931F149">
      <w:pPr>
        <w:pStyle w:val="26"/>
        <w:shd w:val="clear" w:color="auto" w:fill="auto"/>
        <w:spacing w:after="0" w:line="360" w:lineRule="auto"/>
        <w:ind w:firstLine="284"/>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b/>
          <w:color w:val="000000" w:themeColor="text1"/>
          <w:sz w:val="24"/>
          <w:szCs w:val="24"/>
          <w:highlight w:val="none"/>
          <w:lang w:val="en-US"/>
          <w14:textFill>
            <w14:solidFill>
              <w14:schemeClr w14:val="tx1"/>
            </w14:solidFill>
          </w14:textFill>
        </w:rPr>
        <w:t>（</w:t>
      </w:r>
      <w:r>
        <w:rPr>
          <w:rFonts w:hint="eastAsia" w:ascii="宋体" w:hAnsi="宋体" w:eastAsia="宋体" w:cs="宋体"/>
          <w:b/>
          <w:color w:val="000000" w:themeColor="text1"/>
          <w:sz w:val="24"/>
          <w:szCs w:val="24"/>
          <w:highlight w:val="none"/>
          <w:lang w:val="en-US" w:eastAsia="zh-CN"/>
          <w14:textFill>
            <w14:solidFill>
              <w14:schemeClr w14:val="tx1"/>
            </w14:solidFill>
          </w14:textFill>
        </w:rPr>
        <w:t>3</w:t>
      </w:r>
      <w:r>
        <w:rPr>
          <w:rFonts w:hint="eastAsia" w:ascii="宋体" w:hAnsi="宋体" w:eastAsia="宋体" w:cs="宋体"/>
          <w:b/>
          <w:color w:val="000000" w:themeColor="text1"/>
          <w:sz w:val="24"/>
          <w:szCs w:val="24"/>
          <w:highlight w:val="none"/>
          <w:lang w:val="en-US"/>
          <w14:textFill>
            <w14:solidFill>
              <w14:schemeClr w14:val="tx1"/>
            </w14:solidFill>
          </w14:textFill>
        </w:rPr>
        <w:t>）</w:t>
      </w:r>
      <w:r>
        <w:rPr>
          <w:rFonts w:hint="eastAsia" w:ascii="宋体" w:hAnsi="宋体" w:eastAsia="宋体" w:cs="宋体"/>
          <w:b/>
          <w:bCs/>
          <w:color w:val="000000" w:themeColor="text1"/>
          <w:kern w:val="0"/>
          <w:sz w:val="24"/>
          <w:szCs w:val="24"/>
          <w:highlight w:val="none"/>
          <w14:textFill>
            <w14:solidFill>
              <w14:schemeClr w14:val="tx1"/>
            </w14:solidFill>
          </w14:textFill>
        </w:rPr>
        <w:t>服务响应要求：</w:t>
      </w:r>
      <w:r>
        <w:rPr>
          <w:rFonts w:hint="eastAsia" w:ascii="宋体" w:hAnsi="宋体" w:eastAsia="宋体" w:cs="宋体"/>
          <w:color w:val="000000" w:themeColor="text1"/>
          <w:kern w:val="0"/>
          <w:sz w:val="24"/>
          <w:szCs w:val="24"/>
          <w:highlight w:val="none"/>
          <w14:textFill>
            <w14:solidFill>
              <w14:schemeClr w14:val="tx1"/>
            </w14:solidFill>
          </w14:textFill>
        </w:rPr>
        <w:t>提供产品保修卡，并按厂家产品规定保修期限及内容以及供应商的其它承诺条款实行保修，出现故障后1小时内服务响应、</w:t>
      </w:r>
      <w:r>
        <w:rPr>
          <w:rFonts w:hint="eastAsia" w:ascii="宋体" w:hAnsi="宋体" w:eastAsia="宋体" w:cs="宋体"/>
          <w:color w:val="000000" w:themeColor="text1"/>
          <w:kern w:val="0"/>
          <w:sz w:val="24"/>
          <w:szCs w:val="24"/>
          <w:highlight w:val="none"/>
          <w:lang w:val="en-US"/>
          <w14:textFill>
            <w14:solidFill>
              <w14:schemeClr w14:val="tx1"/>
            </w14:solidFill>
          </w14:textFill>
        </w:rPr>
        <w:t>8</w:t>
      </w:r>
      <w:r>
        <w:rPr>
          <w:rFonts w:hint="eastAsia" w:ascii="宋体" w:hAnsi="宋体" w:eastAsia="宋体" w:cs="宋体"/>
          <w:color w:val="000000" w:themeColor="text1"/>
          <w:kern w:val="0"/>
          <w:sz w:val="24"/>
          <w:szCs w:val="24"/>
          <w:highlight w:val="none"/>
          <w14:textFill>
            <w14:solidFill>
              <w14:schemeClr w14:val="tx1"/>
            </w14:solidFill>
          </w14:textFill>
        </w:rPr>
        <w:t>小时内现场服务到位、24小时内解决问题，不能解决的提供相应功能产品进行临时替换。</w:t>
      </w:r>
    </w:p>
    <w:p w14:paraId="3B228F93">
      <w:pPr>
        <w:keepNext w:val="0"/>
        <w:keepLines w:val="0"/>
        <w:pageBreakBefore w:val="0"/>
        <w:widowControl w:val="0"/>
        <w:shd w:val="clear" w:color="auto" w:fill="auto"/>
        <w:kinsoku/>
        <w:wordWrap w:val="0"/>
        <w:overflowPunct/>
        <w:topLinePunct w:val="0"/>
        <w:autoSpaceDE/>
        <w:autoSpaceDN/>
        <w:bidi w:val="0"/>
        <w:adjustRightInd/>
        <w:snapToGrid w:val="0"/>
        <w:spacing w:line="360" w:lineRule="auto"/>
        <w:ind w:left="0" w:leftChars="0" w:firstLine="482" w:firstLineChars="200"/>
        <w:textAlignment w:val="auto"/>
        <w:outlineLvl w:val="1"/>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bookmarkStart w:id="88" w:name="_Toc155272986"/>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六</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、付款方式</w:t>
      </w:r>
      <w:bookmarkEnd w:id="88"/>
    </w:p>
    <w:p w14:paraId="6C5D7FA5">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bookmarkStart w:id="89" w:name="_Toc155272987"/>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合同签订后7个工作日内支付合同总价40%的预付款（中标供应商应同时提交银行、保险公司等金融机构出具同等金额的预付款保函），项目验收合格后7个工作日内支付合同金额的100%。</w:t>
      </w:r>
    </w:p>
    <w:p w14:paraId="4A297193">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中标供应商明确表示无需预付款或者主动要求降低预付款比例的，采购合同可不适用前述规定。</w:t>
      </w:r>
    </w:p>
    <w:p w14:paraId="3A50B16C">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在中标供应商领取项目款时，应提供与项目款同等数额的发票，否则，采购人有权拒绝支付结算款并不承担违约责任。</w:t>
      </w:r>
    </w:p>
    <w:p w14:paraId="0EADEC64">
      <w:pPr>
        <w:keepNext w:val="0"/>
        <w:keepLines w:val="0"/>
        <w:pageBreakBefore w:val="0"/>
        <w:widowControl w:val="0"/>
        <w:shd w:val="clear" w:color="auto" w:fill="auto"/>
        <w:kinsoku/>
        <w:wordWrap w:val="0"/>
        <w:overflowPunct/>
        <w:topLinePunct w:val="0"/>
        <w:autoSpaceDE/>
        <w:autoSpaceDN/>
        <w:bidi w:val="0"/>
        <w:adjustRightInd/>
        <w:snapToGrid w:val="0"/>
        <w:spacing w:line="360" w:lineRule="auto"/>
        <w:ind w:left="0" w:leftChars="0" w:firstLine="482" w:firstLineChars="200"/>
        <w:textAlignment w:val="auto"/>
        <w:outlineLvl w:val="1"/>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七、其他事项</w:t>
      </w:r>
      <w:bookmarkEnd w:id="89"/>
    </w:p>
    <w:p w14:paraId="41BFB101">
      <w:pPr>
        <w:pStyle w:val="26"/>
        <w:shd w:val="clear" w:color="auto" w:fill="auto"/>
        <w:spacing w:after="0" w:line="336" w:lineRule="auto"/>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14:textFill>
            <w14:solidFill>
              <w14:schemeClr w14:val="tx1"/>
            </w14:solidFill>
          </w14:textFill>
        </w:rPr>
        <w:t>1、</w:t>
      </w:r>
      <w:r>
        <w:rPr>
          <w:rFonts w:hint="eastAsia" w:ascii="宋体" w:hAnsi="宋体" w:eastAsia="宋体" w:cs="宋体"/>
          <w:color w:val="000000" w:themeColor="text1"/>
          <w:kern w:val="0"/>
          <w:sz w:val="24"/>
          <w:szCs w:val="24"/>
          <w:highlight w:val="none"/>
          <w14:textFill>
            <w14:solidFill>
              <w14:schemeClr w14:val="tx1"/>
            </w14:solidFill>
          </w14:textFill>
        </w:rPr>
        <w:t>施工安装过程中，各有关人员人身安全及财产安全问题由投标人自行解决，采购人概不负责。</w:t>
      </w:r>
    </w:p>
    <w:p w14:paraId="2638A8B1">
      <w:pPr>
        <w:pStyle w:val="26"/>
        <w:shd w:val="clear" w:color="auto" w:fill="auto"/>
        <w:spacing w:after="0" w:line="336" w:lineRule="auto"/>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14:textFill>
            <w14:solidFill>
              <w14:schemeClr w14:val="tx1"/>
            </w14:solidFill>
          </w14:textFill>
        </w:rPr>
        <w:t>2、备品备件及耗材要求：质保期配件等质量问题需要原配件维修。</w:t>
      </w:r>
    </w:p>
    <w:p w14:paraId="4D1AFDD9">
      <w:pPr>
        <w:pStyle w:val="26"/>
        <w:shd w:val="clear" w:color="auto" w:fill="auto"/>
        <w:spacing w:after="0" w:line="336" w:lineRule="auto"/>
        <w:rPr>
          <w:rFonts w:hint="eastAsia" w:ascii="宋体" w:hAnsi="宋体" w:eastAsia="宋体" w:cs="宋体"/>
          <w:color w:val="000000" w:themeColor="text1"/>
          <w:kern w:val="0"/>
          <w:sz w:val="32"/>
          <w:szCs w:val="32"/>
          <w:highlight w:val="none"/>
          <w:lang w:val="zh-CN" w:eastAsia="zh-CN" w:bidi="ar-SA"/>
          <w14:textFill>
            <w14:solidFill>
              <w14:schemeClr w14:val="tx1"/>
            </w14:solidFill>
          </w14:textFill>
        </w:rPr>
      </w:pPr>
      <w:r>
        <w:rPr>
          <w:rFonts w:hint="eastAsia" w:ascii="宋体" w:hAnsi="宋体" w:eastAsia="宋体" w:cs="宋体"/>
          <w:color w:val="000000" w:themeColor="text1"/>
          <w:kern w:val="0"/>
          <w:sz w:val="24"/>
          <w:szCs w:val="24"/>
          <w:highlight w:val="none"/>
          <w:lang w:val="zh-CN" w:eastAsia="zh-CN" w:bidi="ar-SA"/>
          <w14:textFill>
            <w14:solidFill>
              <w14:schemeClr w14:val="tx1"/>
            </w14:solidFill>
          </w14:textFill>
        </w:rPr>
        <w:t>3、采购人不组织统一现场勘察，根据本项目特性，建议投标人自行前往现场踏勘，以获取本次投标所需的现场资料及数据，投标人若未到现场踏勘，引起的一切后果均由其自行负责，由此造成投标价的偏差均不予调整，现场踏勘费用自理。</w:t>
      </w:r>
    </w:p>
    <w:p w14:paraId="23225A46">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八、</w:t>
      </w:r>
      <w:r>
        <w:rPr>
          <w:rFonts w:hint="eastAsia" w:ascii="宋体" w:hAnsi="宋体" w:eastAsia="宋体" w:cs="宋体"/>
          <w:b/>
          <w:bCs/>
          <w:color w:val="000000" w:themeColor="text1"/>
          <w:sz w:val="24"/>
          <w:szCs w:val="24"/>
          <w:highlight w:val="none"/>
          <w14:textFill>
            <w14:solidFill>
              <w14:schemeClr w14:val="tx1"/>
            </w14:solidFill>
          </w14:textFill>
        </w:rPr>
        <w:t>样品要求</w:t>
      </w:r>
    </w:p>
    <w:p w14:paraId="6290D0E0">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（一）样品：</w:t>
      </w:r>
    </w:p>
    <w:p w14:paraId="0DA7DC2A">
      <w:pPr>
        <w:pStyle w:val="3"/>
        <w:rPr>
          <w:rFonts w:hint="default"/>
          <w:color w:val="000000" w:themeColor="text1"/>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标项一：</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3489"/>
        <w:gridCol w:w="2823"/>
        <w:gridCol w:w="1445"/>
      </w:tblGrid>
      <w:tr w14:paraId="39B89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519" w:type="dxa"/>
            <w:noWrap w:val="0"/>
            <w:vAlign w:val="center"/>
          </w:tcPr>
          <w:p w14:paraId="3B8D7F6E">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序号</w:t>
            </w:r>
          </w:p>
        </w:tc>
        <w:tc>
          <w:tcPr>
            <w:tcW w:w="3489" w:type="dxa"/>
            <w:noWrap w:val="0"/>
            <w:vAlign w:val="center"/>
          </w:tcPr>
          <w:p w14:paraId="0621C400">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名称</w:t>
            </w:r>
          </w:p>
        </w:tc>
        <w:tc>
          <w:tcPr>
            <w:tcW w:w="2823" w:type="dxa"/>
            <w:noWrap w:val="0"/>
            <w:vAlign w:val="center"/>
          </w:tcPr>
          <w:p w14:paraId="72F852E9">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单位</w:t>
            </w:r>
          </w:p>
        </w:tc>
        <w:tc>
          <w:tcPr>
            <w:tcW w:w="1445" w:type="dxa"/>
            <w:noWrap w:val="0"/>
            <w:vAlign w:val="center"/>
          </w:tcPr>
          <w:p w14:paraId="243F6830">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数量</w:t>
            </w:r>
          </w:p>
        </w:tc>
      </w:tr>
      <w:tr w14:paraId="42493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19" w:type="dxa"/>
            <w:noWrap w:val="0"/>
            <w:vAlign w:val="center"/>
          </w:tcPr>
          <w:p w14:paraId="1E26D671">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3489" w:type="dxa"/>
            <w:noWrap w:val="0"/>
            <w:vAlign w:val="center"/>
          </w:tcPr>
          <w:p w14:paraId="24A11024">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序号8-12喀斯特地貌模型</w:t>
            </w:r>
          </w:p>
        </w:tc>
        <w:tc>
          <w:tcPr>
            <w:tcW w:w="2823" w:type="dxa"/>
            <w:noWrap w:val="0"/>
            <w:vAlign w:val="center"/>
          </w:tcPr>
          <w:p w14:paraId="3D91D691">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1445" w:type="dxa"/>
            <w:noWrap w:val="0"/>
            <w:vAlign w:val="center"/>
          </w:tcPr>
          <w:p w14:paraId="54753959">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件</w:t>
            </w:r>
          </w:p>
        </w:tc>
      </w:tr>
      <w:tr w14:paraId="4F211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19" w:type="dxa"/>
            <w:noWrap w:val="0"/>
            <w:vAlign w:val="center"/>
          </w:tcPr>
          <w:p w14:paraId="73A4DA5D">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w:t>
            </w:r>
          </w:p>
        </w:tc>
        <w:tc>
          <w:tcPr>
            <w:tcW w:w="3489" w:type="dxa"/>
            <w:noWrap w:val="0"/>
            <w:vAlign w:val="center"/>
          </w:tcPr>
          <w:p w14:paraId="517912E4">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序号14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-2学生劳技桌</w:t>
            </w:r>
          </w:p>
        </w:tc>
        <w:tc>
          <w:tcPr>
            <w:tcW w:w="2823" w:type="dxa"/>
            <w:noWrap w:val="0"/>
            <w:vAlign w:val="center"/>
          </w:tcPr>
          <w:p w14:paraId="5E302CA4">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1445" w:type="dxa"/>
            <w:noWrap w:val="0"/>
            <w:vAlign w:val="center"/>
          </w:tcPr>
          <w:p w14:paraId="7310371A">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张</w:t>
            </w:r>
          </w:p>
        </w:tc>
      </w:tr>
    </w:tbl>
    <w:p w14:paraId="5ABC4C4B">
      <w:pPr>
        <w:pStyle w:val="3"/>
        <w:rPr>
          <w:rFonts w:hint="eastAsia" w:ascii="宋体" w:hAnsi="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标项二：</w:t>
      </w:r>
    </w:p>
    <w:p w14:paraId="25C0C7A4">
      <w:pPr>
        <w:rPr>
          <w:rFonts w:hint="default"/>
          <w:color w:val="000000" w:themeColor="text1"/>
          <w:lang w:val="en-US" w:eastAsia="zh-CN"/>
          <w14:textFill>
            <w14:solidFill>
              <w14:schemeClr w14:val="tx1"/>
            </w14:solidFill>
          </w14:textFill>
        </w:rPr>
      </w:pPr>
    </w:p>
    <w:tbl>
      <w:tblPr>
        <w:tblStyle w:val="29"/>
        <w:tblW w:w="92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3489"/>
        <w:gridCol w:w="2823"/>
        <w:gridCol w:w="1445"/>
      </w:tblGrid>
      <w:tr w14:paraId="5CF36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519" w:type="dxa"/>
            <w:noWrap w:val="0"/>
            <w:vAlign w:val="center"/>
          </w:tcPr>
          <w:p w14:paraId="30A7E182">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序号</w:t>
            </w:r>
          </w:p>
        </w:tc>
        <w:tc>
          <w:tcPr>
            <w:tcW w:w="3489" w:type="dxa"/>
            <w:noWrap w:val="0"/>
            <w:vAlign w:val="center"/>
          </w:tcPr>
          <w:p w14:paraId="5AD94862">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名称</w:t>
            </w:r>
          </w:p>
        </w:tc>
        <w:tc>
          <w:tcPr>
            <w:tcW w:w="2823" w:type="dxa"/>
            <w:noWrap w:val="0"/>
            <w:vAlign w:val="center"/>
          </w:tcPr>
          <w:p w14:paraId="386D23D1">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单位</w:t>
            </w:r>
          </w:p>
        </w:tc>
        <w:tc>
          <w:tcPr>
            <w:tcW w:w="1445" w:type="dxa"/>
            <w:noWrap w:val="0"/>
            <w:vAlign w:val="center"/>
          </w:tcPr>
          <w:p w14:paraId="0504712D">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数量</w:t>
            </w:r>
          </w:p>
        </w:tc>
      </w:tr>
      <w:tr w14:paraId="0CF27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19" w:type="dxa"/>
            <w:noWrap w:val="0"/>
            <w:vAlign w:val="center"/>
          </w:tcPr>
          <w:p w14:paraId="1460B9DC">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3489" w:type="dxa"/>
            <w:noWrap w:val="0"/>
            <w:vAlign w:val="center"/>
          </w:tcPr>
          <w:p w14:paraId="142074FF">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序号</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-2学生</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实验桌</w:t>
            </w:r>
          </w:p>
        </w:tc>
        <w:tc>
          <w:tcPr>
            <w:tcW w:w="2823" w:type="dxa"/>
            <w:noWrap w:val="0"/>
            <w:vAlign w:val="center"/>
          </w:tcPr>
          <w:p w14:paraId="28958CC0">
            <w:pPr>
              <w:keepNext w:val="0"/>
              <w:keepLines w:val="0"/>
              <w:pageBreakBefore w:val="0"/>
              <w:widowControl w:val="0"/>
              <w:shd w:val="clear" w:color="auto" w:fill="auto"/>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1445" w:type="dxa"/>
            <w:noWrap w:val="0"/>
            <w:vAlign w:val="center"/>
          </w:tcPr>
          <w:p w14:paraId="6BEA5AAC">
            <w:pPr>
              <w:keepNext w:val="0"/>
              <w:keepLines w:val="0"/>
              <w:pageBreakBefore w:val="0"/>
              <w:widowControl w:val="0"/>
              <w:shd w:val="clear" w:color="auto" w:fill="auto"/>
              <w:kinsoku/>
              <w:wordWrap/>
              <w:overflowPunct/>
              <w:topLinePunct w:val="0"/>
              <w:autoSpaceDE/>
              <w:autoSpaceDN/>
              <w:bidi w:val="0"/>
              <w:adjustRightInd/>
              <w:snapToGrid/>
              <w:spacing w:line="240" w:lineRule="auto"/>
              <w:ind w:firstLine="480" w:firstLineChars="200"/>
              <w:jc w:val="left"/>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张</w:t>
            </w:r>
          </w:p>
        </w:tc>
      </w:tr>
    </w:tbl>
    <w:p w14:paraId="2E5D4DC7">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7A060A3A">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（二）样品制作的标准和要求：同参数要求；</w:t>
      </w:r>
    </w:p>
    <w:p w14:paraId="0D2B5FE1">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（三）样品的评审方法以及评审标准：详见评标办法；</w:t>
      </w:r>
    </w:p>
    <w:p w14:paraId="321D40AB">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（四）提供样品的时间：2025年</w:t>
      </w:r>
      <w:r>
        <w:rPr>
          <w:rFonts w:hint="eastAsia" w:ascii="宋体" w:hAnsi="宋体" w:cs="宋体"/>
          <w:color w:val="000000" w:themeColor="text1"/>
          <w:sz w:val="24"/>
          <w:szCs w:val="24"/>
          <w:highlight w:val="none"/>
          <w:lang w:val="en-US" w:eastAsia="zh-CN"/>
          <w14:textFill>
            <w14:solidFill>
              <w14:schemeClr w14:val="tx1"/>
            </w14:solidFill>
          </w14:textFill>
        </w:rPr>
        <w:t>6</w:t>
      </w:r>
      <w:r>
        <w:rPr>
          <w:rFonts w:hint="eastAsia" w:ascii="宋体" w:hAnsi="宋体" w:eastAsia="宋体" w:cs="宋体"/>
          <w:color w:val="000000" w:themeColor="text1"/>
          <w:sz w:val="24"/>
          <w:szCs w:val="24"/>
          <w:highlight w:val="none"/>
          <w:lang w:val="en-US" w:eastAsia="zh-CN"/>
          <w14:textFill>
            <w14:solidFill>
              <w14:schemeClr w14:val="tx1"/>
            </w14:solidFill>
          </w14:textFill>
        </w:rPr>
        <w:t>月</w:t>
      </w:r>
      <w:r>
        <w:rPr>
          <w:rFonts w:hint="eastAsia" w:ascii="宋体" w:hAnsi="宋体" w:cs="宋体"/>
          <w:color w:val="000000" w:themeColor="text1"/>
          <w:sz w:val="24"/>
          <w:szCs w:val="24"/>
          <w:highlight w:val="none"/>
          <w:lang w:val="en-US" w:eastAsia="zh-CN"/>
          <w14:textFill>
            <w14:solidFill>
              <w14:schemeClr w14:val="tx1"/>
            </w14:solidFill>
          </w14:textFill>
        </w:rPr>
        <w:t>26</w:t>
      </w:r>
      <w:r>
        <w:rPr>
          <w:rFonts w:hint="eastAsia" w:ascii="宋体" w:hAnsi="宋体" w:eastAsia="宋体" w:cs="宋体"/>
          <w:color w:val="000000" w:themeColor="text1"/>
          <w:sz w:val="24"/>
          <w:szCs w:val="24"/>
          <w:highlight w:val="none"/>
          <w:lang w:val="en-US" w:eastAsia="zh-CN"/>
          <w14:textFill>
            <w14:solidFill>
              <w14:schemeClr w14:val="tx1"/>
            </w14:solidFill>
          </w14:textFill>
        </w:rPr>
        <w:t>日上午8:</w:t>
      </w:r>
      <w:r>
        <w:rPr>
          <w:rFonts w:hint="eastAsia" w:ascii="宋体" w:hAnsi="宋体" w:cs="宋体"/>
          <w:color w:val="000000" w:themeColor="text1"/>
          <w:sz w:val="24"/>
          <w:szCs w:val="24"/>
          <w:highlight w:val="none"/>
          <w:lang w:val="en-US" w:eastAsia="zh-CN"/>
          <w14:textFill>
            <w14:solidFill>
              <w14:schemeClr w14:val="tx1"/>
            </w14:solidFill>
          </w14:textFill>
        </w:rPr>
        <w:t>3</w:t>
      </w:r>
      <w:r>
        <w:rPr>
          <w:rFonts w:hint="eastAsia" w:ascii="宋体" w:hAnsi="宋体" w:eastAsia="宋体" w:cs="宋体"/>
          <w:color w:val="000000" w:themeColor="text1"/>
          <w:sz w:val="24"/>
          <w:szCs w:val="24"/>
          <w:highlight w:val="none"/>
          <w:lang w:val="en-US" w:eastAsia="zh-CN"/>
          <w14:textFill>
            <w14:solidFill>
              <w14:schemeClr w14:val="tx1"/>
            </w14:solidFill>
          </w14:textFill>
        </w:rPr>
        <w:t>0－投标文件递交截止时间止；</w:t>
      </w:r>
    </w:p>
    <w:p w14:paraId="61CD634F">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地点：</w:t>
      </w:r>
      <w:r>
        <w:rPr>
          <w:rFonts w:hint="eastAsia" w:ascii="宋体" w:hAnsi="宋体" w:cs="宋体"/>
          <w:color w:val="000000" w:themeColor="text1"/>
          <w:sz w:val="24"/>
          <w:szCs w:val="24"/>
          <w:highlight w:val="none"/>
          <w:lang w:val="en-US" w:eastAsia="zh-CN"/>
          <w14:textFill>
            <w14:solidFill>
              <w14:schemeClr w14:val="tx1"/>
            </w14:solidFill>
          </w14:textFill>
        </w:rPr>
        <w:t>缙云县公共资源交易中心（</w:t>
      </w:r>
      <w:r>
        <w:rPr>
          <w:rFonts w:hint="eastAsia" w:ascii="宋体" w:hAnsi="宋体" w:eastAsia="宋体" w:cs="宋体"/>
          <w:color w:val="000000" w:themeColor="text1"/>
          <w:sz w:val="24"/>
          <w:szCs w:val="24"/>
          <w:highlight w:val="none"/>
          <w:lang w:val="en-US" w:eastAsia="zh-CN"/>
          <w14:textFill>
            <w14:solidFill>
              <w14:schemeClr w14:val="tx1"/>
            </w14:solidFill>
          </w14:textFill>
        </w:rPr>
        <w:t>缙云县五云街道新区黄龙路广电大楼七楼</w:t>
      </w:r>
      <w:r>
        <w:rPr>
          <w:rFonts w:hint="eastAsia" w:ascii="宋体" w:hAnsi="宋体" w:cs="宋体"/>
          <w:color w:val="000000" w:themeColor="text1"/>
          <w:sz w:val="24"/>
          <w:szCs w:val="24"/>
          <w:highlight w:val="none"/>
          <w:lang w:val="en-US"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w:t>
      </w:r>
    </w:p>
    <w:p w14:paraId="7D5A755F">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请投标人在上述时间内提供样品并按规定位置安装完毕，并标注项目名称、项目编号</w:t>
      </w:r>
      <w:r>
        <w:rPr>
          <w:rFonts w:hint="eastAsia" w:ascii="宋体" w:hAnsi="宋体" w:cs="宋体"/>
          <w:color w:val="000000" w:themeColor="text1"/>
          <w:sz w:val="24"/>
          <w:szCs w:val="24"/>
          <w:highlight w:val="none"/>
          <w:lang w:val="en-US" w:eastAsia="zh-CN"/>
          <w14:textFill>
            <w14:solidFill>
              <w14:schemeClr w14:val="tx1"/>
            </w14:solidFill>
          </w14:textFill>
        </w:rPr>
        <w:t>、样品名称</w:t>
      </w:r>
      <w:r>
        <w:rPr>
          <w:rFonts w:hint="eastAsia" w:ascii="宋体" w:hAnsi="宋体" w:eastAsia="宋体" w:cs="宋体"/>
          <w:color w:val="000000" w:themeColor="text1"/>
          <w:sz w:val="24"/>
          <w:szCs w:val="24"/>
          <w:highlight w:val="none"/>
          <w:lang w:val="en-US" w:eastAsia="zh-CN"/>
          <w14:textFill>
            <w14:solidFill>
              <w14:schemeClr w14:val="tx1"/>
            </w14:solidFill>
          </w14:textFill>
        </w:rPr>
        <w:t>及供应商名称。超过截止时间的，采购人或采购代理机构将不予接收，并将清场并封</w:t>
      </w:r>
      <w:r>
        <w:rPr>
          <w:rFonts w:hint="eastAsia" w:ascii="宋体" w:hAnsi="宋体" w:eastAsia="宋体" w:cs="宋体"/>
          <w:color w:val="auto"/>
          <w:sz w:val="24"/>
          <w:szCs w:val="24"/>
          <w:highlight w:val="none"/>
          <w:lang w:val="en-US" w:eastAsia="zh-CN"/>
        </w:rPr>
        <w:t>闭样品现场。</w:t>
      </w:r>
    </w:p>
    <w:p w14:paraId="35F21DFF">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（五）开评标活动结束后，对于未中标人提供的样品，由供应商当场取回，逾期未取回的，采购人、采购代理机构不负保管义务；对于中标人提供的样品，采购人将进行保管、封存，并作为履约验收的参考。</w:t>
      </w:r>
    </w:p>
    <w:p w14:paraId="6AE1182E">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（六）制作、运输、安装和保管样品所发生的一切费用由投标人自理。</w:t>
      </w:r>
    </w:p>
    <w:p w14:paraId="7B4A15A1">
      <w:pPr>
        <w:adjustRightInd w:val="0"/>
        <w:snapToGrid w:val="0"/>
        <w:spacing w:line="360" w:lineRule="auto"/>
        <w:ind w:firstLine="723" w:firstLineChars="300"/>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九、演示要求：</w:t>
      </w:r>
    </w:p>
    <w:p w14:paraId="17B7C890">
      <w:pPr>
        <w:adjustRightInd w:val="0"/>
        <w:snapToGrid w:val="0"/>
        <w:spacing w:line="360" w:lineRule="auto"/>
        <w:ind w:firstLine="723" w:firstLineChars="300"/>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标项一</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序号2-85</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数字双缝干涉实验观测仪演示</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w:t>
      </w:r>
    </w:p>
    <w:p w14:paraId="0BA9F3B0">
      <w:pPr>
        <w:adjustRightInd w:val="0"/>
        <w:snapToGrid w:val="0"/>
        <w:spacing w:line="360" w:lineRule="auto"/>
        <w:ind w:firstLine="723" w:firstLineChars="300"/>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标项</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二</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序号1-10</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科学材料系统演示</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w:t>
      </w:r>
    </w:p>
    <w:p w14:paraId="623D8141">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评委根据投标人提供的演示功能是否完整、流程是否符合文件要求等进行打分，</w:t>
      </w:r>
      <w:r>
        <w:rPr>
          <w:rFonts w:hint="eastAsia" w:ascii="宋体" w:hAnsi="宋体" w:cs="宋体"/>
          <w:color w:val="000000" w:themeColor="text1"/>
          <w:sz w:val="24"/>
          <w:szCs w:val="24"/>
          <w:highlight w:val="none"/>
          <w:lang w:val="en-US" w:eastAsia="zh-CN"/>
          <w14:textFill>
            <w14:solidFill>
              <w14:schemeClr w14:val="tx1"/>
            </w14:solidFill>
          </w14:textFill>
        </w:rPr>
        <w:t>演示</w:t>
      </w:r>
      <w:r>
        <w:rPr>
          <w:rFonts w:hint="eastAsia" w:ascii="宋体" w:hAnsi="宋体" w:eastAsia="宋体" w:cs="宋体"/>
          <w:color w:val="000000" w:themeColor="text1"/>
          <w:sz w:val="24"/>
          <w:szCs w:val="24"/>
          <w:highlight w:val="none"/>
          <w:lang w:val="en-US" w:eastAsia="zh-CN"/>
          <w14:textFill>
            <w14:solidFill>
              <w14:schemeClr w14:val="tx1"/>
            </w14:solidFill>
          </w14:textFill>
        </w:rPr>
        <w:t>视频时间控制在15分钟内，没有演示不得分。</w:t>
      </w:r>
    </w:p>
    <w:p w14:paraId="2EDD0230">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投标人根据本项目评分标准要求提供演示，演示可采用U盘视频演示形式或人员到现场进行演示，以U盘视频形式演示的，演示U盘</w:t>
      </w:r>
      <w:r>
        <w:rPr>
          <w:rFonts w:hint="eastAsia" w:ascii="宋体" w:hAnsi="宋体" w:cs="宋体"/>
          <w:color w:val="000000" w:themeColor="text1"/>
          <w:sz w:val="24"/>
          <w:szCs w:val="24"/>
          <w:highlight w:val="none"/>
          <w:lang w:val="en-US" w:eastAsia="zh-CN"/>
          <w14:textFill>
            <w14:solidFill>
              <w14:schemeClr w14:val="tx1"/>
            </w14:solidFill>
          </w14:textFill>
        </w:rPr>
        <w:t>应</w:t>
      </w:r>
      <w:r>
        <w:rPr>
          <w:rFonts w:hint="eastAsia" w:ascii="宋体" w:hAnsi="宋体" w:eastAsia="宋体" w:cs="宋体"/>
          <w:color w:val="000000" w:themeColor="text1"/>
          <w:sz w:val="24"/>
          <w:szCs w:val="24"/>
          <w:highlight w:val="none"/>
          <w:lang w:val="en-US" w:eastAsia="zh-CN"/>
          <w14:textFill>
            <w14:solidFill>
              <w14:schemeClr w14:val="tx1"/>
            </w14:solidFill>
          </w14:textFill>
        </w:rPr>
        <w:t>密封包装加盖公章可以快递邮寄方式递交或现场递交，如因邮寄原因耽搁</w:t>
      </w:r>
      <w:r>
        <w:rPr>
          <w:rFonts w:hint="eastAsia" w:ascii="宋体" w:hAnsi="宋体" w:cs="宋体"/>
          <w:color w:val="000000" w:themeColor="text1"/>
          <w:sz w:val="24"/>
          <w:szCs w:val="24"/>
          <w:highlight w:val="none"/>
          <w:lang w:val="en-US" w:eastAsia="zh-CN"/>
          <w14:textFill>
            <w14:solidFill>
              <w14:schemeClr w14:val="tx1"/>
            </w14:solidFill>
          </w14:textFill>
        </w:rPr>
        <w:t>代理机构</w:t>
      </w:r>
      <w:r>
        <w:rPr>
          <w:rFonts w:hint="eastAsia" w:ascii="宋体" w:hAnsi="宋体" w:eastAsia="宋体" w:cs="宋体"/>
          <w:color w:val="000000" w:themeColor="text1"/>
          <w:sz w:val="24"/>
          <w:szCs w:val="24"/>
          <w:highlight w:val="none"/>
          <w:lang w:val="en-US" w:eastAsia="zh-CN"/>
          <w14:textFill>
            <w14:solidFill>
              <w14:schemeClr w14:val="tx1"/>
            </w14:solidFill>
          </w14:textFill>
        </w:rPr>
        <w:t>未能在投标截止时间前接收或U盘视频无法正常播放的，后果由投标人自行负责。演示时间同投标截止时间，逾期不再接收，将被视为主动放弃演示环节，由此造成的后果由投标人自行负责。</w:t>
      </w:r>
    </w:p>
    <w:p w14:paraId="176AC268">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演示地点：缙云县公共资源交易中心（缙云县新区黄龙路广电大楼七楼）</w:t>
      </w:r>
    </w:p>
    <w:p w14:paraId="21263AE3">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720" w:firstLineChars="300"/>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邮寄地址：浙江省缙云县五云街道黄龙路293号5单元20</w:t>
      </w:r>
      <w:r>
        <w:rPr>
          <w:rFonts w:hint="eastAsia" w:ascii="宋体" w:hAnsi="宋体" w:cs="宋体"/>
          <w:color w:val="000000" w:themeColor="text1"/>
          <w:sz w:val="24"/>
          <w:szCs w:val="24"/>
          <w:highlight w:val="none"/>
          <w:lang w:val="en-US" w:eastAsia="zh-CN"/>
          <w14:textFill>
            <w14:solidFill>
              <w14:schemeClr w14:val="tx1"/>
            </w14:solidFill>
          </w14:textFill>
        </w:rPr>
        <w:t>2</w:t>
      </w:r>
      <w:r>
        <w:rPr>
          <w:rFonts w:hint="eastAsia" w:ascii="宋体" w:hAnsi="宋体" w:eastAsia="宋体" w:cs="宋体"/>
          <w:color w:val="000000" w:themeColor="text1"/>
          <w:sz w:val="24"/>
          <w:szCs w:val="24"/>
          <w:highlight w:val="none"/>
          <w:lang w:val="en-US" w:eastAsia="zh-CN"/>
          <w14:textFill>
            <w14:solidFill>
              <w14:schemeClr w14:val="tx1"/>
            </w14:solidFill>
          </w14:textFill>
        </w:rPr>
        <w:t>室，联系人：</w:t>
      </w:r>
      <w:r>
        <w:rPr>
          <w:rFonts w:hint="eastAsia" w:ascii="宋体" w:hAnsi="宋体" w:cs="宋体"/>
          <w:color w:val="000000" w:themeColor="text1"/>
          <w:sz w:val="24"/>
          <w:szCs w:val="24"/>
          <w:highlight w:val="none"/>
          <w:lang w:val="en-US" w:eastAsia="zh-CN"/>
          <w14:textFill>
            <w14:solidFill>
              <w14:schemeClr w14:val="tx1"/>
            </w14:solidFill>
          </w14:textFill>
        </w:rPr>
        <w:t>杜女士</w:t>
      </w:r>
      <w:r>
        <w:rPr>
          <w:rFonts w:hint="eastAsia" w:ascii="宋体" w:hAnsi="宋体" w:eastAsia="宋体" w:cs="宋体"/>
          <w:color w:val="000000" w:themeColor="text1"/>
          <w:sz w:val="24"/>
          <w:szCs w:val="24"/>
          <w:highlight w:val="none"/>
          <w:lang w:val="en-US" w:eastAsia="zh-CN"/>
          <w14:textFill>
            <w14:solidFill>
              <w14:schemeClr w14:val="tx1"/>
            </w14:solidFill>
          </w14:textFill>
        </w:rPr>
        <w:t>，联系电话：0578-3316115。</w:t>
      </w:r>
    </w:p>
    <w:p w14:paraId="05EB28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Style w:val="104"/>
          <w:rFonts w:hint="eastAsia" w:ascii="宋体" w:hAnsi="宋体" w:cs="宋体"/>
          <w:color w:val="000000" w:themeColor="text1"/>
          <w:sz w:val="36"/>
          <w:highlight w:val="none"/>
          <w14:textFill>
            <w14:solidFill>
              <w14:schemeClr w14:val="tx1"/>
            </w14:solidFill>
          </w14:textFill>
        </w:rPr>
      </w:pPr>
      <w:r>
        <w:rPr>
          <w:rFonts w:hint="eastAsia" w:ascii="宋体" w:hAnsi="宋体" w:eastAsia="宋体" w:cs="宋体"/>
          <w:i w:val="0"/>
          <w:iCs w:val="0"/>
          <w:color w:val="000000"/>
          <w:kern w:val="0"/>
          <w:sz w:val="24"/>
          <w:szCs w:val="24"/>
          <w:u w:val="none"/>
          <w:lang w:val="en-US" w:eastAsia="zh-CN" w:bidi="ar"/>
        </w:rPr>
        <w:br w:type="textWrapping"/>
      </w:r>
      <w:r>
        <w:rPr>
          <w:rFonts w:hint="eastAsia" w:ascii="仿宋_GB2312" w:hAnsi="仿宋_GB2312" w:eastAsia="仿宋_GB2312" w:cs="仿宋_GB2312"/>
          <w:color w:val="auto"/>
          <w:kern w:val="0"/>
          <w:sz w:val="24"/>
          <w:szCs w:val="24"/>
          <w:highlight w:val="none"/>
          <w:lang w:val="zh-CN" w:eastAsia="zh-CN" w:bidi="ar-SA"/>
        </w:rPr>
        <w:br w:type="page"/>
      </w:r>
    </w:p>
    <w:p w14:paraId="756F777B">
      <w:pPr>
        <w:jc w:val="center"/>
        <w:rPr>
          <w:rStyle w:val="104"/>
          <w:rFonts w:hint="eastAsia" w:ascii="宋体" w:hAnsi="宋体" w:cs="宋体"/>
          <w:color w:val="000000" w:themeColor="text1"/>
          <w:sz w:val="36"/>
          <w:highlight w:val="none"/>
          <w14:textFill>
            <w14:solidFill>
              <w14:schemeClr w14:val="tx1"/>
            </w14:solidFill>
          </w14:textFill>
        </w:rPr>
      </w:pPr>
    </w:p>
    <w:p w14:paraId="4647D2FC">
      <w:pPr>
        <w:jc w:val="center"/>
        <w:rPr>
          <w:rFonts w:ascii="宋体" w:hAnsi="宋体" w:cs="宋体"/>
          <w:color w:val="000000" w:themeColor="text1"/>
          <w:sz w:val="52"/>
          <w:szCs w:val="36"/>
          <w:highlight w:val="none"/>
          <w14:textFill>
            <w14:solidFill>
              <w14:schemeClr w14:val="tx1"/>
            </w14:solidFill>
          </w14:textFill>
        </w:rPr>
      </w:pPr>
      <w:r>
        <w:rPr>
          <w:rStyle w:val="104"/>
          <w:rFonts w:hint="eastAsia" w:ascii="宋体" w:hAnsi="宋体" w:cs="宋体"/>
          <w:color w:val="000000" w:themeColor="text1"/>
          <w:sz w:val="36"/>
          <w:highlight w:val="none"/>
          <w14:textFill>
            <w14:solidFill>
              <w14:schemeClr w14:val="tx1"/>
            </w14:solidFill>
          </w14:textFill>
        </w:rPr>
        <w:t xml:space="preserve">第四章  </w:t>
      </w:r>
      <w:bookmarkEnd w:id="85"/>
      <w:bookmarkEnd w:id="86"/>
      <w:r>
        <w:rPr>
          <w:rStyle w:val="104"/>
          <w:rFonts w:hint="eastAsia" w:ascii="宋体" w:hAnsi="宋体" w:cs="宋体"/>
          <w:color w:val="000000" w:themeColor="text1"/>
          <w:sz w:val="36"/>
          <w:highlight w:val="none"/>
          <w14:textFill>
            <w14:solidFill>
              <w14:schemeClr w14:val="tx1"/>
            </w14:solidFill>
          </w14:textFill>
        </w:rPr>
        <w:t>采购合同</w:t>
      </w:r>
    </w:p>
    <w:p w14:paraId="6CF8CAEA">
      <w:pPr>
        <w:rPr>
          <w:rFonts w:ascii="宋体" w:hAnsi="宋体" w:cs="宋体"/>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 xml:space="preserve"> </w:t>
      </w:r>
    </w:p>
    <w:p w14:paraId="14EF11E3">
      <w:pPr>
        <w:tabs>
          <w:tab w:val="left" w:pos="2592"/>
          <w:tab w:val="center" w:pos="4465"/>
        </w:tabs>
        <w:spacing w:line="360" w:lineRule="auto"/>
        <w:jc w:val="right"/>
        <w:rPr>
          <w:rFonts w:ascii="宋体" w:hAnsi="宋体" w:cs="宋体"/>
          <w:b/>
          <w:color w:val="000000" w:themeColor="text1"/>
          <w:kern w:val="0"/>
          <w:sz w:val="24"/>
          <w:highlight w:val="none"/>
          <w14:textFill>
            <w14:solidFill>
              <w14:schemeClr w14:val="tx1"/>
            </w14:solidFill>
          </w14:textFill>
        </w:rPr>
      </w:pPr>
      <w:r>
        <w:rPr>
          <w:rFonts w:hint="eastAsia" w:ascii="宋体" w:hAnsi="宋体" w:cs="宋体"/>
          <w:b/>
          <w:color w:val="000000" w:themeColor="text1"/>
          <w:sz w:val="28"/>
          <w:szCs w:val="28"/>
          <w:highlight w:val="none"/>
          <w14:textFill>
            <w14:solidFill>
              <w14:schemeClr w14:val="tx1"/>
            </w14:solidFill>
          </w14:textFill>
        </w:rPr>
        <w:t xml:space="preserve">                  </w:t>
      </w:r>
    </w:p>
    <w:p w14:paraId="579F1DA2">
      <w:pPr>
        <w:rPr>
          <w:rFonts w:ascii="宋体" w:hAnsi="宋体" w:cs="宋体"/>
          <w:color w:val="000000" w:themeColor="text1"/>
          <w:sz w:val="28"/>
          <w:szCs w:val="28"/>
          <w:highlight w:val="none"/>
          <w14:textFill>
            <w14:solidFill>
              <w14:schemeClr w14:val="tx1"/>
            </w14:solidFill>
          </w14:textFill>
        </w:rPr>
      </w:pPr>
    </w:p>
    <w:p w14:paraId="3774489E">
      <w:pPr>
        <w:rPr>
          <w:rFonts w:hint="eastAsia" w:ascii="宋体" w:hAnsi="宋体" w:cs="宋体"/>
          <w:b/>
          <w:color w:val="000000" w:themeColor="text1"/>
          <w:sz w:val="28"/>
          <w:szCs w:val="22"/>
          <w:highlight w:val="none"/>
          <w14:textFill>
            <w14:solidFill>
              <w14:schemeClr w14:val="tx1"/>
            </w14:solidFill>
          </w14:textFill>
        </w:rPr>
      </w:pPr>
      <w:r>
        <w:rPr>
          <w:rFonts w:hint="eastAsia" w:ascii="宋体" w:hAnsi="宋体" w:cs="宋体"/>
          <w:b/>
          <w:color w:val="000000" w:themeColor="text1"/>
          <w:sz w:val="28"/>
          <w:szCs w:val="28"/>
          <w:highlight w:val="none"/>
          <w14:textFill>
            <w14:solidFill>
              <w14:schemeClr w14:val="tx1"/>
            </w14:solidFill>
          </w14:textFill>
        </w:rPr>
        <w:t xml:space="preserve">                                     </w:t>
      </w:r>
      <w:r>
        <w:rPr>
          <w:rFonts w:hint="eastAsia" w:ascii="宋体" w:hAnsi="宋体" w:cs="宋体"/>
          <w:b/>
          <w:color w:val="000000" w:themeColor="text1"/>
          <w:sz w:val="28"/>
          <w:szCs w:val="22"/>
          <w:highlight w:val="none"/>
          <w14:textFill>
            <w14:solidFill>
              <w14:schemeClr w14:val="tx1"/>
            </w14:solidFill>
          </w14:textFill>
        </w:rPr>
        <w:t xml:space="preserve">                   </w:t>
      </w:r>
    </w:p>
    <w:p w14:paraId="25B42E41">
      <w:pPr>
        <w:ind w:firstLine="560" w:firstLineChars="200"/>
        <w:rPr>
          <w:rFonts w:ascii="宋体" w:hAnsi="宋体" w:cs="宋体"/>
          <w:color w:val="000000" w:themeColor="text1"/>
          <w:sz w:val="28"/>
          <w:szCs w:val="22"/>
          <w:highlight w:val="none"/>
          <w:u w:val="singl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项目名称：</w:t>
      </w:r>
      <w:r>
        <w:rPr>
          <w:rFonts w:hint="eastAsia" w:ascii="宋体" w:hAnsi="宋体" w:cs="宋体"/>
          <w:color w:val="000000" w:themeColor="text1"/>
          <w:sz w:val="28"/>
          <w:szCs w:val="22"/>
          <w:highlight w:val="none"/>
          <w:u w:val="single"/>
          <w14:textFill>
            <w14:solidFill>
              <w14:schemeClr w14:val="tx1"/>
            </w14:solidFill>
          </w14:textFill>
        </w:rPr>
        <w:t xml:space="preserve">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"https://bidding.zcygov.cn/xmgl/projectQuery/queryDetail?projectUuid=5c859e260a927c18" \l "/purchaseFileMake/_blank" \t "https://www.zcygov.cn/bidding-entrust/" </w:instrText>
      </w:r>
      <w:r>
        <w:rPr>
          <w:color w:val="000000" w:themeColor="text1"/>
          <w:highlight w:val="none"/>
          <w14:textFill>
            <w14:solidFill>
              <w14:schemeClr w14:val="tx1"/>
            </w14:solidFill>
          </w14:textFill>
        </w:rPr>
        <w:fldChar w:fldCharType="separate"/>
      </w:r>
      <w:r>
        <w:rPr>
          <w:rFonts w:hint="eastAsia" w:ascii="宋体" w:hAnsi="宋体" w:cs="宋体"/>
          <w:color w:val="000000" w:themeColor="text1"/>
          <w:sz w:val="28"/>
          <w:szCs w:val="22"/>
          <w:highlight w:val="none"/>
          <w:u w:val="single"/>
          <w14:textFill>
            <w14:solidFill>
              <w14:schemeClr w14:val="tx1"/>
            </w14:solidFill>
          </w14:textFill>
        </w:rPr>
        <w:t xml:space="preserve">                                                  </w:t>
      </w:r>
      <w:r>
        <w:rPr>
          <w:rFonts w:hint="eastAsia" w:ascii="宋体" w:hAnsi="宋体" w:cs="宋体"/>
          <w:color w:val="000000" w:themeColor="text1"/>
          <w:sz w:val="28"/>
          <w:szCs w:val="22"/>
          <w:highlight w:val="none"/>
          <w:u w:val="single"/>
          <w14:textFill>
            <w14:solidFill>
              <w14:schemeClr w14:val="tx1"/>
            </w14:solidFill>
          </w14:textFill>
        </w:rPr>
        <w:fldChar w:fldCharType="end"/>
      </w:r>
      <w:r>
        <w:rPr>
          <w:rFonts w:hint="eastAsia" w:ascii="宋体" w:hAnsi="宋体" w:cs="宋体"/>
          <w:color w:val="000000" w:themeColor="text1"/>
          <w:sz w:val="28"/>
          <w:szCs w:val="22"/>
          <w:highlight w:val="none"/>
          <w:u w:val="single"/>
          <w14:textFill>
            <w14:solidFill>
              <w14:schemeClr w14:val="tx1"/>
            </w14:solidFill>
          </w14:textFill>
        </w:rPr>
        <w:t xml:space="preserve"> </w:t>
      </w:r>
      <w:r>
        <w:rPr>
          <w:rFonts w:hint="eastAsia" w:ascii="宋体" w:hAnsi="宋体" w:cs="宋体"/>
          <w:color w:val="000000" w:themeColor="text1"/>
          <w:sz w:val="28"/>
          <w:szCs w:val="22"/>
          <w:highlight w:val="none"/>
          <w14:textFill>
            <w14:solidFill>
              <w14:schemeClr w14:val="tx1"/>
            </w14:solidFill>
          </w14:textFill>
        </w:rPr>
        <w:t xml:space="preserve">             </w:t>
      </w:r>
    </w:p>
    <w:p w14:paraId="33BE1FF4">
      <w:pPr>
        <w:snapToGrid w:val="0"/>
        <w:spacing w:before="119" w:line="600" w:lineRule="exact"/>
        <w:ind w:left="958"/>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 xml:space="preserve"> </w:t>
      </w:r>
    </w:p>
    <w:p w14:paraId="4C59ED70">
      <w:pPr>
        <w:snapToGrid w:val="0"/>
        <w:spacing w:before="119" w:line="600" w:lineRule="exact"/>
        <w:ind w:firstLine="560" w:firstLineChars="200"/>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甲　　方：</w:t>
      </w:r>
      <w:r>
        <w:rPr>
          <w:rFonts w:hint="eastAsia" w:ascii="宋体" w:hAnsi="宋体" w:cs="宋体"/>
          <w:color w:val="000000" w:themeColor="text1"/>
          <w:sz w:val="28"/>
          <w:szCs w:val="22"/>
          <w:highlight w:val="none"/>
          <w:u w:val="single"/>
          <w14:textFill>
            <w14:solidFill>
              <w14:schemeClr w14:val="tx1"/>
            </w14:solidFill>
          </w14:textFill>
        </w:rPr>
        <w:t xml:space="preserve">                                                      </w:t>
      </w:r>
    </w:p>
    <w:p w14:paraId="549279A2">
      <w:pPr>
        <w:snapToGrid w:val="0"/>
        <w:spacing w:before="119" w:line="600" w:lineRule="exact"/>
        <w:ind w:left="958"/>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 xml:space="preserve">  </w:t>
      </w:r>
    </w:p>
    <w:p w14:paraId="66A6433F">
      <w:pPr>
        <w:snapToGrid w:val="0"/>
        <w:spacing w:before="119" w:line="600" w:lineRule="exact"/>
        <w:ind w:firstLine="560" w:firstLineChars="200"/>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乙　　方：</w:t>
      </w:r>
      <w:r>
        <w:rPr>
          <w:rFonts w:hint="eastAsia" w:ascii="宋体" w:hAnsi="宋体" w:cs="宋体"/>
          <w:color w:val="000000" w:themeColor="text1"/>
          <w:sz w:val="28"/>
          <w:szCs w:val="22"/>
          <w:highlight w:val="none"/>
          <w:u w:val="single"/>
          <w14:textFill>
            <w14:solidFill>
              <w14:schemeClr w14:val="tx1"/>
            </w14:solidFill>
          </w14:textFill>
        </w:rPr>
        <w:t xml:space="preserve">                                                      </w:t>
      </w:r>
    </w:p>
    <w:p w14:paraId="3795550C">
      <w:pPr>
        <w:snapToGrid w:val="0"/>
        <w:spacing w:before="119" w:line="600" w:lineRule="exact"/>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 xml:space="preserve"> </w:t>
      </w:r>
    </w:p>
    <w:p w14:paraId="0B820D4B">
      <w:pPr>
        <w:snapToGrid w:val="0"/>
        <w:spacing w:before="119" w:line="600" w:lineRule="exact"/>
        <w:ind w:firstLine="560" w:firstLineChars="200"/>
        <w:rPr>
          <w:rFonts w:ascii="宋体" w:hAnsi="宋体" w:cs="宋体"/>
          <w:color w:val="000000" w:themeColor="text1"/>
          <w:sz w:val="28"/>
          <w:szCs w:val="22"/>
          <w:highlight w:val="none"/>
          <w14:textFill>
            <w14:solidFill>
              <w14:schemeClr w14:val="tx1"/>
            </w14:solidFill>
          </w14:textFill>
        </w:rPr>
      </w:pPr>
      <w:r>
        <w:rPr>
          <w:rFonts w:hint="eastAsia" w:ascii="宋体" w:hAnsi="宋体" w:cs="宋体"/>
          <w:color w:val="000000" w:themeColor="text1"/>
          <w:sz w:val="28"/>
          <w:szCs w:val="22"/>
          <w:highlight w:val="none"/>
          <w14:textFill>
            <w14:solidFill>
              <w14:schemeClr w14:val="tx1"/>
            </w14:solidFill>
          </w14:textFill>
        </w:rPr>
        <w:t>签署地点：</w:t>
      </w:r>
      <w:r>
        <w:rPr>
          <w:rFonts w:hint="eastAsia" w:ascii="宋体" w:hAnsi="宋体" w:cs="宋体"/>
          <w:color w:val="000000" w:themeColor="text1"/>
          <w:sz w:val="28"/>
          <w:szCs w:val="22"/>
          <w:highlight w:val="none"/>
          <w:u w:val="single"/>
          <w14:textFill>
            <w14:solidFill>
              <w14:schemeClr w14:val="tx1"/>
            </w14:solidFill>
          </w14:textFill>
        </w:rPr>
        <w:t xml:space="preserve">                                                       </w:t>
      </w:r>
    </w:p>
    <w:p w14:paraId="5D66A0C0">
      <w:pPr>
        <w:snapToGrid w:val="0"/>
        <w:spacing w:before="119" w:line="600" w:lineRule="exact"/>
        <w:ind w:left="958"/>
        <w:rPr>
          <w:rFonts w:ascii="宋体" w:hAnsi="宋体" w:cs="宋体"/>
          <w:color w:val="000000" w:themeColor="text1"/>
          <w:sz w:val="28"/>
          <w:szCs w:val="22"/>
          <w:highlight w:val="none"/>
          <w14:textFill>
            <w14:solidFill>
              <w14:schemeClr w14:val="tx1"/>
            </w14:solidFill>
          </w14:textFill>
        </w:rPr>
      </w:pPr>
    </w:p>
    <w:p w14:paraId="6DD07412">
      <w:pPr>
        <w:snapToGrid w:val="0"/>
        <w:spacing w:before="119" w:line="600" w:lineRule="exact"/>
        <w:ind w:firstLine="560" w:firstLineChars="200"/>
        <w:rPr>
          <w:rFonts w:hint="eastAsia" w:ascii="Times New Roman" w:hAnsi="Times New Roman" w:eastAsia="宋体" w:cs="Times New Roman"/>
          <w:kern w:val="2"/>
          <w:sz w:val="21"/>
          <w:szCs w:val="24"/>
          <w:lang w:val="en-US" w:eastAsia="zh-CN" w:bidi="ar-SA"/>
        </w:rPr>
      </w:pPr>
      <w:r>
        <w:rPr>
          <w:rFonts w:hint="eastAsia" w:ascii="宋体" w:hAnsi="宋体" w:cs="宋体"/>
          <w:color w:val="000000" w:themeColor="text1"/>
          <w:sz w:val="28"/>
          <w:szCs w:val="22"/>
          <w:highlight w:val="none"/>
          <w14:textFill>
            <w14:solidFill>
              <w14:schemeClr w14:val="tx1"/>
            </w14:solidFill>
          </w14:textFill>
        </w:rPr>
        <w:t>签署日期：</w:t>
      </w:r>
      <w:r>
        <w:rPr>
          <w:rFonts w:hint="eastAsia" w:ascii="宋体" w:hAnsi="宋体" w:cs="宋体"/>
          <w:color w:val="000000" w:themeColor="text1"/>
          <w:sz w:val="28"/>
          <w:szCs w:val="22"/>
          <w:highlight w:val="none"/>
          <w:u w:val="single"/>
          <w14:textFill>
            <w14:solidFill>
              <w14:schemeClr w14:val="tx1"/>
            </w14:solidFill>
          </w14:textFill>
        </w:rPr>
        <w:t xml:space="preserve">                                                       </w:t>
      </w:r>
      <w:bookmarkStart w:id="90" w:name="_Toc18872_WPSOffice_Level1"/>
      <w:bookmarkStart w:id="91" w:name="_Toc28936"/>
      <w:bookmarkStart w:id="92" w:name="_Toc3798"/>
    </w:p>
    <w:p w14:paraId="1E1CDA8B">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40919A5C">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2AD0FBAC">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2AB0F02F">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319D5EA1">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53EC5F77">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4342D0E8">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4F2F3C41">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p>
    <w:p w14:paraId="50363958">
      <w:pP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br w:type="page"/>
      </w:r>
    </w:p>
    <w:p w14:paraId="259B82BE">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采购人：（以下称甲方）</w:t>
      </w:r>
      <w:r>
        <w:rPr>
          <w:rFonts w:hint="eastAsia" w:ascii="宋体" w:hAnsi="宋体" w:eastAsia="宋体" w:cs="宋体"/>
          <w:color w:val="auto"/>
          <w:kern w:val="0"/>
          <w:sz w:val="24"/>
          <w:szCs w:val="24"/>
          <w:highlight w:val="none"/>
          <w:u w:val="single"/>
        </w:rPr>
        <w:t xml:space="preserve">   缙云县教育局    </w:t>
      </w:r>
      <w:r>
        <w:rPr>
          <w:rFonts w:hint="eastAsia" w:ascii="宋体" w:hAnsi="宋体" w:eastAsia="宋体" w:cs="宋体"/>
          <w:color w:val="auto"/>
          <w:kern w:val="0"/>
          <w:sz w:val="24"/>
          <w:szCs w:val="24"/>
          <w:highlight w:val="none"/>
        </w:rPr>
        <w:t xml:space="preserve"> </w:t>
      </w:r>
    </w:p>
    <w:p w14:paraId="2A9A891C">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中标人</w:t>
      </w:r>
      <w:r>
        <w:rPr>
          <w:rFonts w:hint="eastAsia" w:ascii="宋体" w:hAnsi="宋体" w:eastAsia="宋体" w:cs="宋体"/>
          <w:color w:val="auto"/>
          <w:kern w:val="0"/>
          <w:sz w:val="24"/>
          <w:szCs w:val="24"/>
          <w:highlight w:val="none"/>
        </w:rPr>
        <w:t>：（以下称乙方）</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p>
    <w:p w14:paraId="462199B2">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根据</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招标文件（项目编号：</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cs="宋体"/>
          <w:color w:val="auto"/>
          <w:kern w:val="0"/>
          <w:sz w:val="24"/>
          <w:szCs w:val="24"/>
          <w:highlight w:val="none"/>
          <w:u w:val="none"/>
          <w:lang w:eastAsia="zh-CN"/>
        </w:rPr>
        <w:t>标项：</w:t>
      </w:r>
      <w:r>
        <w:rPr>
          <w:rFonts w:hint="eastAsia" w:ascii="宋体" w:hAnsi="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）在</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年</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月</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日，</w:t>
      </w:r>
      <w:r>
        <w:rPr>
          <w:rFonts w:hint="eastAsia" w:ascii="宋体" w:hAnsi="宋体" w:eastAsia="宋体" w:cs="宋体"/>
          <w:color w:val="auto"/>
          <w:kern w:val="0"/>
          <w:sz w:val="24"/>
          <w:szCs w:val="24"/>
          <w:highlight w:val="none"/>
          <w:u w:val="single"/>
        </w:rPr>
        <w:t xml:space="preserve">  缙云县教育局 </w:t>
      </w:r>
      <w:r>
        <w:rPr>
          <w:rFonts w:hint="eastAsia" w:ascii="宋体" w:hAnsi="宋体" w:eastAsia="宋体" w:cs="宋体"/>
          <w:color w:val="auto"/>
          <w:kern w:val="0"/>
          <w:sz w:val="24"/>
          <w:szCs w:val="24"/>
          <w:highlight w:val="none"/>
        </w:rPr>
        <w:t>对该项目进行了招标采购，经评标委员会评定，确定</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为该项目中标人。甲乙双方依据《中华人民共和国政府采购法》、《中华人民共和国民法典》等相关法律法规和招标文件的要求，在平等自愿的基础上，同意按照下面的条款和条件，签署本合同。</w:t>
      </w:r>
    </w:p>
    <w:p w14:paraId="6C15A556">
      <w:pPr>
        <w:keepNext w:val="0"/>
        <w:keepLines w:val="0"/>
        <w:pageBreakBefore w:val="0"/>
        <w:widowControl/>
        <w:numPr>
          <w:ilvl w:val="0"/>
          <w:numId w:val="0"/>
        </w:numPr>
        <w:shd w:val="clear" w:color="auto" w:fill="auto"/>
        <w:kinsoku/>
        <w:wordWrap/>
        <w:topLinePunct w:val="0"/>
        <w:autoSpaceDE w:val="0"/>
        <w:autoSpaceDN w:val="0"/>
        <w:bidi w:val="0"/>
        <w:adjustRightInd w:val="0"/>
        <w:snapToGri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93" w:name="_Toc13742298"/>
      <w:r>
        <w:rPr>
          <w:rFonts w:hint="eastAsia" w:ascii="宋体" w:hAnsi="宋体" w:eastAsia="宋体" w:cs="宋体"/>
          <w:b/>
          <w:bCs/>
          <w:color w:val="auto"/>
          <w:kern w:val="0"/>
          <w:sz w:val="24"/>
          <w:szCs w:val="24"/>
          <w:highlight w:val="none"/>
          <w:lang w:val="en-US" w:eastAsia="zh-CN"/>
        </w:rPr>
        <w:t>一、</w:t>
      </w:r>
      <w:r>
        <w:rPr>
          <w:rFonts w:hint="eastAsia" w:ascii="宋体" w:hAnsi="宋体" w:eastAsia="宋体" w:cs="宋体"/>
          <w:b/>
          <w:bCs/>
          <w:color w:val="auto"/>
          <w:kern w:val="0"/>
          <w:sz w:val="24"/>
          <w:szCs w:val="24"/>
          <w:highlight w:val="none"/>
        </w:rPr>
        <w:t>货物及其数量、金额等</w:t>
      </w:r>
      <w:bookmarkEnd w:id="93"/>
    </w:p>
    <w:tbl>
      <w:tblPr>
        <w:tblStyle w:val="28"/>
        <w:tblW w:w="510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0"/>
        <w:gridCol w:w="1864"/>
        <w:gridCol w:w="34"/>
        <w:gridCol w:w="895"/>
        <w:gridCol w:w="2706"/>
        <w:gridCol w:w="493"/>
        <w:gridCol w:w="833"/>
        <w:gridCol w:w="939"/>
        <w:gridCol w:w="769"/>
      </w:tblGrid>
      <w:tr w14:paraId="7EAB3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477" w:type="pct"/>
            <w:tcBorders>
              <w:top w:val="single" w:color="000000" w:sz="4" w:space="0"/>
              <w:left w:val="single" w:color="000000" w:sz="4" w:space="0"/>
              <w:bottom w:val="single" w:color="000000" w:sz="4" w:space="0"/>
              <w:right w:val="single" w:color="000000" w:sz="4" w:space="0"/>
            </w:tcBorders>
            <w:noWrap w:val="0"/>
            <w:vAlign w:val="center"/>
          </w:tcPr>
          <w:p w14:paraId="338A7526">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序号</w:t>
            </w:r>
          </w:p>
        </w:tc>
        <w:tc>
          <w:tcPr>
            <w:tcW w:w="1006" w:type="pct"/>
            <w:gridSpan w:val="2"/>
            <w:tcBorders>
              <w:top w:val="single" w:color="000000" w:sz="4" w:space="0"/>
              <w:left w:val="single" w:color="000000" w:sz="4" w:space="0"/>
              <w:bottom w:val="single" w:color="000000" w:sz="4" w:space="0"/>
              <w:right w:val="single" w:color="000000" w:sz="4" w:space="0"/>
            </w:tcBorders>
            <w:noWrap w:val="0"/>
            <w:vAlign w:val="center"/>
          </w:tcPr>
          <w:p w14:paraId="4CB3A072">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产品名称</w:t>
            </w:r>
          </w:p>
        </w:tc>
        <w:tc>
          <w:tcPr>
            <w:tcW w:w="474" w:type="pct"/>
            <w:tcBorders>
              <w:top w:val="single" w:color="000000" w:sz="4" w:space="0"/>
              <w:left w:val="single" w:color="000000" w:sz="4" w:space="0"/>
              <w:bottom w:val="single" w:color="000000" w:sz="4" w:space="0"/>
              <w:right w:val="single" w:color="000000" w:sz="4" w:space="0"/>
            </w:tcBorders>
            <w:noWrap w:val="0"/>
            <w:vAlign w:val="center"/>
          </w:tcPr>
          <w:p w14:paraId="653DD45C">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品牌</w:t>
            </w:r>
          </w:p>
        </w:tc>
        <w:tc>
          <w:tcPr>
            <w:tcW w:w="1434" w:type="pct"/>
            <w:tcBorders>
              <w:top w:val="single" w:color="000000" w:sz="4" w:space="0"/>
              <w:left w:val="single" w:color="000000" w:sz="4" w:space="0"/>
              <w:bottom w:val="single" w:color="000000" w:sz="4" w:space="0"/>
              <w:right w:val="single" w:color="000000" w:sz="4" w:space="0"/>
            </w:tcBorders>
            <w:noWrap w:val="0"/>
            <w:vAlign w:val="center"/>
          </w:tcPr>
          <w:p w14:paraId="2051BA63">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规格型号</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0457F961">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单位</w:t>
            </w:r>
          </w:p>
        </w:tc>
        <w:tc>
          <w:tcPr>
            <w:tcW w:w="441" w:type="pct"/>
            <w:tcBorders>
              <w:top w:val="single" w:color="000000" w:sz="4" w:space="0"/>
              <w:left w:val="single" w:color="000000" w:sz="4" w:space="0"/>
              <w:bottom w:val="single" w:color="000000" w:sz="4" w:space="0"/>
              <w:right w:val="single" w:color="000000" w:sz="4" w:space="0"/>
            </w:tcBorders>
            <w:noWrap w:val="0"/>
            <w:vAlign w:val="center"/>
          </w:tcPr>
          <w:p w14:paraId="436113CB">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数量</w:t>
            </w:r>
          </w:p>
        </w:tc>
        <w:tc>
          <w:tcPr>
            <w:tcW w:w="497" w:type="pct"/>
            <w:tcBorders>
              <w:top w:val="single" w:color="000000" w:sz="4" w:space="0"/>
              <w:left w:val="single" w:color="000000" w:sz="4" w:space="0"/>
              <w:bottom w:val="single" w:color="000000" w:sz="4" w:space="0"/>
              <w:right w:val="single" w:color="000000" w:sz="4" w:space="0"/>
            </w:tcBorders>
            <w:noWrap w:val="0"/>
            <w:vAlign w:val="center"/>
          </w:tcPr>
          <w:p w14:paraId="3E643FAB">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单价（元）</w:t>
            </w: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736905DC">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合价（元）</w:t>
            </w:r>
          </w:p>
        </w:tc>
      </w:tr>
      <w:tr w14:paraId="12BF0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7" w:type="pct"/>
            <w:tcBorders>
              <w:top w:val="single" w:color="000000" w:sz="4" w:space="0"/>
              <w:left w:val="single" w:color="000000" w:sz="4" w:space="0"/>
              <w:bottom w:val="single" w:color="000000" w:sz="4" w:space="0"/>
              <w:right w:val="single" w:color="000000" w:sz="4" w:space="0"/>
            </w:tcBorders>
            <w:noWrap w:val="0"/>
            <w:vAlign w:val="center"/>
          </w:tcPr>
          <w:p w14:paraId="2C871361">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 xml:space="preserve"> </w:t>
            </w:r>
          </w:p>
        </w:tc>
        <w:tc>
          <w:tcPr>
            <w:tcW w:w="1006" w:type="pct"/>
            <w:gridSpan w:val="2"/>
            <w:tcBorders>
              <w:top w:val="single" w:color="000000" w:sz="4" w:space="0"/>
              <w:left w:val="single" w:color="000000" w:sz="4" w:space="0"/>
              <w:bottom w:val="single" w:color="000000" w:sz="4" w:space="0"/>
              <w:right w:val="single" w:color="000000" w:sz="4" w:space="0"/>
            </w:tcBorders>
            <w:noWrap w:val="0"/>
            <w:vAlign w:val="center"/>
          </w:tcPr>
          <w:p w14:paraId="509D532B">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74" w:type="pct"/>
            <w:tcBorders>
              <w:top w:val="single" w:color="000000" w:sz="4" w:space="0"/>
              <w:left w:val="single" w:color="000000" w:sz="4" w:space="0"/>
              <w:bottom w:val="single" w:color="000000" w:sz="4" w:space="0"/>
              <w:right w:val="single" w:color="000000" w:sz="4" w:space="0"/>
            </w:tcBorders>
            <w:noWrap w:val="0"/>
            <w:vAlign w:val="center"/>
          </w:tcPr>
          <w:p w14:paraId="16CEA2AE">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1434" w:type="pct"/>
            <w:tcBorders>
              <w:top w:val="single" w:color="000000" w:sz="4" w:space="0"/>
              <w:left w:val="single" w:color="000000" w:sz="4" w:space="0"/>
              <w:bottom w:val="single" w:color="000000" w:sz="4" w:space="0"/>
              <w:right w:val="single" w:color="000000" w:sz="4" w:space="0"/>
            </w:tcBorders>
            <w:noWrap w:val="0"/>
            <w:vAlign w:val="center"/>
          </w:tcPr>
          <w:p w14:paraId="71F71CDE">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74D08B62">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41" w:type="pct"/>
            <w:tcBorders>
              <w:top w:val="single" w:color="000000" w:sz="4" w:space="0"/>
              <w:left w:val="single" w:color="000000" w:sz="4" w:space="0"/>
              <w:bottom w:val="single" w:color="000000" w:sz="4" w:space="0"/>
              <w:right w:val="single" w:color="000000" w:sz="4" w:space="0"/>
            </w:tcBorders>
            <w:noWrap w:val="0"/>
            <w:vAlign w:val="center"/>
          </w:tcPr>
          <w:p w14:paraId="20080EEA">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648B3663">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61DFD8A3">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r>
      <w:tr w14:paraId="126D5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7" w:type="pct"/>
            <w:tcBorders>
              <w:top w:val="single" w:color="000000" w:sz="4" w:space="0"/>
              <w:left w:val="single" w:color="000000" w:sz="4" w:space="0"/>
              <w:bottom w:val="single" w:color="000000" w:sz="4" w:space="0"/>
              <w:right w:val="single" w:color="000000" w:sz="4" w:space="0"/>
            </w:tcBorders>
            <w:noWrap w:val="0"/>
            <w:vAlign w:val="center"/>
          </w:tcPr>
          <w:p w14:paraId="0329C64A">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1006" w:type="pct"/>
            <w:gridSpan w:val="2"/>
            <w:tcBorders>
              <w:top w:val="single" w:color="000000" w:sz="4" w:space="0"/>
              <w:left w:val="single" w:color="000000" w:sz="4" w:space="0"/>
              <w:bottom w:val="single" w:color="000000" w:sz="4" w:space="0"/>
              <w:right w:val="single" w:color="000000" w:sz="4" w:space="0"/>
            </w:tcBorders>
            <w:noWrap w:val="0"/>
            <w:vAlign w:val="center"/>
          </w:tcPr>
          <w:p w14:paraId="35481234">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74" w:type="pct"/>
            <w:tcBorders>
              <w:top w:val="single" w:color="000000" w:sz="4" w:space="0"/>
              <w:left w:val="single" w:color="000000" w:sz="4" w:space="0"/>
              <w:bottom w:val="single" w:color="000000" w:sz="4" w:space="0"/>
              <w:right w:val="single" w:color="000000" w:sz="4" w:space="0"/>
            </w:tcBorders>
            <w:noWrap w:val="0"/>
            <w:vAlign w:val="center"/>
          </w:tcPr>
          <w:p w14:paraId="7DBB4747">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1434" w:type="pct"/>
            <w:tcBorders>
              <w:top w:val="single" w:color="000000" w:sz="4" w:space="0"/>
              <w:left w:val="single" w:color="000000" w:sz="4" w:space="0"/>
              <w:bottom w:val="single" w:color="000000" w:sz="4" w:space="0"/>
              <w:right w:val="single" w:color="000000" w:sz="4" w:space="0"/>
            </w:tcBorders>
            <w:noWrap w:val="0"/>
            <w:vAlign w:val="center"/>
          </w:tcPr>
          <w:p w14:paraId="259EC172">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2B3EB167">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41" w:type="pct"/>
            <w:tcBorders>
              <w:top w:val="single" w:color="000000" w:sz="4" w:space="0"/>
              <w:left w:val="single" w:color="000000" w:sz="4" w:space="0"/>
              <w:bottom w:val="single" w:color="000000" w:sz="4" w:space="0"/>
              <w:right w:val="single" w:color="000000" w:sz="4" w:space="0"/>
            </w:tcBorders>
            <w:noWrap w:val="0"/>
            <w:vAlign w:val="center"/>
          </w:tcPr>
          <w:p w14:paraId="2FD7704E">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63A7C073">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52E47B98">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r>
      <w:tr w14:paraId="0EAE58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477" w:type="pct"/>
            <w:tcBorders>
              <w:top w:val="single" w:color="000000" w:sz="4" w:space="0"/>
              <w:left w:val="single" w:color="000000" w:sz="4" w:space="0"/>
              <w:bottom w:val="single" w:color="000000" w:sz="4" w:space="0"/>
              <w:right w:val="single" w:color="000000" w:sz="4" w:space="0"/>
            </w:tcBorders>
            <w:noWrap w:val="0"/>
            <w:vAlign w:val="center"/>
          </w:tcPr>
          <w:p w14:paraId="77E2D1D1">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lang w:eastAsia="zh-CN"/>
              </w:rPr>
            </w:pPr>
            <w:r>
              <w:rPr>
                <w:rFonts w:hint="eastAsia" w:ascii="宋体" w:hAnsi="宋体" w:eastAsia="宋体" w:cs="宋体"/>
                <w:i w:val="0"/>
                <w:iCs w:val="0"/>
                <w:color w:val="auto"/>
                <w:sz w:val="24"/>
                <w:szCs w:val="24"/>
                <w:highlight w:val="none"/>
                <w:u w:val="none"/>
                <w:lang w:eastAsia="zh-CN"/>
              </w:rPr>
              <w:t>……</w:t>
            </w:r>
          </w:p>
        </w:tc>
        <w:tc>
          <w:tcPr>
            <w:tcW w:w="1006" w:type="pct"/>
            <w:gridSpan w:val="2"/>
            <w:tcBorders>
              <w:top w:val="single" w:color="000000" w:sz="4" w:space="0"/>
              <w:left w:val="single" w:color="000000" w:sz="4" w:space="0"/>
              <w:bottom w:val="single" w:color="000000" w:sz="4" w:space="0"/>
              <w:right w:val="single" w:color="000000" w:sz="4" w:space="0"/>
            </w:tcBorders>
            <w:noWrap w:val="0"/>
            <w:vAlign w:val="center"/>
          </w:tcPr>
          <w:p w14:paraId="701D2D5C">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74" w:type="pct"/>
            <w:tcBorders>
              <w:top w:val="single" w:color="000000" w:sz="4" w:space="0"/>
              <w:left w:val="single" w:color="000000" w:sz="4" w:space="0"/>
              <w:bottom w:val="single" w:color="000000" w:sz="4" w:space="0"/>
              <w:right w:val="single" w:color="000000" w:sz="4" w:space="0"/>
            </w:tcBorders>
            <w:noWrap w:val="0"/>
            <w:vAlign w:val="center"/>
          </w:tcPr>
          <w:p w14:paraId="05474EFA">
            <w:pPr>
              <w:keepNext w:val="0"/>
              <w:keepLines w:val="0"/>
              <w:pageBreakBefore w:val="0"/>
              <w:shd w:val="clear" w:color="auto" w:fill="auto"/>
              <w:kinsoku/>
              <w:wordWrap/>
              <w:overflowPunct/>
              <w:topLinePunct w:val="0"/>
              <w:bidi w:val="0"/>
              <w:snapToGrid/>
              <w:spacing w:line="240" w:lineRule="auto"/>
              <w:ind w:left="0" w:leftChars="0" w:right="0" w:rightChars="0" w:firstLine="0" w:firstLineChars="0"/>
              <w:jc w:val="center"/>
              <w:outlineLvl w:val="9"/>
              <w:rPr>
                <w:rFonts w:hint="eastAsia" w:ascii="宋体" w:hAnsi="宋体" w:eastAsia="宋体" w:cs="宋体"/>
                <w:i w:val="0"/>
                <w:iCs w:val="0"/>
                <w:color w:val="auto"/>
                <w:sz w:val="24"/>
                <w:szCs w:val="24"/>
                <w:highlight w:val="none"/>
                <w:u w:val="none"/>
              </w:rPr>
            </w:pPr>
          </w:p>
        </w:tc>
        <w:tc>
          <w:tcPr>
            <w:tcW w:w="1434" w:type="pct"/>
            <w:tcBorders>
              <w:top w:val="single" w:color="000000" w:sz="4" w:space="0"/>
              <w:left w:val="single" w:color="000000" w:sz="4" w:space="0"/>
              <w:bottom w:val="single" w:color="000000" w:sz="4" w:space="0"/>
              <w:right w:val="single" w:color="000000" w:sz="4" w:space="0"/>
            </w:tcBorders>
            <w:noWrap w:val="0"/>
            <w:vAlign w:val="center"/>
          </w:tcPr>
          <w:p w14:paraId="418705F1">
            <w:pPr>
              <w:keepNext w:val="0"/>
              <w:keepLines w:val="0"/>
              <w:pageBreakBefore w:val="0"/>
              <w:shd w:val="clear" w:color="auto" w:fill="auto"/>
              <w:kinsoku/>
              <w:wordWrap/>
              <w:overflowPunct/>
              <w:topLinePunct w:val="0"/>
              <w:bidi w:val="0"/>
              <w:snapToGrid/>
              <w:spacing w:line="240" w:lineRule="auto"/>
              <w:ind w:left="0" w:leftChars="0" w:right="0" w:rightChars="0" w:firstLine="0" w:firstLineChars="0"/>
              <w:jc w:val="center"/>
              <w:outlineLvl w:val="9"/>
              <w:rPr>
                <w:rFonts w:hint="eastAsia" w:ascii="宋体" w:hAnsi="宋体" w:eastAsia="宋体" w:cs="宋体"/>
                <w:i w:val="0"/>
                <w:iCs w:val="0"/>
                <w:color w:val="auto"/>
                <w:sz w:val="24"/>
                <w:szCs w:val="24"/>
                <w:highlight w:val="none"/>
                <w:u w:val="none"/>
              </w:rPr>
            </w:pP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550DB1DA">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41" w:type="pct"/>
            <w:tcBorders>
              <w:top w:val="single" w:color="000000" w:sz="4" w:space="0"/>
              <w:left w:val="single" w:color="000000" w:sz="4" w:space="0"/>
              <w:bottom w:val="single" w:color="000000" w:sz="4" w:space="0"/>
              <w:right w:val="single" w:color="000000" w:sz="4" w:space="0"/>
            </w:tcBorders>
            <w:noWrap w:val="0"/>
            <w:vAlign w:val="center"/>
          </w:tcPr>
          <w:p w14:paraId="4028693B">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74EFB00">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c>
          <w:tcPr>
            <w:tcW w:w="407" w:type="pct"/>
            <w:tcBorders>
              <w:top w:val="single" w:color="000000" w:sz="4" w:space="0"/>
              <w:left w:val="single" w:color="000000" w:sz="4" w:space="0"/>
              <w:bottom w:val="single" w:color="000000" w:sz="4" w:space="0"/>
              <w:right w:val="single" w:color="000000" w:sz="4" w:space="0"/>
            </w:tcBorders>
            <w:noWrap w:val="0"/>
            <w:vAlign w:val="center"/>
          </w:tcPr>
          <w:p w14:paraId="641EED7C">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rPr>
            </w:pPr>
          </w:p>
        </w:tc>
      </w:tr>
      <w:tr w14:paraId="63891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noWrap w:val="0"/>
            <w:vAlign w:val="center"/>
          </w:tcPr>
          <w:p w14:paraId="4D496B66">
            <w:pPr>
              <w:keepNext w:val="0"/>
              <w:keepLines w:val="0"/>
              <w:pageBreakBefore w:val="0"/>
              <w:shd w:val="clear" w:color="auto" w:fill="auto"/>
              <w:kinsoku/>
              <w:wordWrap/>
              <w:overflowPunct/>
              <w:topLinePunct w:val="0"/>
              <w:autoSpaceDE w:val="0"/>
              <w:autoSpaceDN w:val="0"/>
              <w:bidi w:val="0"/>
              <w:adjustRightInd w:val="0"/>
              <w:snapToGrid/>
              <w:spacing w:line="240" w:lineRule="auto"/>
              <w:ind w:left="0" w:leftChars="0" w:right="0" w:rightChars="0" w:firstLine="0" w:firstLineChars="0"/>
              <w:jc w:val="both"/>
              <w:outlineLvl w:val="9"/>
              <w:rPr>
                <w:rFonts w:hint="eastAsia" w:ascii="宋体" w:hAnsi="宋体" w:eastAsia="宋体" w:cs="宋体"/>
                <w:i w:val="0"/>
                <w:iCs w:val="0"/>
                <w:color w:val="auto"/>
                <w:kern w:val="2"/>
                <w:sz w:val="24"/>
                <w:szCs w:val="24"/>
                <w:highlight w:val="none"/>
                <w:u w:val="none"/>
                <w:lang w:val="en-US" w:eastAsia="zh-CN" w:bidi="ar-SA"/>
              </w:rPr>
            </w:pPr>
            <w:r>
              <w:rPr>
                <w:rFonts w:hint="eastAsia" w:ascii="宋体" w:hAnsi="宋体" w:eastAsia="宋体" w:cs="宋体"/>
                <w:color w:val="auto"/>
                <w:kern w:val="0"/>
                <w:sz w:val="24"/>
                <w:szCs w:val="24"/>
                <w:highlight w:val="none"/>
              </w:rPr>
              <w:t>合同总金额：</w:t>
            </w:r>
            <w:r>
              <w:rPr>
                <w:rFonts w:hint="eastAsia" w:ascii="宋体" w:hAnsi="宋体" w:eastAsia="宋体" w:cs="宋体"/>
                <w:i w:val="0"/>
                <w:iCs w:val="0"/>
                <w:color w:val="auto"/>
                <w:kern w:val="0"/>
                <w:sz w:val="24"/>
                <w:szCs w:val="24"/>
                <w:highlight w:val="none"/>
                <w:u w:val="single"/>
                <w:lang w:val="en-US" w:eastAsia="zh-CN" w:bidi="ar"/>
              </w:rPr>
              <w:t xml:space="preserve">               </w:t>
            </w:r>
            <w:r>
              <w:rPr>
                <w:rFonts w:hint="eastAsia" w:ascii="宋体" w:hAnsi="宋体" w:eastAsia="宋体" w:cs="宋体"/>
                <w:color w:val="auto"/>
                <w:kern w:val="0"/>
                <w:sz w:val="24"/>
                <w:szCs w:val="24"/>
                <w:highlight w:val="none"/>
                <w:lang w:val="en-US" w:eastAsia="zh-CN"/>
              </w:rPr>
              <w:t>¥</w:t>
            </w:r>
            <w:r>
              <w:rPr>
                <w:rFonts w:hint="eastAsia" w:ascii="宋体" w:hAnsi="宋体" w:eastAsia="宋体" w:cs="宋体"/>
                <w:color w:val="auto"/>
                <w:kern w:val="0"/>
                <w:sz w:val="24"/>
                <w:szCs w:val="24"/>
                <w:highlight w:val="none"/>
              </w:rPr>
              <w:t xml:space="preserve"> </w:t>
            </w:r>
            <w:r>
              <w:rPr>
                <w:rFonts w:hint="eastAsia" w:ascii="宋体" w:hAnsi="宋体" w:eastAsia="宋体" w:cs="宋体"/>
                <w:i w:val="0"/>
                <w:iCs w:val="0"/>
                <w:color w:val="auto"/>
                <w:kern w:val="0"/>
                <w:sz w:val="24"/>
                <w:szCs w:val="24"/>
                <w:highlight w:val="none"/>
                <w:u w:val="single"/>
                <w:lang w:val="en-US" w:eastAsia="zh-CN" w:bidi="ar"/>
              </w:rPr>
              <w:t xml:space="preserve">                         </w:t>
            </w:r>
            <w:r>
              <w:rPr>
                <w:rFonts w:hint="eastAsia" w:ascii="宋体" w:hAnsi="宋体" w:eastAsia="宋体" w:cs="宋体"/>
                <w:color w:val="auto"/>
                <w:kern w:val="0"/>
                <w:sz w:val="24"/>
                <w:szCs w:val="24"/>
                <w:highlight w:val="none"/>
              </w:rPr>
              <w:t>元整</w:t>
            </w:r>
          </w:p>
        </w:tc>
      </w:tr>
      <w:tr w14:paraId="418D54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6" w:hRule="atLeast"/>
          <w:jc w:val="center"/>
        </w:trPr>
        <w:tc>
          <w:tcPr>
            <w:tcW w:w="1465" w:type="pct"/>
            <w:gridSpan w:val="2"/>
            <w:tcBorders>
              <w:top w:val="single" w:color="000000" w:sz="4" w:space="0"/>
              <w:left w:val="single" w:color="000000" w:sz="4" w:space="0"/>
              <w:bottom w:val="single" w:color="000000" w:sz="4" w:space="0"/>
              <w:right w:val="single" w:color="000000" w:sz="4" w:space="0"/>
            </w:tcBorders>
            <w:noWrap w:val="0"/>
            <w:vAlign w:val="center"/>
          </w:tcPr>
          <w:p w14:paraId="6C3571E3">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甲方</w:t>
            </w:r>
          </w:p>
        </w:tc>
        <w:tc>
          <w:tcPr>
            <w:tcW w:w="3534" w:type="pct"/>
            <w:gridSpan w:val="7"/>
            <w:tcBorders>
              <w:top w:val="single" w:color="000000" w:sz="4" w:space="0"/>
              <w:left w:val="single" w:color="000000" w:sz="4" w:space="0"/>
              <w:bottom w:val="single" w:color="000000" w:sz="4" w:space="0"/>
              <w:right w:val="single" w:color="000000" w:sz="4" w:space="0"/>
            </w:tcBorders>
            <w:noWrap w:val="0"/>
            <w:vAlign w:val="center"/>
          </w:tcPr>
          <w:p w14:paraId="24EA2CB6">
            <w:pPr>
              <w:keepNext w:val="0"/>
              <w:keepLines w:val="0"/>
              <w:pageBreakBefore w:val="0"/>
              <w:shd w:val="clear" w:color="auto" w:fill="auto"/>
              <w:kinsoku/>
              <w:wordWrap/>
              <w:overflowPunct/>
              <w:topLinePunct w:val="0"/>
              <w:autoSpaceDE w:val="0"/>
              <w:autoSpaceDN w:val="0"/>
              <w:bidi w:val="0"/>
              <w:adjustRightInd w:val="0"/>
              <w:snapToGrid/>
              <w:spacing w:line="240" w:lineRule="auto"/>
              <w:ind w:left="0" w:leftChars="0" w:right="0" w:rightChars="0" w:firstLine="0" w:firstLineChars="0"/>
              <w:jc w:val="left"/>
              <w:outlineLvl w:val="9"/>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联系人：</w:t>
            </w:r>
          </w:p>
          <w:p w14:paraId="5533ECDD">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both"/>
              <w:textAlignment w:val="center"/>
              <w:outlineLvl w:val="9"/>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color w:val="auto"/>
                <w:kern w:val="0"/>
                <w:sz w:val="24"/>
                <w:szCs w:val="24"/>
                <w:highlight w:val="none"/>
              </w:rPr>
              <w:t>固定电话：</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kern w:val="0"/>
                <w:sz w:val="24"/>
                <w:szCs w:val="24"/>
                <w:highlight w:val="none"/>
              </w:rPr>
              <w:t xml:space="preserve">   </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 xml:space="preserve"> 移动电话：</w:t>
            </w:r>
            <w:r>
              <w:rPr>
                <w:rFonts w:hint="eastAsia" w:ascii="宋体" w:hAnsi="宋体" w:eastAsia="宋体" w:cs="宋体"/>
                <w:color w:val="auto"/>
                <w:kern w:val="0"/>
                <w:sz w:val="24"/>
                <w:szCs w:val="24"/>
                <w:highlight w:val="none"/>
                <w:lang w:val="en-US" w:eastAsia="zh-CN"/>
              </w:rPr>
              <w:t xml:space="preserve"> </w:t>
            </w:r>
          </w:p>
        </w:tc>
      </w:tr>
      <w:tr w14:paraId="32AE5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5" w:hRule="atLeast"/>
          <w:jc w:val="center"/>
        </w:trPr>
        <w:tc>
          <w:tcPr>
            <w:tcW w:w="1465" w:type="pct"/>
            <w:gridSpan w:val="2"/>
            <w:tcBorders>
              <w:top w:val="single" w:color="000000" w:sz="4" w:space="0"/>
              <w:left w:val="single" w:color="000000" w:sz="4" w:space="0"/>
              <w:bottom w:val="single" w:color="000000" w:sz="4" w:space="0"/>
              <w:right w:val="single" w:color="000000" w:sz="4" w:space="0"/>
            </w:tcBorders>
            <w:noWrap w:val="0"/>
            <w:vAlign w:val="center"/>
          </w:tcPr>
          <w:p w14:paraId="0858A02D">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center"/>
              <w:textAlignment w:val="center"/>
              <w:outlineLvl w:val="9"/>
              <w:rPr>
                <w:rFonts w:hint="eastAsia" w:ascii="宋体" w:hAnsi="宋体" w:eastAsia="宋体" w:cs="宋体"/>
                <w:i w:val="0"/>
                <w:iCs w:val="0"/>
                <w:color w:val="auto"/>
                <w:sz w:val="24"/>
                <w:szCs w:val="24"/>
                <w:highlight w:val="none"/>
                <w:u w:val="none"/>
                <w:lang w:val="en-US" w:eastAsia="zh-CN"/>
              </w:rPr>
            </w:pPr>
            <w:r>
              <w:rPr>
                <w:rFonts w:hint="eastAsia" w:ascii="宋体" w:hAnsi="宋体" w:eastAsia="宋体" w:cs="宋体"/>
                <w:i w:val="0"/>
                <w:iCs w:val="0"/>
                <w:color w:val="auto"/>
                <w:sz w:val="24"/>
                <w:szCs w:val="24"/>
                <w:highlight w:val="none"/>
                <w:u w:val="none"/>
                <w:lang w:val="en-US" w:eastAsia="zh-CN"/>
              </w:rPr>
              <w:t>乙方</w:t>
            </w:r>
          </w:p>
        </w:tc>
        <w:tc>
          <w:tcPr>
            <w:tcW w:w="3534" w:type="pct"/>
            <w:gridSpan w:val="7"/>
            <w:tcBorders>
              <w:top w:val="single" w:color="000000" w:sz="4" w:space="0"/>
              <w:left w:val="single" w:color="000000" w:sz="4" w:space="0"/>
              <w:bottom w:val="single" w:color="000000" w:sz="4" w:space="0"/>
              <w:right w:val="single" w:color="000000" w:sz="4" w:space="0"/>
            </w:tcBorders>
            <w:noWrap w:val="0"/>
            <w:vAlign w:val="center"/>
          </w:tcPr>
          <w:p w14:paraId="42A85DCE">
            <w:pPr>
              <w:keepNext w:val="0"/>
              <w:keepLines w:val="0"/>
              <w:pageBreakBefore w:val="0"/>
              <w:shd w:val="clear" w:color="auto" w:fill="auto"/>
              <w:kinsoku/>
              <w:wordWrap/>
              <w:overflowPunct/>
              <w:topLinePunct w:val="0"/>
              <w:autoSpaceDE w:val="0"/>
              <w:autoSpaceDN w:val="0"/>
              <w:bidi w:val="0"/>
              <w:adjustRightInd w:val="0"/>
              <w:snapToGrid/>
              <w:spacing w:line="240" w:lineRule="auto"/>
              <w:ind w:left="0" w:leftChars="0" w:right="0" w:rightChars="0" w:firstLine="0" w:firstLineChars="0"/>
              <w:jc w:val="left"/>
              <w:outlineLvl w:val="9"/>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联系人：</w:t>
            </w:r>
            <w:r>
              <w:rPr>
                <w:rFonts w:hint="eastAsia" w:ascii="宋体" w:hAnsi="宋体" w:eastAsia="宋体" w:cs="宋体"/>
                <w:color w:val="auto"/>
                <w:kern w:val="0"/>
                <w:sz w:val="24"/>
                <w:szCs w:val="24"/>
                <w:highlight w:val="none"/>
                <w:lang w:val="en-US" w:eastAsia="zh-CN"/>
              </w:rPr>
              <w:t xml:space="preserve"> </w:t>
            </w:r>
          </w:p>
          <w:p w14:paraId="45527684">
            <w:pPr>
              <w:keepNext w:val="0"/>
              <w:keepLines w:val="0"/>
              <w:pageBreakBefore w:val="0"/>
              <w:widowControl/>
              <w:suppressLineNumbers w:val="0"/>
              <w:shd w:val="clear" w:color="auto" w:fill="auto"/>
              <w:kinsoku/>
              <w:wordWrap/>
              <w:overflowPunct/>
              <w:topLinePunct w:val="0"/>
              <w:bidi w:val="0"/>
              <w:snapToGrid/>
              <w:spacing w:line="240" w:lineRule="auto"/>
              <w:ind w:left="0" w:leftChars="0" w:right="0" w:rightChars="0" w:firstLine="0" w:firstLineChars="0"/>
              <w:jc w:val="both"/>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color w:val="auto"/>
                <w:kern w:val="0"/>
                <w:sz w:val="24"/>
                <w:szCs w:val="24"/>
                <w:highlight w:val="none"/>
              </w:rPr>
              <w:t>固定电话：</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kern w:val="0"/>
                <w:sz w:val="24"/>
                <w:szCs w:val="24"/>
                <w:highlight w:val="none"/>
              </w:rPr>
              <w:t xml:space="preserve">    </w:t>
            </w: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 xml:space="preserve">移动电话： </w:t>
            </w:r>
            <w:r>
              <w:rPr>
                <w:rFonts w:hint="eastAsia" w:ascii="宋体" w:hAnsi="宋体" w:eastAsia="宋体" w:cs="宋体"/>
                <w:color w:val="auto"/>
                <w:kern w:val="0"/>
                <w:sz w:val="24"/>
                <w:szCs w:val="24"/>
                <w:highlight w:val="none"/>
                <w:lang w:val="en-US" w:eastAsia="zh-CN"/>
              </w:rPr>
              <w:t xml:space="preserve"> </w:t>
            </w:r>
          </w:p>
        </w:tc>
      </w:tr>
    </w:tbl>
    <w:p w14:paraId="3AAEB3A2">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94" w:name="_Toc373097176"/>
      <w:bookmarkStart w:id="95" w:name="_Toc408591660"/>
      <w:bookmarkStart w:id="96" w:name="_Toc13742299"/>
      <w:r>
        <w:rPr>
          <w:rFonts w:hint="eastAsia" w:ascii="宋体" w:hAnsi="宋体" w:eastAsia="宋体" w:cs="宋体"/>
          <w:b/>
          <w:bCs/>
          <w:color w:val="auto"/>
          <w:kern w:val="0"/>
          <w:sz w:val="24"/>
          <w:szCs w:val="24"/>
          <w:highlight w:val="none"/>
        </w:rPr>
        <w:t>二、服务的内容、方式及要求</w:t>
      </w:r>
      <w:bookmarkEnd w:id="94"/>
      <w:bookmarkEnd w:id="95"/>
      <w:bookmarkEnd w:id="96"/>
    </w:p>
    <w:p w14:paraId="7AB66120">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1、乙方根据采购文件提出的采购需求和甲方要求，组织实施。</w:t>
      </w:r>
    </w:p>
    <w:p w14:paraId="218D4A94">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2、履行本合同的过程中，因在现有水平和条件下难以克服的技术困难，导致部分或全部失败所造成的损失，风险责任由乙方承担。</w:t>
      </w:r>
    </w:p>
    <w:p w14:paraId="53001C36">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3、乙方承诺免费承担与本项目实施任务以外有关协调解决工作。</w:t>
      </w:r>
    </w:p>
    <w:p w14:paraId="54DD3D68">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4、乙方保证提供的货物不存在对任何第三方侵权行为（包括商标、专利、版权、知识产权等）。若发生侵权行为，由乙方负全责，应承担由此发生的一切经济和法律责任。</w:t>
      </w:r>
    </w:p>
    <w:p w14:paraId="41715C26">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97" w:name="_Toc13742300"/>
      <w:r>
        <w:rPr>
          <w:rFonts w:hint="eastAsia" w:ascii="宋体" w:hAnsi="宋体" w:eastAsia="宋体" w:cs="宋体"/>
          <w:b/>
          <w:bCs/>
          <w:color w:val="auto"/>
          <w:kern w:val="0"/>
          <w:sz w:val="24"/>
          <w:szCs w:val="24"/>
          <w:highlight w:val="none"/>
        </w:rPr>
        <w:t>三、质量保证</w:t>
      </w:r>
      <w:bookmarkEnd w:id="97"/>
    </w:p>
    <w:p w14:paraId="448B57E2">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乙方须保证货物与投标文件相一致。乙方保证所供商品是</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年</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月</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日以后生产的产品，符合国家技术规格和质量标准的出厂合格产品；如发生所供商品与合同不符，甲方有权拒收或退货，由此产生的一切责任和后果由乙方承担。</w:t>
      </w:r>
    </w:p>
    <w:p w14:paraId="57DB22EF">
      <w:pPr>
        <w:keepNext w:val="0"/>
        <w:keepLines w:val="0"/>
        <w:pageBreakBefore w:val="0"/>
        <w:shd w:val="clear" w:color="auto" w:fill="auto"/>
        <w:tabs>
          <w:tab w:val="left" w:pos="605"/>
        </w:tabs>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98" w:name="_Toc13742301"/>
      <w:bookmarkStart w:id="99" w:name="_Toc373097177"/>
      <w:bookmarkStart w:id="100" w:name="_Toc408591661"/>
      <w:r>
        <w:rPr>
          <w:rFonts w:hint="eastAsia" w:ascii="宋体" w:hAnsi="宋体" w:eastAsia="宋体" w:cs="宋体"/>
          <w:b/>
          <w:bCs/>
          <w:color w:val="auto"/>
          <w:kern w:val="0"/>
          <w:sz w:val="24"/>
          <w:szCs w:val="24"/>
          <w:highlight w:val="none"/>
        </w:rPr>
        <w:t>四、工作条件</w:t>
      </w:r>
      <w:bookmarkEnd w:id="98"/>
      <w:bookmarkEnd w:id="99"/>
      <w:bookmarkEnd w:id="100"/>
    </w:p>
    <w:p w14:paraId="7FD3CEA1">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1、甲方负责提供有关基本信息及需求。</w:t>
      </w:r>
    </w:p>
    <w:p w14:paraId="755EB332">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2、甲方应确定专人负责与乙方的联络工作。</w:t>
      </w:r>
    </w:p>
    <w:p w14:paraId="4BAC00B3">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3、甲方负责提供查阅与项目有关的基本信息所必要的工作场所和环境。</w:t>
      </w:r>
    </w:p>
    <w:p w14:paraId="1636FD1A">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4、甲方积极协助乙方与相关部门做好配合协调工作。</w:t>
      </w:r>
    </w:p>
    <w:p w14:paraId="4C7A36E6">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01" w:name="_Toc408591662"/>
      <w:bookmarkStart w:id="102" w:name="_Toc13742302"/>
      <w:bookmarkStart w:id="103" w:name="_Toc373097178"/>
      <w:r>
        <w:rPr>
          <w:rFonts w:hint="eastAsia" w:ascii="宋体" w:hAnsi="宋体" w:eastAsia="宋体" w:cs="宋体"/>
          <w:b/>
          <w:bCs/>
          <w:color w:val="auto"/>
          <w:kern w:val="0"/>
          <w:sz w:val="24"/>
          <w:szCs w:val="24"/>
          <w:highlight w:val="none"/>
        </w:rPr>
        <w:t>五、实施安排和协作事项</w:t>
      </w:r>
      <w:bookmarkEnd w:id="101"/>
      <w:bookmarkEnd w:id="102"/>
      <w:bookmarkEnd w:id="103"/>
    </w:p>
    <w:p w14:paraId="4BF90F39">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b/>
          <w:bCs/>
          <w:color w:val="auto"/>
          <w:kern w:val="0"/>
          <w:sz w:val="24"/>
          <w:szCs w:val="24"/>
          <w:highlight w:val="none"/>
        </w:rPr>
      </w:pPr>
      <w:r>
        <w:rPr>
          <w:rFonts w:hint="eastAsia" w:ascii="宋体" w:hAnsi="宋体" w:eastAsia="宋体" w:cs="宋体"/>
          <w:color w:val="auto"/>
          <w:kern w:val="0"/>
          <w:sz w:val="24"/>
          <w:szCs w:val="24"/>
          <w:highlight w:val="none"/>
        </w:rPr>
        <w:t>1、乙方应按招标文件规定时间完成项目，向甲方提供相关的主要技术资料、系统图纸及其他伴随服务资料。</w:t>
      </w:r>
    </w:p>
    <w:p w14:paraId="7541BBF9">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2、乙方应做好与相关公司的相互配合工作。</w:t>
      </w:r>
    </w:p>
    <w:p w14:paraId="1310B90D">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没有甲方事先书面同意，乙方不得将由甲方提供的有关合同或任何合同条文、规格、计划、图纸或资料提供给与履行本合同无关的任何其他人。即使向履行本合同有关的人员提供，也应注意保密并限于履行合同的必需范围。</w:t>
      </w:r>
    </w:p>
    <w:p w14:paraId="2B717369">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04" w:name="_Toc373097179"/>
      <w:bookmarkStart w:id="105" w:name="_Toc408591663"/>
      <w:bookmarkStart w:id="106" w:name="_Toc13742303"/>
      <w:r>
        <w:rPr>
          <w:rFonts w:hint="eastAsia" w:ascii="宋体" w:hAnsi="宋体" w:eastAsia="宋体" w:cs="宋体"/>
          <w:b/>
          <w:bCs/>
          <w:color w:val="auto"/>
          <w:kern w:val="0"/>
          <w:sz w:val="24"/>
          <w:szCs w:val="24"/>
          <w:highlight w:val="none"/>
        </w:rPr>
        <w:t>六、售后服务</w:t>
      </w:r>
      <w:bookmarkEnd w:id="104"/>
      <w:bookmarkEnd w:id="105"/>
      <w:bookmarkEnd w:id="106"/>
    </w:p>
    <w:p w14:paraId="70DD0E1A">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1、设备质保及维护期为</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lang w:val="en-US" w:eastAsia="zh-CN"/>
        </w:rPr>
        <w:t>年，自竣工验收合格之日起计算，质保维护期内</w:t>
      </w:r>
      <w:r>
        <w:rPr>
          <w:rFonts w:hint="eastAsia" w:ascii="宋体" w:hAnsi="宋体" w:cs="宋体"/>
          <w:color w:val="auto"/>
          <w:kern w:val="0"/>
          <w:sz w:val="24"/>
          <w:szCs w:val="24"/>
          <w:highlight w:val="none"/>
          <w:lang w:val="en-US" w:eastAsia="zh-CN"/>
        </w:rPr>
        <w:t>乙方</w:t>
      </w:r>
      <w:r>
        <w:rPr>
          <w:rFonts w:hint="eastAsia" w:ascii="宋体" w:hAnsi="宋体" w:eastAsia="宋体" w:cs="宋体"/>
          <w:color w:val="auto"/>
          <w:kern w:val="0"/>
          <w:sz w:val="24"/>
          <w:szCs w:val="24"/>
          <w:highlight w:val="none"/>
          <w:lang w:val="en-US" w:eastAsia="zh-CN"/>
        </w:rPr>
        <w:t>为甲方提供项目免费咨询、日常维护、保养、维修及零配件更换。质保维护期满后，中标人须提供长期维修服务，收取维修成本费，零配件不高于中标时零配件的投标价格。在质保期内非人为破坏因素引起的维修、保养均由中标人承担，合同内的所有产品要求提供上门服务。</w:t>
      </w:r>
    </w:p>
    <w:p w14:paraId="38555E8B">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07" w:name="_Toc373097180"/>
      <w:bookmarkStart w:id="108" w:name="_Toc408591664"/>
      <w:bookmarkStart w:id="109" w:name="_Toc13742304"/>
      <w:r>
        <w:rPr>
          <w:rFonts w:hint="eastAsia" w:ascii="宋体" w:hAnsi="宋体" w:eastAsia="宋体" w:cs="宋体"/>
          <w:b/>
          <w:bCs/>
          <w:color w:val="auto"/>
          <w:kern w:val="0"/>
          <w:sz w:val="24"/>
          <w:szCs w:val="24"/>
          <w:highlight w:val="none"/>
        </w:rPr>
        <w:t>七、工期及供货地点要求</w:t>
      </w:r>
      <w:bookmarkEnd w:id="107"/>
      <w:bookmarkEnd w:id="108"/>
      <w:bookmarkEnd w:id="109"/>
    </w:p>
    <w:p w14:paraId="1EE7F915">
      <w:pPr>
        <w:widowControl/>
        <w:tabs>
          <w:tab w:val="left" w:pos="1980"/>
        </w:tabs>
        <w:autoSpaceDE w:val="0"/>
        <w:autoSpaceDN w:val="0"/>
        <w:adjustRightInd w:val="0"/>
        <w:snapToGrid w:val="0"/>
        <w:spacing w:line="480" w:lineRule="exact"/>
        <w:ind w:firstLine="480" w:firstLineChars="200"/>
        <w:jc w:val="left"/>
        <w:rPr>
          <w:rFonts w:hint="eastAsia" w:ascii="宋体" w:hAnsi="宋体" w:eastAsia="宋体" w:cs="宋体"/>
          <w:color w:val="000000" w:themeColor="text1"/>
          <w:kern w:val="0"/>
          <w:sz w:val="24"/>
          <w:szCs w:val="24"/>
          <w:highlight w:val="none"/>
          <w:lang w:eastAsia="zh-CN"/>
          <w14:textFill>
            <w14:solidFill>
              <w14:schemeClr w14:val="tx1"/>
            </w14:solidFill>
          </w14:textFill>
        </w:rPr>
      </w:pPr>
      <w:r>
        <w:rPr>
          <w:rFonts w:hint="eastAsia" w:ascii="宋体" w:hAnsi="宋体" w:eastAsia="宋体" w:cs="宋体"/>
          <w:color w:val="auto"/>
          <w:kern w:val="0"/>
          <w:sz w:val="24"/>
          <w:szCs w:val="24"/>
          <w:highlight w:val="none"/>
        </w:rPr>
        <w:t>1、工期要</w:t>
      </w:r>
      <w:r>
        <w:rPr>
          <w:rFonts w:hint="eastAsia" w:ascii="宋体" w:hAnsi="宋体" w:eastAsia="宋体" w:cs="宋体"/>
          <w:color w:val="000000" w:themeColor="text1"/>
          <w:kern w:val="0"/>
          <w:sz w:val="24"/>
          <w:szCs w:val="24"/>
          <w:highlight w:val="none"/>
          <w14:textFill>
            <w14:solidFill>
              <w14:schemeClr w14:val="tx1"/>
            </w14:solidFill>
          </w14:textFill>
        </w:rPr>
        <w:t>求：</w:t>
      </w:r>
      <w:r>
        <w:rPr>
          <w:rFonts w:hint="eastAsia" w:ascii="宋体" w:hAnsi="宋体" w:eastAsia="宋体" w:cs="宋体"/>
          <w:b/>
          <w:color w:val="000000" w:themeColor="text1"/>
          <w:sz w:val="24"/>
          <w:szCs w:val="24"/>
          <w:highlight w:val="none"/>
          <w14:textFill>
            <w14:solidFill>
              <w14:schemeClr w14:val="tx1"/>
            </w14:solidFill>
          </w14:textFill>
        </w:rPr>
        <w:t>合同签订后</w:t>
      </w:r>
      <w:r>
        <w:rPr>
          <w:rFonts w:hint="eastAsia" w:ascii="宋体" w:hAnsi="宋体" w:eastAsia="宋体" w:cs="宋体"/>
          <w:b/>
          <w:color w:val="000000" w:themeColor="text1"/>
          <w:sz w:val="24"/>
          <w:szCs w:val="24"/>
          <w:highlight w:val="none"/>
          <w:lang w:val="en-US" w:eastAsia="zh-CN"/>
          <w14:textFill>
            <w14:solidFill>
              <w14:schemeClr w14:val="tx1"/>
            </w14:solidFill>
          </w14:textFill>
        </w:rPr>
        <w:t>3</w:t>
      </w:r>
      <w:r>
        <w:rPr>
          <w:rFonts w:hint="eastAsia" w:ascii="宋体" w:hAnsi="宋体" w:eastAsia="宋体" w:cs="宋体"/>
          <w:b/>
          <w:color w:val="000000" w:themeColor="text1"/>
          <w:sz w:val="24"/>
          <w:szCs w:val="24"/>
          <w:highlight w:val="none"/>
          <w14:textFill>
            <w14:solidFill>
              <w14:schemeClr w14:val="tx1"/>
            </w14:solidFill>
          </w14:textFill>
        </w:rPr>
        <w:t>0天内安装调试验收完毕</w:t>
      </w:r>
      <w:r>
        <w:rPr>
          <w:rFonts w:hint="eastAsia" w:ascii="宋体" w:hAnsi="宋体" w:cs="宋体"/>
          <w:b/>
          <w:color w:val="000000" w:themeColor="text1"/>
          <w:sz w:val="24"/>
          <w:szCs w:val="24"/>
          <w:highlight w:val="none"/>
          <w:lang w:eastAsia="zh-CN"/>
          <w14:textFill>
            <w14:solidFill>
              <w14:schemeClr w14:val="tx1"/>
            </w14:solidFill>
          </w14:textFill>
        </w:rPr>
        <w:t>（</w:t>
      </w:r>
      <w:r>
        <w:rPr>
          <w:rFonts w:hint="eastAsia" w:ascii="宋体" w:hAnsi="宋体" w:cs="宋体"/>
          <w:b/>
          <w:color w:val="000000" w:themeColor="text1"/>
          <w:sz w:val="24"/>
          <w:szCs w:val="24"/>
          <w:highlight w:val="none"/>
          <w:lang w:val="en-US" w:eastAsia="zh-CN"/>
          <w14:textFill>
            <w14:solidFill>
              <w14:schemeClr w14:val="tx1"/>
            </w14:solidFill>
          </w14:textFill>
        </w:rPr>
        <w:t>按甲方实际需求</w:t>
      </w:r>
      <w:r>
        <w:rPr>
          <w:rFonts w:hint="eastAsia" w:ascii="宋体" w:hAnsi="宋体" w:cs="宋体"/>
          <w:b/>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kern w:val="0"/>
          <w:sz w:val="24"/>
          <w:szCs w:val="24"/>
          <w:highlight w:val="none"/>
          <w14:textFill>
            <w14:solidFill>
              <w14:schemeClr w14:val="tx1"/>
            </w14:solidFill>
          </w14:textFill>
        </w:rPr>
        <w:t>。</w:t>
      </w:r>
    </w:p>
    <w:p w14:paraId="75B8D25B">
      <w:pPr>
        <w:keepNext w:val="0"/>
        <w:keepLines w:val="0"/>
        <w:pageBreakBefore w:val="0"/>
        <w:widowControl/>
        <w:shd w:val="clear" w:color="auto" w:fill="auto"/>
        <w:tabs>
          <w:tab w:val="left" w:pos="1980"/>
        </w:tabs>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2、供货（安装）地点要求：</w:t>
      </w:r>
      <w:r>
        <w:rPr>
          <w:rFonts w:hint="eastAsia" w:ascii="宋体" w:hAnsi="宋体" w:eastAsia="宋体" w:cs="宋体"/>
          <w:color w:val="auto"/>
          <w:sz w:val="24"/>
          <w:szCs w:val="24"/>
          <w:highlight w:val="none"/>
          <w:lang w:val="en-US" w:eastAsia="zh-CN"/>
        </w:rPr>
        <w:t>甲方指定地点。</w:t>
      </w:r>
    </w:p>
    <w:p w14:paraId="40016154">
      <w:pPr>
        <w:keepNext w:val="0"/>
        <w:keepLines w:val="0"/>
        <w:pageBreakBefore w:val="0"/>
        <w:widowControl/>
        <w:shd w:val="clear" w:color="auto" w:fill="auto"/>
        <w:tabs>
          <w:tab w:val="left" w:pos="1980"/>
        </w:tabs>
        <w:kinsoku/>
        <w:wordWrap/>
        <w:topLinePunct w:val="0"/>
        <w:autoSpaceDE w:val="0"/>
        <w:autoSpaceDN w:val="0"/>
        <w:bidi w:val="0"/>
        <w:adjustRightInd w:val="0"/>
        <w:snapToGrid w:val="0"/>
        <w:spacing w:line="480" w:lineRule="exact"/>
        <w:ind w:left="0" w:leftChars="0" w:right="0" w:rightChars="0" w:firstLine="482" w:firstLineChars="200"/>
        <w:jc w:val="left"/>
        <w:outlineLvl w:val="9"/>
        <w:rPr>
          <w:rFonts w:hint="eastAsia" w:ascii="宋体" w:hAnsi="宋体" w:eastAsia="宋体" w:cs="宋体"/>
          <w:color w:val="auto"/>
          <w:kern w:val="0"/>
          <w:sz w:val="24"/>
          <w:szCs w:val="24"/>
          <w:highlight w:val="none"/>
        </w:rPr>
      </w:pPr>
      <w:bookmarkStart w:id="110" w:name="_Toc373097181"/>
      <w:bookmarkStart w:id="111" w:name="_Toc408591665"/>
      <w:bookmarkStart w:id="112" w:name="_Toc13742305"/>
      <w:r>
        <w:rPr>
          <w:rFonts w:hint="eastAsia" w:ascii="宋体" w:hAnsi="宋体" w:eastAsia="宋体" w:cs="宋体"/>
          <w:b/>
          <w:bCs/>
          <w:color w:val="auto"/>
          <w:kern w:val="0"/>
          <w:sz w:val="24"/>
          <w:szCs w:val="24"/>
          <w:highlight w:val="none"/>
        </w:rPr>
        <w:t>八、验收</w:t>
      </w:r>
      <w:bookmarkEnd w:id="110"/>
      <w:bookmarkEnd w:id="111"/>
      <w:bookmarkEnd w:id="112"/>
    </w:p>
    <w:p w14:paraId="4A04CF37">
      <w:pPr>
        <w:keepNext w:val="0"/>
        <w:keepLines w:val="0"/>
        <w:pageBreakBefore w:val="0"/>
        <w:widowControl/>
        <w:shd w:val="clear" w:color="auto" w:fill="auto"/>
        <w:kinsoku/>
        <w:wordWrap/>
        <w:topLinePunct w:val="0"/>
        <w:bidi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bookmarkStart w:id="113" w:name="_Toc408591666"/>
      <w:bookmarkStart w:id="114" w:name="_Toc373097182"/>
      <w:r>
        <w:rPr>
          <w:rFonts w:hint="eastAsia" w:ascii="宋体" w:hAnsi="宋体" w:eastAsia="宋体" w:cs="宋体"/>
          <w:color w:val="auto"/>
          <w:kern w:val="0"/>
          <w:sz w:val="24"/>
          <w:szCs w:val="24"/>
          <w:highlight w:val="none"/>
        </w:rPr>
        <w:t>1、验收</w:t>
      </w:r>
    </w:p>
    <w:p w14:paraId="61085029">
      <w:pPr>
        <w:keepNext w:val="0"/>
        <w:keepLines w:val="0"/>
        <w:pageBreakBefore w:val="0"/>
        <w:widowControl/>
        <w:shd w:val="clear" w:color="auto" w:fill="auto"/>
        <w:kinsoku/>
        <w:wordWrap/>
        <w:topLinePunct w:val="0"/>
        <w:bidi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（1）运行结果符合产品标准和技术规格书及合同要求。</w:t>
      </w:r>
    </w:p>
    <w:p w14:paraId="59D70CE6">
      <w:pPr>
        <w:keepNext w:val="0"/>
        <w:keepLines w:val="0"/>
        <w:pageBreakBefore w:val="0"/>
        <w:widowControl/>
        <w:shd w:val="clear" w:color="auto" w:fill="auto"/>
        <w:kinsoku/>
        <w:wordWrap/>
        <w:topLinePunct w:val="0"/>
        <w:bidi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（2）在进行测试和验收运行过程中发生的故障已被消除并得到</w:t>
      </w:r>
      <w:r>
        <w:rPr>
          <w:rFonts w:hint="eastAsia" w:ascii="宋体" w:hAnsi="宋体" w:eastAsia="宋体" w:cs="宋体"/>
          <w:color w:val="auto"/>
          <w:kern w:val="0"/>
          <w:sz w:val="24"/>
          <w:szCs w:val="24"/>
          <w:highlight w:val="none"/>
          <w:lang w:eastAsia="zh-CN"/>
        </w:rPr>
        <w:t>甲方</w:t>
      </w:r>
      <w:r>
        <w:rPr>
          <w:rFonts w:hint="eastAsia" w:ascii="宋体" w:hAnsi="宋体" w:eastAsia="宋体" w:cs="宋体"/>
          <w:color w:val="auto"/>
          <w:kern w:val="0"/>
          <w:sz w:val="24"/>
          <w:szCs w:val="24"/>
          <w:highlight w:val="none"/>
        </w:rPr>
        <w:t>的认可。</w:t>
      </w:r>
    </w:p>
    <w:p w14:paraId="55B396EC">
      <w:pPr>
        <w:keepNext w:val="0"/>
        <w:keepLines w:val="0"/>
        <w:pageBreakBefore w:val="0"/>
        <w:widowControl/>
        <w:shd w:val="clear" w:color="auto" w:fill="auto"/>
        <w:kinsoku/>
        <w:wordWrap/>
        <w:topLinePunct w:val="0"/>
        <w:bidi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（3）所有合同中规定的货物、材料和技术文件都已提交。</w:t>
      </w:r>
    </w:p>
    <w:p w14:paraId="02747CE6">
      <w:pPr>
        <w:keepNext w:val="0"/>
        <w:keepLines w:val="0"/>
        <w:pageBreakBefore w:val="0"/>
        <w:widowControl/>
        <w:shd w:val="clear" w:color="auto" w:fill="auto"/>
        <w:kinsoku/>
        <w:wordWrap/>
        <w:topLinePunct w:val="0"/>
        <w:bidi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lang w:eastAsia="zh-CN"/>
        </w:rPr>
        <w:t>）供货完成后甲方随机抽验</w:t>
      </w:r>
      <w:r>
        <w:rPr>
          <w:rFonts w:hint="eastAsia" w:ascii="宋体" w:hAnsi="宋体" w:eastAsia="宋体" w:cs="宋体"/>
          <w:color w:val="auto"/>
          <w:kern w:val="0"/>
          <w:sz w:val="24"/>
          <w:szCs w:val="24"/>
          <w:highlight w:val="none"/>
          <w:lang w:val="en-US" w:eastAsia="zh-CN"/>
        </w:rPr>
        <w:t>1个</w:t>
      </w:r>
      <w:r>
        <w:rPr>
          <w:rFonts w:hint="eastAsia" w:ascii="宋体" w:hAnsi="宋体" w:eastAsia="宋体" w:cs="宋体"/>
          <w:color w:val="auto"/>
          <w:kern w:val="0"/>
          <w:sz w:val="24"/>
          <w:szCs w:val="24"/>
          <w:highlight w:val="none"/>
          <w:lang w:eastAsia="zh-CN"/>
        </w:rPr>
        <w:t>产品进行送检。检测产品质量不合格的，按验收不合格处理，甲方有权退回货物并要求重新供货</w:t>
      </w:r>
      <w:r>
        <w:rPr>
          <w:rFonts w:hint="eastAsia" w:ascii="宋体" w:hAnsi="宋体" w:eastAsia="宋体" w:cs="宋体"/>
          <w:color w:val="auto"/>
          <w:kern w:val="0"/>
          <w:sz w:val="24"/>
          <w:szCs w:val="24"/>
          <w:highlight w:val="none"/>
        </w:rPr>
        <w:t>。</w:t>
      </w:r>
    </w:p>
    <w:p w14:paraId="3995FA52">
      <w:pPr>
        <w:pStyle w:val="152"/>
        <w:keepNext w:val="0"/>
        <w:keepLines w:val="0"/>
        <w:pageBreakBefore w:val="0"/>
        <w:widowControl w:val="0"/>
        <w:shd w:val="clear" w:color="auto" w:fill="auto"/>
        <w:kinsoku/>
        <w:wordWrap/>
        <w:overflowPunct w:val="0"/>
        <w:topLinePunct w:val="0"/>
        <w:autoSpaceDE w:val="0"/>
        <w:autoSpaceDN w:val="0"/>
        <w:bidi w:val="0"/>
        <w:adjustRightInd w:val="0"/>
        <w:snapToGrid/>
        <w:spacing w:line="480" w:lineRule="exact"/>
        <w:ind w:left="0" w:leftChars="0" w:right="0" w:rightChars="0" w:firstLine="480" w:firstLineChars="200"/>
        <w:textAlignment w:val="baseline"/>
        <w:outlineLvl w:val="9"/>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lang w:eastAsia="zh-CN"/>
        </w:rPr>
        <w:t>注：验收时需进行破坏性验收，实物作为破坏性试验验收依据，若</w:t>
      </w:r>
      <w:r>
        <w:rPr>
          <w:rFonts w:hint="eastAsia" w:ascii="宋体" w:hAnsi="宋体" w:eastAsia="宋体" w:cs="宋体"/>
          <w:b w:val="0"/>
          <w:bCs w:val="0"/>
          <w:color w:val="auto"/>
          <w:sz w:val="24"/>
          <w:szCs w:val="24"/>
          <w:highlight w:val="none"/>
          <w:lang w:val="en-US" w:eastAsia="zh-CN"/>
        </w:rPr>
        <w:t>乙方</w:t>
      </w:r>
      <w:r>
        <w:rPr>
          <w:rFonts w:hint="eastAsia" w:ascii="宋体" w:hAnsi="宋体" w:eastAsia="宋体" w:cs="宋体"/>
          <w:b w:val="0"/>
          <w:bCs w:val="0"/>
          <w:color w:val="auto"/>
          <w:sz w:val="24"/>
          <w:szCs w:val="24"/>
          <w:highlight w:val="none"/>
          <w:lang w:eastAsia="zh-CN"/>
        </w:rPr>
        <w:t>没有满足采购参数实质性要求需更换直至满足甲方需求。</w:t>
      </w:r>
    </w:p>
    <w:p w14:paraId="09F2E96E">
      <w:pPr>
        <w:pStyle w:val="152"/>
        <w:keepNext w:val="0"/>
        <w:keepLines w:val="0"/>
        <w:pageBreakBefore w:val="0"/>
        <w:widowControl w:val="0"/>
        <w:shd w:val="clear" w:color="auto" w:fill="auto"/>
        <w:kinsoku/>
        <w:wordWrap/>
        <w:overflowPunct w:val="0"/>
        <w:topLinePunct w:val="0"/>
        <w:autoSpaceDE w:val="0"/>
        <w:autoSpaceDN w:val="0"/>
        <w:bidi w:val="0"/>
        <w:adjustRightInd w:val="0"/>
        <w:snapToGrid/>
        <w:spacing w:line="480" w:lineRule="exact"/>
        <w:ind w:left="0" w:leftChars="0" w:right="0" w:rightChars="0" w:firstLine="482" w:firstLineChars="200"/>
        <w:textAlignment w:val="baseline"/>
        <w:outlineLvl w:val="9"/>
        <w:rPr>
          <w:rFonts w:hint="eastAsia" w:ascii="宋体" w:hAnsi="宋体" w:eastAsia="宋体" w:cs="宋体"/>
          <w:b w:val="0"/>
          <w:bCs w:val="0"/>
          <w:color w:val="000000" w:themeColor="text1"/>
          <w:sz w:val="24"/>
          <w:szCs w:val="24"/>
          <w:highlight w:val="none"/>
          <w:lang w:eastAsia="zh-CN"/>
          <w14:textFill>
            <w14:solidFill>
              <w14:schemeClr w14:val="tx1"/>
            </w14:solidFill>
          </w14:textFill>
        </w:rPr>
      </w:pPr>
      <w:r>
        <w:rPr>
          <w:rFonts w:hint="eastAsia" w:ascii="宋体" w:hAnsi="宋体" w:cs="宋体"/>
          <w:b/>
          <w:bCs/>
          <w:color w:val="000000" w:themeColor="text1"/>
          <w:sz w:val="24"/>
          <w:szCs w:val="24"/>
          <w:highlight w:val="none"/>
          <w:lang w:eastAsia="zh-CN"/>
          <w14:textFill>
            <w14:solidFill>
              <w14:schemeClr w14:val="tx1"/>
            </w14:solidFill>
          </w14:textFill>
        </w:rPr>
        <w:t>九、</w:t>
      </w:r>
      <w:r>
        <w:rPr>
          <w:rFonts w:hint="eastAsia" w:ascii="宋体" w:hAnsi="宋体" w:eastAsia="宋体" w:cs="宋体"/>
          <w:b/>
          <w:bCs/>
          <w:color w:val="000000" w:themeColor="text1"/>
          <w:sz w:val="24"/>
          <w:szCs w:val="24"/>
          <w:highlight w:val="none"/>
          <w:lang w:eastAsia="zh-CN"/>
          <w14:textFill>
            <w14:solidFill>
              <w14:schemeClr w14:val="tx1"/>
            </w14:solidFill>
          </w14:textFill>
        </w:rPr>
        <w:t>履约保证金</w:t>
      </w:r>
      <w:bookmarkEnd w:id="113"/>
      <w:bookmarkEnd w:id="114"/>
      <w:r>
        <w:rPr>
          <w:rFonts w:hint="eastAsia" w:ascii="宋体" w:hAnsi="宋体" w:eastAsia="宋体" w:cs="宋体"/>
          <w:b/>
          <w:bCs/>
          <w:color w:val="000000" w:themeColor="text1"/>
          <w:sz w:val="24"/>
          <w:szCs w:val="24"/>
          <w:highlight w:val="none"/>
          <w:lang w:eastAsia="zh-CN"/>
          <w14:textFill>
            <w14:solidFill>
              <w14:schemeClr w14:val="tx1"/>
            </w14:solidFill>
          </w14:textFill>
        </w:rPr>
        <w:t>：</w:t>
      </w:r>
      <w:r>
        <w:rPr>
          <w:rFonts w:hint="eastAsia" w:ascii="宋体" w:hAnsi="宋体" w:cs="宋体"/>
          <w:b w:val="0"/>
          <w:bCs w:val="0"/>
          <w:color w:val="000000" w:themeColor="text1"/>
          <w:sz w:val="24"/>
          <w:szCs w:val="24"/>
          <w:highlight w:val="none"/>
          <w:lang w:eastAsia="zh-CN"/>
          <w14:textFill>
            <w14:solidFill>
              <w14:schemeClr w14:val="tx1"/>
            </w14:solidFill>
          </w14:textFill>
        </w:rPr>
        <w:t>本项目不收取</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履约保证金</w:t>
      </w:r>
      <w:r>
        <w:rPr>
          <w:rFonts w:hint="eastAsia" w:ascii="宋体" w:hAnsi="宋体" w:cs="宋体"/>
          <w:b w:val="0"/>
          <w:bCs w:val="0"/>
          <w:color w:val="000000" w:themeColor="text1"/>
          <w:sz w:val="24"/>
          <w:szCs w:val="24"/>
          <w:highlight w:val="none"/>
          <w:lang w:eastAsia="zh-CN"/>
          <w14:textFill>
            <w14:solidFill>
              <w14:schemeClr w14:val="tx1"/>
            </w14:solidFill>
          </w14:textFill>
        </w:rPr>
        <w:t>。</w:t>
      </w:r>
    </w:p>
    <w:p w14:paraId="5D2EB0B0">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15" w:name="_Toc13742306"/>
      <w:bookmarkStart w:id="116" w:name="_Toc373097183"/>
      <w:bookmarkStart w:id="117" w:name="_Toc408591667"/>
      <w:r>
        <w:rPr>
          <w:rFonts w:hint="eastAsia" w:ascii="宋体" w:hAnsi="宋体" w:eastAsia="宋体" w:cs="宋体"/>
          <w:b/>
          <w:bCs/>
          <w:color w:val="auto"/>
          <w:kern w:val="0"/>
          <w:sz w:val="24"/>
          <w:szCs w:val="24"/>
          <w:highlight w:val="none"/>
        </w:rPr>
        <w:t>十、付款方式</w:t>
      </w:r>
      <w:bookmarkEnd w:id="115"/>
      <w:bookmarkEnd w:id="116"/>
      <w:bookmarkEnd w:id="117"/>
    </w:p>
    <w:p w14:paraId="1EA833FD">
      <w:pPr>
        <w:pStyle w:val="34"/>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480" w:lineRule="exact"/>
        <w:ind w:firstLine="480" w:firstLineChars="200"/>
        <w:jc w:val="left"/>
        <w:textAlignment w:val="auto"/>
        <w:outlineLvl w:val="9"/>
        <w:rPr>
          <w:rFonts w:hint="eastAsia" w:ascii="宋体" w:hAnsi="宋体" w:eastAsia="宋体" w:cs="宋体"/>
          <w:color w:val="auto"/>
          <w:sz w:val="24"/>
          <w:szCs w:val="24"/>
          <w:highlight w:val="none"/>
          <w:lang w:val="en-US" w:eastAsia="zh-CN"/>
        </w:rPr>
      </w:pPr>
      <w:bookmarkStart w:id="118" w:name="_Toc373097184"/>
      <w:bookmarkStart w:id="119" w:name="_Toc408591668"/>
      <w:r>
        <w:rPr>
          <w:rFonts w:hint="eastAsia" w:ascii="宋体" w:hAnsi="宋体" w:eastAsia="宋体" w:cs="宋体"/>
          <w:color w:val="auto"/>
          <w:kern w:val="0"/>
          <w:sz w:val="24"/>
          <w:szCs w:val="24"/>
          <w:highlight w:val="none"/>
          <w:lang w:val="en-US" w:eastAsia="zh-CN"/>
        </w:rPr>
        <w:t>签订合同且收到正式发票后7个工作日内支付合同金额的40%作为预付款，乙方应提交银行、保险公司等金融机构出具同等金额的预付款保函。全部货物验收合格后凭正式发票于7个工作日内一次性支付剩余合同款。</w:t>
      </w:r>
    </w:p>
    <w:p w14:paraId="40CDC6BD">
      <w:pPr>
        <w:pStyle w:val="34"/>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480" w:lineRule="exact"/>
        <w:ind w:firstLine="480" w:firstLineChars="200"/>
        <w:jc w:val="left"/>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乙方明确表示无需预付款或者主动要求降低预付款比例的，采购合同可不适用前述规定。</w:t>
      </w:r>
    </w:p>
    <w:p w14:paraId="71175E9C">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default" w:ascii="宋体" w:hAnsi="宋体" w:eastAsia="宋体" w:cs="宋体"/>
          <w:color w:val="auto"/>
          <w:kern w:val="0"/>
          <w:sz w:val="24"/>
          <w:szCs w:val="24"/>
          <w:highlight w:val="none"/>
          <w:lang w:val="en-US"/>
        </w:rPr>
      </w:pPr>
      <w:r>
        <w:rPr>
          <w:rFonts w:hint="eastAsia" w:ascii="宋体" w:hAnsi="宋体" w:eastAsia="宋体" w:cs="宋体"/>
          <w:color w:val="auto"/>
          <w:sz w:val="24"/>
          <w:szCs w:val="24"/>
          <w:highlight w:val="none"/>
          <w:lang w:val="en-US" w:eastAsia="zh-CN"/>
        </w:rPr>
        <w:t>在乙方领取项目款时，应提供与项目款同等数额的发票，否则，甲方有权拒绝支付结算款</w:t>
      </w:r>
      <w:r>
        <w:rPr>
          <w:rFonts w:hint="eastAsia" w:ascii="宋体" w:hAnsi="宋体" w:cs="宋体"/>
          <w:color w:val="auto"/>
          <w:sz w:val="24"/>
          <w:szCs w:val="24"/>
          <w:highlight w:val="none"/>
          <w:lang w:val="en-US" w:eastAsia="zh-CN"/>
        </w:rPr>
        <w:t>，并不承担违约责任。</w:t>
      </w:r>
    </w:p>
    <w:p w14:paraId="3B19721B">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20" w:name="_Toc13742307"/>
      <w:r>
        <w:rPr>
          <w:rFonts w:hint="eastAsia" w:ascii="宋体" w:hAnsi="宋体" w:eastAsia="宋体" w:cs="宋体"/>
          <w:b/>
          <w:bCs/>
          <w:color w:val="auto"/>
          <w:kern w:val="0"/>
          <w:sz w:val="24"/>
          <w:szCs w:val="24"/>
          <w:highlight w:val="none"/>
        </w:rPr>
        <w:t>十一、违约责任</w:t>
      </w:r>
      <w:bookmarkEnd w:id="118"/>
      <w:bookmarkEnd w:id="119"/>
      <w:bookmarkEnd w:id="120"/>
    </w:p>
    <w:p w14:paraId="51F43C97">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bookmarkStart w:id="121" w:name="_Toc408591669"/>
      <w:bookmarkStart w:id="122" w:name="_Toc373097185"/>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、如乙方不能交付货物，甲方有权单方解除合同，同时乙方除退还全部已收取款项，还应向甲方支付合同总价10％的违约金，造成甲方</w:t>
      </w:r>
      <w:r>
        <w:rPr>
          <w:rFonts w:hint="eastAsia" w:ascii="宋体" w:hAnsi="宋体" w:eastAsia="宋体" w:cs="宋体"/>
          <w:color w:val="auto"/>
          <w:kern w:val="0"/>
          <w:sz w:val="24"/>
          <w:szCs w:val="24"/>
          <w:highlight w:val="none"/>
          <w:lang w:val="en-US" w:eastAsia="zh-CN"/>
        </w:rPr>
        <w:t>及学校</w:t>
      </w:r>
      <w:r>
        <w:rPr>
          <w:rFonts w:hint="eastAsia" w:ascii="宋体" w:hAnsi="宋体" w:eastAsia="宋体" w:cs="宋体"/>
          <w:color w:val="auto"/>
          <w:kern w:val="0"/>
          <w:sz w:val="24"/>
          <w:szCs w:val="24"/>
          <w:highlight w:val="none"/>
        </w:rPr>
        <w:t>损失超过违约金的，乙方继续承担赔偿责任。</w:t>
      </w:r>
    </w:p>
    <w:p w14:paraId="27EE7745">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2</w:t>
      </w:r>
      <w:r>
        <w:rPr>
          <w:rFonts w:hint="eastAsia" w:ascii="宋体" w:hAnsi="宋体" w:eastAsia="宋体" w:cs="宋体"/>
          <w:color w:val="auto"/>
          <w:kern w:val="0"/>
          <w:sz w:val="24"/>
          <w:szCs w:val="24"/>
          <w:highlight w:val="none"/>
        </w:rPr>
        <w:t>、乙方逾期交付货物的，每逾期1天，乙方向甲方偿付逾期交货部分货款总额的5‰的</w:t>
      </w:r>
      <w:r>
        <w:rPr>
          <w:rFonts w:hint="eastAsia" w:ascii="宋体" w:hAnsi="宋体" w:eastAsia="宋体" w:cs="宋体"/>
          <w:color w:val="auto"/>
          <w:kern w:val="0"/>
          <w:sz w:val="24"/>
          <w:szCs w:val="24"/>
          <w:highlight w:val="none"/>
          <w:lang w:val="en-US" w:eastAsia="zh-CN"/>
        </w:rPr>
        <w:t>违约金</w:t>
      </w:r>
      <w:r>
        <w:rPr>
          <w:rFonts w:hint="eastAsia" w:ascii="宋体" w:hAnsi="宋体" w:eastAsia="宋体" w:cs="宋体"/>
          <w:color w:val="auto"/>
          <w:kern w:val="0"/>
          <w:sz w:val="24"/>
          <w:szCs w:val="24"/>
          <w:highlight w:val="none"/>
        </w:rPr>
        <w:t>。如乙方逾期交货达30天，甲方有权单方解除合同</w:t>
      </w:r>
      <w:r>
        <w:rPr>
          <w:rFonts w:hint="eastAsia" w:ascii="宋体" w:hAnsi="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解除合同的通知自到达乙方时生效，乙方除全部退还甲方已收款项及支付前述应付违约金外，还应向甲方支付合同总价10％的违约金，造成甲方</w:t>
      </w:r>
      <w:r>
        <w:rPr>
          <w:rFonts w:hint="eastAsia" w:ascii="宋体" w:hAnsi="宋体" w:eastAsia="宋体" w:cs="宋体"/>
          <w:color w:val="auto"/>
          <w:kern w:val="0"/>
          <w:sz w:val="24"/>
          <w:szCs w:val="24"/>
          <w:highlight w:val="none"/>
          <w:lang w:val="en-US" w:eastAsia="zh-CN"/>
        </w:rPr>
        <w:t>及学校</w:t>
      </w:r>
      <w:r>
        <w:rPr>
          <w:rFonts w:hint="eastAsia" w:ascii="宋体" w:hAnsi="宋体" w:eastAsia="宋体" w:cs="宋体"/>
          <w:color w:val="auto"/>
          <w:kern w:val="0"/>
          <w:sz w:val="24"/>
          <w:szCs w:val="24"/>
          <w:highlight w:val="none"/>
        </w:rPr>
        <w:t>损失超过违约金的，乙方继续承担赔偿责任。</w:t>
      </w:r>
    </w:p>
    <w:p w14:paraId="63DB7596">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rPr>
        <w:t>、在履行合同过程中，如果乙方遇到不能按时交货情况，应及时以书面形式将不能按时交货的理由、预期延误时间通知甲方</w:t>
      </w:r>
      <w:r>
        <w:rPr>
          <w:rFonts w:hint="eastAsia" w:ascii="宋体" w:hAnsi="宋体" w:eastAsia="宋体" w:cs="宋体"/>
          <w:color w:val="auto"/>
          <w:kern w:val="0"/>
          <w:sz w:val="24"/>
          <w:szCs w:val="24"/>
          <w:highlight w:val="none"/>
          <w:lang w:val="en-US" w:eastAsia="zh-CN"/>
        </w:rPr>
        <w:t>及学校</w:t>
      </w:r>
      <w:r>
        <w:rPr>
          <w:rFonts w:hint="eastAsia" w:ascii="宋体" w:hAnsi="宋体" w:eastAsia="宋体" w:cs="宋体"/>
          <w:color w:val="auto"/>
          <w:kern w:val="0"/>
          <w:sz w:val="24"/>
          <w:szCs w:val="24"/>
          <w:highlight w:val="none"/>
        </w:rPr>
        <w:t>。甲方</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学校</w:t>
      </w:r>
      <w:r>
        <w:rPr>
          <w:rFonts w:hint="eastAsia" w:ascii="宋体" w:hAnsi="宋体" w:eastAsia="宋体" w:cs="宋体"/>
          <w:color w:val="auto"/>
          <w:kern w:val="0"/>
          <w:sz w:val="24"/>
          <w:szCs w:val="24"/>
          <w:highlight w:val="none"/>
        </w:rPr>
        <w:t>收到乙方通知后，认为其理由正当的，可酌情延长交货时间；不认可乙方不能按时交货理由的，按</w:t>
      </w:r>
      <w:r>
        <w:rPr>
          <w:rFonts w:hint="eastAsia" w:ascii="宋体" w:hAnsi="宋体" w:eastAsia="宋体" w:cs="宋体"/>
          <w:color w:val="auto"/>
          <w:kern w:val="0"/>
          <w:sz w:val="24"/>
          <w:szCs w:val="24"/>
          <w:highlight w:val="none"/>
          <w:lang w:eastAsia="zh-CN"/>
        </w:rPr>
        <w:t>乙方</w:t>
      </w:r>
      <w:r>
        <w:rPr>
          <w:rFonts w:hint="eastAsia" w:ascii="宋体" w:hAnsi="宋体" w:eastAsia="宋体" w:cs="宋体"/>
          <w:color w:val="auto"/>
          <w:kern w:val="0"/>
          <w:sz w:val="24"/>
          <w:szCs w:val="24"/>
          <w:highlight w:val="none"/>
        </w:rPr>
        <w:t>逾期交付货物处理。</w:t>
      </w:r>
    </w:p>
    <w:p w14:paraId="2D87A940">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4</w:t>
      </w:r>
      <w:r>
        <w:rPr>
          <w:rFonts w:hint="eastAsia" w:ascii="宋体" w:hAnsi="宋体" w:eastAsia="宋体" w:cs="宋体"/>
          <w:color w:val="auto"/>
          <w:kern w:val="0"/>
          <w:sz w:val="24"/>
          <w:szCs w:val="24"/>
          <w:highlight w:val="none"/>
        </w:rPr>
        <w:t>、乙方所交付的货物品种、型号、规格、技术指标不符合合同规定的，甲方</w:t>
      </w:r>
      <w:r>
        <w:rPr>
          <w:rFonts w:hint="eastAsia" w:ascii="宋体" w:hAnsi="宋体" w:eastAsia="宋体" w:cs="宋体"/>
          <w:color w:val="auto"/>
          <w:kern w:val="0"/>
          <w:sz w:val="24"/>
          <w:szCs w:val="24"/>
          <w:highlight w:val="none"/>
          <w:lang w:val="en-US" w:eastAsia="zh-CN"/>
        </w:rPr>
        <w:t>及学校</w:t>
      </w:r>
      <w:r>
        <w:rPr>
          <w:rFonts w:hint="eastAsia" w:ascii="宋体" w:hAnsi="宋体" w:eastAsia="宋体" w:cs="宋体"/>
          <w:color w:val="auto"/>
          <w:kern w:val="0"/>
          <w:sz w:val="24"/>
          <w:szCs w:val="24"/>
          <w:highlight w:val="none"/>
        </w:rPr>
        <w:t>有权拒收。甲方拒收的，乙方应向甲方支付货款总额1%的违约金。乙方应继续交付符合合同规定的货</w:t>
      </w:r>
      <w:r>
        <w:rPr>
          <w:rFonts w:hint="eastAsia" w:ascii="宋体" w:hAnsi="宋体" w:eastAsia="宋体" w:cs="宋体"/>
          <w:color w:val="auto"/>
          <w:kern w:val="0"/>
          <w:sz w:val="24"/>
          <w:szCs w:val="24"/>
          <w:highlight w:val="none"/>
          <w:lang w:eastAsia="zh-CN"/>
        </w:rPr>
        <w:t>物。</w:t>
      </w:r>
    </w:p>
    <w:p w14:paraId="5F188633">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5</w:t>
      </w:r>
      <w:r>
        <w:rPr>
          <w:rFonts w:hint="eastAsia" w:ascii="宋体" w:hAnsi="宋体" w:eastAsia="宋体" w:cs="宋体"/>
          <w:color w:val="auto"/>
          <w:kern w:val="0"/>
          <w:sz w:val="24"/>
          <w:szCs w:val="24"/>
          <w:highlight w:val="none"/>
        </w:rPr>
        <w:t>、在乙方承诺的或国家规定的质量保证期内（取两者中最长的期限），如经乙方两次维修或更换，货物仍不能达到合同约定的质量标准，甲方</w:t>
      </w:r>
      <w:r>
        <w:rPr>
          <w:rFonts w:hint="eastAsia" w:ascii="宋体" w:hAnsi="宋体" w:eastAsia="宋体" w:cs="宋体"/>
          <w:color w:val="auto"/>
          <w:kern w:val="0"/>
          <w:sz w:val="24"/>
          <w:szCs w:val="24"/>
          <w:highlight w:val="none"/>
          <w:lang w:val="en-US" w:eastAsia="zh-CN"/>
        </w:rPr>
        <w:t>及学校</w:t>
      </w:r>
      <w:r>
        <w:rPr>
          <w:rFonts w:hint="eastAsia" w:ascii="宋体" w:hAnsi="宋体" w:eastAsia="宋体" w:cs="宋体"/>
          <w:color w:val="auto"/>
          <w:kern w:val="0"/>
          <w:sz w:val="24"/>
          <w:szCs w:val="24"/>
          <w:highlight w:val="none"/>
        </w:rPr>
        <w:t>有权退货，乙方应退回全部货款，乙方还应向甲方支付合同总价10%的违约金，造成甲方及学校损失超过违约金</w:t>
      </w:r>
      <w:r>
        <w:rPr>
          <w:rFonts w:hint="eastAsia" w:ascii="宋体" w:hAnsi="宋体" w:eastAsia="宋体" w:cs="宋体"/>
          <w:color w:val="auto"/>
          <w:kern w:val="0"/>
          <w:sz w:val="24"/>
          <w:szCs w:val="24"/>
          <w:highlight w:val="none"/>
          <w:lang w:eastAsia="zh-CN"/>
        </w:rPr>
        <w:t>的，乙方继续承担赔偿责任</w:t>
      </w:r>
      <w:r>
        <w:rPr>
          <w:rFonts w:hint="eastAsia" w:ascii="宋体" w:hAnsi="宋体" w:eastAsia="宋体" w:cs="宋体"/>
          <w:color w:val="auto"/>
          <w:kern w:val="0"/>
          <w:sz w:val="24"/>
          <w:szCs w:val="24"/>
          <w:highlight w:val="none"/>
        </w:rPr>
        <w:t>。</w:t>
      </w:r>
    </w:p>
    <w:p w14:paraId="65B9D2B7">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、乙方未按本合同的规定和“服务承诺”提供伴随服务/售后服务的，应按合同总价款的30%向甲方承担违约责任</w:t>
      </w:r>
      <w:r>
        <w:rPr>
          <w:rFonts w:hint="eastAsia" w:ascii="宋体" w:hAnsi="宋体" w:eastAsia="宋体" w:cs="宋体"/>
          <w:color w:val="auto"/>
          <w:kern w:val="0"/>
          <w:sz w:val="24"/>
          <w:szCs w:val="24"/>
          <w:highlight w:val="none"/>
          <w:lang w:eastAsia="zh-CN"/>
        </w:rPr>
        <w:t>，造成甲方、学校损失超过违约金的，乙方继续承担赔偿责任</w:t>
      </w:r>
      <w:r>
        <w:rPr>
          <w:rFonts w:hint="eastAsia" w:ascii="宋体" w:hAnsi="宋体" w:eastAsia="宋体" w:cs="宋体"/>
          <w:color w:val="auto"/>
          <w:kern w:val="0"/>
          <w:sz w:val="24"/>
          <w:szCs w:val="24"/>
          <w:highlight w:val="none"/>
        </w:rPr>
        <w:t>。</w:t>
      </w:r>
    </w:p>
    <w:p w14:paraId="6DEAD07F">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7</w:t>
      </w:r>
      <w:r>
        <w:rPr>
          <w:rFonts w:hint="eastAsia" w:ascii="宋体" w:hAnsi="宋体" w:eastAsia="宋体" w:cs="宋体"/>
          <w:color w:val="auto"/>
          <w:kern w:val="0"/>
          <w:sz w:val="24"/>
          <w:szCs w:val="24"/>
          <w:highlight w:val="none"/>
        </w:rPr>
        <w:t>、乙方在承担上述</w:t>
      </w:r>
      <w:r>
        <w:rPr>
          <w:rFonts w:hint="eastAsia" w:ascii="宋体" w:hAnsi="宋体" w:eastAsia="宋体" w:cs="宋体"/>
          <w:color w:val="auto"/>
          <w:kern w:val="0"/>
          <w:sz w:val="24"/>
          <w:szCs w:val="24"/>
          <w:highlight w:val="none"/>
          <w:lang w:val="en-US" w:eastAsia="zh-CN"/>
        </w:rPr>
        <w:t>1</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款一项或多项违约责任后，仍应继续履行合同规定的义务（甲方解除合同的除外）。甲方未能及时追究乙方的任何一项违约责任并不表明甲方放弃追究乙方该项或其他违约责任。</w:t>
      </w:r>
    </w:p>
    <w:p w14:paraId="0D83B02B">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23" w:name="_Toc13742308"/>
      <w:r>
        <w:rPr>
          <w:rFonts w:hint="eastAsia" w:ascii="宋体" w:hAnsi="宋体" w:eastAsia="宋体" w:cs="宋体"/>
          <w:b/>
          <w:bCs/>
          <w:color w:val="auto"/>
          <w:kern w:val="0"/>
          <w:sz w:val="24"/>
          <w:szCs w:val="24"/>
          <w:highlight w:val="none"/>
        </w:rPr>
        <w:t>十二、合同纠纷处理：</w:t>
      </w:r>
      <w:bookmarkEnd w:id="121"/>
      <w:bookmarkEnd w:id="122"/>
      <w:bookmarkEnd w:id="123"/>
    </w:p>
    <w:p w14:paraId="4B6C8205">
      <w:pPr>
        <w:keepNext w:val="0"/>
        <w:keepLines w:val="0"/>
        <w:pageBreakBefore w:val="0"/>
        <w:widowControl/>
        <w:shd w:val="clear" w:color="auto" w:fill="auto"/>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bookmarkStart w:id="124" w:name="_Toc373097186"/>
      <w:bookmarkStart w:id="125" w:name="_Toc408591670"/>
      <w:r>
        <w:rPr>
          <w:rFonts w:hint="eastAsia" w:ascii="宋体" w:hAnsi="宋体" w:eastAsia="宋体" w:cs="宋体"/>
          <w:color w:val="auto"/>
          <w:kern w:val="0"/>
          <w:sz w:val="24"/>
          <w:szCs w:val="24"/>
          <w:highlight w:val="none"/>
        </w:rPr>
        <w:t>1、因货物的质量问题发生争议的，应当邀请国家认可的质量检测机构对货物质量进行鉴定。货物符合标准的，鉴定费由甲方承担；货物不符合质量标准的，鉴定费由乙方承担。</w:t>
      </w:r>
    </w:p>
    <w:p w14:paraId="73A434B8">
      <w:pPr>
        <w:keepNext w:val="0"/>
        <w:keepLines w:val="0"/>
        <w:pageBreakBefore w:val="0"/>
        <w:widowControl/>
        <w:shd w:val="clear" w:color="auto" w:fill="auto"/>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2、因履行本合同引起的或与本合同有关的争议，甲乙双方应首先通过友好协商解决，如果协商不能解决争议，则采取以下第（2）种方式解决争议：</w:t>
      </w:r>
    </w:p>
    <w:p w14:paraId="0B4894B3">
      <w:pPr>
        <w:keepNext w:val="0"/>
        <w:keepLines w:val="0"/>
        <w:pageBreakBefore w:val="0"/>
        <w:widowControl/>
        <w:shd w:val="clear" w:color="auto" w:fill="auto"/>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（1）向甲方所在地有管辖权的人民法院提起诉讼；</w:t>
      </w:r>
    </w:p>
    <w:p w14:paraId="560894EF">
      <w:pPr>
        <w:keepNext w:val="0"/>
        <w:keepLines w:val="0"/>
        <w:pageBreakBefore w:val="0"/>
        <w:widowControl/>
        <w:shd w:val="clear" w:color="auto" w:fill="auto"/>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（2）向丽水仲裁委员会按其仲裁规则申请仲裁。</w:t>
      </w:r>
    </w:p>
    <w:p w14:paraId="727A9252">
      <w:pPr>
        <w:keepNext w:val="0"/>
        <w:keepLines w:val="0"/>
        <w:pageBreakBefore w:val="0"/>
        <w:widowControl/>
        <w:shd w:val="clear" w:color="auto" w:fill="auto"/>
        <w:kinsoku/>
        <w:wordWrap/>
        <w:topLinePunct w:val="0"/>
        <w:autoSpaceDE w:val="0"/>
        <w:autoSpaceDN w:val="0"/>
        <w:bidi w:val="0"/>
        <w:adjustRightInd w:val="0"/>
        <w:snapToGri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3、在仲裁期间，本合同应继续履行。</w:t>
      </w:r>
    </w:p>
    <w:p w14:paraId="451B59AB">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26" w:name="_Toc13742309"/>
      <w:r>
        <w:rPr>
          <w:rFonts w:hint="eastAsia" w:ascii="宋体" w:hAnsi="宋体" w:eastAsia="宋体" w:cs="宋体"/>
          <w:b/>
          <w:bCs/>
          <w:color w:val="auto"/>
          <w:kern w:val="0"/>
          <w:sz w:val="24"/>
          <w:szCs w:val="24"/>
          <w:highlight w:val="none"/>
        </w:rPr>
        <w:t>十三、合同的转让和分包：</w:t>
      </w:r>
      <w:bookmarkEnd w:id="126"/>
    </w:p>
    <w:p w14:paraId="607469EF">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乙方不得擅自部分或全部转让其应履行的合同义务；乙方不得擅自分包其应履行的合同义务。</w:t>
      </w:r>
    </w:p>
    <w:p w14:paraId="050BE752">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bookmarkStart w:id="127" w:name="_Toc13742310"/>
      <w:r>
        <w:rPr>
          <w:rFonts w:hint="eastAsia" w:ascii="宋体" w:hAnsi="宋体" w:eastAsia="宋体" w:cs="宋体"/>
          <w:b/>
          <w:bCs/>
          <w:color w:val="auto"/>
          <w:kern w:val="0"/>
          <w:sz w:val="24"/>
          <w:szCs w:val="24"/>
          <w:highlight w:val="none"/>
        </w:rPr>
        <w:t>十四、</w:t>
      </w:r>
      <w:bookmarkEnd w:id="124"/>
      <w:bookmarkEnd w:id="125"/>
      <w:bookmarkStart w:id="128" w:name="_Toc408591672"/>
      <w:bookmarkStart w:id="129" w:name="_Toc373097188"/>
      <w:r>
        <w:rPr>
          <w:rFonts w:hint="eastAsia" w:ascii="宋体" w:hAnsi="宋体" w:eastAsia="宋体" w:cs="宋体"/>
          <w:b/>
          <w:bCs/>
          <w:color w:val="auto"/>
          <w:kern w:val="0"/>
          <w:sz w:val="24"/>
          <w:szCs w:val="24"/>
          <w:highlight w:val="none"/>
        </w:rPr>
        <w:t>组成本合同的文件包括：</w:t>
      </w:r>
      <w:bookmarkEnd w:id="127"/>
      <w:bookmarkEnd w:id="128"/>
      <w:bookmarkEnd w:id="129"/>
    </w:p>
    <w:p w14:paraId="1F88B598">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（一）本合同；</w:t>
      </w:r>
    </w:p>
    <w:p w14:paraId="343329B6">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（二）采购文件和乙方的投标文件；</w:t>
      </w:r>
    </w:p>
    <w:p w14:paraId="68E78779">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（三）中标通知书；</w:t>
      </w:r>
    </w:p>
    <w:p w14:paraId="171B1617">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（四）乙方与学校签订的关联合同；</w:t>
      </w:r>
    </w:p>
    <w:p w14:paraId="6B4D0232">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（五）甲乙双方商定的其他必要文件。</w:t>
      </w:r>
    </w:p>
    <w:p w14:paraId="44434D2C">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上述合同文件内容互为补充，如有不明确，由甲方负责解释。</w:t>
      </w:r>
    </w:p>
    <w:p w14:paraId="60EB7CD1">
      <w:pPr>
        <w:keepNext w:val="0"/>
        <w:keepLines w:val="0"/>
        <w:pageBreakBefore w:val="0"/>
        <w:shd w:val="clear" w:color="auto" w:fill="auto"/>
        <w:kinsoku/>
        <w:wordWrap/>
        <w:topLinePunct w:val="0"/>
        <w:autoSpaceDE w:val="0"/>
        <w:autoSpaceDN w:val="0"/>
        <w:bidi w:val="0"/>
        <w:adjustRightInd w:val="0"/>
        <w:spacing w:line="480" w:lineRule="exact"/>
        <w:ind w:left="0" w:leftChars="0" w:right="0" w:rightChars="0" w:firstLine="482" w:firstLineChars="200"/>
        <w:jc w:val="left"/>
        <w:outlineLvl w:val="9"/>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十五、合同生效及其他</w:t>
      </w:r>
    </w:p>
    <w:p w14:paraId="6B73BC0C">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15.1 合同经双方负责人或委托代理人签字并加盖单位公章。</w:t>
      </w:r>
    </w:p>
    <w:p w14:paraId="0C1EF720">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15.2 合同执行中涉及采购资金和采购内容修改或补充的，须经财政部门批准，并签书面补充协议报政府采购监督管理部门备案，方可作为合同不可分割的一部分。</w:t>
      </w:r>
    </w:p>
    <w:p w14:paraId="2864EBB8">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15.3 本合同自签订之日起生效。</w:t>
      </w:r>
    </w:p>
    <w:p w14:paraId="505E38EA">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15.4本合同一式四份，甲乙双方各执</w:t>
      </w:r>
      <w:r>
        <w:rPr>
          <w:rFonts w:hint="eastAsia" w:ascii="宋体" w:hAnsi="宋体" w:eastAsia="宋体" w:cs="宋体"/>
          <w:color w:val="auto"/>
          <w:kern w:val="0"/>
          <w:sz w:val="24"/>
          <w:szCs w:val="24"/>
          <w:highlight w:val="none"/>
          <w:lang w:eastAsia="zh-CN"/>
        </w:rPr>
        <w:t>两</w:t>
      </w:r>
      <w:r>
        <w:rPr>
          <w:rFonts w:hint="eastAsia" w:ascii="宋体" w:hAnsi="宋体" w:eastAsia="宋体" w:cs="宋体"/>
          <w:color w:val="auto"/>
          <w:kern w:val="0"/>
          <w:sz w:val="24"/>
          <w:szCs w:val="24"/>
          <w:highlight w:val="none"/>
        </w:rPr>
        <w:t>份。</w:t>
      </w:r>
    </w:p>
    <w:p w14:paraId="338DF2E6">
      <w:pPr>
        <w:keepNext w:val="0"/>
        <w:keepLines w:val="0"/>
        <w:pageBreakBefore w:val="0"/>
        <w:widowControl/>
        <w:shd w:val="clear" w:color="auto" w:fill="auto"/>
        <w:kinsoku/>
        <w:wordWrap/>
        <w:topLinePunct w:val="0"/>
        <w:bidi w:val="0"/>
        <w:spacing w:line="480" w:lineRule="exact"/>
        <w:ind w:left="0" w:leftChars="0" w:right="0" w:rightChars="0" w:firstLine="480" w:firstLineChars="200"/>
        <w:jc w:val="left"/>
        <w:outlineLvl w:val="9"/>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15.5本合同应按照中华人民共和国的现行法律进行解释。</w:t>
      </w:r>
    </w:p>
    <w:tbl>
      <w:tblPr>
        <w:tblStyle w:val="28"/>
        <w:tblW w:w="0" w:type="auto"/>
        <w:tblInd w:w="2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7"/>
        <w:gridCol w:w="2762"/>
        <w:gridCol w:w="3800"/>
      </w:tblGrid>
      <w:tr w14:paraId="3C09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vMerge w:val="restart"/>
            <w:tcBorders>
              <w:tl2br w:val="single" w:color="auto" w:sz="4" w:space="0"/>
            </w:tcBorders>
            <w:noWrap w:val="0"/>
            <w:vAlign w:val="center"/>
          </w:tcPr>
          <w:p w14:paraId="47958228">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right"/>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单位名称</w:t>
            </w:r>
          </w:p>
          <w:p w14:paraId="66F592F6">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类别名称</w:t>
            </w:r>
          </w:p>
        </w:tc>
        <w:tc>
          <w:tcPr>
            <w:tcW w:w="2762" w:type="dxa"/>
            <w:noWrap w:val="0"/>
            <w:vAlign w:val="center"/>
          </w:tcPr>
          <w:p w14:paraId="78B4AF0E">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甲方(盖章)</w:t>
            </w:r>
          </w:p>
        </w:tc>
        <w:tc>
          <w:tcPr>
            <w:tcW w:w="3800" w:type="dxa"/>
            <w:noWrap w:val="0"/>
            <w:vAlign w:val="center"/>
          </w:tcPr>
          <w:p w14:paraId="647092DC">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乙方(盖章)</w:t>
            </w:r>
          </w:p>
        </w:tc>
      </w:tr>
      <w:tr w14:paraId="48FDC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2427" w:type="dxa"/>
            <w:vMerge w:val="continue"/>
            <w:tcBorders>
              <w:tl2br w:val="single" w:color="auto" w:sz="4" w:space="0"/>
            </w:tcBorders>
            <w:noWrap w:val="0"/>
            <w:vAlign w:val="center"/>
          </w:tcPr>
          <w:p w14:paraId="7F13A253">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p>
        </w:tc>
        <w:tc>
          <w:tcPr>
            <w:tcW w:w="2762" w:type="dxa"/>
            <w:noWrap w:val="0"/>
            <w:vAlign w:val="center"/>
          </w:tcPr>
          <w:p w14:paraId="7E075BB1">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缙云县教育局</w:t>
            </w:r>
          </w:p>
        </w:tc>
        <w:tc>
          <w:tcPr>
            <w:tcW w:w="3800" w:type="dxa"/>
            <w:noWrap w:val="0"/>
            <w:vAlign w:val="center"/>
          </w:tcPr>
          <w:p w14:paraId="1D08FD6C">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r>
      <w:tr w14:paraId="3EA40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6C65C462">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地       址：</w:t>
            </w:r>
          </w:p>
        </w:tc>
        <w:tc>
          <w:tcPr>
            <w:tcW w:w="2762" w:type="dxa"/>
            <w:noWrap w:val="0"/>
            <w:vAlign w:val="center"/>
          </w:tcPr>
          <w:p w14:paraId="77295B6E">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2DEDE41B">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p>
        </w:tc>
      </w:tr>
      <w:tr w14:paraId="42D00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00A88A79">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both"/>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法 定 代 表 人：</w:t>
            </w:r>
          </w:p>
        </w:tc>
        <w:tc>
          <w:tcPr>
            <w:tcW w:w="2762" w:type="dxa"/>
            <w:noWrap w:val="0"/>
            <w:vAlign w:val="center"/>
          </w:tcPr>
          <w:p w14:paraId="5D75900A">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51A99806">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rPr>
            </w:pPr>
          </w:p>
        </w:tc>
      </w:tr>
      <w:tr w14:paraId="46F11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28B41189">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或被授权人：</w:t>
            </w:r>
          </w:p>
        </w:tc>
        <w:tc>
          <w:tcPr>
            <w:tcW w:w="2762" w:type="dxa"/>
            <w:noWrap w:val="0"/>
            <w:vAlign w:val="center"/>
          </w:tcPr>
          <w:p w14:paraId="67DDE057">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259D6CA5">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rPr>
            </w:pPr>
          </w:p>
        </w:tc>
      </w:tr>
      <w:tr w14:paraId="651BB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4006753E">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        话：</w:t>
            </w:r>
          </w:p>
        </w:tc>
        <w:tc>
          <w:tcPr>
            <w:tcW w:w="2762" w:type="dxa"/>
            <w:noWrap w:val="0"/>
            <w:vAlign w:val="center"/>
          </w:tcPr>
          <w:p w14:paraId="1B43F463">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1910BDDA">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rPr>
            </w:pPr>
          </w:p>
        </w:tc>
      </w:tr>
      <w:tr w14:paraId="24262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6B952015">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开  户  名  称：</w:t>
            </w:r>
          </w:p>
        </w:tc>
        <w:tc>
          <w:tcPr>
            <w:tcW w:w="2762" w:type="dxa"/>
            <w:noWrap w:val="0"/>
            <w:vAlign w:val="center"/>
          </w:tcPr>
          <w:p w14:paraId="72C93750">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4508128D">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rPr>
            </w:pPr>
          </w:p>
        </w:tc>
      </w:tr>
      <w:tr w14:paraId="03E53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4166B31B">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开  户  银  行：</w:t>
            </w:r>
          </w:p>
        </w:tc>
        <w:tc>
          <w:tcPr>
            <w:tcW w:w="2762" w:type="dxa"/>
            <w:noWrap w:val="0"/>
            <w:vAlign w:val="center"/>
          </w:tcPr>
          <w:p w14:paraId="44CD000B">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0B9B25EA">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rPr>
            </w:pPr>
          </w:p>
        </w:tc>
      </w:tr>
      <w:tr w14:paraId="71334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55B8690B">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帐          号：</w:t>
            </w:r>
          </w:p>
        </w:tc>
        <w:tc>
          <w:tcPr>
            <w:tcW w:w="2762" w:type="dxa"/>
            <w:noWrap w:val="0"/>
            <w:vAlign w:val="center"/>
          </w:tcPr>
          <w:p w14:paraId="2D936844">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center"/>
              <w:textAlignment w:val="auto"/>
              <w:outlineLvl w:val="9"/>
              <w:rPr>
                <w:rFonts w:hint="eastAsia" w:ascii="宋体" w:hAnsi="宋体" w:eastAsia="宋体" w:cs="宋体"/>
                <w:color w:val="auto"/>
                <w:sz w:val="24"/>
                <w:szCs w:val="24"/>
                <w:highlight w:val="none"/>
              </w:rPr>
            </w:pPr>
          </w:p>
        </w:tc>
        <w:tc>
          <w:tcPr>
            <w:tcW w:w="3800" w:type="dxa"/>
            <w:noWrap w:val="0"/>
            <w:vAlign w:val="center"/>
          </w:tcPr>
          <w:p w14:paraId="17FBF43E">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left"/>
              <w:textAlignment w:val="auto"/>
              <w:outlineLvl w:val="9"/>
              <w:rPr>
                <w:rFonts w:hint="eastAsia" w:ascii="宋体" w:hAnsi="宋体" w:eastAsia="宋体" w:cs="宋体"/>
                <w:color w:val="auto"/>
                <w:sz w:val="24"/>
                <w:szCs w:val="24"/>
                <w:highlight w:val="none"/>
                <w:u w:val="single"/>
              </w:rPr>
            </w:pPr>
          </w:p>
        </w:tc>
      </w:tr>
      <w:tr w14:paraId="7071B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439D28F9">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签  订  地  点：</w:t>
            </w:r>
          </w:p>
        </w:tc>
        <w:tc>
          <w:tcPr>
            <w:tcW w:w="6562" w:type="dxa"/>
            <w:gridSpan w:val="2"/>
            <w:noWrap w:val="0"/>
            <w:vAlign w:val="center"/>
          </w:tcPr>
          <w:p w14:paraId="1AF3F6EA">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p>
        </w:tc>
      </w:tr>
      <w:tr w14:paraId="23C89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27" w:type="dxa"/>
            <w:noWrap w:val="0"/>
            <w:vAlign w:val="center"/>
          </w:tcPr>
          <w:p w14:paraId="63592AF5">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jc w:val="distribute"/>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签  订  时  间：</w:t>
            </w:r>
          </w:p>
        </w:tc>
        <w:tc>
          <w:tcPr>
            <w:tcW w:w="2762" w:type="dxa"/>
            <w:noWrap w:val="0"/>
            <w:vAlign w:val="center"/>
          </w:tcPr>
          <w:p w14:paraId="5145D5B0">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年   月   日</w:t>
            </w:r>
          </w:p>
        </w:tc>
        <w:tc>
          <w:tcPr>
            <w:tcW w:w="3800" w:type="dxa"/>
            <w:noWrap w:val="0"/>
            <w:vAlign w:val="center"/>
          </w:tcPr>
          <w:p w14:paraId="3174ECCA">
            <w:pPr>
              <w:keepNext w:val="0"/>
              <w:keepLines w:val="0"/>
              <w:pageBreakBefore w:val="0"/>
              <w:widowControl w:val="0"/>
              <w:shd w:val="clear" w:color="auto" w:fill="auto"/>
              <w:kinsoku/>
              <w:wordWrap/>
              <w:overflowPunct/>
              <w:topLinePunct w:val="0"/>
              <w:autoSpaceDE/>
              <w:autoSpaceDN/>
              <w:bidi w:val="0"/>
              <w:adjustRightInd/>
              <w:snapToGrid/>
              <w:spacing w:line="480" w:lineRule="exact"/>
              <w:ind w:left="0" w:leftChars="0" w:right="0" w:rightChars="0" w:firstLine="0" w:firstLineChars="0"/>
              <w:textAlignment w:val="auto"/>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年    </w:t>
            </w:r>
            <w:bookmarkStart w:id="186" w:name="_GoBack"/>
            <w:r>
              <w:rPr>
                <w:rFonts w:hint="eastAsia" w:ascii="宋体" w:hAnsi="宋体" w:eastAsia="宋体" w:cs="宋体"/>
                <w:color w:val="auto"/>
                <w:sz w:val="24"/>
                <w:szCs w:val="24"/>
                <w:highlight w:val="none"/>
              </w:rPr>
              <w:t>月</w:t>
            </w:r>
            <w:bookmarkEnd w:id="186"/>
            <w:r>
              <w:rPr>
                <w:rFonts w:hint="eastAsia" w:ascii="宋体" w:hAnsi="宋体" w:eastAsia="宋体" w:cs="宋体"/>
                <w:color w:val="auto"/>
                <w:sz w:val="24"/>
                <w:szCs w:val="24"/>
                <w:highlight w:val="none"/>
              </w:rPr>
              <w:t xml:space="preserve">   日</w:t>
            </w:r>
          </w:p>
        </w:tc>
      </w:tr>
    </w:tbl>
    <w:p w14:paraId="66F77B08">
      <w:pPr>
        <w:jc w:val="center"/>
        <w:rPr>
          <w:rFonts w:hint="eastAsia" w:ascii="宋体" w:hAnsi="宋体" w:cs="宋体"/>
          <w:b/>
          <w:color w:val="000000" w:themeColor="text1"/>
          <w:sz w:val="36"/>
          <w:szCs w:val="36"/>
          <w:highlight w:val="none"/>
          <w14:textFill>
            <w14:solidFill>
              <w14:schemeClr w14:val="tx1"/>
            </w14:solidFill>
          </w14:textFill>
        </w:rPr>
      </w:pPr>
    </w:p>
    <w:p w14:paraId="3512DF28">
      <w:pPr>
        <w:jc w:val="center"/>
        <w:rPr>
          <w:rFonts w:hint="eastAsia" w:ascii="宋体" w:hAnsi="宋体" w:cs="宋体"/>
          <w:b/>
          <w:color w:val="000000" w:themeColor="text1"/>
          <w:sz w:val="36"/>
          <w:szCs w:val="36"/>
          <w:highlight w:val="none"/>
          <w14:textFill>
            <w14:solidFill>
              <w14:schemeClr w14:val="tx1"/>
            </w14:solidFill>
          </w14:textFill>
        </w:rPr>
      </w:pPr>
    </w:p>
    <w:p w14:paraId="4D083DD8">
      <w:pPr>
        <w:jc w:val="center"/>
        <w:rPr>
          <w:rFonts w:hint="eastAsia" w:ascii="宋体" w:hAnsi="宋体" w:cs="宋体"/>
          <w:b/>
          <w:color w:val="000000" w:themeColor="text1"/>
          <w:sz w:val="36"/>
          <w:szCs w:val="36"/>
          <w:highlight w:val="none"/>
          <w14:textFill>
            <w14:solidFill>
              <w14:schemeClr w14:val="tx1"/>
            </w14:solidFill>
          </w14:textFill>
        </w:rPr>
      </w:pPr>
    </w:p>
    <w:p w14:paraId="39291119">
      <w:pPr>
        <w:jc w:val="center"/>
        <w:rPr>
          <w:rFonts w:hint="eastAsia" w:ascii="宋体" w:hAnsi="宋体" w:cs="宋体"/>
          <w:b/>
          <w:color w:val="000000" w:themeColor="text1"/>
          <w:sz w:val="36"/>
          <w:szCs w:val="36"/>
          <w:highlight w:val="none"/>
          <w14:textFill>
            <w14:solidFill>
              <w14:schemeClr w14:val="tx1"/>
            </w14:solidFill>
          </w14:textFill>
        </w:rPr>
      </w:pPr>
    </w:p>
    <w:p w14:paraId="01FEE02A">
      <w:pPr>
        <w:jc w:val="center"/>
        <w:rPr>
          <w:rFonts w:hint="eastAsia" w:ascii="宋体" w:hAnsi="宋体" w:cs="宋体"/>
          <w:b/>
          <w:color w:val="000000" w:themeColor="text1"/>
          <w:sz w:val="36"/>
          <w:szCs w:val="36"/>
          <w:highlight w:val="none"/>
          <w14:textFill>
            <w14:solidFill>
              <w14:schemeClr w14:val="tx1"/>
            </w14:solidFill>
          </w14:textFill>
        </w:rPr>
      </w:pPr>
    </w:p>
    <w:p w14:paraId="03B43FE0">
      <w:pPr>
        <w:jc w:val="center"/>
        <w:rPr>
          <w:rFonts w:hint="eastAsia" w:ascii="宋体" w:hAnsi="宋体" w:cs="宋体"/>
          <w:b/>
          <w:color w:val="000000" w:themeColor="text1"/>
          <w:sz w:val="36"/>
          <w:szCs w:val="36"/>
          <w:highlight w:val="none"/>
          <w14:textFill>
            <w14:solidFill>
              <w14:schemeClr w14:val="tx1"/>
            </w14:solidFill>
          </w14:textFill>
        </w:rPr>
      </w:pPr>
    </w:p>
    <w:p w14:paraId="2D26B373">
      <w:pPr>
        <w:jc w:val="center"/>
        <w:rPr>
          <w:rFonts w:hint="eastAsia" w:ascii="宋体" w:hAnsi="宋体" w:cs="宋体"/>
          <w:b/>
          <w:color w:val="000000" w:themeColor="text1"/>
          <w:sz w:val="36"/>
          <w:szCs w:val="36"/>
          <w:highlight w:val="none"/>
          <w14:textFill>
            <w14:solidFill>
              <w14:schemeClr w14:val="tx1"/>
            </w14:solidFill>
          </w14:textFill>
        </w:rPr>
      </w:pPr>
    </w:p>
    <w:p w14:paraId="0558BA09">
      <w:pPr>
        <w:jc w:val="center"/>
        <w:rPr>
          <w:rFonts w:hint="eastAsia" w:ascii="宋体" w:hAnsi="宋体" w:cs="宋体"/>
          <w:b/>
          <w:color w:val="000000" w:themeColor="text1"/>
          <w:sz w:val="36"/>
          <w:szCs w:val="36"/>
          <w:highlight w:val="none"/>
          <w14:textFill>
            <w14:solidFill>
              <w14:schemeClr w14:val="tx1"/>
            </w14:solidFill>
          </w14:textFill>
        </w:rPr>
      </w:pPr>
    </w:p>
    <w:p w14:paraId="3EF9B861">
      <w:pPr>
        <w:jc w:val="center"/>
        <w:rPr>
          <w:rFonts w:hint="eastAsia" w:ascii="宋体" w:hAnsi="宋体" w:cs="宋体"/>
          <w:b/>
          <w:color w:val="000000" w:themeColor="text1"/>
          <w:sz w:val="36"/>
          <w:szCs w:val="36"/>
          <w:highlight w:val="none"/>
          <w14:textFill>
            <w14:solidFill>
              <w14:schemeClr w14:val="tx1"/>
            </w14:solidFill>
          </w14:textFill>
        </w:rPr>
      </w:pPr>
    </w:p>
    <w:p w14:paraId="0038434E">
      <w:pPr>
        <w:jc w:val="center"/>
        <w:rPr>
          <w:rFonts w:hint="eastAsia" w:ascii="宋体" w:hAnsi="宋体" w:cs="宋体"/>
          <w:b/>
          <w:color w:val="000000" w:themeColor="text1"/>
          <w:sz w:val="36"/>
          <w:szCs w:val="36"/>
          <w:highlight w:val="none"/>
          <w14:textFill>
            <w14:solidFill>
              <w14:schemeClr w14:val="tx1"/>
            </w14:solidFill>
          </w14:textFill>
        </w:rPr>
      </w:pPr>
    </w:p>
    <w:p w14:paraId="680B84BC">
      <w:pPr>
        <w:jc w:val="center"/>
        <w:rPr>
          <w:rFonts w:hint="eastAsia" w:ascii="宋体" w:hAnsi="宋体" w:cs="宋体"/>
          <w:b/>
          <w:color w:val="000000" w:themeColor="text1"/>
          <w:sz w:val="36"/>
          <w:szCs w:val="36"/>
          <w:highlight w:val="none"/>
          <w14:textFill>
            <w14:solidFill>
              <w14:schemeClr w14:val="tx1"/>
            </w14:solidFill>
          </w14:textFill>
        </w:rPr>
      </w:pPr>
    </w:p>
    <w:p w14:paraId="73B358E5">
      <w:pPr>
        <w:jc w:val="center"/>
        <w:rPr>
          <w:rFonts w:hint="eastAsia" w:ascii="宋体" w:hAnsi="宋体" w:cs="宋体"/>
          <w:b/>
          <w:color w:val="000000" w:themeColor="text1"/>
          <w:sz w:val="36"/>
          <w:szCs w:val="36"/>
          <w:highlight w:val="none"/>
          <w14:textFill>
            <w14:solidFill>
              <w14:schemeClr w14:val="tx1"/>
            </w14:solidFill>
          </w14:textFill>
        </w:rPr>
      </w:pPr>
    </w:p>
    <w:p w14:paraId="4819BC45">
      <w:pPr>
        <w:jc w:val="center"/>
        <w:rPr>
          <w:rFonts w:hint="eastAsia" w:ascii="宋体" w:hAnsi="宋体" w:cs="宋体"/>
          <w:b/>
          <w:color w:val="000000" w:themeColor="text1"/>
          <w:sz w:val="36"/>
          <w:szCs w:val="36"/>
          <w:highlight w:val="none"/>
          <w14:textFill>
            <w14:solidFill>
              <w14:schemeClr w14:val="tx1"/>
            </w14:solidFill>
          </w14:textFill>
        </w:rPr>
      </w:pPr>
    </w:p>
    <w:p w14:paraId="2B4764BA">
      <w:pPr>
        <w:jc w:val="center"/>
        <w:rPr>
          <w:rFonts w:hint="eastAsia" w:ascii="宋体" w:hAnsi="宋体" w:cs="宋体"/>
          <w:b/>
          <w:color w:val="000000" w:themeColor="text1"/>
          <w:sz w:val="36"/>
          <w:szCs w:val="36"/>
          <w:highlight w:val="none"/>
          <w14:textFill>
            <w14:solidFill>
              <w14:schemeClr w14:val="tx1"/>
            </w14:solidFill>
          </w14:textFill>
        </w:rPr>
      </w:pPr>
    </w:p>
    <w:p w14:paraId="6141E5F6">
      <w:pPr>
        <w:jc w:val="center"/>
        <w:rPr>
          <w:rFonts w:hint="eastAsia" w:ascii="宋体" w:hAnsi="宋体" w:cs="宋体"/>
          <w:b/>
          <w:color w:val="000000" w:themeColor="text1"/>
          <w:sz w:val="36"/>
          <w:szCs w:val="36"/>
          <w:highlight w:val="none"/>
          <w14:textFill>
            <w14:solidFill>
              <w14:schemeClr w14:val="tx1"/>
            </w14:solidFill>
          </w14:textFill>
        </w:rPr>
      </w:pPr>
    </w:p>
    <w:p w14:paraId="7579465A">
      <w:pPr>
        <w:jc w:val="center"/>
        <w:rPr>
          <w:rFonts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第五章　投标相关文件格式</w:t>
      </w:r>
      <w:bookmarkEnd w:id="90"/>
      <w:bookmarkEnd w:id="91"/>
      <w:bookmarkEnd w:id="92"/>
      <w:bookmarkStart w:id="130" w:name="_Toc15813259"/>
      <w:bookmarkStart w:id="131" w:name="_Toc45506740"/>
      <w:bookmarkStart w:id="132" w:name="_Toc15805942"/>
      <w:bookmarkStart w:id="133" w:name="_Toc47756041"/>
    </w:p>
    <w:p w14:paraId="62716E50">
      <w:pPr>
        <w:spacing w:line="360" w:lineRule="auto"/>
        <w:rPr>
          <w:rFonts w:ascii="宋体" w:hAnsi="宋体" w:cs="宋体"/>
          <w:b/>
          <w:color w:val="000000" w:themeColor="text1"/>
          <w:sz w:val="32"/>
          <w:szCs w:val="28"/>
          <w:highlight w:val="none"/>
          <w14:textFill>
            <w14:solidFill>
              <w14:schemeClr w14:val="tx1"/>
            </w14:solidFill>
          </w14:textFill>
        </w:rPr>
      </w:pPr>
    </w:p>
    <w:p w14:paraId="06E6CAD5">
      <w:pPr>
        <w:spacing w:line="360" w:lineRule="auto"/>
        <w:jc w:val="center"/>
        <w:rPr>
          <w:rFonts w:ascii="宋体" w:hAnsi="宋体" w:cs="宋体"/>
          <w:b/>
          <w:color w:val="000000" w:themeColor="text1"/>
          <w:sz w:val="32"/>
          <w:szCs w:val="28"/>
          <w:highlight w:val="none"/>
          <w14:textFill>
            <w14:solidFill>
              <w14:schemeClr w14:val="tx1"/>
            </w14:solidFill>
          </w14:textFill>
        </w:rPr>
      </w:pPr>
      <w:r>
        <w:rPr>
          <w:rFonts w:hint="eastAsia" w:ascii="宋体" w:hAnsi="宋体" w:cs="宋体"/>
          <w:b/>
          <w:color w:val="000000" w:themeColor="text1"/>
          <w:sz w:val="32"/>
          <w:szCs w:val="28"/>
          <w:highlight w:val="none"/>
          <w14:textFill>
            <w14:solidFill>
              <w14:schemeClr w14:val="tx1"/>
            </w14:solidFill>
          </w14:textFill>
        </w:rPr>
        <w:t>资格审查文件封面</w:t>
      </w:r>
    </w:p>
    <w:p w14:paraId="025C027A">
      <w:pPr>
        <w:pStyle w:val="3"/>
        <w:ind w:firstLine="1164" w:firstLineChars="416"/>
        <w:rPr>
          <w:rFonts w:ascii="宋体" w:hAnsi="宋体" w:cs="宋体"/>
          <w:color w:val="000000" w:themeColor="text1"/>
          <w:sz w:val="28"/>
          <w:szCs w:val="16"/>
          <w:highlight w:val="none"/>
          <w14:textFill>
            <w14:solidFill>
              <w14:schemeClr w14:val="tx1"/>
            </w14:solidFill>
          </w14:textFill>
        </w:rPr>
      </w:pPr>
    </w:p>
    <w:p w14:paraId="55B9BF2E">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2FC23631">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采购编号：</w:t>
      </w:r>
    </w:p>
    <w:p w14:paraId="4BB6FA2D">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6954013C">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2180EF2F">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 xml:space="preserve">项目名称：               </w:t>
      </w:r>
    </w:p>
    <w:p w14:paraId="4E41B69B">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74D30355">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24ACF5DD">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投标文件名称：资格审查文件</w:t>
      </w:r>
    </w:p>
    <w:p w14:paraId="40DB10F8">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45A15C2D">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7519F06F">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投标人名称（CA签章）：</w:t>
      </w:r>
    </w:p>
    <w:p w14:paraId="75B445EF">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424B4037">
      <w:pPr>
        <w:pStyle w:val="3"/>
        <w:ind w:firstLine="0"/>
        <w:rPr>
          <w:rFonts w:ascii="宋体" w:hAnsi="宋体" w:cs="宋体"/>
          <w:color w:val="000000" w:themeColor="text1"/>
          <w:sz w:val="36"/>
          <w:szCs w:val="36"/>
          <w:highlight w:val="none"/>
          <w14:textFill>
            <w14:solidFill>
              <w14:schemeClr w14:val="tx1"/>
            </w14:solidFill>
          </w14:textFill>
        </w:rPr>
      </w:pPr>
    </w:p>
    <w:p w14:paraId="49D1C8C4">
      <w:pPr>
        <w:pStyle w:val="3"/>
        <w:ind w:firstLine="1497" w:firstLineChars="416"/>
        <w:rPr>
          <w:rFonts w:ascii="宋体" w:hAnsi="宋体" w:cs="宋体"/>
          <w:b/>
          <w:bCs/>
          <w:color w:val="000000" w:themeColor="text1"/>
          <w:sz w:val="24"/>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投标人地址：</w:t>
      </w:r>
      <w:bookmarkStart w:id="134" w:name="_Toc8668"/>
    </w:p>
    <w:p w14:paraId="0D36E415">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7A603C86">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28AC67EE">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09B4A4D5">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1C5E02E5">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169C7178">
      <w:pPr>
        <w:jc w:val="center"/>
        <w:outlineLvl w:val="2"/>
        <w:rPr>
          <w:rFonts w:hint="eastAsia" w:ascii="宋体" w:hAnsi="宋体" w:cs="宋体"/>
          <w:b/>
          <w:bCs/>
          <w:color w:val="000000" w:themeColor="text1"/>
          <w:sz w:val="32"/>
          <w:szCs w:val="32"/>
          <w:highlight w:val="none"/>
          <w14:textFill>
            <w14:solidFill>
              <w14:schemeClr w14:val="tx1"/>
            </w14:solidFill>
          </w14:textFill>
        </w:rPr>
      </w:pPr>
    </w:p>
    <w:p w14:paraId="21E6F7A5">
      <w:pPr>
        <w:rPr>
          <w:rFonts w:hint="eastAsia" w:ascii="宋体" w:hAnsi="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14:textFill>
            <w14:solidFill>
              <w14:schemeClr w14:val="tx1"/>
            </w14:solidFill>
          </w14:textFill>
        </w:rPr>
        <w:br w:type="page"/>
      </w:r>
    </w:p>
    <w:p w14:paraId="10430D9F">
      <w:pPr>
        <w:jc w:val="center"/>
        <w:rPr>
          <w:rFonts w:ascii="宋体" w:hAnsi="宋体" w:cs="宋体"/>
          <w:b/>
          <w:bCs/>
          <w:color w:val="000000" w:themeColor="text1"/>
          <w:sz w:val="32"/>
          <w:szCs w:val="32"/>
          <w:highlight w:val="none"/>
          <w14:textFill>
            <w14:solidFill>
              <w14:schemeClr w14:val="tx1"/>
            </w14:solidFill>
          </w14:textFill>
        </w:rPr>
      </w:pPr>
      <w:r>
        <w:rPr>
          <w:rFonts w:hint="eastAsia" w:ascii="宋体" w:hAnsi="宋体" w:cs="宋体"/>
          <w:b/>
          <w:bCs/>
          <w:color w:val="000000" w:themeColor="text1"/>
          <w:sz w:val="32"/>
          <w:szCs w:val="32"/>
          <w:highlight w:val="none"/>
          <w14:textFill>
            <w14:solidFill>
              <w14:schemeClr w14:val="tx1"/>
            </w14:solidFill>
          </w14:textFill>
        </w:rPr>
        <w:t>一、资格审查文件格式</w:t>
      </w:r>
      <w:bookmarkEnd w:id="134"/>
    </w:p>
    <w:p w14:paraId="3480A576">
      <w:pPr>
        <w:spacing w:line="360" w:lineRule="auto"/>
        <w:rPr>
          <w:rFonts w:hint="eastAsia" w:ascii="宋体" w:hAnsi="宋体" w:cs="宋体"/>
          <w:color w:val="000000" w:themeColor="text1"/>
          <w:sz w:val="24"/>
          <w:highlight w:val="none"/>
          <w:lang w:val="en-US" w:eastAsia="zh-CN"/>
          <w14:textFill>
            <w14:solidFill>
              <w14:schemeClr w14:val="tx1"/>
            </w14:solidFill>
          </w14:textFill>
        </w:rPr>
      </w:pPr>
    </w:p>
    <w:p w14:paraId="6BB3E00B">
      <w:pPr>
        <w:spacing w:line="360" w:lineRule="auto"/>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1.1、公司有效营业执照</w:t>
      </w:r>
    </w:p>
    <w:p w14:paraId="0AACFCE4">
      <w:pPr>
        <w:pStyle w:val="3"/>
        <w:spacing w:line="360" w:lineRule="auto"/>
        <w:ind w:firstLine="0"/>
        <w:jc w:val="left"/>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1.提供有效的营业执照复印件并加盖公章</w:t>
      </w:r>
    </w:p>
    <w:p w14:paraId="2B98754C">
      <w:pPr>
        <w:keepNext/>
        <w:keepLines/>
        <w:snapToGrid w:val="0"/>
        <w:jc w:val="left"/>
        <w:rPr>
          <w:rFonts w:ascii="宋体" w:hAnsi="宋体" w:cs="宋体"/>
          <w:b/>
          <w:bCs/>
          <w:color w:val="000000" w:themeColor="text1"/>
          <w:sz w:val="28"/>
          <w:szCs w:val="28"/>
          <w:highlight w:val="none"/>
          <w14:textFill>
            <w14:solidFill>
              <w14:schemeClr w14:val="tx1"/>
            </w14:solidFill>
          </w14:textFill>
        </w:rPr>
      </w:pPr>
    </w:p>
    <w:p w14:paraId="2A61B2C9">
      <w:pPr>
        <w:keepNext/>
        <w:keepLines/>
        <w:snapToGrid w:val="0"/>
        <w:jc w:val="left"/>
        <w:rPr>
          <w:rFonts w:ascii="宋体" w:hAnsi="宋体" w:cs="宋体"/>
          <w:b/>
          <w:bCs/>
          <w:color w:val="000000" w:themeColor="text1"/>
          <w:sz w:val="28"/>
          <w:szCs w:val="28"/>
          <w:highlight w:val="none"/>
          <w14:textFill>
            <w14:solidFill>
              <w14:schemeClr w14:val="tx1"/>
            </w14:solidFill>
          </w14:textFill>
        </w:rPr>
      </w:pPr>
      <w:r>
        <w:rPr>
          <w:rFonts w:hint="eastAsia" w:ascii="宋体" w:hAnsi="宋体" w:cs="宋体"/>
          <w:b/>
          <w:bCs/>
          <w:color w:val="000000" w:themeColor="text1"/>
          <w:sz w:val="28"/>
          <w:szCs w:val="28"/>
          <w:highlight w:val="none"/>
          <w14:textFill>
            <w14:solidFill>
              <w14:schemeClr w14:val="tx1"/>
            </w14:solidFill>
          </w14:textFill>
        </w:rPr>
        <w:t>1.2、授权委托书</w:t>
      </w:r>
    </w:p>
    <w:p w14:paraId="1344E235">
      <w:pPr>
        <w:pStyle w:val="87"/>
        <w:spacing w:line="440" w:lineRule="exact"/>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u w:val="single"/>
          <w14:textFill>
            <w14:solidFill>
              <w14:schemeClr w14:val="tx1"/>
            </w14:solidFill>
          </w14:textFill>
        </w:rPr>
        <w:t>（代理机构名称）</w:t>
      </w:r>
      <w:r>
        <w:rPr>
          <w:rFonts w:hint="eastAsia" w:ascii="宋体" w:hAnsi="宋体" w:cs="宋体"/>
          <w:color w:val="000000" w:themeColor="text1"/>
          <w:sz w:val="24"/>
          <w:highlight w:val="none"/>
          <w14:textFill>
            <w14:solidFill>
              <w14:schemeClr w14:val="tx1"/>
            </w14:solidFill>
          </w14:textFill>
        </w:rPr>
        <w:t>：</w:t>
      </w:r>
    </w:p>
    <w:p w14:paraId="62E73910">
      <w:pPr>
        <w:pStyle w:val="87"/>
        <w:autoSpaceDE w:val="0"/>
        <w:autoSpaceDN w:val="0"/>
        <w:spacing w:line="440" w:lineRule="exact"/>
        <w:textAlignment w:val="bottom"/>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     我</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负责人姓名）系</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（投标人全称）的负责人，现授权委托本单位</w:t>
      </w:r>
      <w:r>
        <w:rPr>
          <w:rFonts w:hint="eastAsia" w:ascii="宋体" w:hAnsi="宋体" w:cs="宋体"/>
          <w:bCs/>
          <w:color w:val="000000" w:themeColor="text1"/>
          <w:sz w:val="24"/>
          <w:highlight w:val="none"/>
          <w14:textFill>
            <w14:solidFill>
              <w14:schemeClr w14:val="tx1"/>
            </w14:solidFill>
          </w14:textFill>
        </w:rPr>
        <w:t>在职职工</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（姓名）以我方的名义参加就贵方组织的</w:t>
      </w:r>
      <w:r>
        <w:rPr>
          <w:rFonts w:hint="eastAsia" w:ascii="宋体" w:hAnsi="宋体" w:cs="宋体"/>
          <w:color w:val="000000" w:themeColor="text1"/>
          <w:sz w:val="24"/>
          <w:highlight w:val="none"/>
          <w:u w:val="single"/>
          <w14:textFill>
            <w14:solidFill>
              <w14:schemeClr w14:val="tx1"/>
            </w14:solidFill>
          </w14:textFill>
        </w:rPr>
        <w:t>（采购项目名称及标项）</w:t>
      </w:r>
      <w:r>
        <w:rPr>
          <w:rFonts w:hint="eastAsia" w:ascii="宋体" w:hAnsi="宋体" w:cs="宋体"/>
          <w:color w:val="000000" w:themeColor="text1"/>
          <w:sz w:val="24"/>
          <w:highlight w:val="none"/>
          <w14:textFill>
            <w14:solidFill>
              <w14:schemeClr w14:val="tx1"/>
            </w14:solidFill>
          </w14:textFill>
        </w:rPr>
        <w:t>（采购编号：</w:t>
      </w:r>
      <w:r>
        <w:rPr>
          <w:rFonts w:hint="eastAsia" w:ascii="宋体" w:hAnsi="宋体" w:cs="宋体"/>
          <w:color w:val="000000" w:themeColor="text1"/>
          <w:sz w:val="24"/>
          <w:highlight w:val="none"/>
          <w:u w:val="single"/>
          <w14:textFill>
            <w14:solidFill>
              <w14:schemeClr w14:val="tx1"/>
            </w14:solidFill>
          </w14:textFill>
        </w:rPr>
        <w:t>　　　　</w:t>
      </w:r>
      <w:r>
        <w:rPr>
          <w:rFonts w:hint="eastAsia" w:ascii="宋体" w:hAnsi="宋体" w:cs="宋体"/>
          <w:color w:val="000000" w:themeColor="text1"/>
          <w:sz w:val="24"/>
          <w:highlight w:val="none"/>
          <w14:textFill>
            <w14:solidFill>
              <w14:schemeClr w14:val="tx1"/>
            </w14:solidFill>
          </w14:textFill>
        </w:rPr>
        <w:t>）项目的投标活动，并代表我方全权办理针对上述项目的投标、开标、评审、签约等具体事务和签署相关文件。</w:t>
      </w:r>
    </w:p>
    <w:p w14:paraId="6DF96202">
      <w:pPr>
        <w:pStyle w:val="87"/>
        <w:autoSpaceDE w:val="0"/>
        <w:autoSpaceDN w:val="0"/>
        <w:spacing w:line="440" w:lineRule="exact"/>
        <w:textAlignment w:val="bottom"/>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    我方对委托代理人的签字或盖章事项负全部责任。</w:t>
      </w:r>
    </w:p>
    <w:p w14:paraId="6AB3AEE8">
      <w:pPr>
        <w:pStyle w:val="87"/>
        <w:spacing w:line="440" w:lineRule="exact"/>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本授权书自签署之日起生效，在撤销授权的书面通知送达贵方以前，本授权委托书一直有效。委托代理人在授权书有效期内签署的所有文件不因授权的撤销而失效。</w:t>
      </w:r>
    </w:p>
    <w:p w14:paraId="57DF729D">
      <w:pPr>
        <w:pStyle w:val="87"/>
        <w:spacing w:line="440" w:lineRule="exact"/>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委托代理人无转委托权，特此声明。</w:t>
      </w:r>
    </w:p>
    <w:p w14:paraId="298C5731">
      <w:pPr>
        <w:pStyle w:val="87"/>
        <w:spacing w:line="440" w:lineRule="exact"/>
        <w:rPr>
          <w:rFonts w:ascii="宋体" w:hAnsi="宋体" w:cs="宋体"/>
          <w:color w:val="000000" w:themeColor="text1"/>
          <w:sz w:val="24"/>
          <w:highlight w:val="none"/>
          <w14:textFill>
            <w14:solidFill>
              <w14:schemeClr w14:val="tx1"/>
            </w14:solidFill>
          </w14:textFill>
        </w:rPr>
      </w:pPr>
    </w:p>
    <w:p w14:paraId="721CB673">
      <w:pPr>
        <w:pStyle w:val="87"/>
        <w:spacing w:line="440" w:lineRule="exact"/>
        <w:ind w:firstLine="3640" w:firstLineChars="1300"/>
        <w:rPr>
          <w:rFonts w:ascii="宋体" w:hAnsi="宋体" w:cs="宋体"/>
          <w:color w:val="000000" w:themeColor="text1"/>
          <w:spacing w:val="20"/>
          <w:sz w:val="24"/>
          <w:highlight w:val="none"/>
          <w14:textFill>
            <w14:solidFill>
              <w14:schemeClr w14:val="tx1"/>
            </w14:solidFill>
          </w14:textFill>
        </w:rPr>
      </w:pPr>
      <w:r>
        <w:rPr>
          <w:rFonts w:hint="eastAsia" w:ascii="宋体" w:hAnsi="宋体" w:cs="宋体"/>
          <w:bCs/>
          <w:color w:val="000000" w:themeColor="text1"/>
          <w:spacing w:val="20"/>
          <w:sz w:val="24"/>
          <w:highlight w:val="none"/>
          <w14:textFill>
            <w14:solidFill>
              <w14:schemeClr w14:val="tx1"/>
            </w14:solidFill>
          </w14:textFill>
        </w:rPr>
        <w:t>负责人</w:t>
      </w:r>
      <w:r>
        <w:rPr>
          <w:rFonts w:hint="eastAsia" w:ascii="宋体" w:hAnsi="宋体" w:cs="宋体"/>
          <w:color w:val="000000" w:themeColor="text1"/>
          <w:spacing w:val="20"/>
          <w:sz w:val="24"/>
          <w:highlight w:val="none"/>
          <w14:textFill>
            <w14:solidFill>
              <w14:schemeClr w14:val="tx1"/>
            </w14:solidFill>
          </w14:textFill>
        </w:rPr>
        <w:t>签字或盖章：</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2841D178">
      <w:pPr>
        <w:pStyle w:val="87"/>
        <w:spacing w:line="440" w:lineRule="exact"/>
        <w:ind w:firstLine="4480" w:firstLineChars="1600"/>
        <w:rPr>
          <w:rFonts w:ascii="宋体" w:hAnsi="宋体" w:cs="宋体"/>
          <w:color w:val="000000" w:themeColor="text1"/>
          <w:spacing w:val="20"/>
          <w:sz w:val="24"/>
          <w:highlight w:val="none"/>
          <w:u w:val="singl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投标人盖章：</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7648898D">
      <w:pPr>
        <w:pStyle w:val="87"/>
        <w:spacing w:line="440" w:lineRule="exact"/>
        <w:ind w:firstLine="4480" w:firstLineChars="1600"/>
        <w:rPr>
          <w:rFonts w:hint="eastAsia" w:ascii="宋体" w:hAnsi="宋体" w:cs="宋体"/>
          <w:color w:val="000000" w:themeColor="text1"/>
          <w:spacing w:val="20"/>
          <w:sz w:val="24"/>
          <w:highlight w:val="none"/>
          <w:u w:val="singl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日     期：</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6F848D52">
      <w:pPr>
        <w:pStyle w:val="87"/>
        <w:spacing w:line="440" w:lineRule="exac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_____________________________________________________________________</w:t>
      </w:r>
    </w:p>
    <w:p w14:paraId="6D2003E2">
      <w:pPr>
        <w:pStyle w:val="87"/>
        <w:spacing w:line="440" w:lineRule="exact"/>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附：1、委托代理人工作单位：</w:t>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 xml:space="preserve">职务： </w:t>
      </w:r>
    </w:p>
    <w:p w14:paraId="02437556">
      <w:pPr>
        <w:pStyle w:val="87"/>
        <w:spacing w:line="440" w:lineRule="exact"/>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       身份证号码：　　　　　　　　　　</w:t>
      </w:r>
      <w:r>
        <w:rPr>
          <w:rFonts w:hint="eastAsia" w:ascii="宋体" w:hAnsi="宋体" w:cs="宋体"/>
          <w:color w:val="000000" w:themeColor="text1"/>
          <w:sz w:val="24"/>
          <w:highlight w:val="none"/>
          <w14:textFill>
            <w14:solidFill>
              <w14:schemeClr w14:val="tx1"/>
            </w14:solidFill>
          </w14:textFill>
        </w:rPr>
        <w:tab/>
      </w:r>
      <w:r>
        <w:rPr>
          <w:rFonts w:hint="eastAsia" w:ascii="宋体" w:hAnsi="宋体" w:cs="宋体"/>
          <w:color w:val="000000" w:themeColor="text1"/>
          <w:sz w:val="24"/>
          <w:highlight w:val="none"/>
          <w14:textFill>
            <w14:solidFill>
              <w14:schemeClr w14:val="tx1"/>
            </w14:solidFill>
          </w14:textFill>
        </w:rPr>
        <w:t xml:space="preserve">性别：　    </w:t>
      </w:r>
    </w:p>
    <w:p w14:paraId="00CCC7CC">
      <w:pPr>
        <w:pStyle w:val="87"/>
        <w:spacing w:line="360" w:lineRule="auto"/>
        <w:ind w:firstLine="420"/>
        <w:rPr>
          <w:rFonts w:ascii="宋体" w:hAnsi="宋体" w:cs="宋体"/>
          <w:b/>
          <w:color w:val="000000" w:themeColor="text1"/>
          <w:sz w:val="24"/>
          <w:highlight w:val="none"/>
          <w14:textFill>
            <w14:solidFill>
              <w14:schemeClr w14:val="tx1"/>
            </w14:solidFill>
          </w14:textFill>
        </w:rPr>
      </w:pPr>
    </w:p>
    <w:p w14:paraId="71DE3708">
      <w:pPr>
        <w:pStyle w:val="87"/>
        <w:spacing w:line="360" w:lineRule="auto"/>
        <w:ind w:firstLine="420"/>
        <w:rPr>
          <w:rFonts w:ascii="宋体" w:hAnsi="宋体" w:cs="宋体"/>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注：</w:t>
      </w:r>
      <w:r>
        <w:rPr>
          <w:rFonts w:hint="eastAsia" w:ascii="宋体" w:hAnsi="宋体" w:cs="宋体"/>
          <w:color w:val="000000" w:themeColor="text1"/>
          <w:sz w:val="24"/>
          <w:highlight w:val="none"/>
          <w14:textFill>
            <w14:solidFill>
              <w14:schemeClr w14:val="tx1"/>
            </w14:solidFill>
          </w14:textFill>
        </w:rPr>
        <w:t>1、投标人为法人企业的，其负责人为其法定代表人；投标人为其他组织的，其负责人为法律、行政法规规定代表单位行使职权的主要负责人；。</w:t>
      </w:r>
    </w:p>
    <w:p w14:paraId="1C39B14E">
      <w:pPr>
        <w:pStyle w:val="87"/>
        <w:spacing w:line="360" w:lineRule="auto"/>
        <w:ind w:firstLine="900" w:firstLineChars="375"/>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2、委托人为上述条款中的负责人。</w:t>
      </w:r>
    </w:p>
    <w:p w14:paraId="662BA0EC">
      <w:pPr>
        <w:pStyle w:val="87"/>
        <w:spacing w:line="360" w:lineRule="auto"/>
        <w:ind w:firstLine="900" w:firstLineChars="375"/>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3、本“授权委托书”需附负责人</w:t>
      </w:r>
      <w:r>
        <w:rPr>
          <w:rFonts w:hint="eastAsia" w:ascii="宋体" w:hAnsi="宋体" w:cs="宋体"/>
          <w:b/>
          <w:color w:val="000000" w:themeColor="text1"/>
          <w:sz w:val="24"/>
          <w:highlight w:val="none"/>
          <w14:textFill>
            <w14:solidFill>
              <w14:schemeClr w14:val="tx1"/>
            </w14:solidFill>
          </w14:textFill>
        </w:rPr>
        <w:t>和</w:t>
      </w:r>
      <w:r>
        <w:rPr>
          <w:rFonts w:hint="eastAsia" w:ascii="宋体" w:hAnsi="宋体" w:cs="宋体"/>
          <w:color w:val="000000" w:themeColor="text1"/>
          <w:sz w:val="24"/>
          <w:highlight w:val="none"/>
          <w14:textFill>
            <w14:solidFill>
              <w14:schemeClr w14:val="tx1"/>
            </w14:solidFill>
          </w14:textFill>
        </w:rPr>
        <w:t>委托代理人身份证扫描件，如扫描件不清晰或错误的，后果由投标人自行承担。</w:t>
      </w:r>
    </w:p>
    <w:p w14:paraId="5E737261">
      <w:pPr>
        <w:pStyle w:val="87"/>
        <w:spacing w:line="360" w:lineRule="auto"/>
        <w:ind w:firstLine="904" w:firstLineChars="375"/>
        <w:rPr>
          <w:rFonts w:ascii="宋体" w:hAnsi="宋体" w:cs="宋体"/>
          <w:color w:val="000000" w:themeColor="text1"/>
          <w:sz w:val="32"/>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4、上述格式中的“负责人签字或盖章”，投标人通过政采云平台电子投标工具无法完成的，可以采用纸质签字完成后再扫描上传政采云平台电子投标工具。</w:t>
      </w:r>
    </w:p>
    <w:p w14:paraId="7E2993BC">
      <w:pPr>
        <w:pStyle w:val="88"/>
        <w:spacing w:line="440" w:lineRule="exact"/>
        <w:ind w:firstLine="560" w:firstLineChars="200"/>
        <w:rPr>
          <w:rFonts w:hAnsi="宋体" w:cs="宋体"/>
          <w:bCs/>
          <w:color w:val="000000" w:themeColor="text1"/>
          <w:sz w:val="28"/>
          <w:szCs w:val="22"/>
          <w:highlight w:val="none"/>
          <w14:textFill>
            <w14:solidFill>
              <w14:schemeClr w14:val="tx1"/>
            </w14:solidFill>
          </w14:textFill>
        </w:rPr>
      </w:pPr>
    </w:p>
    <w:p w14:paraId="3F429C06">
      <w:pPr>
        <w:pStyle w:val="88"/>
        <w:spacing w:line="440" w:lineRule="exact"/>
        <w:ind w:firstLine="480" w:firstLineChars="200"/>
        <w:rPr>
          <w:rFonts w:hAnsi="宋体" w:cs="宋体"/>
          <w:bCs/>
          <w:color w:val="000000" w:themeColor="text1"/>
          <w:sz w:val="24"/>
          <w:highlight w:val="none"/>
          <w14:textFill>
            <w14:solidFill>
              <w14:schemeClr w14:val="tx1"/>
            </w14:solidFill>
          </w14:textFill>
        </w:rPr>
      </w:pPr>
      <w:r>
        <w:rPr>
          <w:rFonts w:hint="eastAsia" w:hAnsi="宋体" w:cs="宋体"/>
          <w:bCs/>
          <w:color w:val="000000" w:themeColor="text1"/>
          <w:sz w:val="24"/>
          <w:highlight w:val="none"/>
          <w14:textFill>
            <w14:solidFill>
              <w14:schemeClr w14:val="tx1"/>
            </w14:solidFill>
          </w14:textFill>
        </w:rPr>
        <w:t>负责人身份证件扫描件：</w:t>
      </w:r>
    </w:p>
    <w:tbl>
      <w:tblPr>
        <w:tblStyle w:val="2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14:paraId="6B918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8528" w:type="dxa"/>
          </w:tcPr>
          <w:p w14:paraId="1741753C">
            <w:pPr>
              <w:pStyle w:val="88"/>
              <w:spacing w:line="440" w:lineRule="exact"/>
              <w:rPr>
                <w:rFonts w:hAnsi="宋体" w:cs="宋体"/>
                <w:bCs/>
                <w:color w:val="000000" w:themeColor="text1"/>
                <w:sz w:val="22"/>
                <w:szCs w:val="22"/>
                <w:highlight w:val="none"/>
                <w14:textFill>
                  <w14:solidFill>
                    <w14:schemeClr w14:val="tx1"/>
                  </w14:solidFill>
                </w14:textFill>
              </w:rPr>
            </w:pPr>
            <w:r>
              <w:rPr>
                <w:rFonts w:hint="eastAsia" w:hAnsi="宋体" w:cs="宋体"/>
                <w:bCs/>
                <w:color w:val="000000" w:themeColor="text1"/>
                <w:sz w:val="22"/>
                <w:szCs w:val="22"/>
                <w:highlight w:val="none"/>
                <w14:textFill>
                  <w14:solidFill>
                    <w14:schemeClr w14:val="tx1"/>
                  </w14:solidFill>
                </w14:textFill>
              </w:rPr>
              <w:t>正面：                                 反面：</w:t>
            </w:r>
          </w:p>
          <w:p w14:paraId="1B7A3389">
            <w:pPr>
              <w:pStyle w:val="88"/>
              <w:spacing w:line="440" w:lineRule="exact"/>
              <w:rPr>
                <w:rFonts w:hAnsi="宋体" w:cs="宋体"/>
                <w:bCs/>
                <w:color w:val="000000" w:themeColor="text1"/>
                <w:sz w:val="22"/>
                <w:szCs w:val="22"/>
                <w:highlight w:val="none"/>
                <w14:textFill>
                  <w14:solidFill>
                    <w14:schemeClr w14:val="tx1"/>
                  </w14:solidFill>
                </w14:textFill>
              </w:rPr>
            </w:pPr>
          </w:p>
        </w:tc>
      </w:tr>
    </w:tbl>
    <w:p w14:paraId="1A4E4853">
      <w:pPr>
        <w:pStyle w:val="88"/>
        <w:spacing w:line="440" w:lineRule="exact"/>
        <w:rPr>
          <w:rFonts w:hint="eastAsia" w:hAnsi="宋体" w:cs="宋体"/>
          <w:bCs/>
          <w:color w:val="000000" w:themeColor="text1"/>
          <w:sz w:val="24"/>
          <w:szCs w:val="24"/>
          <w:highlight w:val="none"/>
          <w14:textFill>
            <w14:solidFill>
              <w14:schemeClr w14:val="tx1"/>
            </w14:solidFill>
          </w14:textFill>
        </w:rPr>
      </w:pPr>
    </w:p>
    <w:p w14:paraId="6C47953C">
      <w:pPr>
        <w:pStyle w:val="88"/>
        <w:spacing w:line="440" w:lineRule="exact"/>
        <w:rPr>
          <w:rFonts w:hAnsi="宋体" w:cs="宋体"/>
          <w:bCs/>
          <w:color w:val="000000" w:themeColor="text1"/>
          <w:sz w:val="24"/>
          <w:szCs w:val="24"/>
          <w:highlight w:val="none"/>
          <w14:textFill>
            <w14:solidFill>
              <w14:schemeClr w14:val="tx1"/>
            </w14:solidFill>
          </w14:textFill>
        </w:rPr>
      </w:pPr>
      <w:r>
        <w:rPr>
          <w:rFonts w:hint="eastAsia" w:hAnsi="宋体" w:cs="宋体"/>
          <w:bCs/>
          <w:color w:val="000000" w:themeColor="text1"/>
          <w:sz w:val="24"/>
          <w:szCs w:val="24"/>
          <w:highlight w:val="none"/>
          <w14:textFill>
            <w14:solidFill>
              <w14:schemeClr w14:val="tx1"/>
            </w14:solidFill>
          </w14:textFill>
        </w:rPr>
        <w:t>委托代理人身份证件扫描件：</w:t>
      </w:r>
    </w:p>
    <w:tbl>
      <w:tblPr>
        <w:tblStyle w:val="2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14:paraId="645E0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8528" w:type="dxa"/>
          </w:tcPr>
          <w:p w14:paraId="44AA55C5">
            <w:pPr>
              <w:pStyle w:val="88"/>
              <w:spacing w:line="440" w:lineRule="exact"/>
              <w:rPr>
                <w:rFonts w:hAnsi="宋体" w:cs="宋体"/>
                <w:bCs/>
                <w:color w:val="000000" w:themeColor="text1"/>
                <w:sz w:val="22"/>
                <w:szCs w:val="22"/>
                <w:highlight w:val="none"/>
                <w14:textFill>
                  <w14:solidFill>
                    <w14:schemeClr w14:val="tx1"/>
                  </w14:solidFill>
                </w14:textFill>
              </w:rPr>
            </w:pPr>
            <w:r>
              <w:rPr>
                <w:rFonts w:hint="eastAsia" w:hAnsi="宋体" w:cs="宋体"/>
                <w:bCs/>
                <w:color w:val="000000" w:themeColor="text1"/>
                <w:sz w:val="22"/>
                <w:szCs w:val="22"/>
                <w:highlight w:val="none"/>
                <w14:textFill>
                  <w14:solidFill>
                    <w14:schemeClr w14:val="tx1"/>
                  </w14:solidFill>
                </w14:textFill>
              </w:rPr>
              <w:t>正面：                                 反面：</w:t>
            </w:r>
          </w:p>
          <w:p w14:paraId="49F0DC76">
            <w:pPr>
              <w:pStyle w:val="88"/>
              <w:spacing w:line="440" w:lineRule="exact"/>
              <w:rPr>
                <w:rFonts w:hAnsi="宋体" w:cs="宋体"/>
                <w:bCs/>
                <w:color w:val="000000" w:themeColor="text1"/>
                <w:sz w:val="22"/>
                <w:szCs w:val="22"/>
                <w:highlight w:val="none"/>
                <w14:textFill>
                  <w14:solidFill>
                    <w14:schemeClr w14:val="tx1"/>
                  </w14:solidFill>
                </w14:textFill>
              </w:rPr>
            </w:pPr>
          </w:p>
        </w:tc>
      </w:tr>
    </w:tbl>
    <w:p w14:paraId="1E8C4197">
      <w:pPr>
        <w:pStyle w:val="88"/>
        <w:spacing w:line="360" w:lineRule="auto"/>
        <w:ind w:firstLine="5120" w:firstLineChars="1600"/>
        <w:rPr>
          <w:rFonts w:hAnsi="宋体" w:cs="宋体"/>
          <w:color w:val="000000" w:themeColor="text1"/>
          <w:spacing w:val="20"/>
          <w:sz w:val="28"/>
          <w:szCs w:val="22"/>
          <w:highlight w:val="none"/>
          <w14:textFill>
            <w14:solidFill>
              <w14:schemeClr w14:val="tx1"/>
            </w14:solidFill>
          </w14:textFill>
        </w:rPr>
      </w:pPr>
    </w:p>
    <w:p w14:paraId="409BB118">
      <w:pPr>
        <w:keepNext/>
        <w:keepLines/>
        <w:snapToGrid w:val="0"/>
        <w:jc w:val="left"/>
        <w:rPr>
          <w:rFonts w:hint="eastAsia"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2"/>
          <w:szCs w:val="28"/>
          <w:highlight w:val="none"/>
          <w14:textFill>
            <w14:solidFill>
              <w14:schemeClr w14:val="tx1"/>
            </w14:solidFill>
          </w14:textFill>
        </w:rPr>
        <w:br w:type="page"/>
      </w:r>
      <w:bookmarkStart w:id="135" w:name="_Toc29626"/>
      <w:bookmarkStart w:id="136" w:name="_Toc531359045"/>
      <w:bookmarkStart w:id="137" w:name="_Toc530551879"/>
      <w:bookmarkStart w:id="138" w:name="_Toc493956054"/>
    </w:p>
    <w:p w14:paraId="6EFC6473">
      <w:pPr>
        <w:keepNext/>
        <w:keepLines/>
        <w:snapToGrid w:val="0"/>
        <w:jc w:val="left"/>
        <w:rPr>
          <w:rFonts w:hint="eastAsia" w:ascii="宋体" w:hAnsi="宋体" w:cs="宋体"/>
          <w:color w:val="000000" w:themeColor="text1"/>
          <w:sz w:val="32"/>
          <w:szCs w:val="28"/>
          <w:highlight w:val="none"/>
          <w14:textFill>
            <w14:solidFill>
              <w14:schemeClr w14:val="tx1"/>
            </w14:solidFill>
          </w14:textFill>
        </w:rPr>
      </w:pPr>
    </w:p>
    <w:p w14:paraId="6ADEFAA3">
      <w:pPr>
        <w:keepNext/>
        <w:keepLines/>
        <w:snapToGrid w:val="0"/>
        <w:jc w:val="left"/>
        <w:rPr>
          <w:rFonts w:ascii="宋体" w:hAnsi="宋体" w:cs="宋体"/>
          <w:color w:val="000000" w:themeColor="text1"/>
          <w:sz w:val="28"/>
          <w:szCs w:val="28"/>
          <w:highlight w:val="none"/>
          <w14:textFill>
            <w14:solidFill>
              <w14:schemeClr w14:val="tx1"/>
            </w14:solidFill>
          </w14:textFill>
        </w:rPr>
      </w:pPr>
      <w:r>
        <w:rPr>
          <w:rFonts w:hint="eastAsia" w:ascii="宋体" w:hAnsi="宋体" w:cs="宋体"/>
          <w:b/>
          <w:bCs/>
          <w:color w:val="000000" w:themeColor="text1"/>
          <w:sz w:val="24"/>
          <w:highlight w:val="none"/>
          <w14:textFill>
            <w14:solidFill>
              <w14:schemeClr w14:val="tx1"/>
            </w14:solidFill>
          </w14:textFill>
        </w:rPr>
        <w:t xml:space="preserve">1.3 </w:t>
      </w:r>
      <w:bookmarkEnd w:id="135"/>
      <w:bookmarkEnd w:id="136"/>
      <w:bookmarkEnd w:id="137"/>
      <w:bookmarkEnd w:id="138"/>
      <w:bookmarkStart w:id="139" w:name="_Toc493956055"/>
      <w:bookmarkStart w:id="140" w:name="_Toc530551880"/>
      <w:r>
        <w:rPr>
          <w:rFonts w:hint="eastAsia" w:ascii="宋体" w:hAnsi="宋体" w:cs="宋体"/>
          <w:b/>
          <w:bCs/>
          <w:color w:val="000000" w:themeColor="text1"/>
          <w:sz w:val="24"/>
          <w:highlight w:val="none"/>
          <w14:textFill>
            <w14:solidFill>
              <w14:schemeClr w14:val="tx1"/>
            </w14:solidFill>
          </w14:textFill>
        </w:rPr>
        <w:t>具有良好的财务会计制度、依法缴纳税收和社会保障资金的承诺函格式</w:t>
      </w:r>
    </w:p>
    <w:p w14:paraId="24B994E3">
      <w:pPr>
        <w:pStyle w:val="3"/>
        <w:spacing w:line="360" w:lineRule="auto"/>
        <w:ind w:firstLine="0"/>
        <w:rPr>
          <w:rFonts w:ascii="宋体" w:hAnsi="宋体" w:cs="宋体"/>
          <w:color w:val="000000" w:themeColor="text1"/>
          <w:sz w:val="22"/>
          <w:szCs w:val="21"/>
          <w:highlight w:val="none"/>
          <w14:textFill>
            <w14:solidFill>
              <w14:schemeClr w14:val="tx1"/>
            </w14:solidFill>
          </w14:textFill>
        </w:rPr>
      </w:pPr>
    </w:p>
    <w:p w14:paraId="3C13860B">
      <w:pPr>
        <w:pStyle w:val="3"/>
        <w:ind w:left="630" w:leftChars="300" w:right="630" w:rightChars="300" w:firstLine="0"/>
        <w:jc w:val="center"/>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具有良好的财务会计制度、依法缴纳税收和社会保障资金的承诺函</w:t>
      </w:r>
    </w:p>
    <w:p w14:paraId="5EB817C1">
      <w:pPr>
        <w:pStyle w:val="42"/>
        <w:spacing w:line="360" w:lineRule="auto"/>
        <w:rPr>
          <w:rFonts w:ascii="宋体" w:hAnsi="宋体" w:cs="宋体"/>
          <w:color w:val="000000" w:themeColor="text1"/>
          <w:sz w:val="24"/>
          <w:highlight w:val="none"/>
          <w:u w:val="single"/>
          <w14:textFill>
            <w14:solidFill>
              <w14:schemeClr w14:val="tx1"/>
            </w14:solidFill>
          </w14:textFill>
        </w:rPr>
      </w:pPr>
    </w:p>
    <w:p w14:paraId="513A9295">
      <w:pPr>
        <w:pStyle w:val="42"/>
        <w:spacing w:line="360" w:lineRule="auto"/>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z w:val="24"/>
          <w:highlight w:val="none"/>
          <w:u w:val="single"/>
          <w14:textFill>
            <w14:solidFill>
              <w14:schemeClr w14:val="tx1"/>
            </w14:solidFill>
          </w14:textFill>
        </w:rPr>
        <w:t xml:space="preserve">   （采购人名称）   </w:t>
      </w:r>
      <w:r>
        <w:rPr>
          <w:rFonts w:hint="eastAsia" w:ascii="宋体" w:hAnsi="宋体" w:cs="宋体"/>
          <w:color w:val="000000" w:themeColor="text1"/>
          <w:spacing w:val="6"/>
          <w:sz w:val="24"/>
          <w:highlight w:val="none"/>
          <w14:textFill>
            <w14:solidFill>
              <w14:schemeClr w14:val="tx1"/>
            </w14:solidFill>
          </w14:textFill>
        </w:rPr>
        <w:t>：</w:t>
      </w:r>
    </w:p>
    <w:p w14:paraId="7D1A936C">
      <w:pPr>
        <w:pStyle w:val="3"/>
        <w:spacing w:line="360" w:lineRule="auto"/>
        <w:ind w:firstLine="504" w:firstLineChars="200"/>
        <w:jc w:val="left"/>
        <w:rPr>
          <w:rFonts w:ascii="宋体" w:hAnsi="宋体" w:cs="宋体"/>
          <w:color w:val="000000" w:themeColor="text1"/>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我方参与的</w:t>
      </w:r>
      <w:r>
        <w:rPr>
          <w:rFonts w:hint="eastAsia" w:ascii="宋体" w:hAnsi="宋体" w:cs="宋体"/>
          <w:color w:val="000000" w:themeColor="text1"/>
          <w:spacing w:val="6"/>
          <w:sz w:val="24"/>
          <w:highlight w:val="none"/>
          <w:u w:val="single"/>
          <w14:textFill>
            <w14:solidFill>
              <w14:schemeClr w14:val="tx1"/>
            </w14:solidFill>
          </w14:textFill>
        </w:rPr>
        <w:t xml:space="preserve">     </w:t>
      </w:r>
      <w:r>
        <w:rPr>
          <w:rFonts w:hint="eastAsia" w:ascii="宋体" w:hAnsi="宋体" w:cs="宋体"/>
          <w:iCs/>
          <w:color w:val="000000" w:themeColor="text1"/>
          <w:spacing w:val="6"/>
          <w:sz w:val="24"/>
          <w:highlight w:val="none"/>
          <w:u w:val="single"/>
          <w14:textFill>
            <w14:solidFill>
              <w14:schemeClr w14:val="tx1"/>
            </w14:solidFill>
          </w14:textFill>
        </w:rPr>
        <w:t>（项目名称）（项目编号）</w:t>
      </w:r>
      <w:r>
        <w:rPr>
          <w:rFonts w:hint="eastAsia" w:ascii="宋体" w:hAnsi="宋体" w:cs="宋体"/>
          <w:iCs/>
          <w:color w:val="000000" w:themeColor="text1"/>
          <w:spacing w:val="6"/>
          <w:sz w:val="24"/>
          <w:highlight w:val="none"/>
          <w:u w:val="single"/>
          <w:lang w:eastAsia="zh-CN"/>
          <w14:textFill>
            <w14:solidFill>
              <w14:schemeClr w14:val="tx1"/>
            </w14:solidFill>
          </w14:textFill>
        </w:rPr>
        <w:t>（标项）</w:t>
      </w:r>
      <w:r>
        <w:rPr>
          <w:rFonts w:hint="eastAsia" w:ascii="宋体" w:hAnsi="宋体" w:cs="宋体"/>
          <w:color w:val="000000" w:themeColor="text1"/>
          <w:spacing w:val="6"/>
          <w:sz w:val="24"/>
          <w:highlight w:val="none"/>
          <w:u w:val="single"/>
          <w14:textFill>
            <w14:solidFill>
              <w14:schemeClr w14:val="tx1"/>
            </w14:solidFill>
          </w14:textFill>
        </w:rPr>
        <w:t xml:space="preserve">  </w:t>
      </w:r>
      <w:r>
        <w:rPr>
          <w:rFonts w:hint="eastAsia" w:ascii="宋体" w:hAnsi="宋体" w:cs="宋体"/>
          <w:color w:val="000000" w:themeColor="text1"/>
          <w:spacing w:val="6"/>
          <w:sz w:val="24"/>
          <w:highlight w:val="none"/>
          <w14:textFill>
            <w14:solidFill>
              <w14:schemeClr w14:val="tx1"/>
            </w14:solidFill>
          </w14:textFill>
        </w:rPr>
        <w:t>的招标活动，我方郑重承诺，我方具有良好的财务会计制度、依法缴纳税收和社会保障资金，不偷逃税款和逃避缴纳社会保障资金。如有虚假，采购人可取消我方任何资格（投标/成交/签订合同），我方对此无任何异议。</w:t>
      </w:r>
    </w:p>
    <w:p w14:paraId="74F0B2DB">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p>
    <w:p w14:paraId="56B4E298">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特此承诺！</w:t>
      </w:r>
    </w:p>
    <w:p w14:paraId="65B4E7F0">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p>
    <w:p w14:paraId="36DCA205">
      <w:pPr>
        <w:pStyle w:val="87"/>
        <w:wordWrap w:val="0"/>
        <w:spacing w:line="360" w:lineRule="auto"/>
        <w:ind w:firstLine="480"/>
        <w:jc w:val="right"/>
        <w:rPr>
          <w:rFonts w:ascii="宋体" w:hAnsi="宋体" w:cs="宋体"/>
          <w:color w:val="000000" w:themeColor="text1"/>
          <w:sz w:val="24"/>
          <w:szCs w:val="21"/>
          <w:highlight w:val="none"/>
          <w:u w:val="single"/>
          <w14:textFill>
            <w14:solidFill>
              <w14:schemeClr w14:val="tx1"/>
            </w14:solidFill>
          </w14:textFill>
        </w:rPr>
      </w:pPr>
      <w:r>
        <w:rPr>
          <w:rFonts w:hint="eastAsia" w:ascii="宋体" w:hAnsi="宋体" w:cs="宋体"/>
          <w:color w:val="000000" w:themeColor="text1"/>
          <w:sz w:val="24"/>
          <w:szCs w:val="21"/>
          <w:highlight w:val="none"/>
          <w14:textFill>
            <w14:solidFill>
              <w14:schemeClr w14:val="tx1"/>
            </w14:solidFill>
          </w14:textFill>
        </w:rPr>
        <w:t>供应商盖章：</w:t>
      </w:r>
      <w:r>
        <w:rPr>
          <w:rFonts w:hint="eastAsia" w:ascii="宋体" w:hAnsi="宋体" w:cs="宋体"/>
          <w:color w:val="000000" w:themeColor="text1"/>
          <w:sz w:val="24"/>
          <w:szCs w:val="21"/>
          <w:highlight w:val="none"/>
          <w:u w:val="single"/>
          <w14:textFill>
            <w14:solidFill>
              <w14:schemeClr w14:val="tx1"/>
            </w14:solidFill>
          </w14:textFill>
        </w:rPr>
        <w:t xml:space="preserve">                </w:t>
      </w:r>
    </w:p>
    <w:p w14:paraId="0123E575">
      <w:pPr>
        <w:pStyle w:val="87"/>
        <w:wordWrap w:val="0"/>
        <w:spacing w:line="360" w:lineRule="auto"/>
        <w:ind w:firstLine="480"/>
        <w:jc w:val="right"/>
        <w:rPr>
          <w:rFonts w:ascii="宋体" w:hAnsi="宋体" w:cs="宋体"/>
          <w:color w:val="000000" w:themeColor="text1"/>
          <w:sz w:val="24"/>
          <w:szCs w:val="21"/>
          <w:highlight w:val="none"/>
          <w:u w:val="single"/>
          <w14:textFill>
            <w14:solidFill>
              <w14:schemeClr w14:val="tx1"/>
            </w14:solidFill>
          </w14:textFill>
        </w:rPr>
      </w:pPr>
      <w:r>
        <w:rPr>
          <w:rFonts w:hint="eastAsia" w:ascii="宋体" w:hAnsi="宋体" w:cs="宋体"/>
          <w:color w:val="000000" w:themeColor="text1"/>
          <w:sz w:val="24"/>
          <w:szCs w:val="21"/>
          <w:highlight w:val="none"/>
          <w14:textFill>
            <w14:solidFill>
              <w14:schemeClr w14:val="tx1"/>
            </w14:solidFill>
          </w14:textFill>
        </w:rPr>
        <w:t>日      期：</w:t>
      </w:r>
      <w:r>
        <w:rPr>
          <w:rFonts w:hint="eastAsia" w:ascii="宋体" w:hAnsi="宋体" w:cs="宋体"/>
          <w:color w:val="000000" w:themeColor="text1"/>
          <w:sz w:val="24"/>
          <w:szCs w:val="21"/>
          <w:highlight w:val="none"/>
          <w:u w:val="single"/>
          <w14:textFill>
            <w14:solidFill>
              <w14:schemeClr w14:val="tx1"/>
            </w14:solidFill>
          </w14:textFill>
        </w:rPr>
        <w:t xml:space="preserve">                </w:t>
      </w:r>
    </w:p>
    <w:p w14:paraId="23CDA525">
      <w:pPr>
        <w:pStyle w:val="100"/>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br w:type="page"/>
      </w:r>
    </w:p>
    <w:p w14:paraId="546F4721">
      <w:pPr>
        <w:pStyle w:val="100"/>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p>
    <w:p w14:paraId="2D578330">
      <w:pPr>
        <w:keepNext/>
        <w:keepLines/>
        <w:snapToGrid w:val="0"/>
        <w:jc w:val="left"/>
        <w:rPr>
          <w:rFonts w:ascii="宋体" w:hAnsi="宋体" w:cs="宋体"/>
          <w:b/>
          <w:bCs/>
          <w:color w:val="000000" w:themeColor="text1"/>
          <w:sz w:val="24"/>
          <w:highlight w:val="none"/>
          <w14:textFill>
            <w14:solidFill>
              <w14:schemeClr w14:val="tx1"/>
            </w14:solidFill>
          </w14:textFill>
        </w:rPr>
      </w:pPr>
      <w:bookmarkStart w:id="141" w:name="_Toc31473"/>
      <w:bookmarkStart w:id="142" w:name="_Toc531359046"/>
      <w:r>
        <w:rPr>
          <w:rFonts w:hint="eastAsia" w:ascii="宋体" w:hAnsi="宋体" w:cs="宋体"/>
          <w:b/>
          <w:bCs/>
          <w:color w:val="000000" w:themeColor="text1"/>
          <w:sz w:val="24"/>
          <w:highlight w:val="none"/>
          <w14:textFill>
            <w14:solidFill>
              <w14:schemeClr w14:val="tx1"/>
            </w14:solidFill>
          </w14:textFill>
        </w:rPr>
        <w:t xml:space="preserve">1.4 </w:t>
      </w:r>
      <w:bookmarkEnd w:id="139"/>
      <w:bookmarkEnd w:id="140"/>
      <w:bookmarkEnd w:id="141"/>
      <w:bookmarkEnd w:id="142"/>
      <w:r>
        <w:rPr>
          <w:rFonts w:hint="eastAsia" w:ascii="宋体" w:hAnsi="宋体" w:cs="宋体"/>
          <w:b/>
          <w:bCs/>
          <w:color w:val="000000" w:themeColor="text1"/>
          <w:sz w:val="24"/>
          <w:highlight w:val="none"/>
          <w14:textFill>
            <w14:solidFill>
              <w14:schemeClr w14:val="tx1"/>
            </w14:solidFill>
          </w14:textFill>
        </w:rPr>
        <w:t>具有履行合同所必需的设备和专业技术能力承诺函格式</w:t>
      </w:r>
    </w:p>
    <w:p w14:paraId="4DB38E7E">
      <w:pPr>
        <w:pStyle w:val="3"/>
        <w:ind w:firstLine="0"/>
        <w:rPr>
          <w:rFonts w:ascii="宋体" w:hAnsi="宋体" w:cs="宋体"/>
          <w:color w:val="000000" w:themeColor="text1"/>
          <w:sz w:val="24"/>
          <w:szCs w:val="24"/>
          <w:highlight w:val="none"/>
          <w14:textFill>
            <w14:solidFill>
              <w14:schemeClr w14:val="tx1"/>
            </w14:solidFill>
          </w14:textFill>
        </w:rPr>
      </w:pPr>
    </w:p>
    <w:p w14:paraId="0F91F06D">
      <w:pPr>
        <w:pStyle w:val="3"/>
        <w:spacing w:line="360" w:lineRule="auto"/>
        <w:ind w:firstLine="0"/>
        <w:jc w:val="center"/>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具有履行合同所必需设备和专业技术能力的承诺函</w:t>
      </w:r>
    </w:p>
    <w:p w14:paraId="28AA95FF">
      <w:pPr>
        <w:snapToGrid w:val="0"/>
        <w:spacing w:line="360" w:lineRule="auto"/>
        <w:rPr>
          <w:rFonts w:ascii="宋体" w:hAnsi="宋体" w:cs="宋体"/>
          <w:color w:val="000000" w:themeColor="text1"/>
          <w:highlight w:val="none"/>
          <w14:textFill>
            <w14:solidFill>
              <w14:schemeClr w14:val="tx1"/>
            </w14:solidFill>
          </w14:textFill>
        </w:rPr>
      </w:pPr>
    </w:p>
    <w:p w14:paraId="3EEA5B16">
      <w:pPr>
        <w:pStyle w:val="42"/>
        <w:spacing w:line="360" w:lineRule="auto"/>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z w:val="24"/>
          <w:highlight w:val="none"/>
          <w:u w:val="single"/>
          <w14:textFill>
            <w14:solidFill>
              <w14:schemeClr w14:val="tx1"/>
            </w14:solidFill>
          </w14:textFill>
        </w:rPr>
        <w:t xml:space="preserve">   （采购人名称）    </w:t>
      </w:r>
      <w:r>
        <w:rPr>
          <w:rFonts w:hint="eastAsia" w:ascii="宋体" w:hAnsi="宋体" w:cs="宋体"/>
          <w:color w:val="000000" w:themeColor="text1"/>
          <w:spacing w:val="6"/>
          <w:sz w:val="24"/>
          <w:highlight w:val="none"/>
          <w14:textFill>
            <w14:solidFill>
              <w14:schemeClr w14:val="tx1"/>
            </w14:solidFill>
          </w14:textFill>
        </w:rPr>
        <w:t>：</w:t>
      </w:r>
    </w:p>
    <w:p w14:paraId="26D7303B">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我方参与的</w:t>
      </w:r>
      <w:r>
        <w:rPr>
          <w:rFonts w:hint="eastAsia" w:ascii="宋体" w:hAnsi="宋体" w:cs="宋体"/>
          <w:color w:val="000000" w:themeColor="text1"/>
          <w:spacing w:val="6"/>
          <w:sz w:val="24"/>
          <w:highlight w:val="none"/>
          <w:u w:val="single"/>
          <w14:textFill>
            <w14:solidFill>
              <w14:schemeClr w14:val="tx1"/>
            </w14:solidFill>
          </w14:textFill>
        </w:rPr>
        <w:t xml:space="preserve">    </w:t>
      </w:r>
      <w:r>
        <w:rPr>
          <w:rFonts w:hint="eastAsia" w:ascii="宋体" w:hAnsi="宋体" w:cs="宋体"/>
          <w:i/>
          <w:color w:val="000000" w:themeColor="text1"/>
          <w:spacing w:val="6"/>
          <w:sz w:val="24"/>
          <w:highlight w:val="none"/>
          <w:u w:val="single"/>
          <w14:textFill>
            <w14:solidFill>
              <w14:schemeClr w14:val="tx1"/>
            </w14:solidFill>
          </w14:textFill>
        </w:rPr>
        <w:t xml:space="preserve"> </w:t>
      </w:r>
      <w:r>
        <w:rPr>
          <w:rFonts w:hint="eastAsia" w:ascii="宋体" w:hAnsi="宋体" w:cs="宋体"/>
          <w:iCs/>
          <w:color w:val="000000" w:themeColor="text1"/>
          <w:spacing w:val="6"/>
          <w:sz w:val="24"/>
          <w:highlight w:val="none"/>
          <w:u w:val="single"/>
          <w14:textFill>
            <w14:solidFill>
              <w14:schemeClr w14:val="tx1"/>
            </w14:solidFill>
          </w14:textFill>
        </w:rPr>
        <w:t>（项目名称）（项目编号）</w:t>
      </w:r>
      <w:r>
        <w:rPr>
          <w:rFonts w:hint="eastAsia" w:ascii="宋体" w:hAnsi="宋体" w:cs="宋体"/>
          <w:iCs/>
          <w:color w:val="000000" w:themeColor="text1"/>
          <w:spacing w:val="6"/>
          <w:sz w:val="24"/>
          <w:highlight w:val="none"/>
          <w:u w:val="single"/>
          <w:lang w:eastAsia="zh-CN"/>
          <w14:textFill>
            <w14:solidFill>
              <w14:schemeClr w14:val="tx1"/>
            </w14:solidFill>
          </w14:textFill>
        </w:rPr>
        <w:t>（标项）</w:t>
      </w:r>
      <w:r>
        <w:rPr>
          <w:rFonts w:hint="eastAsia" w:ascii="宋体" w:hAnsi="宋体" w:cs="宋体"/>
          <w:i/>
          <w:color w:val="000000" w:themeColor="text1"/>
          <w:spacing w:val="6"/>
          <w:sz w:val="24"/>
          <w:highlight w:val="none"/>
          <w:u w:val="single"/>
          <w14:textFill>
            <w14:solidFill>
              <w14:schemeClr w14:val="tx1"/>
            </w14:solidFill>
          </w14:textFill>
        </w:rPr>
        <w:t xml:space="preserve"> </w:t>
      </w:r>
      <w:r>
        <w:rPr>
          <w:rFonts w:hint="eastAsia" w:ascii="宋体" w:hAnsi="宋体" w:cs="宋体"/>
          <w:color w:val="000000" w:themeColor="text1"/>
          <w:spacing w:val="6"/>
          <w:sz w:val="24"/>
          <w:highlight w:val="none"/>
          <w:u w:val="single"/>
          <w14:textFill>
            <w14:solidFill>
              <w14:schemeClr w14:val="tx1"/>
            </w14:solidFill>
          </w14:textFill>
        </w:rPr>
        <w:t xml:space="preserve">   </w:t>
      </w:r>
      <w:r>
        <w:rPr>
          <w:rFonts w:hint="eastAsia" w:ascii="宋体" w:hAnsi="宋体" w:cs="宋体"/>
          <w:color w:val="000000" w:themeColor="text1"/>
          <w:spacing w:val="6"/>
          <w:sz w:val="24"/>
          <w:highlight w:val="none"/>
          <w14:textFill>
            <w14:solidFill>
              <w14:schemeClr w14:val="tx1"/>
            </w14:solidFill>
          </w14:textFill>
        </w:rPr>
        <w:t>的招标活动，我方郑重承诺，我方承诺具有履行合同所必需设备和专业技术能力。如有虚假，采购人可取消我方任何资格（投标/中标/签订合同），我方对此无任何异议。</w:t>
      </w:r>
    </w:p>
    <w:p w14:paraId="4624E6C6">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p>
    <w:p w14:paraId="62D36EF1">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特此承诺！</w:t>
      </w:r>
    </w:p>
    <w:p w14:paraId="0CFE0695">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p>
    <w:p w14:paraId="04A5EC67">
      <w:pPr>
        <w:pStyle w:val="87"/>
        <w:wordWrap w:val="0"/>
        <w:spacing w:line="360" w:lineRule="auto"/>
        <w:ind w:firstLine="480"/>
        <w:jc w:val="right"/>
        <w:rPr>
          <w:rFonts w:ascii="宋体" w:hAnsi="宋体" w:cs="宋体"/>
          <w:color w:val="000000" w:themeColor="text1"/>
          <w:sz w:val="24"/>
          <w:szCs w:val="21"/>
          <w:highlight w:val="none"/>
          <w:u w:val="single"/>
          <w14:textFill>
            <w14:solidFill>
              <w14:schemeClr w14:val="tx1"/>
            </w14:solidFill>
          </w14:textFill>
        </w:rPr>
      </w:pPr>
      <w:r>
        <w:rPr>
          <w:rFonts w:hint="eastAsia" w:ascii="宋体" w:hAnsi="宋体" w:cs="宋体"/>
          <w:color w:val="000000" w:themeColor="text1"/>
          <w:sz w:val="24"/>
          <w:szCs w:val="21"/>
          <w:highlight w:val="none"/>
          <w14:textFill>
            <w14:solidFill>
              <w14:schemeClr w14:val="tx1"/>
            </w14:solidFill>
          </w14:textFill>
        </w:rPr>
        <w:t>供应商盖章：</w:t>
      </w:r>
      <w:r>
        <w:rPr>
          <w:rFonts w:hint="eastAsia" w:ascii="宋体" w:hAnsi="宋体" w:cs="宋体"/>
          <w:color w:val="000000" w:themeColor="text1"/>
          <w:sz w:val="24"/>
          <w:szCs w:val="21"/>
          <w:highlight w:val="none"/>
          <w:u w:val="single"/>
          <w14:textFill>
            <w14:solidFill>
              <w14:schemeClr w14:val="tx1"/>
            </w14:solidFill>
          </w14:textFill>
        </w:rPr>
        <w:t xml:space="preserve">                </w:t>
      </w:r>
    </w:p>
    <w:p w14:paraId="03E2B06B">
      <w:pPr>
        <w:pStyle w:val="100"/>
        <w:spacing w:line="360" w:lineRule="auto"/>
        <w:jc w:val="center"/>
        <w:rPr>
          <w:rFonts w:hint="default" w:ascii="宋体" w:hAnsi="宋体" w:eastAsia="宋体" w:cs="宋体"/>
          <w:color w:val="000000" w:themeColor="text1"/>
          <w:sz w:val="24"/>
          <w:szCs w:val="24"/>
          <w:highlight w:val="none"/>
          <w:u w:val="single"/>
          <w:lang w:val="en-US" w:eastAsia="zh-CN"/>
          <w14:textFill>
            <w14:solidFill>
              <w14:schemeClr w14:val="tx1"/>
            </w14:solidFill>
          </w14:textFill>
        </w:rPr>
      </w:pPr>
      <w:r>
        <w:rPr>
          <w:rFonts w:hint="eastAsia" w:ascii="宋体" w:hAnsi="宋体" w:cs="宋体"/>
          <w:color w:val="000000" w:themeColor="text1"/>
          <w:sz w:val="24"/>
          <w:szCs w:val="21"/>
          <w:highlight w:val="none"/>
          <w:lang w:val="en-US" w:eastAsia="zh-CN"/>
          <w14:textFill>
            <w14:solidFill>
              <w14:schemeClr w14:val="tx1"/>
            </w14:solidFill>
          </w14:textFill>
        </w:rPr>
        <w:t xml:space="preserve">                                </w:t>
      </w:r>
      <w:r>
        <w:rPr>
          <w:rFonts w:hint="eastAsia" w:ascii="宋体" w:hAnsi="宋体" w:cs="宋体"/>
          <w:color w:val="000000" w:themeColor="text1"/>
          <w:sz w:val="24"/>
          <w:szCs w:val="21"/>
          <w:highlight w:val="none"/>
          <w14:textFill>
            <w14:solidFill>
              <w14:schemeClr w14:val="tx1"/>
            </w14:solidFill>
          </w14:textFill>
        </w:rPr>
        <w:t>日      期：</w:t>
      </w:r>
      <w:r>
        <w:rPr>
          <w:rFonts w:hint="eastAsia" w:ascii="宋体" w:hAnsi="宋体" w:cs="宋体"/>
          <w:color w:val="000000" w:themeColor="text1"/>
          <w:sz w:val="24"/>
          <w:szCs w:val="21"/>
          <w:highlight w:val="none"/>
          <w:u w:val="single"/>
          <w:lang w:val="en-US" w:eastAsia="zh-CN"/>
          <w14:textFill>
            <w14:solidFill>
              <w14:schemeClr w14:val="tx1"/>
            </w14:solidFill>
          </w14:textFill>
        </w:rPr>
        <w:t xml:space="preserve">                </w:t>
      </w:r>
    </w:p>
    <w:p w14:paraId="5BCB1332">
      <w:pPr>
        <w:rPr>
          <w:rFonts w:ascii="宋体" w:hAnsi="宋体" w:cs="宋体"/>
          <w:b/>
          <w:bCs/>
          <w:color w:val="000000" w:themeColor="text1"/>
          <w:sz w:val="24"/>
          <w:szCs w:val="28"/>
          <w:highlight w:val="none"/>
          <w14:textFill>
            <w14:solidFill>
              <w14:schemeClr w14:val="tx1"/>
            </w14:solidFill>
          </w14:textFill>
        </w:rPr>
      </w:pPr>
      <w:r>
        <w:rPr>
          <w:rFonts w:hint="eastAsia" w:ascii="宋体" w:hAnsi="宋体" w:cs="宋体"/>
          <w:color w:val="000000" w:themeColor="text1"/>
          <w:spacing w:val="11"/>
          <w:sz w:val="24"/>
          <w:szCs w:val="28"/>
          <w:highlight w:val="none"/>
          <w14:textFill>
            <w14:solidFill>
              <w14:schemeClr w14:val="tx1"/>
            </w14:solidFill>
          </w14:textFill>
        </w:rPr>
        <w:br w:type="page"/>
      </w:r>
    </w:p>
    <w:p w14:paraId="63377E45">
      <w:pPr>
        <w:pStyle w:val="101"/>
        <w:spacing w:line="360" w:lineRule="auto"/>
        <w:ind w:firstLine="420"/>
        <w:rPr>
          <w:rFonts w:ascii="宋体" w:hAnsi="宋体" w:cs="宋体"/>
          <w:b/>
          <w:bCs/>
          <w:color w:val="000000" w:themeColor="text1"/>
          <w:sz w:val="24"/>
          <w:szCs w:val="24"/>
          <w:highlight w:val="none"/>
          <w14:textFill>
            <w14:solidFill>
              <w14:schemeClr w14:val="tx1"/>
            </w14:solidFill>
          </w14:textFill>
        </w:rPr>
      </w:pPr>
      <w:r>
        <w:rPr>
          <w:rFonts w:hint="eastAsia" w:ascii="宋体" w:hAnsi="宋体" w:cs="宋体"/>
          <w:b/>
          <w:bCs/>
          <w:color w:val="000000" w:themeColor="text1"/>
          <w:sz w:val="24"/>
          <w:szCs w:val="24"/>
          <w:highlight w:val="none"/>
          <w14:textFill>
            <w14:solidFill>
              <w14:schemeClr w14:val="tx1"/>
            </w14:solidFill>
          </w14:textFill>
        </w:rPr>
        <w:t>1.5供应商资格声明</w:t>
      </w:r>
    </w:p>
    <w:p w14:paraId="2A996E07">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（一）名称及概况：</w:t>
      </w:r>
    </w:p>
    <w:p w14:paraId="6A094449">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1．企业名称：__________________________________________</w:t>
      </w:r>
    </w:p>
    <w:p w14:paraId="04AD76E8">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银行开户名称：__________________________________________</w:t>
      </w:r>
    </w:p>
    <w:p w14:paraId="5DBFD9B6">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 xml:space="preserve">    开户银行：__________________________________________</w:t>
      </w:r>
    </w:p>
    <w:p w14:paraId="2B1E12A3">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 xml:space="preserve">    帐    号：__________________________________________</w:t>
      </w:r>
    </w:p>
    <w:p w14:paraId="304606AA">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企业详细地址：__________________________________________</w:t>
      </w:r>
    </w:p>
    <w:p w14:paraId="413FB576">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 xml:space="preserve">    传    真：__________________________________________</w:t>
      </w:r>
    </w:p>
    <w:p w14:paraId="26533C8C">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 xml:space="preserve">    电    话：__________________________________________</w:t>
      </w:r>
    </w:p>
    <w:p w14:paraId="4FCE50A9">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2．法定代表人姓名：__________________________________________</w:t>
      </w:r>
    </w:p>
    <w:p w14:paraId="34B80FAB">
      <w:pPr>
        <w:pStyle w:val="102"/>
        <w:spacing w:line="360" w:lineRule="auto"/>
        <w:ind w:left="420" w:leftChars="20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3．项目联系人：姓名___________职务___________电话_______________</w:t>
      </w:r>
    </w:p>
    <w:p w14:paraId="00289DF8">
      <w:pPr>
        <w:pStyle w:val="102"/>
        <w:spacing w:line="360" w:lineRule="auto"/>
        <w:ind w:left="420" w:leftChars="20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手机_______________________电子信箱_____________________________</w:t>
      </w:r>
    </w:p>
    <w:p w14:paraId="7475454B">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4．注册地址：__________________________________________</w:t>
      </w:r>
    </w:p>
    <w:p w14:paraId="202497EE">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5．注册资金：_____________________________万元</w:t>
      </w:r>
    </w:p>
    <w:p w14:paraId="60108525">
      <w:pPr>
        <w:pStyle w:val="102"/>
        <w:spacing w:line="360" w:lineRule="auto"/>
        <w:ind w:firstLine="735"/>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自有资金：_____________________________万元</w:t>
      </w:r>
    </w:p>
    <w:p w14:paraId="34C5B2C0">
      <w:pPr>
        <w:pStyle w:val="102"/>
        <w:spacing w:line="360" w:lineRule="auto"/>
        <w:ind w:firstLine="735"/>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企业人数:_____________人</w:t>
      </w:r>
    </w:p>
    <w:p w14:paraId="503617E7">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6．企业性质：__________________________________________</w:t>
      </w:r>
    </w:p>
    <w:p w14:paraId="326FC60C">
      <w:pPr>
        <w:pStyle w:val="102"/>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7．主要经营地点__________________________________________</w:t>
      </w:r>
    </w:p>
    <w:p w14:paraId="4A23E883">
      <w:pPr>
        <w:pStyle w:val="102"/>
        <w:pBdr>
          <w:bottom w:val="single" w:color="auto" w:sz="12" w:space="1"/>
        </w:pBdr>
        <w:spacing w:line="360" w:lineRule="auto"/>
        <w:ind w:firstLine="42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如有派出机构，请列出名称及详细通讯地址如下：</w:t>
      </w:r>
    </w:p>
    <w:p w14:paraId="5F9BBEE6">
      <w:pPr>
        <w:pStyle w:val="102"/>
        <w:spacing w:line="360" w:lineRule="auto"/>
        <w:ind w:firstLine="48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兹证明上述声明是真实、正确的，并提供了全部能提供的资料和数据，我们同意遵照贵方要求出示有关证明文件。</w:t>
      </w:r>
    </w:p>
    <w:p w14:paraId="46E3FA14">
      <w:pPr>
        <w:pStyle w:val="102"/>
        <w:spacing w:line="360" w:lineRule="auto"/>
        <w:ind w:firstLine="48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供应商名称________________________________</w:t>
      </w:r>
    </w:p>
    <w:p w14:paraId="2D714068">
      <w:pPr>
        <w:pStyle w:val="102"/>
        <w:spacing w:line="360" w:lineRule="auto"/>
        <w:ind w:firstLine="48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签字人职务和部门__________________________</w:t>
      </w:r>
    </w:p>
    <w:p w14:paraId="1BF010C1">
      <w:pPr>
        <w:pStyle w:val="102"/>
        <w:spacing w:line="360" w:lineRule="auto"/>
        <w:ind w:firstLine="48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签字人姓名（签字或盖章）________________________</w:t>
      </w:r>
    </w:p>
    <w:p w14:paraId="560867C1">
      <w:pPr>
        <w:pStyle w:val="102"/>
        <w:spacing w:line="360" w:lineRule="auto"/>
        <w:ind w:firstLine="480"/>
        <w:rPr>
          <w:rFonts w:hAnsi="宋体" w:cs="宋体"/>
          <w:color w:val="000000" w:themeColor="text1"/>
          <w:sz w:val="24"/>
          <w:highlight w:val="none"/>
          <w14:textFill>
            <w14:solidFill>
              <w14:schemeClr w14:val="tx1"/>
            </w14:solidFill>
          </w14:textFill>
        </w:rPr>
      </w:pPr>
      <w:r>
        <w:rPr>
          <w:rFonts w:hint="eastAsia" w:hAnsi="宋体" w:cs="宋体"/>
          <w:color w:val="000000" w:themeColor="text1"/>
          <w:sz w:val="24"/>
          <w:highlight w:val="none"/>
          <w14:textFill>
            <w14:solidFill>
              <w14:schemeClr w14:val="tx1"/>
            </w14:solidFill>
          </w14:textFill>
        </w:rPr>
        <w:t>签字日期__________________________________</w:t>
      </w:r>
    </w:p>
    <w:p w14:paraId="74E2FFE0">
      <w:pPr>
        <w:keepNext/>
        <w:keepLines/>
        <w:snapToGrid w:val="0"/>
        <w:jc w:val="left"/>
        <w:rPr>
          <w:rFonts w:ascii="宋体" w:hAnsi="宋体" w:cs="宋体"/>
          <w:b/>
          <w:bCs/>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br w:type="page"/>
      </w:r>
      <w:bookmarkStart w:id="143" w:name="_Toc531359049"/>
      <w:bookmarkStart w:id="144" w:name="_Toc530551882"/>
      <w:bookmarkStart w:id="145" w:name="_Toc10413"/>
      <w:r>
        <w:rPr>
          <w:rFonts w:hint="eastAsia" w:ascii="宋体" w:hAnsi="宋体" w:cs="宋体"/>
          <w:b/>
          <w:bCs/>
          <w:color w:val="000000" w:themeColor="text1"/>
          <w:sz w:val="24"/>
          <w:highlight w:val="none"/>
          <w14:textFill>
            <w14:solidFill>
              <w14:schemeClr w14:val="tx1"/>
            </w14:solidFill>
          </w14:textFill>
        </w:rPr>
        <w:t>1.6 无重大违法记录声明书</w:t>
      </w:r>
      <w:bookmarkEnd w:id="143"/>
      <w:bookmarkEnd w:id="144"/>
      <w:r>
        <w:rPr>
          <w:rFonts w:hint="eastAsia" w:ascii="宋体" w:hAnsi="宋体" w:cs="宋体"/>
          <w:b/>
          <w:bCs/>
          <w:color w:val="000000" w:themeColor="text1"/>
          <w:sz w:val="24"/>
          <w:highlight w:val="none"/>
          <w14:textFill>
            <w14:solidFill>
              <w14:schemeClr w14:val="tx1"/>
            </w14:solidFill>
          </w14:textFill>
        </w:rPr>
        <w:t>格式</w:t>
      </w:r>
      <w:bookmarkEnd w:id="145"/>
    </w:p>
    <w:p w14:paraId="36C7A72E">
      <w:pPr>
        <w:pStyle w:val="3"/>
        <w:ind w:firstLine="0"/>
        <w:rPr>
          <w:rFonts w:ascii="宋体" w:hAnsi="宋体" w:cs="宋体"/>
          <w:color w:val="000000" w:themeColor="text1"/>
          <w:sz w:val="24"/>
          <w:szCs w:val="24"/>
          <w:highlight w:val="none"/>
          <w14:textFill>
            <w14:solidFill>
              <w14:schemeClr w14:val="tx1"/>
            </w14:solidFill>
          </w14:textFill>
        </w:rPr>
      </w:pPr>
    </w:p>
    <w:p w14:paraId="3A7BAE09">
      <w:pPr>
        <w:pStyle w:val="3"/>
        <w:spacing w:line="360" w:lineRule="auto"/>
        <w:ind w:firstLine="0"/>
        <w:jc w:val="center"/>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无重大违法记录声明书</w:t>
      </w:r>
    </w:p>
    <w:p w14:paraId="58B07ABA">
      <w:pPr>
        <w:pStyle w:val="42"/>
        <w:spacing w:line="360" w:lineRule="auto"/>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z w:val="24"/>
          <w:highlight w:val="none"/>
          <w:u w:val="single"/>
          <w14:textFill>
            <w14:solidFill>
              <w14:schemeClr w14:val="tx1"/>
            </w14:solidFill>
          </w14:textFill>
        </w:rPr>
        <w:t>（采购人名称）</w:t>
      </w:r>
      <w:r>
        <w:rPr>
          <w:rFonts w:hint="eastAsia" w:ascii="宋体" w:hAnsi="宋体" w:cs="宋体"/>
          <w:color w:val="000000" w:themeColor="text1"/>
          <w:spacing w:val="6"/>
          <w:sz w:val="24"/>
          <w:highlight w:val="none"/>
          <w14:textFill>
            <w14:solidFill>
              <w14:schemeClr w14:val="tx1"/>
            </w14:solidFill>
          </w14:textFill>
        </w:rPr>
        <w:t>：</w:t>
      </w:r>
    </w:p>
    <w:p w14:paraId="7118D454">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 xml:space="preserve"> 我方参与的</w:t>
      </w:r>
      <w:r>
        <w:rPr>
          <w:rFonts w:hint="eastAsia" w:ascii="宋体" w:hAnsi="宋体" w:cs="宋体"/>
          <w:color w:val="000000" w:themeColor="text1"/>
          <w:spacing w:val="6"/>
          <w:sz w:val="24"/>
          <w:highlight w:val="none"/>
          <w:u w:val="single"/>
          <w14:textFill>
            <w14:solidFill>
              <w14:schemeClr w14:val="tx1"/>
            </w14:solidFill>
          </w14:textFill>
        </w:rPr>
        <w:t xml:space="preserve">     （项目名称）（项目编号）（标项）    </w:t>
      </w:r>
      <w:r>
        <w:rPr>
          <w:rFonts w:hint="eastAsia" w:ascii="宋体" w:hAnsi="宋体" w:cs="宋体"/>
          <w:color w:val="000000" w:themeColor="text1"/>
          <w:spacing w:val="6"/>
          <w:sz w:val="24"/>
          <w:highlight w:val="none"/>
          <w14:textFill>
            <w14:solidFill>
              <w14:schemeClr w14:val="tx1"/>
            </w14:solidFill>
          </w14:textFill>
        </w:rPr>
        <w:t>的投标活动，我方郑重声明，我方参加本项目投标活动前三年内无重大违法记录（重大违法记录是指投标人因违法经营受到刑事处罚或者责令停产停业、吊销许可证或者执照、较大数额罚款等行政处罚），符合《中华人民共和国政府采购法》、《中华人民共和国政府采购法实施条例》的规定。我方对此声明负全部法律责任。</w:t>
      </w:r>
    </w:p>
    <w:p w14:paraId="62CCC804">
      <w:pPr>
        <w:pStyle w:val="42"/>
        <w:spacing w:line="360" w:lineRule="auto"/>
        <w:ind w:firstLine="504" w:firstLineChars="200"/>
        <w:rPr>
          <w:rFonts w:ascii="宋体" w:hAnsi="宋体" w:cs="宋体"/>
          <w:color w:val="000000" w:themeColor="text1"/>
          <w:spacing w:val="6"/>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ab/>
      </w:r>
      <w:r>
        <w:rPr>
          <w:rFonts w:hint="eastAsia" w:ascii="宋体" w:hAnsi="宋体" w:cs="宋体"/>
          <w:color w:val="000000" w:themeColor="text1"/>
          <w:spacing w:val="6"/>
          <w:sz w:val="24"/>
          <w:highlight w:val="none"/>
          <w14:textFill>
            <w14:solidFill>
              <w14:schemeClr w14:val="tx1"/>
            </w14:solidFill>
          </w14:textFill>
        </w:rPr>
        <w:t>特此声明。</w:t>
      </w:r>
      <w:bookmarkStart w:id="146" w:name="_Toc531359051"/>
      <w:bookmarkStart w:id="147" w:name="_Toc523398458"/>
      <w:bookmarkStart w:id="148" w:name="_Toc500333505"/>
    </w:p>
    <w:p w14:paraId="43611E15">
      <w:pPr>
        <w:pStyle w:val="42"/>
        <w:spacing w:line="360" w:lineRule="auto"/>
        <w:rPr>
          <w:rFonts w:ascii="宋体" w:hAnsi="宋体" w:cs="宋体"/>
          <w:color w:val="000000" w:themeColor="text1"/>
          <w:spacing w:val="6"/>
          <w:sz w:val="24"/>
          <w:highlight w:val="none"/>
          <w14:textFill>
            <w14:solidFill>
              <w14:schemeClr w14:val="tx1"/>
            </w14:solidFill>
          </w14:textFill>
        </w:rPr>
      </w:pPr>
    </w:p>
    <w:p w14:paraId="66147840">
      <w:pPr>
        <w:pStyle w:val="42"/>
        <w:spacing w:line="360" w:lineRule="auto"/>
        <w:ind w:right="140"/>
        <w:jc w:val="left"/>
        <w:rPr>
          <w:rFonts w:ascii="宋体" w:hAnsi="宋体" w:cs="宋体"/>
          <w:color w:val="000000" w:themeColor="text1"/>
          <w:spacing w:val="20"/>
          <w:sz w:val="24"/>
          <w:highlight w:val="none"/>
          <w14:textFill>
            <w14:solidFill>
              <w14:schemeClr w14:val="tx1"/>
            </w14:solidFill>
          </w14:textFill>
        </w:rPr>
      </w:pPr>
    </w:p>
    <w:bookmarkEnd w:id="146"/>
    <w:bookmarkEnd w:id="147"/>
    <w:bookmarkEnd w:id="148"/>
    <w:p w14:paraId="446DE01D">
      <w:pPr>
        <w:spacing w:line="360" w:lineRule="auto"/>
        <w:ind w:firstLine="1800" w:firstLineChars="750"/>
        <w:rPr>
          <w:rFonts w:ascii="宋体" w:hAnsi="宋体" w:cs="宋体"/>
          <w:color w:val="000000" w:themeColor="text1"/>
          <w:spacing w:val="20"/>
          <w:sz w:val="24"/>
          <w:highlight w:val="none"/>
          <w:u w:val="singl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法定代表人</w:t>
      </w:r>
      <w:r>
        <w:rPr>
          <w:rFonts w:hint="eastAsia" w:ascii="宋体" w:hAnsi="宋体" w:cs="宋体"/>
          <w:color w:val="000000" w:themeColor="text1"/>
          <w:spacing w:val="20"/>
          <w:sz w:val="24"/>
          <w:highlight w:val="none"/>
          <w14:textFill>
            <w14:solidFill>
              <w14:schemeClr w14:val="tx1"/>
            </w14:solidFill>
          </w14:textFill>
        </w:rPr>
        <w:t>（或授权委托人）签字或盖章:</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3995D57B">
      <w:pPr>
        <w:spacing w:line="360" w:lineRule="auto"/>
        <w:ind w:firstLine="560" w:firstLineChars="200"/>
        <w:rPr>
          <w:rFonts w:ascii="宋体" w:hAnsi="宋体" w:cs="宋体"/>
          <w:color w:val="000000" w:themeColor="text1"/>
          <w:spacing w:val="20"/>
          <w:sz w:val="24"/>
          <w:highlight w:val="none"/>
          <w:u w:val="singl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 xml:space="preserve">                             供应商盖章:</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28BB990C">
      <w:pPr>
        <w:pStyle w:val="87"/>
        <w:keepNext w:val="0"/>
        <w:keepLines w:val="0"/>
        <w:pageBreakBefore w:val="0"/>
        <w:widowControl w:val="0"/>
        <w:kinsoku/>
        <w:wordWrap w:val="0"/>
        <w:overflowPunct/>
        <w:topLinePunct w:val="0"/>
        <w:autoSpaceDE/>
        <w:autoSpaceDN/>
        <w:bidi w:val="0"/>
        <w:adjustRightInd/>
        <w:snapToGrid/>
        <w:spacing w:line="360" w:lineRule="auto"/>
        <w:ind w:firstLine="0"/>
        <w:jc w:val="center"/>
        <w:textAlignment w:val="auto"/>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日     期:</w:t>
      </w:r>
      <w:r>
        <w:rPr>
          <w:rFonts w:hint="eastAsia" w:ascii="宋体" w:hAnsi="宋体" w:cs="宋体"/>
          <w:color w:val="000000" w:themeColor="text1"/>
          <w:spacing w:val="20"/>
          <w:sz w:val="24"/>
          <w:highlight w:val="none"/>
          <w:u w:val="single"/>
          <w14:textFill>
            <w14:solidFill>
              <w14:schemeClr w14:val="tx1"/>
            </w14:solidFill>
          </w14:textFill>
        </w:rPr>
        <w:t xml:space="preserve">            </w:t>
      </w:r>
    </w:p>
    <w:p w14:paraId="4535BAA7">
      <w:pPr>
        <w:spacing w:line="360" w:lineRule="auto"/>
        <w:ind w:firstLine="4578" w:firstLineChars="1900"/>
        <w:rPr>
          <w:rFonts w:ascii="宋体" w:hAnsi="宋体" w:cs="宋体"/>
          <w:b/>
          <w:bCs/>
          <w:color w:val="000000" w:themeColor="text1"/>
          <w:sz w:val="24"/>
          <w:highlight w:val="none"/>
          <w14:textFill>
            <w14:solidFill>
              <w14:schemeClr w14:val="tx1"/>
            </w14:solidFill>
          </w14:textFill>
        </w:rPr>
      </w:pPr>
    </w:p>
    <w:p w14:paraId="255E6A7E">
      <w:pPr>
        <w:rPr>
          <w:rFonts w:ascii="宋体" w:hAnsi="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14:textFill>
            <w14:solidFill>
              <w14:schemeClr w14:val="tx1"/>
            </w14:solidFill>
          </w14:textFill>
        </w:rPr>
        <w:br w:type="page"/>
      </w:r>
    </w:p>
    <w:p w14:paraId="2BDD63C4">
      <w:pPr>
        <w:keepNext/>
        <w:keepLines/>
        <w:snapToGrid w:val="0"/>
        <w:jc w:val="left"/>
        <w:outlineLvl w:val="4"/>
        <w:rPr>
          <w:rFonts w:hint="eastAsia" w:ascii="宋体" w:hAnsi="宋体" w:eastAsia="宋体" w:cs="宋体"/>
          <w:b/>
          <w:bCs/>
          <w:color w:val="000000" w:themeColor="text1"/>
          <w:sz w:val="22"/>
          <w:szCs w:val="22"/>
          <w:highlight w:val="none"/>
          <w14:textFill>
            <w14:solidFill>
              <w14:schemeClr w14:val="tx1"/>
            </w14:solidFill>
          </w14:textFill>
        </w:rPr>
      </w:pPr>
      <w:r>
        <w:rPr>
          <w:rFonts w:hint="eastAsia" w:ascii="宋体" w:hAnsi="宋体" w:eastAsia="宋体" w:cs="宋体"/>
          <w:b/>
          <w:bCs/>
          <w:color w:val="000000" w:themeColor="text1"/>
          <w:sz w:val="22"/>
          <w:szCs w:val="22"/>
          <w:highlight w:val="none"/>
          <w:lang w:val="en-US" w:eastAsia="zh-CN"/>
          <w14:textFill>
            <w14:solidFill>
              <w14:schemeClr w14:val="tx1"/>
            </w14:solidFill>
          </w14:textFill>
        </w:rPr>
        <w:t>1.7</w:t>
      </w:r>
      <w:r>
        <w:rPr>
          <w:rFonts w:hint="eastAsia" w:ascii="宋体" w:hAnsi="宋体" w:cs="宋体"/>
          <w:b/>
          <w:bCs/>
          <w:color w:val="000000" w:themeColor="text1"/>
          <w:sz w:val="22"/>
          <w:szCs w:val="22"/>
          <w:highlight w:val="none"/>
          <w:lang w:val="en-US" w:eastAsia="zh-CN"/>
          <w14:textFill>
            <w14:solidFill>
              <w14:schemeClr w14:val="tx1"/>
            </w14:solidFill>
          </w14:textFill>
        </w:rPr>
        <w:t>.1</w:t>
      </w:r>
      <w:r>
        <w:rPr>
          <w:rFonts w:hint="eastAsia" w:ascii="宋体" w:hAnsi="宋体" w:eastAsia="宋体" w:cs="宋体"/>
          <w:b/>
          <w:bCs/>
          <w:color w:val="000000" w:themeColor="text1"/>
          <w:sz w:val="22"/>
          <w:szCs w:val="22"/>
          <w:highlight w:val="none"/>
          <w14:textFill>
            <w14:solidFill>
              <w14:schemeClr w14:val="tx1"/>
            </w14:solidFill>
          </w14:textFill>
        </w:rPr>
        <w:t xml:space="preserve"> 中小企业声明函格式</w:t>
      </w:r>
    </w:p>
    <w:p w14:paraId="1D124E13">
      <w:pPr>
        <w:keepNext/>
        <w:keepLines/>
        <w:snapToGrid w:val="0"/>
        <w:jc w:val="center"/>
        <w:rPr>
          <w:rFonts w:hint="eastAsia" w:ascii="宋体" w:hAnsi="宋体" w:eastAsia="宋体" w:cs="宋体"/>
          <w:b/>
          <w:bCs/>
          <w:color w:val="000000"/>
          <w:sz w:val="22"/>
          <w:szCs w:val="22"/>
          <w:highlight w:val="none"/>
        </w:rPr>
      </w:pPr>
    </w:p>
    <w:p w14:paraId="3E12B46A">
      <w:pPr>
        <w:pStyle w:val="2"/>
        <w:spacing w:before="146"/>
        <w:ind w:left="0" w:leftChars="0" w:right="142" w:firstLine="0" w:firstLineChars="0"/>
        <w:jc w:val="center"/>
        <w:rPr>
          <w:rFonts w:hint="eastAsia" w:ascii="宋体" w:hAnsi="宋体" w:eastAsia="宋体" w:cs="宋体"/>
          <w:b w:val="0"/>
          <w:bCs w:val="0"/>
          <w:color w:val="auto"/>
          <w:sz w:val="21"/>
          <w:szCs w:val="21"/>
          <w:lang w:eastAsia="zh-CN"/>
        </w:rPr>
      </w:pPr>
      <w:r>
        <w:rPr>
          <w:rFonts w:hint="eastAsia" w:ascii="宋体" w:hAnsi="宋体" w:eastAsia="宋体" w:cs="宋体"/>
          <w:color w:val="auto"/>
          <w:sz w:val="21"/>
          <w:szCs w:val="21"/>
          <w:lang w:eastAsia="zh-CN"/>
        </w:rPr>
        <w:t>中小企业声明函（货物）</w:t>
      </w:r>
    </w:p>
    <w:p w14:paraId="5BBEE25C">
      <w:pPr>
        <w:rPr>
          <w:rFonts w:hint="eastAsia" w:ascii="宋体" w:hAnsi="宋体" w:eastAsia="宋体" w:cs="宋体"/>
          <w:b/>
          <w:bCs/>
          <w:color w:val="auto"/>
          <w:sz w:val="15"/>
          <w:szCs w:val="15"/>
          <w:lang w:eastAsia="zh-CN"/>
        </w:rPr>
      </w:pPr>
    </w:p>
    <w:p w14:paraId="4248038E">
      <w:pPr>
        <w:spacing w:before="2"/>
        <w:rPr>
          <w:rFonts w:hint="eastAsia" w:ascii="宋体" w:hAnsi="宋体" w:eastAsia="宋体" w:cs="宋体"/>
          <w:b/>
          <w:bCs/>
          <w:color w:val="auto"/>
          <w:sz w:val="21"/>
          <w:szCs w:val="21"/>
          <w:lang w:eastAsia="zh-CN"/>
        </w:rPr>
      </w:pPr>
    </w:p>
    <w:p w14:paraId="1CC0EF9F">
      <w:pPr>
        <w:spacing w:line="360" w:lineRule="auto"/>
        <w:ind w:firstLine="660" w:firstLineChars="3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本公司（联合体）郑重声明，根据《政府采购促进中小企业发展管理办法》（财库﹝2020﹞46 号）的规定，本公司</w:t>
      </w:r>
      <w:r>
        <w:rPr>
          <w:rFonts w:hint="eastAsia" w:ascii="宋体" w:hAnsi="宋体" w:eastAsia="宋体" w:cs="宋体"/>
          <w:color w:val="auto"/>
          <w:sz w:val="22"/>
          <w:szCs w:val="22"/>
          <w:u w:val="none"/>
          <w:lang w:eastAsia="zh-CN"/>
        </w:rPr>
        <w:t>（联合体）</w:t>
      </w:r>
      <w:r>
        <w:rPr>
          <w:rFonts w:hint="eastAsia" w:ascii="宋体" w:hAnsi="宋体" w:eastAsia="宋体" w:cs="宋体"/>
          <w:color w:val="auto"/>
          <w:sz w:val="22"/>
          <w:szCs w:val="22"/>
          <w:lang w:eastAsia="zh-CN"/>
        </w:rPr>
        <w:t>参加</w:t>
      </w:r>
      <w:r>
        <w:rPr>
          <w:rFonts w:hint="eastAsia" w:ascii="宋体" w:hAnsi="宋体" w:eastAsia="宋体" w:cs="宋体"/>
          <w:color w:val="auto"/>
          <w:sz w:val="22"/>
          <w:szCs w:val="22"/>
          <w:u w:val="single"/>
          <w:lang w:eastAsia="zh-CN"/>
        </w:rPr>
        <w:t>（单位名称）</w:t>
      </w:r>
      <w:r>
        <w:rPr>
          <w:rFonts w:hint="eastAsia" w:ascii="宋体" w:hAnsi="宋体" w:eastAsia="宋体" w:cs="宋体"/>
          <w:color w:val="auto"/>
          <w:sz w:val="22"/>
          <w:szCs w:val="22"/>
          <w:lang w:eastAsia="zh-CN"/>
        </w:rPr>
        <w:t>的</w:t>
      </w:r>
      <w:r>
        <w:rPr>
          <w:rFonts w:hint="eastAsia" w:ascii="宋体" w:hAnsi="宋体" w:eastAsia="宋体" w:cs="宋体"/>
          <w:color w:val="auto"/>
          <w:sz w:val="22"/>
          <w:szCs w:val="22"/>
          <w:u w:val="single"/>
          <w:lang w:eastAsia="zh-CN"/>
        </w:rPr>
        <w:t>（项目名称）</w:t>
      </w:r>
      <w:r>
        <w:rPr>
          <w:rFonts w:hint="eastAsia" w:hAnsi="宋体" w:cs="宋体"/>
          <w:color w:val="auto"/>
          <w:sz w:val="21"/>
          <w:szCs w:val="21"/>
          <w:u w:val="single"/>
          <w:lang w:val="en-US" w:eastAsia="zh-CN"/>
        </w:rPr>
        <w:t xml:space="preserve"> </w:t>
      </w:r>
      <w:r>
        <w:rPr>
          <w:rFonts w:hint="eastAsia" w:ascii="宋体" w:hAnsi="宋体" w:eastAsia="宋体" w:cs="宋体"/>
          <w:color w:val="auto"/>
          <w:sz w:val="21"/>
          <w:szCs w:val="21"/>
          <w:u w:val="single"/>
        </w:rPr>
        <w:t>标项：</w:t>
      </w:r>
      <w:r>
        <w:rPr>
          <w:rFonts w:hint="eastAsia" w:ascii="宋体" w:hAnsi="宋体" w:eastAsia="宋体" w:cs="宋体"/>
          <w:color w:val="auto"/>
          <w:sz w:val="22"/>
          <w:szCs w:val="22"/>
          <w:lang w:eastAsia="zh-CN"/>
        </w:rPr>
        <w:t>（若有）采购活动，提供的货物全部由符合政策要求的中小企业制造。相关企业（含联合体中的中小企业、签订分包意向协议的中小企业）的具体情况如下：</w:t>
      </w:r>
    </w:p>
    <w:p w14:paraId="3C4A0B8E">
      <w:pPr>
        <w:spacing w:line="360" w:lineRule="auto"/>
        <w:ind w:firstLine="440" w:firstLineChars="2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 xml:space="preserve">1. </w:t>
      </w:r>
      <w:r>
        <w:rPr>
          <w:rFonts w:hint="eastAsia" w:ascii="宋体" w:hAnsi="宋体" w:eastAsia="宋体" w:cs="宋体"/>
          <w:color w:val="auto"/>
          <w:sz w:val="22"/>
          <w:szCs w:val="22"/>
          <w:u w:val="single"/>
          <w:lang w:eastAsia="zh-CN"/>
        </w:rPr>
        <w:t>（标的名称）</w:t>
      </w:r>
      <w:r>
        <w:rPr>
          <w:rFonts w:hint="eastAsia" w:ascii="宋体" w:hAnsi="宋体" w:eastAsia="宋体" w:cs="宋体"/>
          <w:color w:val="auto"/>
          <w:sz w:val="22"/>
          <w:szCs w:val="22"/>
          <w:lang w:eastAsia="zh-CN"/>
        </w:rPr>
        <w:t xml:space="preserve"> ，属于</w:t>
      </w:r>
      <w:r>
        <w:rPr>
          <w:rFonts w:hint="eastAsia" w:ascii="宋体" w:hAnsi="宋体" w:eastAsia="宋体" w:cs="宋体"/>
          <w:color w:val="auto"/>
          <w:sz w:val="22"/>
          <w:szCs w:val="22"/>
          <w:u w:val="single"/>
          <w:lang w:eastAsia="zh-CN"/>
        </w:rPr>
        <w:t>（采购文件中明确的所属行业）</w:t>
      </w:r>
      <w:r>
        <w:rPr>
          <w:rFonts w:hint="eastAsia" w:ascii="宋体" w:hAnsi="宋体" w:eastAsia="宋体" w:cs="宋体"/>
          <w:color w:val="auto"/>
          <w:sz w:val="22"/>
          <w:szCs w:val="22"/>
          <w:lang w:eastAsia="zh-CN"/>
        </w:rPr>
        <w:t>；制造商为</w:t>
      </w:r>
      <w:r>
        <w:rPr>
          <w:rFonts w:hint="eastAsia" w:ascii="宋体" w:hAnsi="宋体" w:eastAsia="宋体" w:cs="宋体"/>
          <w:color w:val="auto"/>
          <w:sz w:val="22"/>
          <w:szCs w:val="22"/>
          <w:u w:val="single"/>
          <w:lang w:eastAsia="zh-CN"/>
        </w:rPr>
        <w:t>（企业名称）</w:t>
      </w:r>
      <w:r>
        <w:rPr>
          <w:rFonts w:hint="eastAsia" w:ascii="宋体" w:hAnsi="宋体" w:eastAsia="宋体" w:cs="宋体"/>
          <w:color w:val="auto"/>
          <w:sz w:val="22"/>
          <w:szCs w:val="22"/>
          <w:lang w:eastAsia="zh-CN"/>
        </w:rPr>
        <w:t>，从业人员</w:t>
      </w:r>
      <w:r>
        <w:rPr>
          <w:rFonts w:hint="eastAsia" w:ascii="宋体" w:hAnsi="宋体" w:eastAsia="宋体" w:cs="宋体"/>
          <w:color w:val="auto"/>
          <w:sz w:val="22"/>
          <w:szCs w:val="22"/>
          <w:u w:val="single"/>
          <w:lang w:eastAsia="zh-CN"/>
        </w:rPr>
        <w:t xml:space="preserve"> </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lang w:eastAsia="zh-CN"/>
        </w:rPr>
        <w:t>人，营业收入为</w:t>
      </w:r>
      <w:r>
        <w:rPr>
          <w:rFonts w:hint="eastAsia" w:ascii="宋体" w:hAnsi="宋体" w:eastAsia="宋体" w:cs="宋体"/>
          <w:color w:val="auto"/>
          <w:sz w:val="22"/>
          <w:szCs w:val="22"/>
          <w:u w:val="single"/>
          <w:lang w:eastAsia="zh-CN"/>
        </w:rPr>
        <w:t xml:space="preserve"> </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lang w:eastAsia="zh-CN"/>
        </w:rPr>
        <w:t>万元，资产总额为</w:t>
      </w:r>
      <w:r>
        <w:rPr>
          <w:rFonts w:hint="eastAsia" w:ascii="宋体" w:hAnsi="宋体" w:eastAsia="宋体" w:cs="宋体"/>
          <w:color w:val="auto"/>
          <w:sz w:val="22"/>
          <w:szCs w:val="22"/>
          <w:u w:val="single"/>
          <w:lang w:eastAsia="zh-CN"/>
        </w:rPr>
        <w:t xml:space="preserve"> </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u w:val="single"/>
          <w:lang w:val="en-US" w:eastAsia="zh-CN"/>
        </w:rPr>
        <w:t xml:space="preserve">     </w:t>
      </w:r>
      <w:r>
        <w:rPr>
          <w:rFonts w:hint="eastAsia" w:ascii="宋体" w:hAnsi="宋体" w:eastAsia="宋体" w:cs="宋体"/>
          <w:color w:val="auto"/>
          <w:sz w:val="22"/>
          <w:szCs w:val="22"/>
          <w:lang w:eastAsia="zh-CN"/>
        </w:rPr>
        <w:t>万元，属于</w:t>
      </w:r>
      <w:r>
        <w:rPr>
          <w:rFonts w:hint="eastAsia" w:ascii="宋体" w:hAnsi="宋体" w:eastAsia="宋体" w:cs="宋体"/>
          <w:color w:val="auto"/>
          <w:sz w:val="22"/>
          <w:szCs w:val="22"/>
          <w:u w:val="single"/>
          <w:lang w:eastAsia="zh-CN"/>
        </w:rPr>
        <w:t>（中型企业、小型企业、微型企业）</w:t>
      </w:r>
      <w:r>
        <w:rPr>
          <w:rFonts w:hint="eastAsia" w:ascii="宋体" w:hAnsi="宋体" w:eastAsia="宋体" w:cs="宋体"/>
          <w:color w:val="auto"/>
          <w:sz w:val="22"/>
          <w:szCs w:val="22"/>
          <w:lang w:eastAsia="zh-CN"/>
        </w:rPr>
        <w:t>；</w:t>
      </w:r>
    </w:p>
    <w:p w14:paraId="1CAAFCEC">
      <w:pPr>
        <w:spacing w:line="360" w:lineRule="auto"/>
        <w:ind w:firstLine="440" w:firstLineChars="2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 xml:space="preserve">2. </w:t>
      </w:r>
      <w:r>
        <w:rPr>
          <w:rFonts w:hint="eastAsia" w:ascii="宋体" w:hAnsi="宋体" w:eastAsia="宋体" w:cs="宋体"/>
          <w:color w:val="auto"/>
          <w:sz w:val="22"/>
          <w:szCs w:val="22"/>
          <w:u w:val="single"/>
          <w:lang w:eastAsia="zh-CN"/>
        </w:rPr>
        <w:t xml:space="preserve">（标的名称） </w:t>
      </w:r>
      <w:r>
        <w:rPr>
          <w:rFonts w:hint="eastAsia" w:ascii="宋体" w:hAnsi="宋体" w:eastAsia="宋体" w:cs="宋体"/>
          <w:color w:val="auto"/>
          <w:sz w:val="22"/>
          <w:szCs w:val="22"/>
          <w:lang w:eastAsia="zh-CN"/>
        </w:rPr>
        <w:t>，属于</w:t>
      </w:r>
      <w:r>
        <w:rPr>
          <w:rFonts w:hint="eastAsia" w:ascii="宋体" w:hAnsi="宋体" w:eastAsia="宋体" w:cs="宋体"/>
          <w:color w:val="auto"/>
          <w:sz w:val="22"/>
          <w:szCs w:val="22"/>
          <w:u w:val="single"/>
          <w:lang w:eastAsia="zh-CN"/>
        </w:rPr>
        <w:t>（采购文件中明确的所属行业）</w:t>
      </w:r>
      <w:r>
        <w:rPr>
          <w:rFonts w:hint="eastAsia" w:ascii="宋体" w:hAnsi="宋体" w:eastAsia="宋体" w:cs="宋体"/>
          <w:color w:val="auto"/>
          <w:sz w:val="22"/>
          <w:szCs w:val="22"/>
          <w:lang w:eastAsia="zh-CN"/>
        </w:rPr>
        <w:t>；制造商为</w:t>
      </w:r>
      <w:r>
        <w:rPr>
          <w:rFonts w:hint="eastAsia" w:ascii="宋体" w:hAnsi="宋体" w:eastAsia="宋体" w:cs="宋体"/>
          <w:color w:val="auto"/>
          <w:sz w:val="22"/>
          <w:szCs w:val="22"/>
          <w:u w:val="single"/>
          <w:lang w:eastAsia="zh-CN"/>
        </w:rPr>
        <w:t>（企业名称）</w:t>
      </w:r>
      <w:r>
        <w:rPr>
          <w:rFonts w:hint="eastAsia" w:ascii="宋体" w:hAnsi="宋体" w:eastAsia="宋体" w:cs="宋体"/>
          <w:color w:val="auto"/>
          <w:sz w:val="22"/>
          <w:szCs w:val="22"/>
          <w:lang w:eastAsia="zh-CN"/>
        </w:rPr>
        <w:t>，从业人员</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lang w:eastAsia="zh-CN"/>
        </w:rPr>
        <w:t>人，营业收入</w:t>
      </w:r>
      <w:r>
        <w:rPr>
          <w:rFonts w:hint="eastAsia" w:ascii="宋体" w:hAnsi="宋体" w:eastAsia="宋体" w:cs="宋体"/>
          <w:color w:val="auto"/>
          <w:sz w:val="22"/>
          <w:szCs w:val="22"/>
          <w:u w:val="single"/>
          <w:lang w:eastAsia="zh-CN"/>
        </w:rPr>
        <w:t xml:space="preserve"> </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lang w:eastAsia="zh-CN"/>
        </w:rPr>
        <w:t>万元，资产总额为</w:t>
      </w:r>
      <w:r>
        <w:rPr>
          <w:rFonts w:hint="eastAsia" w:ascii="宋体" w:hAnsi="宋体" w:eastAsia="宋体" w:cs="宋体"/>
          <w:color w:val="auto"/>
          <w:sz w:val="22"/>
          <w:szCs w:val="22"/>
          <w:u w:val="single"/>
          <w:lang w:eastAsia="zh-CN"/>
        </w:rPr>
        <w:tab/>
      </w:r>
      <w:r>
        <w:rPr>
          <w:rFonts w:hint="eastAsia" w:ascii="宋体" w:hAnsi="宋体" w:eastAsia="宋体" w:cs="宋体"/>
          <w:color w:val="auto"/>
          <w:sz w:val="22"/>
          <w:szCs w:val="22"/>
          <w:u w:val="single"/>
          <w:lang w:val="en-US" w:eastAsia="zh-CN"/>
        </w:rPr>
        <w:t xml:space="preserve">   </w:t>
      </w:r>
      <w:r>
        <w:rPr>
          <w:rFonts w:hint="eastAsia" w:ascii="宋体" w:hAnsi="宋体" w:eastAsia="宋体" w:cs="宋体"/>
          <w:color w:val="auto"/>
          <w:sz w:val="22"/>
          <w:szCs w:val="22"/>
          <w:lang w:eastAsia="zh-CN"/>
        </w:rPr>
        <w:t>万元，属于</w:t>
      </w:r>
      <w:r>
        <w:rPr>
          <w:rFonts w:hint="eastAsia" w:ascii="宋体" w:hAnsi="宋体" w:eastAsia="宋体" w:cs="宋体"/>
          <w:color w:val="auto"/>
          <w:sz w:val="22"/>
          <w:szCs w:val="22"/>
          <w:u w:val="single"/>
          <w:lang w:eastAsia="zh-CN"/>
        </w:rPr>
        <w:t>（中型企业、小型企业、微型企业）</w:t>
      </w:r>
      <w:r>
        <w:rPr>
          <w:rFonts w:hint="eastAsia" w:ascii="宋体" w:hAnsi="宋体" w:eastAsia="宋体" w:cs="宋体"/>
          <w:color w:val="auto"/>
          <w:sz w:val="22"/>
          <w:szCs w:val="22"/>
          <w:lang w:eastAsia="zh-CN"/>
        </w:rPr>
        <w:t>；</w:t>
      </w:r>
    </w:p>
    <w:p w14:paraId="1E5F1618">
      <w:pPr>
        <w:spacing w:line="360" w:lineRule="auto"/>
        <w:ind w:firstLine="440" w:firstLineChars="2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w:t>
      </w:r>
    </w:p>
    <w:p w14:paraId="21E30411">
      <w:pPr>
        <w:spacing w:line="360" w:lineRule="auto"/>
        <w:ind w:firstLine="440" w:firstLineChars="2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以上企业，不属于大企业的分支机构，不存在控股股东为大企业的情形，也不存在与大企业的负责人为同一人的情形。</w:t>
      </w:r>
    </w:p>
    <w:p w14:paraId="41DB5577">
      <w:pPr>
        <w:spacing w:line="360" w:lineRule="auto"/>
        <w:ind w:firstLine="440" w:firstLineChars="2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本企业对上述声明内容的真实性负责。如有虚假，将依法承担相应责任。</w:t>
      </w:r>
    </w:p>
    <w:p w14:paraId="4AB73AE8">
      <w:pPr>
        <w:spacing w:line="360" w:lineRule="auto"/>
        <w:ind w:firstLine="440" w:firstLineChars="200"/>
        <w:jc w:val="left"/>
        <w:rPr>
          <w:rFonts w:hint="eastAsia" w:ascii="宋体" w:hAnsi="宋体" w:eastAsia="宋体" w:cs="宋体"/>
          <w:color w:val="auto"/>
          <w:sz w:val="22"/>
          <w:szCs w:val="22"/>
          <w:lang w:eastAsia="zh-CN"/>
        </w:rPr>
      </w:pPr>
    </w:p>
    <w:p w14:paraId="73AA7C28">
      <w:pPr>
        <w:spacing w:line="360" w:lineRule="auto"/>
        <w:ind w:firstLine="4620" w:firstLineChars="21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 xml:space="preserve">企业名称（盖章）： </w:t>
      </w:r>
    </w:p>
    <w:p w14:paraId="7C77D821">
      <w:pPr>
        <w:spacing w:line="360" w:lineRule="auto"/>
        <w:ind w:firstLine="5280" w:firstLineChars="2400"/>
        <w:jc w:val="left"/>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日</w:t>
      </w:r>
      <w:r>
        <w:rPr>
          <w:rFonts w:hint="eastAsia" w:ascii="宋体" w:hAnsi="宋体" w:eastAsia="宋体" w:cs="宋体"/>
          <w:color w:val="auto"/>
          <w:sz w:val="22"/>
          <w:szCs w:val="22"/>
          <w:lang w:val="en-US" w:eastAsia="zh-CN"/>
        </w:rPr>
        <w:t xml:space="preserve">     </w:t>
      </w:r>
      <w:r>
        <w:rPr>
          <w:rFonts w:hint="eastAsia" w:ascii="宋体" w:hAnsi="宋体" w:eastAsia="宋体" w:cs="宋体"/>
          <w:color w:val="auto"/>
          <w:sz w:val="22"/>
          <w:szCs w:val="22"/>
          <w:lang w:eastAsia="zh-CN"/>
        </w:rPr>
        <w:t xml:space="preserve"> 期：</w:t>
      </w:r>
    </w:p>
    <w:p w14:paraId="6173483E">
      <w:pPr>
        <w:spacing w:line="309" w:lineRule="auto"/>
        <w:rPr>
          <w:rFonts w:hint="eastAsia" w:ascii="宋体" w:hAnsi="宋体" w:eastAsia="宋体" w:cs="宋体"/>
          <w:color w:val="auto"/>
          <w:sz w:val="18"/>
          <w:szCs w:val="20"/>
          <w:lang w:eastAsia="zh-CN"/>
        </w:rPr>
      </w:pPr>
    </w:p>
    <w:p w14:paraId="2D8A8F4A">
      <w:pPr>
        <w:spacing w:line="440" w:lineRule="exact"/>
        <w:ind w:firstLine="420" w:firstLineChars="200"/>
        <w:jc w:val="left"/>
        <w:rPr>
          <w:rFonts w:hint="eastAsia" w:ascii="宋体" w:hAnsi="宋体" w:eastAsia="宋体" w:cs="宋体"/>
          <w:color w:val="auto"/>
          <w:sz w:val="21"/>
          <w:szCs w:val="21"/>
          <w:highlight w:val="none"/>
        </w:rPr>
      </w:pPr>
    </w:p>
    <w:p w14:paraId="7581800A">
      <w:pPr>
        <w:rPr>
          <w:rFonts w:hint="eastAsia"/>
        </w:rPr>
      </w:pPr>
      <w:r>
        <w:rPr>
          <w:rFonts w:hint="eastAsia" w:ascii="宋体" w:hAnsi="宋体" w:cs="宋体"/>
          <w:b/>
          <w:bCs/>
          <w:color w:val="000000"/>
          <w:kern w:val="0"/>
          <w:sz w:val="22"/>
          <w:szCs w:val="22"/>
          <w:highlight w:val="none"/>
        </w:rPr>
        <w:br w:type="page"/>
      </w:r>
    </w:p>
    <w:p w14:paraId="5572161B">
      <w:pPr>
        <w:spacing w:line="360" w:lineRule="auto"/>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注：</w:t>
      </w:r>
    </w:p>
    <w:p w14:paraId="47571918">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1、从业人员、营业收入、资产总额填报上一年度数据，新成立企业也需要提供声明函，在声明函中对营业收入、资产总额、从业人员的数据不填写。</w:t>
      </w:r>
    </w:p>
    <w:p w14:paraId="66821140">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2、填写要求：</w:t>
      </w:r>
    </w:p>
    <w:p w14:paraId="0619E586">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①“标的名称”、“采购文件中明确的所属行业”依据招标文件第三章投标人须知前附表中“采购标的及其对应的中小企业划分标准所属行业”的指引逐一填写，不得缺漏；其中行业错填、漏填，声明函无效，但错填为“采购文件确定的行业”等类似瑕疵的除外。</w:t>
      </w:r>
    </w:p>
    <w:p w14:paraId="14E6ADEE">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②从业人员、营业收入、资产总额填报上一年度数据，无上一年度数据的新成立企业可不填报；</w:t>
      </w:r>
    </w:p>
    <w:p w14:paraId="4BEDA39B">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③中型企业、小型企业、微型企业等3种企业类型，结合以上数据，依据《中小企业划型标准规定》（工信部联企业〔2011〕300号）确定；从业人员、营业收入、资产总额数据存在疑义的，由供应商澄清说明，供应商对填报的数据来源作出合理解释，且企业类型正确的，声明函有效。</w:t>
      </w:r>
    </w:p>
    <w:p w14:paraId="5BCDB68C">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④投标人提供的《中小企业声明函》中供应商企业类型与实际不符的，声明函无效，不享受中小企业扶持政策。供应商企业类型与实际不符，且获得了本不应获得的利益（价格扣除或者资格审查通过），属于提供虚假材料谋取中标、成交，依法承担法律责任。</w:t>
      </w:r>
    </w:p>
    <w:p w14:paraId="5191E84B">
      <w:pPr>
        <w:spacing w:line="360" w:lineRule="auto"/>
        <w:ind w:firstLine="442" w:firstLineChars="200"/>
        <w:jc w:val="left"/>
        <w:rPr>
          <w:rFonts w:hint="eastAsia" w:ascii="宋体" w:hAnsi="宋体" w:cs="宋体"/>
          <w:b/>
          <w:bCs/>
          <w:color w:val="000000"/>
          <w:kern w:val="0"/>
          <w:sz w:val="22"/>
          <w:szCs w:val="22"/>
          <w:highlight w:val="none"/>
        </w:rPr>
      </w:pPr>
      <w:r>
        <w:rPr>
          <w:rFonts w:hint="eastAsia" w:ascii="宋体" w:hAnsi="宋体" w:cs="宋体"/>
          <w:b/>
          <w:bCs/>
          <w:color w:val="000000"/>
          <w:kern w:val="0"/>
          <w:sz w:val="22"/>
          <w:szCs w:val="22"/>
          <w:highlight w:val="none"/>
        </w:rPr>
        <w:t>3、符合《关于促进残疾人就业政府采购政策的通知》（财库〔2017〕141号）规定的条件并提供《残疾人福利性单位声明函》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0D2B6236">
      <w:pPr>
        <w:spacing w:line="360" w:lineRule="auto"/>
        <w:jc w:val="left"/>
        <w:rPr>
          <w:rFonts w:hint="eastAsia" w:ascii="宋体" w:hAnsi="宋体" w:cs="宋体"/>
          <w:b/>
          <w:bCs/>
          <w:color w:val="000000" w:themeColor="text1"/>
          <w:kern w:val="0"/>
          <w:sz w:val="22"/>
          <w:szCs w:val="22"/>
          <w:highlight w:val="none"/>
          <w14:textFill>
            <w14:solidFill>
              <w14:schemeClr w14:val="tx1"/>
            </w14:solidFill>
          </w14:textFill>
        </w:rPr>
      </w:pPr>
      <w:r>
        <w:rPr>
          <w:rFonts w:hint="eastAsia" w:ascii="宋体" w:hAnsi="宋体" w:cs="宋体"/>
          <w:b/>
          <w:bCs/>
          <w:color w:val="000000"/>
          <w:kern w:val="0"/>
          <w:sz w:val="22"/>
          <w:szCs w:val="22"/>
          <w:highlight w:val="none"/>
        </w:rPr>
        <w:t>4.制造商请务必和《报价明细表》的制造商保持一致。《中小企业声明函》（货物）中制造厂商错填、漏填，声明函无效；《中小企业声明函》中的制造厂商使用他人授权品牌或者授权他人实际生产，声明函无效。</w:t>
      </w:r>
    </w:p>
    <w:p w14:paraId="3FFF1DDC">
      <w:pPr>
        <w:pStyle w:val="129"/>
        <w:rPr>
          <w:rFonts w:hint="eastAsia"/>
          <w:color w:val="000000" w:themeColor="text1"/>
          <w:highlight w:val="none"/>
          <w:lang w:eastAsia="zh-CN"/>
          <w14:textFill>
            <w14:solidFill>
              <w14:schemeClr w14:val="tx1"/>
            </w14:solidFill>
          </w14:textFill>
        </w:rPr>
      </w:pPr>
    </w:p>
    <w:p w14:paraId="03DA512A">
      <w:pPr>
        <w:spacing w:line="360" w:lineRule="auto"/>
        <w:ind w:firstLine="442" w:firstLineChars="200"/>
        <w:jc w:val="left"/>
        <w:rPr>
          <w:rFonts w:hint="eastAsia" w:ascii="宋体" w:hAnsi="宋体" w:cs="宋体"/>
          <w:b/>
          <w:bCs/>
          <w:color w:val="000000" w:themeColor="text1"/>
          <w:kern w:val="0"/>
          <w:sz w:val="22"/>
          <w:szCs w:val="22"/>
          <w:highlight w:val="none"/>
          <w14:textFill>
            <w14:solidFill>
              <w14:schemeClr w14:val="tx1"/>
            </w14:solidFill>
          </w14:textFill>
        </w:rPr>
      </w:pPr>
    </w:p>
    <w:p w14:paraId="3372494A">
      <w:pPr>
        <w:rPr>
          <w:rFonts w:hint="eastAsia" w:ascii="宋体" w:hAnsi="宋体" w:cs="宋体"/>
          <w:b/>
          <w:bCs/>
          <w:color w:val="000000" w:themeColor="text1"/>
          <w:kern w:val="0"/>
          <w:sz w:val="22"/>
          <w:szCs w:val="22"/>
          <w:highlight w:val="none"/>
          <w14:textFill>
            <w14:solidFill>
              <w14:schemeClr w14:val="tx1"/>
            </w14:solidFill>
          </w14:textFill>
        </w:rPr>
      </w:pPr>
      <w:r>
        <w:rPr>
          <w:rFonts w:hint="eastAsia" w:ascii="宋体" w:hAnsi="宋体" w:cs="宋体"/>
          <w:b/>
          <w:bCs/>
          <w:color w:val="000000" w:themeColor="text1"/>
          <w:kern w:val="0"/>
          <w:sz w:val="22"/>
          <w:szCs w:val="22"/>
          <w:highlight w:val="none"/>
          <w14:textFill>
            <w14:solidFill>
              <w14:schemeClr w14:val="tx1"/>
            </w14:solidFill>
          </w14:textFill>
        </w:rPr>
        <w:br w:type="page"/>
      </w:r>
    </w:p>
    <w:p w14:paraId="560EDC32">
      <w:pPr>
        <w:rPr>
          <w:rFonts w:hint="eastAsia" w:ascii="宋体" w:hAnsi="宋体" w:eastAsia="宋体" w:cs="宋体"/>
          <w:b/>
          <w:bCs/>
          <w:color w:val="000000" w:themeColor="text1"/>
          <w:sz w:val="22"/>
          <w:szCs w:val="22"/>
          <w:highlight w:val="none"/>
          <w14:textFill>
            <w14:solidFill>
              <w14:schemeClr w14:val="tx1"/>
            </w14:solidFill>
          </w14:textFill>
        </w:rPr>
      </w:pPr>
      <w:bookmarkStart w:id="149" w:name="_bookmark1"/>
      <w:bookmarkEnd w:id="149"/>
    </w:p>
    <w:p w14:paraId="57D2819E">
      <w:pPr>
        <w:jc w:val="center"/>
        <w:outlineLvl w:val="3"/>
        <w:rPr>
          <w:rFonts w:hint="eastAsia" w:ascii="宋体" w:hAnsi="宋体" w:eastAsia="宋体" w:cs="宋体"/>
          <w:b/>
          <w:bCs/>
          <w:color w:val="000000" w:themeColor="text1"/>
          <w:sz w:val="22"/>
          <w:szCs w:val="22"/>
          <w:highlight w:val="none"/>
          <w14:textFill>
            <w14:solidFill>
              <w14:schemeClr w14:val="tx1"/>
            </w14:solidFill>
          </w14:textFill>
        </w:rPr>
      </w:pPr>
      <w:r>
        <w:rPr>
          <w:rFonts w:hint="eastAsia" w:ascii="宋体" w:hAnsi="宋体" w:eastAsia="宋体" w:cs="宋体"/>
          <w:b/>
          <w:bCs/>
          <w:color w:val="000000" w:themeColor="text1"/>
          <w:sz w:val="22"/>
          <w:szCs w:val="22"/>
          <w:highlight w:val="none"/>
          <w:lang w:val="en-US" w:eastAsia="zh-CN"/>
          <w14:textFill>
            <w14:solidFill>
              <w14:schemeClr w14:val="tx1"/>
            </w14:solidFill>
          </w14:textFill>
        </w:rPr>
        <w:t>1.</w:t>
      </w:r>
      <w:r>
        <w:rPr>
          <w:rFonts w:hint="eastAsia" w:ascii="宋体" w:hAnsi="宋体" w:cs="宋体"/>
          <w:b/>
          <w:bCs/>
          <w:color w:val="000000" w:themeColor="text1"/>
          <w:sz w:val="22"/>
          <w:szCs w:val="22"/>
          <w:highlight w:val="none"/>
          <w:lang w:val="en-US" w:eastAsia="zh-CN"/>
          <w14:textFill>
            <w14:solidFill>
              <w14:schemeClr w14:val="tx1"/>
            </w14:solidFill>
          </w14:textFill>
        </w:rPr>
        <w:t>7.2</w:t>
      </w:r>
      <w:r>
        <w:rPr>
          <w:rFonts w:hint="eastAsia" w:ascii="宋体" w:hAnsi="宋体" w:eastAsia="宋体" w:cs="宋体"/>
          <w:b/>
          <w:bCs/>
          <w:color w:val="000000" w:themeColor="text1"/>
          <w:sz w:val="22"/>
          <w:szCs w:val="22"/>
          <w:highlight w:val="none"/>
          <w14:textFill>
            <w14:solidFill>
              <w14:schemeClr w14:val="tx1"/>
            </w14:solidFill>
          </w14:textFill>
        </w:rPr>
        <w:t>残疾人福利性单位声明函格式</w:t>
      </w:r>
    </w:p>
    <w:p w14:paraId="79E05853">
      <w:pPr>
        <w:pStyle w:val="130"/>
        <w:spacing w:line="360" w:lineRule="auto"/>
        <w:jc w:val="center"/>
        <w:outlineLvl w:val="4"/>
        <w:rPr>
          <w:rFonts w:hint="eastAsia" w:ascii="宋体" w:hAnsi="宋体" w:eastAsia="宋体" w:cs="宋体"/>
          <w:b/>
          <w:bCs w:val="0"/>
          <w:color w:val="000000" w:themeColor="text1"/>
          <w:spacing w:val="6"/>
          <w:sz w:val="22"/>
          <w:szCs w:val="22"/>
          <w:highlight w:val="none"/>
          <w14:textFill>
            <w14:solidFill>
              <w14:schemeClr w14:val="tx1"/>
            </w14:solidFill>
          </w14:textFill>
        </w:rPr>
      </w:pPr>
      <w:r>
        <w:rPr>
          <w:rFonts w:hint="eastAsia" w:ascii="宋体" w:hAnsi="宋体" w:eastAsia="宋体" w:cs="宋体"/>
          <w:b/>
          <w:bCs w:val="0"/>
          <w:color w:val="000000" w:themeColor="text1"/>
          <w:spacing w:val="6"/>
          <w:sz w:val="22"/>
          <w:szCs w:val="22"/>
          <w:highlight w:val="none"/>
          <w14:textFill>
            <w14:solidFill>
              <w14:schemeClr w14:val="tx1"/>
            </w14:solidFill>
          </w14:textFill>
        </w:rPr>
        <w:t>残疾人福利性单位声明函</w:t>
      </w:r>
    </w:p>
    <w:p w14:paraId="3CD44F7E">
      <w:pPr>
        <w:pStyle w:val="130"/>
        <w:spacing w:line="360" w:lineRule="auto"/>
        <w:jc w:val="center"/>
        <w:rPr>
          <w:rFonts w:hint="eastAsia" w:ascii="宋体" w:hAnsi="宋体" w:eastAsia="宋体" w:cs="宋体"/>
          <w:bCs/>
          <w:color w:val="000000" w:themeColor="text1"/>
          <w:spacing w:val="6"/>
          <w:sz w:val="36"/>
          <w:szCs w:val="36"/>
          <w:highlight w:val="none"/>
          <w14:textFill>
            <w14:solidFill>
              <w14:schemeClr w14:val="tx1"/>
            </w14:solidFill>
          </w14:textFill>
        </w:rPr>
      </w:pPr>
    </w:p>
    <w:p w14:paraId="0737BB79">
      <w:pPr>
        <w:pStyle w:val="130"/>
        <w:spacing w:line="360" w:lineRule="auto"/>
        <w:ind w:firstLine="601"/>
        <w:rPr>
          <w:rFonts w:hint="eastAsia" w:ascii="宋体" w:hAnsi="宋体" w:eastAsia="宋体" w:cs="宋体"/>
          <w:color w:val="000000" w:themeColor="text1"/>
          <w:kern w:val="2"/>
          <w:highlight w:val="none"/>
          <w14:textFill>
            <w14:solidFill>
              <w14:schemeClr w14:val="tx1"/>
            </w14:solidFill>
          </w14:textFill>
        </w:rPr>
      </w:pPr>
      <w:r>
        <w:rPr>
          <w:rFonts w:hint="eastAsia" w:ascii="宋体" w:hAnsi="宋体" w:eastAsia="宋体" w:cs="宋体"/>
          <w:color w:val="000000" w:themeColor="text1"/>
          <w:kern w:val="2"/>
          <w:highlight w:val="none"/>
          <w14:textFill>
            <w14:solidFill>
              <w14:schemeClr w14:val="tx1"/>
            </w14:solidFill>
          </w14:textFill>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000000" w:themeColor="text1"/>
          <w:kern w:val="2"/>
          <w:highlight w:val="none"/>
          <w:u w:val="single"/>
          <w14:textFill>
            <w14:solidFill>
              <w14:schemeClr w14:val="tx1"/>
            </w14:solidFill>
          </w14:textFill>
        </w:rPr>
        <w:t xml:space="preserve">   单位的    </w:t>
      </w:r>
      <w:r>
        <w:rPr>
          <w:rFonts w:hint="eastAsia" w:ascii="宋体" w:hAnsi="宋体" w:eastAsia="宋体" w:cs="宋体"/>
          <w:color w:val="000000" w:themeColor="text1"/>
          <w:kern w:val="2"/>
          <w:highlight w:val="none"/>
          <w14:textFill>
            <w14:solidFill>
              <w14:schemeClr w14:val="tx1"/>
            </w14:solidFill>
          </w14:textFill>
        </w:rPr>
        <w:t>项目采购活动提供本单位制造的货物（由本单位承担工程/提供服务），或者提供其他残疾人福利性单位制造的货物（不包括使用非残疾人福利性单位注册商标的货物）。</w:t>
      </w:r>
    </w:p>
    <w:p w14:paraId="6A6841DC">
      <w:pPr>
        <w:pStyle w:val="130"/>
        <w:spacing w:line="360" w:lineRule="auto"/>
        <w:ind w:firstLine="600"/>
        <w:rPr>
          <w:rFonts w:hint="eastAsia" w:ascii="宋体" w:hAnsi="宋体" w:eastAsia="宋体" w:cs="宋体"/>
          <w:color w:val="000000" w:themeColor="text1"/>
          <w:kern w:val="2"/>
          <w:highlight w:val="none"/>
          <w14:textFill>
            <w14:solidFill>
              <w14:schemeClr w14:val="tx1"/>
            </w14:solidFill>
          </w14:textFill>
        </w:rPr>
      </w:pPr>
      <w:r>
        <w:rPr>
          <w:rFonts w:hint="eastAsia" w:ascii="宋体" w:hAnsi="宋体" w:eastAsia="宋体" w:cs="宋体"/>
          <w:color w:val="000000" w:themeColor="text1"/>
          <w:kern w:val="2"/>
          <w:highlight w:val="none"/>
          <w14:textFill>
            <w14:solidFill>
              <w14:schemeClr w14:val="tx1"/>
            </w14:solidFill>
          </w14:textFill>
        </w:rPr>
        <w:t>本单位对上述声明的真实性负责。如有虚假，将依法承担相应责任。</w:t>
      </w:r>
    </w:p>
    <w:p w14:paraId="72CB8066">
      <w:pPr>
        <w:pStyle w:val="130"/>
        <w:spacing w:line="360" w:lineRule="auto"/>
        <w:rPr>
          <w:rFonts w:hint="eastAsia" w:ascii="宋体" w:hAnsi="宋体" w:eastAsia="宋体" w:cs="宋体"/>
          <w:color w:val="000000" w:themeColor="text1"/>
          <w:spacing w:val="6"/>
          <w:highlight w:val="none"/>
          <w14:textFill>
            <w14:solidFill>
              <w14:schemeClr w14:val="tx1"/>
            </w14:solidFill>
          </w14:textFill>
        </w:rPr>
      </w:pPr>
    </w:p>
    <w:p w14:paraId="1E6AD3CE">
      <w:pPr>
        <w:pStyle w:val="130"/>
        <w:spacing w:line="360" w:lineRule="auto"/>
        <w:rPr>
          <w:rFonts w:hint="eastAsia" w:ascii="宋体" w:hAnsi="宋体" w:eastAsia="宋体" w:cs="宋体"/>
          <w:color w:val="000000" w:themeColor="text1"/>
          <w:spacing w:val="6"/>
          <w:highlight w:val="none"/>
          <w14:textFill>
            <w14:solidFill>
              <w14:schemeClr w14:val="tx1"/>
            </w14:solidFill>
          </w14:textFill>
        </w:rPr>
      </w:pPr>
    </w:p>
    <w:p w14:paraId="729249CB">
      <w:pPr>
        <w:pStyle w:val="130"/>
        <w:spacing w:line="360" w:lineRule="auto"/>
        <w:ind w:right="1560" w:firstLine="600"/>
        <w:jc w:val="right"/>
        <w:rPr>
          <w:rFonts w:hint="eastAsia" w:ascii="宋体" w:hAnsi="宋体" w:eastAsia="宋体" w:cs="宋体"/>
          <w:color w:val="000000" w:themeColor="text1"/>
          <w:kern w:val="2"/>
          <w:highlight w:val="none"/>
          <w14:textFill>
            <w14:solidFill>
              <w14:schemeClr w14:val="tx1"/>
            </w14:solidFill>
          </w14:textFill>
        </w:rPr>
      </w:pPr>
      <w:r>
        <w:rPr>
          <w:rFonts w:hint="eastAsia" w:ascii="宋体" w:hAnsi="宋体" w:eastAsia="宋体" w:cs="宋体"/>
          <w:color w:val="000000" w:themeColor="text1"/>
          <w:kern w:val="2"/>
          <w:highlight w:val="none"/>
          <w14:textFill>
            <w14:solidFill>
              <w14:schemeClr w14:val="tx1"/>
            </w14:solidFill>
          </w14:textFill>
        </w:rPr>
        <w:t>单位名称（盖章）：</w:t>
      </w:r>
    </w:p>
    <w:p w14:paraId="3C86E90B">
      <w:pPr>
        <w:pStyle w:val="130"/>
        <w:spacing w:line="360" w:lineRule="auto"/>
        <w:ind w:right="1560" w:firstLine="600"/>
        <w:jc w:val="right"/>
        <w:rPr>
          <w:rFonts w:hint="eastAsia"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kern w:val="2"/>
          <w:highlight w:val="none"/>
          <w14:textFill>
            <w14:solidFill>
              <w14:schemeClr w14:val="tx1"/>
            </w14:solidFill>
          </w14:textFill>
        </w:rPr>
        <w:t>日  期：</w:t>
      </w:r>
    </w:p>
    <w:p w14:paraId="5963A039">
      <w:pPr>
        <w:spacing w:line="312" w:lineRule="auto"/>
        <w:ind w:firstLine="5040" w:firstLineChars="2100"/>
        <w:rPr>
          <w:rFonts w:ascii="宋体" w:hAnsi="宋体" w:cs="宋体"/>
          <w:color w:val="000000" w:themeColor="text1"/>
          <w:sz w:val="24"/>
          <w:szCs w:val="24"/>
          <w:highlight w:val="none"/>
          <w14:textFill>
            <w14:solidFill>
              <w14:schemeClr w14:val="tx1"/>
            </w14:solidFill>
          </w14:textFill>
        </w:rPr>
      </w:pPr>
    </w:p>
    <w:p w14:paraId="2A3B0950">
      <w:pPr>
        <w:rPr>
          <w:rFonts w:hint="eastAsia" w:ascii="宋体" w:hAnsi="宋体" w:cs="宋体"/>
          <w:b/>
          <w:color w:val="000000" w:themeColor="text1"/>
          <w:sz w:val="28"/>
          <w:szCs w:val="28"/>
          <w:highlight w:val="none"/>
          <w14:textFill>
            <w14:solidFill>
              <w14:schemeClr w14:val="tx1"/>
            </w14:solidFill>
          </w14:textFill>
        </w:rPr>
      </w:pPr>
    </w:p>
    <w:p w14:paraId="6A517E71">
      <w:pPr>
        <w:keepNext/>
        <w:keepLines/>
        <w:snapToGrid w:val="0"/>
        <w:jc w:val="center"/>
        <w:rPr>
          <w:rFonts w:hint="eastAsia" w:ascii="宋体" w:hAnsi="宋体" w:cs="宋体"/>
          <w:b/>
          <w:bCs/>
          <w:color w:val="000000" w:themeColor="text1"/>
          <w:sz w:val="22"/>
          <w:szCs w:val="22"/>
          <w:highlight w:val="none"/>
          <w:lang w:val="en-US" w:eastAsia="zh-CN"/>
          <w14:textFill>
            <w14:solidFill>
              <w14:schemeClr w14:val="tx1"/>
            </w14:solidFill>
          </w14:textFill>
        </w:rPr>
      </w:pPr>
    </w:p>
    <w:p w14:paraId="4E69008D">
      <w:pPr>
        <w:keepNext/>
        <w:keepLines/>
        <w:snapToGrid w:val="0"/>
        <w:jc w:val="center"/>
        <w:rPr>
          <w:rFonts w:hint="eastAsia" w:ascii="宋体" w:hAnsi="宋体" w:cs="宋体"/>
          <w:b/>
          <w:bCs/>
          <w:color w:val="000000" w:themeColor="text1"/>
          <w:sz w:val="22"/>
          <w:szCs w:val="22"/>
          <w:highlight w:val="none"/>
          <w:lang w:val="en-US" w:eastAsia="zh-CN"/>
          <w14:textFill>
            <w14:solidFill>
              <w14:schemeClr w14:val="tx1"/>
            </w14:solidFill>
          </w14:textFill>
        </w:rPr>
      </w:pPr>
    </w:p>
    <w:p w14:paraId="1475E727">
      <w:pPr>
        <w:keepNext/>
        <w:keepLines/>
        <w:snapToGrid w:val="0"/>
        <w:jc w:val="center"/>
        <w:outlineLvl w:val="3"/>
        <w:rPr>
          <w:rFonts w:hint="default" w:ascii="宋体" w:hAnsi="宋体" w:eastAsia="宋体" w:cs="宋体"/>
          <w:b/>
          <w:bCs/>
          <w:color w:val="000000" w:themeColor="text1"/>
          <w:sz w:val="22"/>
          <w:szCs w:val="22"/>
          <w:highlight w:val="none"/>
          <w:lang w:val="en-US"/>
          <w14:textFill>
            <w14:solidFill>
              <w14:schemeClr w14:val="tx1"/>
            </w14:solidFill>
          </w14:textFill>
        </w:rPr>
      </w:pPr>
      <w:r>
        <w:rPr>
          <w:rFonts w:hint="eastAsia" w:ascii="宋体" w:hAnsi="宋体" w:cs="宋体"/>
          <w:b/>
          <w:bCs/>
          <w:color w:val="000000" w:themeColor="text1"/>
          <w:sz w:val="22"/>
          <w:szCs w:val="22"/>
          <w:highlight w:val="none"/>
          <w:lang w:val="en-US" w:eastAsia="zh-CN"/>
          <w14:textFill>
            <w14:solidFill>
              <w14:schemeClr w14:val="tx1"/>
            </w14:solidFill>
          </w14:textFill>
        </w:rPr>
        <w:t>1.7.3</w:t>
      </w:r>
      <w:r>
        <w:rPr>
          <w:rFonts w:hint="eastAsia" w:ascii="宋体" w:hAnsi="宋体" w:eastAsia="宋体" w:cs="宋体"/>
          <w:b/>
          <w:bCs/>
          <w:color w:val="000000" w:themeColor="text1"/>
          <w:sz w:val="22"/>
          <w:szCs w:val="22"/>
          <w:highlight w:val="none"/>
          <w14:textFill>
            <w14:solidFill>
              <w14:schemeClr w14:val="tx1"/>
            </w14:solidFill>
          </w14:textFill>
        </w:rPr>
        <w:t>监狱企业</w:t>
      </w:r>
      <w:r>
        <w:rPr>
          <w:rFonts w:hint="eastAsia" w:ascii="宋体" w:hAnsi="宋体" w:cs="宋体"/>
          <w:b/>
          <w:bCs/>
          <w:color w:val="000000" w:themeColor="text1"/>
          <w:sz w:val="22"/>
          <w:szCs w:val="22"/>
          <w:highlight w:val="none"/>
          <w:lang w:eastAsia="zh-CN"/>
          <w14:textFill>
            <w14:solidFill>
              <w14:schemeClr w14:val="tx1"/>
            </w14:solidFill>
          </w14:textFill>
        </w:rPr>
        <w:t>证明文件</w:t>
      </w:r>
      <w:r>
        <w:rPr>
          <w:rFonts w:hint="eastAsia" w:ascii="宋体" w:hAnsi="宋体" w:cs="宋体"/>
          <w:b/>
          <w:bCs/>
          <w:color w:val="000000" w:themeColor="text1"/>
          <w:sz w:val="22"/>
          <w:szCs w:val="22"/>
          <w:highlight w:val="none"/>
          <w:lang w:val="en-US" w:eastAsia="zh-CN"/>
          <w14:textFill>
            <w14:solidFill>
              <w14:schemeClr w14:val="tx1"/>
            </w14:solidFill>
          </w14:textFill>
        </w:rPr>
        <w:t>格式</w:t>
      </w:r>
    </w:p>
    <w:p w14:paraId="6EB30FEC">
      <w:pPr>
        <w:pStyle w:val="3"/>
        <w:ind w:firstLine="0"/>
        <w:jc w:val="center"/>
        <w:rPr>
          <w:rFonts w:ascii="宋体" w:hAnsi="宋体" w:cs="宋体"/>
          <w:color w:val="000000" w:themeColor="text1"/>
          <w:sz w:val="22"/>
          <w:szCs w:val="22"/>
          <w:highlight w:val="none"/>
          <w14:textFill>
            <w14:solidFill>
              <w14:schemeClr w14:val="tx1"/>
            </w14:solidFill>
          </w14:textFill>
        </w:rPr>
      </w:pPr>
    </w:p>
    <w:p w14:paraId="3D4E95A6">
      <w:pPr>
        <w:pStyle w:val="3"/>
        <w:spacing w:line="360" w:lineRule="auto"/>
        <w:ind w:firstLine="0"/>
        <w:jc w:val="center"/>
        <w:rPr>
          <w:rFonts w:hint="eastAsia" w:ascii="宋体" w:hAnsi="宋体" w:eastAsia="宋体" w:cs="宋体"/>
          <w:color w:val="000000" w:themeColor="text1"/>
          <w:sz w:val="32"/>
          <w:szCs w:val="32"/>
          <w:highlight w:val="none"/>
          <w14:textFill>
            <w14:solidFill>
              <w14:schemeClr w14:val="tx1"/>
            </w14:solidFill>
          </w14:textFill>
        </w:rPr>
      </w:pPr>
    </w:p>
    <w:p w14:paraId="0DE64A6B">
      <w:pPr>
        <w:pStyle w:val="3"/>
        <w:spacing w:line="360" w:lineRule="auto"/>
        <w:ind w:firstLine="0"/>
        <w:jc w:val="center"/>
        <w:rPr>
          <w:rFonts w:hint="eastAsia" w:ascii="宋体" w:hAnsi="宋体" w:eastAsia="宋体" w:cs="宋体"/>
          <w:color w:val="000000" w:themeColor="text1"/>
          <w:sz w:val="32"/>
          <w:szCs w:val="32"/>
          <w:highlight w:val="none"/>
          <w14:textFill>
            <w14:solidFill>
              <w14:schemeClr w14:val="tx1"/>
            </w14:solidFill>
          </w14:textFill>
        </w:rPr>
      </w:pPr>
    </w:p>
    <w:p w14:paraId="351769F7">
      <w:pPr>
        <w:pStyle w:val="3"/>
        <w:spacing w:line="360" w:lineRule="auto"/>
        <w:ind w:firstLine="0"/>
        <w:jc w:val="center"/>
        <w:outlineLvl w:val="4"/>
        <w:rPr>
          <w:rFonts w:hint="eastAsia" w:ascii="宋体" w:hAnsi="宋体" w:eastAsia="宋体" w:cs="宋体"/>
          <w:b/>
          <w:bCs/>
          <w:color w:val="000000" w:themeColor="text1"/>
          <w:sz w:val="22"/>
          <w:szCs w:val="22"/>
          <w:highlight w:val="none"/>
          <w14:textFill>
            <w14:solidFill>
              <w14:schemeClr w14:val="tx1"/>
            </w14:solidFill>
          </w14:textFill>
        </w:rPr>
      </w:pPr>
      <w:r>
        <w:rPr>
          <w:rFonts w:hint="eastAsia" w:ascii="宋体" w:hAnsi="宋体" w:eastAsia="宋体" w:cs="宋体"/>
          <w:b/>
          <w:bCs/>
          <w:color w:val="000000" w:themeColor="text1"/>
          <w:sz w:val="22"/>
          <w:szCs w:val="22"/>
          <w:highlight w:val="none"/>
          <w14:textFill>
            <w14:solidFill>
              <w14:schemeClr w14:val="tx1"/>
            </w14:solidFill>
          </w14:textFill>
        </w:rPr>
        <w:t>监狱企业证明</w:t>
      </w:r>
    </w:p>
    <w:p w14:paraId="7B378F52">
      <w:pPr>
        <w:pStyle w:val="3"/>
        <w:spacing w:line="360" w:lineRule="auto"/>
        <w:ind w:firstLine="0"/>
        <w:jc w:val="center"/>
        <w:rPr>
          <w:rFonts w:hint="eastAsia" w:ascii="宋体" w:hAnsi="宋体" w:eastAsia="宋体" w:cs="宋体"/>
          <w:color w:val="000000" w:themeColor="text1"/>
          <w:sz w:val="24"/>
          <w:szCs w:val="24"/>
          <w:highlight w:val="none"/>
          <w14:textFill>
            <w14:solidFill>
              <w14:schemeClr w14:val="tx1"/>
            </w14:solidFill>
          </w14:textFill>
        </w:rPr>
      </w:pPr>
    </w:p>
    <w:p w14:paraId="6F89F57C">
      <w:pPr>
        <w:pStyle w:val="3"/>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注：须提供省级以上监狱管理局、戒毒管理局（含新疆生产建设兵团）出具的属于监狱企业的证明文件</w:t>
      </w:r>
    </w:p>
    <w:p w14:paraId="6D394A0B">
      <w:pPr>
        <w:pStyle w:val="87"/>
        <w:ind w:left="626" w:leftChars="199" w:hanging="208" w:hangingChars="87"/>
        <w:jc w:val="left"/>
        <w:rPr>
          <w:rFonts w:hint="eastAsia" w:ascii="宋体" w:hAnsi="宋体" w:eastAsia="宋体" w:cs="宋体"/>
          <w:color w:val="000000" w:themeColor="text1"/>
          <w:sz w:val="24"/>
          <w:szCs w:val="21"/>
          <w:highlight w:val="none"/>
          <w14:textFill>
            <w14:solidFill>
              <w14:schemeClr w14:val="tx1"/>
            </w14:solidFill>
          </w14:textFill>
        </w:rPr>
        <w:sectPr>
          <w:pgSz w:w="11906" w:h="16838"/>
          <w:pgMar w:top="1440" w:right="1440" w:bottom="1440" w:left="1440" w:header="851" w:footer="850" w:gutter="0"/>
          <w:pgNumType w:fmt="decimal"/>
          <w:cols w:space="0" w:num="1"/>
          <w:rtlGutter w:val="0"/>
          <w:docGrid w:linePitch="312" w:charSpace="0"/>
        </w:sectPr>
      </w:pPr>
    </w:p>
    <w:p w14:paraId="55A63058">
      <w:pPr>
        <w:pStyle w:val="41"/>
        <w:spacing w:line="360" w:lineRule="auto"/>
        <w:jc w:val="left"/>
        <w:rPr>
          <w:rFonts w:hint="eastAsia" w:ascii="宋体" w:hAnsi="宋体" w:eastAsia="宋体" w:cs="宋体"/>
          <w:b/>
          <w:color w:val="000000" w:themeColor="text1"/>
          <w:sz w:val="24"/>
          <w:szCs w:val="21"/>
          <w:highlight w:val="none"/>
          <w:lang w:eastAsia="zh-CN"/>
          <w14:textFill>
            <w14:solidFill>
              <w14:schemeClr w14:val="tx1"/>
            </w14:solidFill>
          </w14:textFill>
        </w:rPr>
      </w:pPr>
    </w:p>
    <w:p w14:paraId="000F61C8">
      <w:pPr>
        <w:pStyle w:val="5"/>
        <w:spacing w:before="0" w:after="0"/>
        <w:ind w:firstLine="0" w:firstLineChars="0"/>
        <w:jc w:val="center"/>
        <w:rPr>
          <w:rFonts w:hint="eastAsia" w:ascii="宋体" w:hAnsi="宋体" w:eastAsia="宋体" w:cs="宋体"/>
          <w:color w:val="000000" w:themeColor="text1"/>
          <w:sz w:val="24"/>
          <w:szCs w:val="24"/>
          <w:highlight w:val="none"/>
          <w14:textFill>
            <w14:solidFill>
              <w14:schemeClr w14:val="tx1"/>
            </w14:solidFill>
          </w14:textFill>
        </w:rPr>
      </w:pPr>
      <w:bookmarkStart w:id="150" w:name="_Toc531359053"/>
      <w:bookmarkStart w:id="151" w:name="_Toc14167"/>
      <w:r>
        <w:rPr>
          <w:rFonts w:hint="eastAsia" w:ascii="宋体" w:hAnsi="宋体" w:eastAsia="宋体" w:cs="宋体"/>
          <w:color w:val="000000" w:themeColor="text1"/>
          <w:sz w:val="24"/>
          <w:szCs w:val="24"/>
          <w:highlight w:val="none"/>
          <w14:textFill>
            <w14:solidFill>
              <w14:schemeClr w14:val="tx1"/>
            </w14:solidFill>
          </w14:textFill>
        </w:rPr>
        <w:t>1.</w:t>
      </w:r>
      <w:r>
        <w:rPr>
          <w:rFonts w:hint="eastAsia" w:ascii="宋体" w:hAnsi="宋体" w:eastAsia="宋体" w:cs="宋体"/>
          <w:color w:val="000000" w:themeColor="text1"/>
          <w:sz w:val="24"/>
          <w:szCs w:val="24"/>
          <w:highlight w:val="none"/>
          <w:lang w:val="en-US" w:eastAsia="zh-CN"/>
          <w14:textFill>
            <w14:solidFill>
              <w14:schemeClr w14:val="tx1"/>
            </w14:solidFill>
          </w14:textFill>
        </w:rPr>
        <w:t>8</w:t>
      </w:r>
      <w:r>
        <w:rPr>
          <w:rFonts w:hint="eastAsia" w:ascii="宋体" w:hAnsi="宋体" w:eastAsia="宋体" w:cs="宋体"/>
          <w:color w:val="000000" w:themeColor="text1"/>
          <w:sz w:val="24"/>
          <w:szCs w:val="24"/>
          <w:highlight w:val="none"/>
          <w14:textFill>
            <w14:solidFill>
              <w14:schemeClr w14:val="tx1"/>
            </w14:solidFill>
          </w14:textFill>
        </w:rPr>
        <w:t xml:space="preserve">    其他</w:t>
      </w:r>
      <w:bookmarkEnd w:id="150"/>
      <w:bookmarkEnd w:id="151"/>
    </w:p>
    <w:p w14:paraId="2C08C69C">
      <w:pPr>
        <w:pStyle w:val="3"/>
        <w:spacing w:line="360" w:lineRule="auto"/>
        <w:ind w:firstLine="0"/>
        <w:rPr>
          <w:rFonts w:hint="eastAsia" w:ascii="宋体" w:hAnsi="宋体" w:eastAsia="宋体" w:cs="宋体"/>
          <w:color w:val="000000" w:themeColor="text1"/>
          <w:highlight w:val="none"/>
          <w14:textFill>
            <w14:solidFill>
              <w14:schemeClr w14:val="tx1"/>
            </w14:solidFill>
          </w14:textFill>
        </w:rPr>
      </w:pPr>
    </w:p>
    <w:p w14:paraId="3CD5A50D">
      <w:pPr>
        <w:pStyle w:val="41"/>
        <w:spacing w:line="360" w:lineRule="auto"/>
        <w:jc w:val="center"/>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highlight w:val="none"/>
          <w14:textFill>
            <w14:solidFill>
              <w14:schemeClr w14:val="tx1"/>
            </w14:solidFill>
          </w14:textFill>
        </w:rPr>
        <w:t>格式自行设计</w:t>
      </w:r>
      <w:r>
        <w:rPr>
          <w:rFonts w:hint="eastAsia" w:ascii="宋体" w:hAnsi="宋体" w:eastAsia="宋体" w:cs="宋体"/>
          <w:color w:val="000000" w:themeColor="text1"/>
          <w:sz w:val="24"/>
          <w:szCs w:val="24"/>
          <w:highlight w:val="none"/>
          <w14:textFill>
            <w14:solidFill>
              <w14:schemeClr w14:val="tx1"/>
            </w14:solidFill>
          </w14:textFill>
        </w:rPr>
        <w:t>）</w:t>
      </w:r>
    </w:p>
    <w:p w14:paraId="7C4B0F93">
      <w:pPr>
        <w:pStyle w:val="42"/>
        <w:spacing w:line="360" w:lineRule="auto"/>
        <w:rPr>
          <w:rFonts w:hint="eastAsia" w:ascii="宋体" w:hAnsi="宋体" w:eastAsia="宋体" w:cs="宋体"/>
          <w:color w:val="000000" w:themeColor="text1"/>
          <w:spacing w:val="6"/>
          <w:sz w:val="24"/>
          <w:highlight w:val="none"/>
          <w14:textFill>
            <w14:solidFill>
              <w14:schemeClr w14:val="tx1"/>
            </w14:solidFill>
          </w14:textFill>
        </w:rPr>
      </w:pPr>
    </w:p>
    <w:p w14:paraId="127628D0">
      <w:pPr>
        <w:pStyle w:val="41"/>
        <w:jc w:val="center"/>
        <w:rPr>
          <w:rFonts w:hAnsi="宋体" w:cs="宋体"/>
          <w:b/>
          <w:bCs/>
          <w:color w:val="000000" w:themeColor="text1"/>
          <w:sz w:val="22"/>
          <w:szCs w:val="21"/>
          <w:highlight w:val="none"/>
          <w14:textFill>
            <w14:solidFill>
              <w14:schemeClr w14:val="tx1"/>
            </w14:solidFill>
          </w14:textFill>
        </w:rPr>
      </w:pPr>
      <w:r>
        <w:rPr>
          <w:rFonts w:hint="eastAsia" w:ascii="宋体" w:hAnsi="宋体" w:eastAsia="宋体" w:cs="宋体"/>
          <w:color w:val="000000" w:themeColor="text1"/>
          <w:spacing w:val="6"/>
          <w:sz w:val="24"/>
          <w:highlight w:val="none"/>
          <w14:textFill>
            <w14:solidFill>
              <w14:schemeClr w14:val="tx1"/>
            </w14:solidFill>
          </w14:textFill>
        </w:rPr>
        <w:t>（投标人认为有利于其本次投标的其它资格证明材料等</w:t>
      </w:r>
      <w:r>
        <w:rPr>
          <w:rFonts w:hint="eastAsia" w:ascii="宋体" w:hAnsi="宋体" w:eastAsia="宋体" w:cs="宋体"/>
          <w:color w:val="000000" w:themeColor="text1"/>
          <w:spacing w:val="6"/>
          <w:sz w:val="24"/>
          <w:highlight w:val="none"/>
          <w:lang w:eastAsia="zh-CN"/>
          <w14:textFill>
            <w14:solidFill>
              <w14:schemeClr w14:val="tx1"/>
            </w14:solidFill>
          </w14:textFill>
        </w:rPr>
        <w:t>）</w:t>
      </w:r>
      <w:r>
        <w:rPr>
          <w:rFonts w:hint="eastAsia" w:ascii="宋体" w:hAnsi="宋体" w:eastAsia="宋体" w:cs="宋体"/>
          <w:color w:val="000000" w:themeColor="text1"/>
          <w:spacing w:val="6"/>
          <w:sz w:val="24"/>
          <w:highlight w:val="none"/>
          <w14:textFill>
            <w14:solidFill>
              <w14:schemeClr w14:val="tx1"/>
            </w14:solidFill>
          </w14:textFill>
        </w:rPr>
        <w:t>。</w:t>
      </w:r>
    </w:p>
    <w:p w14:paraId="6E2E5489">
      <w:pPr>
        <w:pStyle w:val="41"/>
        <w:jc w:val="center"/>
        <w:rPr>
          <w:rFonts w:hAnsi="宋体" w:cs="宋体"/>
          <w:b/>
          <w:bCs/>
          <w:color w:val="000000" w:themeColor="text1"/>
          <w:sz w:val="22"/>
          <w:szCs w:val="21"/>
          <w:highlight w:val="none"/>
          <w14:textFill>
            <w14:solidFill>
              <w14:schemeClr w14:val="tx1"/>
            </w14:solidFill>
          </w14:textFill>
        </w:rPr>
      </w:pPr>
    </w:p>
    <w:p w14:paraId="12952067">
      <w:pPr>
        <w:pStyle w:val="41"/>
        <w:jc w:val="center"/>
        <w:rPr>
          <w:rFonts w:hAnsi="宋体" w:cs="宋体"/>
          <w:b/>
          <w:bCs/>
          <w:color w:val="000000" w:themeColor="text1"/>
          <w:sz w:val="22"/>
          <w:szCs w:val="21"/>
          <w:highlight w:val="none"/>
          <w14:textFill>
            <w14:solidFill>
              <w14:schemeClr w14:val="tx1"/>
            </w14:solidFill>
          </w14:textFill>
        </w:rPr>
      </w:pPr>
    </w:p>
    <w:p w14:paraId="37A343CA">
      <w:pPr>
        <w:rPr>
          <w:rFonts w:hint="eastAsia" w:ascii="宋体" w:hAnsi="宋体" w:eastAsia="宋体" w:cs="宋体"/>
          <w:b w:val="0"/>
          <w:bCs w:val="0"/>
          <w:color w:val="000000" w:themeColor="text1"/>
          <w:sz w:val="32"/>
          <w:szCs w:val="21"/>
          <w:highlight w:val="none"/>
          <w14:textFill>
            <w14:solidFill>
              <w14:schemeClr w14:val="tx1"/>
            </w14:solidFill>
          </w14:textFill>
        </w:rPr>
      </w:pPr>
      <w:bookmarkStart w:id="152" w:name="_Toc10781"/>
      <w:r>
        <w:rPr>
          <w:rFonts w:hint="eastAsia" w:ascii="宋体" w:hAnsi="宋体" w:eastAsia="宋体" w:cs="宋体"/>
          <w:b w:val="0"/>
          <w:bCs w:val="0"/>
          <w:color w:val="000000" w:themeColor="text1"/>
          <w:sz w:val="32"/>
          <w:szCs w:val="21"/>
          <w:highlight w:val="none"/>
          <w14:textFill>
            <w14:solidFill>
              <w14:schemeClr w14:val="tx1"/>
            </w14:solidFill>
          </w14:textFill>
        </w:rPr>
        <w:br w:type="page"/>
      </w:r>
    </w:p>
    <w:p w14:paraId="39888F03">
      <w:pPr>
        <w:pStyle w:val="5"/>
        <w:spacing w:before="0" w:after="0"/>
        <w:ind w:firstLine="0" w:firstLineChars="0"/>
        <w:jc w:val="left"/>
        <w:outlineLvl w:val="4"/>
        <w:rPr>
          <w:rFonts w:hint="eastAsia" w:ascii="宋体" w:hAnsi="宋体" w:eastAsia="宋体" w:cs="宋体"/>
          <w:color w:val="000000"/>
          <w:sz w:val="24"/>
          <w:szCs w:val="24"/>
          <w:highlight w:val="none"/>
          <w:lang w:val="en-US" w:eastAsia="zh-CN"/>
        </w:rPr>
      </w:pPr>
    </w:p>
    <w:p w14:paraId="43E582FE">
      <w:pPr>
        <w:pStyle w:val="5"/>
        <w:spacing w:before="0" w:after="0"/>
        <w:ind w:firstLine="0" w:firstLineChars="0"/>
        <w:jc w:val="left"/>
        <w:outlineLvl w:val="4"/>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1.9</w:t>
      </w:r>
      <w:r>
        <w:rPr>
          <w:rFonts w:hint="eastAsia" w:ascii="宋体" w:hAnsi="宋体" w:eastAsia="宋体" w:cs="宋体"/>
          <w:color w:val="000000"/>
          <w:sz w:val="24"/>
          <w:szCs w:val="24"/>
          <w:highlight w:val="none"/>
        </w:rPr>
        <w:t>联合体协议书格式</w:t>
      </w:r>
    </w:p>
    <w:p w14:paraId="449C4F38">
      <w:pPr>
        <w:pStyle w:val="3"/>
        <w:spacing w:line="360" w:lineRule="auto"/>
        <w:ind w:firstLine="0"/>
        <w:jc w:val="center"/>
        <w:outlineLvl w:val="1"/>
        <w:rPr>
          <w:rFonts w:hint="eastAsia" w:ascii="宋体" w:hAnsi="宋体" w:eastAsia="宋体" w:cs="宋体"/>
          <w:b/>
          <w:color w:val="000000"/>
          <w:sz w:val="24"/>
          <w:szCs w:val="24"/>
          <w:highlight w:val="none"/>
          <w:lang w:eastAsia="zh-CN"/>
        </w:rPr>
      </w:pPr>
      <w:r>
        <w:rPr>
          <w:rFonts w:hint="eastAsia" w:ascii="宋体" w:hAnsi="宋体" w:eastAsia="宋体" w:cs="宋体"/>
          <w:b/>
          <w:color w:val="000000"/>
          <w:sz w:val="24"/>
          <w:szCs w:val="24"/>
          <w:highlight w:val="none"/>
        </w:rPr>
        <w:t>联合体协议书</w:t>
      </w:r>
      <w:r>
        <w:rPr>
          <w:rFonts w:hint="eastAsia" w:ascii="宋体" w:hAnsi="宋体" w:cs="宋体"/>
          <w:b/>
          <w:color w:val="000000"/>
          <w:sz w:val="24"/>
          <w:szCs w:val="24"/>
          <w:highlight w:val="none"/>
          <w:lang w:eastAsia="zh-CN"/>
        </w:rPr>
        <w:t>（联合体投标时提供）</w:t>
      </w:r>
    </w:p>
    <w:p w14:paraId="2A93956A">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甲方：</w:t>
      </w:r>
    </w:p>
    <w:p w14:paraId="042795E0">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乙方：</w:t>
      </w:r>
    </w:p>
    <w:p w14:paraId="74DA7B68">
      <w:pPr>
        <w:pStyle w:val="11"/>
        <w:spacing w:line="360" w:lineRule="auto"/>
        <w:ind w:left="105" w:leftChars="50" w:firstLine="360" w:firstLineChars="15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各方经协商，就响应</w:t>
      </w:r>
      <w:r>
        <w:rPr>
          <w:rFonts w:hint="eastAsia" w:ascii="宋体" w:hAnsi="宋体" w:eastAsia="宋体" w:cs="宋体"/>
          <w:color w:val="000000"/>
          <w:sz w:val="24"/>
          <w:szCs w:val="24"/>
          <w:highlight w:val="none"/>
          <w:u w:val="single"/>
        </w:rPr>
        <w:t xml:space="preserve"> （采购代理机构名称） </w:t>
      </w:r>
      <w:r>
        <w:rPr>
          <w:rFonts w:hint="eastAsia" w:ascii="宋体" w:hAnsi="宋体" w:eastAsia="宋体" w:cs="宋体"/>
          <w:color w:val="000000"/>
          <w:sz w:val="24"/>
          <w:szCs w:val="24"/>
          <w:highlight w:val="none"/>
        </w:rPr>
        <w:t>组织实施的</w:t>
      </w:r>
      <w:r>
        <w:rPr>
          <w:rFonts w:hint="eastAsia" w:ascii="宋体" w:hAnsi="宋体" w:eastAsia="宋体" w:cs="宋体"/>
          <w:color w:val="000000"/>
          <w:sz w:val="24"/>
          <w:szCs w:val="24"/>
          <w:highlight w:val="none"/>
          <w:u w:val="single"/>
        </w:rPr>
        <w:t xml:space="preserve"> </w:t>
      </w:r>
      <w:r>
        <w:rPr>
          <w:rFonts w:hint="eastAsia" w:hAnsi="宋体" w:eastAsia="宋体" w:cs="宋体"/>
          <w:color w:val="000000"/>
          <w:sz w:val="24"/>
          <w:szCs w:val="24"/>
          <w:highlight w:val="none"/>
          <w:u w:val="single"/>
          <w:lang w:val="en-US" w:eastAsia="zh-CN"/>
        </w:rPr>
        <w:t xml:space="preserve"> （采购项目名称、标项名称）</w:t>
      </w:r>
      <w:r>
        <w:rPr>
          <w:rFonts w:hint="eastAsia" w:ascii="宋体" w:hAnsi="宋体" w:eastAsia="宋体" w:cs="宋体"/>
          <w:color w:val="000000"/>
          <w:sz w:val="24"/>
          <w:szCs w:val="24"/>
          <w:highlight w:val="none"/>
        </w:rPr>
        <w:t>的采购活动联合参与采购之事宜，达成如下协议：</w:t>
      </w:r>
    </w:p>
    <w:p w14:paraId="5BF096BA">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一、各方一致决定，以</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为主办人进行采购活动，并按照采购文件的规定提交采购响应文件。</w:t>
      </w:r>
    </w:p>
    <w:p w14:paraId="330A3DE3">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二、在本次采购过程中，主办人的</w:t>
      </w:r>
      <w:r>
        <w:rPr>
          <w:rFonts w:hint="eastAsia" w:ascii="宋体" w:hAnsi="宋体" w:eastAsia="宋体" w:cs="宋体"/>
          <w:color w:val="000000"/>
          <w:sz w:val="24"/>
          <w:szCs w:val="24"/>
          <w:highlight w:val="none"/>
          <w:u w:val="single"/>
        </w:rPr>
        <w:t xml:space="preserve">  （法定代表人或委托代理人）</w:t>
      </w:r>
      <w:r>
        <w:rPr>
          <w:rFonts w:hint="eastAsia" w:ascii="宋体" w:hAnsi="宋体" w:eastAsia="宋体" w:cs="宋体"/>
          <w:color w:val="000000"/>
          <w:sz w:val="24"/>
          <w:szCs w:val="24"/>
          <w:highlight w:val="none"/>
        </w:rPr>
        <w:t>根据采购文件规定及采购内容而对</w:t>
      </w:r>
      <w:r>
        <w:rPr>
          <w:rFonts w:hint="eastAsia" w:ascii="宋体" w:hAnsi="宋体" w:eastAsia="宋体" w:cs="宋体"/>
          <w:color w:val="000000"/>
          <w:sz w:val="24"/>
          <w:szCs w:val="24"/>
          <w:highlight w:val="none"/>
          <w:u w:val="single"/>
        </w:rPr>
        <w:t>（采购代理机构名称）</w:t>
      </w:r>
      <w:r>
        <w:rPr>
          <w:rFonts w:hint="eastAsia" w:ascii="宋体" w:hAnsi="宋体" w:eastAsia="宋体" w:cs="宋体"/>
          <w:color w:val="000000"/>
          <w:sz w:val="24"/>
          <w:szCs w:val="24"/>
          <w:highlight w:val="none"/>
        </w:rPr>
        <w:t>和采购人所作的任何合法承诺，包括书面澄清及响应等均对联合体各方产生约束力。如果中标（或成交）并签订合同，则联合体各方将共同履行对</w:t>
      </w:r>
      <w:r>
        <w:rPr>
          <w:rFonts w:hint="eastAsia" w:ascii="宋体" w:hAnsi="宋体" w:eastAsia="宋体" w:cs="宋体"/>
          <w:color w:val="000000"/>
          <w:sz w:val="24"/>
          <w:szCs w:val="24"/>
          <w:highlight w:val="none"/>
          <w:u w:val="single"/>
        </w:rPr>
        <w:t>（采购代理机构名称）</w:t>
      </w:r>
      <w:r>
        <w:rPr>
          <w:rFonts w:hint="eastAsia" w:ascii="宋体" w:hAnsi="宋体" w:eastAsia="宋体" w:cs="宋体"/>
          <w:color w:val="000000"/>
          <w:sz w:val="24"/>
          <w:szCs w:val="24"/>
          <w:highlight w:val="none"/>
        </w:rPr>
        <w:t>和采购人所负有的全部义务并就采购合同约定的事项对采购人承担连带责任。</w:t>
      </w:r>
    </w:p>
    <w:p w14:paraId="170EB5C3">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三、联合体其余各方保证对主办人为响应本次采购而提供的产品和服务提供全部质量保证及售后服务支持。</w:t>
      </w:r>
    </w:p>
    <w:p w14:paraId="5E493C44">
      <w:pPr>
        <w:pStyle w:val="11"/>
        <w:spacing w:line="360" w:lineRule="auto"/>
        <w:ind w:firstLine="480" w:firstLineChars="200"/>
        <w:outlineLvl w:val="1"/>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四、本次联合体中</w:t>
      </w:r>
    </w:p>
    <w:p w14:paraId="74B63416">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甲方承担的工作和义务为:</w:t>
      </w:r>
    </w:p>
    <w:p w14:paraId="0DF4848B">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乙方承担的工作和义务为：</w:t>
      </w:r>
    </w:p>
    <w:p w14:paraId="7C37E2E3">
      <w:pPr>
        <w:pStyle w:val="11"/>
        <w:spacing w:line="360" w:lineRule="auto"/>
        <w:ind w:firstLine="480" w:firstLineChars="200"/>
        <w:outlineLvl w:val="1"/>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五、有关本次联合体的其他事宜：</w:t>
      </w:r>
    </w:p>
    <w:p w14:paraId="1E126471">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六、本协议提交</w:t>
      </w:r>
      <w:r>
        <w:rPr>
          <w:rFonts w:hint="eastAsia" w:ascii="宋体" w:hAnsi="宋体" w:eastAsia="宋体" w:cs="宋体"/>
          <w:color w:val="000000"/>
          <w:sz w:val="24"/>
          <w:szCs w:val="24"/>
          <w:highlight w:val="none"/>
          <w:u w:val="single"/>
        </w:rPr>
        <w:t>（采购代理机构名称）</w:t>
      </w:r>
      <w:r>
        <w:rPr>
          <w:rFonts w:hint="eastAsia" w:ascii="宋体" w:hAnsi="宋体" w:eastAsia="宋体" w:cs="宋体"/>
          <w:color w:val="000000"/>
          <w:sz w:val="24"/>
          <w:szCs w:val="24"/>
          <w:highlight w:val="none"/>
        </w:rPr>
        <w:t>后，联合体各方不得以任何形式对上述实质内容进行修改或撤销。</w:t>
      </w:r>
    </w:p>
    <w:p w14:paraId="6B8FF5BF">
      <w:pPr>
        <w:pStyle w:val="11"/>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七、本协议一式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份，签约各方各持一份，提交</w:t>
      </w:r>
      <w:r>
        <w:rPr>
          <w:rFonts w:hint="eastAsia" w:ascii="宋体" w:hAnsi="宋体" w:eastAsia="宋体" w:cs="宋体"/>
          <w:color w:val="000000"/>
          <w:sz w:val="24"/>
          <w:szCs w:val="24"/>
          <w:highlight w:val="none"/>
          <w:u w:val="single"/>
        </w:rPr>
        <w:t>（采购代理机构名称）</w:t>
      </w:r>
      <w:r>
        <w:rPr>
          <w:rFonts w:hint="eastAsia" w:ascii="宋体" w:hAnsi="宋体" w:eastAsia="宋体" w:cs="宋体"/>
          <w:color w:val="000000"/>
          <w:sz w:val="24"/>
          <w:szCs w:val="24"/>
          <w:highlight w:val="none"/>
        </w:rPr>
        <w:t>一份。</w:t>
      </w:r>
    </w:p>
    <w:tbl>
      <w:tblPr>
        <w:tblStyle w:val="28"/>
        <w:tblW w:w="0" w:type="auto"/>
        <w:jc w:val="center"/>
        <w:tblLayout w:type="fixed"/>
        <w:tblCellMar>
          <w:top w:w="0" w:type="dxa"/>
          <w:left w:w="108" w:type="dxa"/>
          <w:bottom w:w="0" w:type="dxa"/>
          <w:right w:w="108" w:type="dxa"/>
        </w:tblCellMar>
      </w:tblPr>
      <w:tblGrid>
        <w:gridCol w:w="4264"/>
        <w:gridCol w:w="4264"/>
      </w:tblGrid>
      <w:tr w14:paraId="41C7C676">
        <w:trPr>
          <w:jc w:val="center"/>
        </w:trPr>
        <w:tc>
          <w:tcPr>
            <w:tcW w:w="4264" w:type="dxa"/>
            <w:noWrap w:val="0"/>
            <w:vAlign w:val="top"/>
          </w:tcPr>
          <w:p w14:paraId="08044AFF">
            <w:pPr>
              <w:pStyle w:val="11"/>
              <w:spacing w:line="56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甲方单位：          （公章）</w:t>
            </w:r>
          </w:p>
          <w:p w14:paraId="0B5ECC68">
            <w:pPr>
              <w:pStyle w:val="11"/>
              <w:spacing w:line="56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法定代表人或委托代理人：</w:t>
            </w:r>
          </w:p>
          <w:p w14:paraId="36EF94E5">
            <w:pPr>
              <w:pStyle w:val="11"/>
              <w:spacing w:line="56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（签字或盖章）</w:t>
            </w:r>
          </w:p>
          <w:p w14:paraId="3BA5B7CF">
            <w:pPr>
              <w:pStyle w:val="11"/>
              <w:spacing w:line="560" w:lineRule="exact"/>
              <w:ind w:firstLine="480" w:firstLineChars="200"/>
              <w:rPr>
                <w:rFonts w:hint="eastAsia" w:ascii="宋体" w:hAnsi="宋体" w:eastAsia="宋体" w:cs="宋体"/>
                <w:color w:val="000000"/>
                <w:sz w:val="24"/>
                <w:szCs w:val="24"/>
                <w:highlight w:val="none"/>
              </w:rPr>
            </w:pPr>
          </w:p>
          <w:p w14:paraId="183C75AD">
            <w:pPr>
              <w:pStyle w:val="11"/>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日期：    年   月   日</w:t>
            </w:r>
          </w:p>
        </w:tc>
        <w:tc>
          <w:tcPr>
            <w:tcW w:w="4264" w:type="dxa"/>
            <w:noWrap w:val="0"/>
            <w:vAlign w:val="top"/>
          </w:tcPr>
          <w:p w14:paraId="57CC1AA4">
            <w:pPr>
              <w:pStyle w:val="11"/>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乙方单位：           （公章）</w:t>
            </w:r>
          </w:p>
          <w:p w14:paraId="1B2E24DE">
            <w:pPr>
              <w:pStyle w:val="11"/>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法定代表人或委托代理人：</w:t>
            </w:r>
          </w:p>
          <w:p w14:paraId="3F4E3CE3">
            <w:pPr>
              <w:pStyle w:val="11"/>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（签字或盖章）</w:t>
            </w:r>
          </w:p>
          <w:p w14:paraId="6D132C5C">
            <w:pPr>
              <w:pStyle w:val="11"/>
              <w:spacing w:line="560" w:lineRule="exact"/>
              <w:ind w:firstLine="480" w:firstLineChars="200"/>
              <w:rPr>
                <w:rFonts w:hint="eastAsia" w:ascii="宋体" w:hAnsi="宋体" w:eastAsia="宋体" w:cs="宋体"/>
                <w:color w:val="000000"/>
                <w:sz w:val="24"/>
                <w:szCs w:val="24"/>
                <w:highlight w:val="none"/>
              </w:rPr>
            </w:pPr>
          </w:p>
          <w:p w14:paraId="3FA8F996">
            <w:pPr>
              <w:pStyle w:val="11"/>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日期：   年   月   日</w:t>
            </w:r>
          </w:p>
        </w:tc>
      </w:tr>
    </w:tbl>
    <w:p w14:paraId="6C5C069B">
      <w:pPr>
        <w:pStyle w:val="11"/>
        <w:jc w:val="left"/>
        <w:rPr>
          <w:rFonts w:hint="eastAsia" w:ascii="宋体" w:hAnsi="宋体" w:eastAsia="宋体" w:cs="宋体"/>
          <w:b/>
          <w:color w:val="000000"/>
          <w:sz w:val="24"/>
          <w:szCs w:val="24"/>
          <w:highlight w:val="none"/>
        </w:rPr>
      </w:pPr>
    </w:p>
    <w:p w14:paraId="4B46B097">
      <w:pPr>
        <w:pStyle w:val="3"/>
        <w:spacing w:line="360" w:lineRule="auto"/>
        <w:ind w:firstLine="0"/>
        <w:jc w:val="left"/>
        <w:rPr>
          <w:rFonts w:hint="eastAsia" w:ascii="宋体" w:hAnsi="宋体" w:eastAsia="宋体" w:cs="宋体"/>
          <w:b/>
          <w:bCs/>
          <w:color w:val="000000"/>
          <w:kern w:val="2"/>
          <w:sz w:val="22"/>
          <w:szCs w:val="22"/>
          <w:highlight w:val="none"/>
          <w:lang w:val="en-US" w:eastAsia="zh-CN" w:bidi="ar-SA"/>
        </w:rPr>
      </w:pPr>
      <w:r>
        <w:rPr>
          <w:rFonts w:hint="eastAsia" w:ascii="宋体" w:hAnsi="宋体" w:eastAsia="宋体" w:cs="宋体"/>
          <w:b/>
          <w:bCs/>
          <w:color w:val="000000"/>
          <w:kern w:val="2"/>
          <w:sz w:val="22"/>
          <w:szCs w:val="22"/>
          <w:highlight w:val="none"/>
          <w:lang w:val="en-US" w:eastAsia="zh-CN" w:bidi="ar-SA"/>
        </w:rPr>
        <w:t>注：1、若是联合体参与投标的，须提供本协议；</w:t>
      </w:r>
    </w:p>
    <w:p w14:paraId="74802918">
      <w:pPr>
        <w:pStyle w:val="3"/>
        <w:spacing w:line="360" w:lineRule="auto"/>
        <w:ind w:firstLine="0"/>
        <w:jc w:val="left"/>
        <w:rPr>
          <w:rFonts w:hint="eastAsia" w:ascii="宋体" w:hAnsi="宋体" w:eastAsia="宋体" w:cs="宋体"/>
          <w:b/>
          <w:bCs/>
          <w:color w:val="000000"/>
          <w:kern w:val="2"/>
          <w:sz w:val="22"/>
          <w:szCs w:val="22"/>
          <w:highlight w:val="none"/>
          <w:lang w:val="en-US" w:eastAsia="zh-CN" w:bidi="ar-SA"/>
        </w:rPr>
      </w:pPr>
      <w:r>
        <w:rPr>
          <w:rFonts w:hint="eastAsia" w:ascii="宋体" w:hAnsi="宋体" w:eastAsia="宋体" w:cs="宋体"/>
          <w:b/>
          <w:bCs/>
          <w:color w:val="000000"/>
          <w:kern w:val="2"/>
          <w:sz w:val="22"/>
          <w:szCs w:val="22"/>
          <w:highlight w:val="none"/>
          <w:lang w:val="en-US" w:eastAsia="zh-CN" w:bidi="ar-SA"/>
        </w:rPr>
        <w:t>2、联合体投标的：联合体各方均需提供营业执照电子文档；法定代表人（或负责人）身份证电子文档；具有良好的财务会计制度、依法缴纳税收和社会保障资金的承诺函；具有履行合同所必需设备和专业技术能力的承诺函；供应商资格声明；无重大违法记录声明书；中小企业声明函等相关材料。</w:t>
      </w:r>
    </w:p>
    <w:p w14:paraId="51BF6A7B">
      <w:pPr>
        <w:pStyle w:val="41"/>
        <w:spacing w:line="360" w:lineRule="auto"/>
        <w:jc w:val="left"/>
        <w:rPr>
          <w:rFonts w:hint="eastAsia" w:ascii="宋体" w:hAnsi="宋体" w:eastAsia="宋体" w:cs="宋体"/>
          <w:b/>
          <w:color w:val="000000"/>
          <w:sz w:val="24"/>
          <w:szCs w:val="21"/>
          <w:highlight w:val="none"/>
        </w:rPr>
      </w:pPr>
    </w:p>
    <w:p w14:paraId="7748B5BC">
      <w:pPr>
        <w:pStyle w:val="41"/>
        <w:spacing w:line="360" w:lineRule="auto"/>
        <w:jc w:val="left"/>
        <w:rPr>
          <w:rFonts w:hint="eastAsia" w:ascii="宋体" w:hAnsi="宋体" w:eastAsia="宋体" w:cs="宋体"/>
          <w:color w:val="000000"/>
          <w:sz w:val="24"/>
          <w:szCs w:val="24"/>
          <w:highlight w:val="none"/>
        </w:rPr>
      </w:pPr>
    </w:p>
    <w:p w14:paraId="13B263B5">
      <w:pPr>
        <w:pStyle w:val="5"/>
        <w:spacing w:before="0" w:after="0"/>
        <w:ind w:firstLine="0" w:firstLineChars="0"/>
        <w:rPr>
          <w:rFonts w:hint="eastAsia" w:ascii="宋体" w:hAnsi="宋体" w:eastAsia="宋体" w:cs="宋体"/>
          <w:color w:val="000000"/>
          <w:sz w:val="24"/>
          <w:szCs w:val="24"/>
          <w:highlight w:val="none"/>
        </w:rPr>
      </w:pPr>
      <w:bookmarkStart w:id="153" w:name="_Toc531359052"/>
      <w:bookmarkStart w:id="154" w:name="_Toc10688"/>
      <w:r>
        <w:rPr>
          <w:rFonts w:hint="eastAsia" w:ascii="宋体" w:hAnsi="宋体" w:eastAsia="宋体" w:cs="宋体"/>
          <w:color w:val="000000"/>
          <w:sz w:val="24"/>
          <w:szCs w:val="24"/>
          <w:highlight w:val="none"/>
        </w:rPr>
        <w:t>1.</w:t>
      </w:r>
      <w:r>
        <w:rPr>
          <w:rFonts w:hint="eastAsia" w:ascii="宋体" w:hAnsi="宋体" w:eastAsia="宋体" w:cs="宋体"/>
          <w:color w:val="000000"/>
          <w:sz w:val="24"/>
          <w:szCs w:val="24"/>
          <w:highlight w:val="none"/>
          <w:lang w:val="en-US" w:eastAsia="zh-CN"/>
        </w:rPr>
        <w:t>10</w:t>
      </w:r>
      <w:r>
        <w:rPr>
          <w:rFonts w:hint="eastAsia" w:ascii="宋体" w:hAnsi="宋体" w:eastAsia="宋体" w:cs="宋体"/>
          <w:color w:val="000000"/>
          <w:sz w:val="24"/>
          <w:szCs w:val="24"/>
          <w:highlight w:val="none"/>
        </w:rPr>
        <w:t xml:space="preserve">  </w:t>
      </w:r>
      <w:bookmarkEnd w:id="153"/>
      <w:r>
        <w:rPr>
          <w:rFonts w:hint="eastAsia" w:ascii="宋体" w:hAnsi="宋体" w:eastAsia="宋体" w:cs="宋体"/>
          <w:color w:val="000000"/>
          <w:sz w:val="24"/>
          <w:szCs w:val="24"/>
          <w:highlight w:val="none"/>
        </w:rPr>
        <w:t>特定资格条件证明材料附件（若有）</w:t>
      </w:r>
      <w:bookmarkEnd w:id="154"/>
    </w:p>
    <w:p w14:paraId="31D6CE52">
      <w:pPr>
        <w:pStyle w:val="3"/>
        <w:spacing w:line="360" w:lineRule="auto"/>
        <w:ind w:firstLine="0"/>
        <w:jc w:val="left"/>
        <w:rPr>
          <w:rFonts w:hint="eastAsia" w:ascii="宋体" w:hAnsi="宋体" w:eastAsia="宋体" w:cs="宋体"/>
          <w:color w:val="000000"/>
          <w:highlight w:val="none"/>
        </w:rPr>
      </w:pPr>
    </w:p>
    <w:p w14:paraId="57929BA4">
      <w:pPr>
        <w:pStyle w:val="3"/>
        <w:spacing w:line="360" w:lineRule="auto"/>
        <w:ind w:firstLine="0"/>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w:t>
      </w:r>
      <w:r>
        <w:rPr>
          <w:rFonts w:hint="eastAsia" w:ascii="宋体" w:hAnsi="宋体" w:eastAsia="宋体" w:cs="宋体"/>
          <w:color w:val="000000"/>
          <w:sz w:val="24"/>
          <w:highlight w:val="none"/>
        </w:rPr>
        <w:t>格式自行设计</w:t>
      </w:r>
      <w:r>
        <w:rPr>
          <w:rFonts w:hint="eastAsia" w:ascii="宋体" w:hAnsi="宋体" w:eastAsia="宋体" w:cs="宋体"/>
          <w:color w:val="000000"/>
          <w:sz w:val="24"/>
          <w:szCs w:val="24"/>
          <w:highlight w:val="none"/>
        </w:rPr>
        <w:t>）</w:t>
      </w:r>
    </w:p>
    <w:p w14:paraId="2C9959F1">
      <w:pPr>
        <w:pStyle w:val="41"/>
        <w:spacing w:line="360" w:lineRule="auto"/>
        <w:jc w:val="left"/>
        <w:rPr>
          <w:rFonts w:hint="eastAsia" w:ascii="宋体" w:hAnsi="宋体" w:eastAsia="宋体" w:cs="宋体"/>
          <w:b/>
          <w:color w:val="000000"/>
          <w:sz w:val="24"/>
          <w:szCs w:val="21"/>
          <w:highlight w:val="none"/>
          <w:lang w:eastAsia="zh-CN"/>
        </w:rPr>
      </w:pPr>
    </w:p>
    <w:p w14:paraId="62958595">
      <w:pPr>
        <w:pStyle w:val="5"/>
        <w:spacing w:before="0" w:after="0"/>
        <w:ind w:firstLine="0" w:firstLineChars="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w:t>
      </w:r>
      <w:r>
        <w:rPr>
          <w:rFonts w:hint="eastAsia" w:ascii="宋体" w:hAnsi="宋体" w:eastAsia="宋体" w:cs="宋体"/>
          <w:color w:val="000000"/>
          <w:sz w:val="24"/>
          <w:szCs w:val="24"/>
          <w:highlight w:val="none"/>
          <w:lang w:val="en-US" w:eastAsia="zh-CN"/>
        </w:rPr>
        <w:t>1</w:t>
      </w:r>
      <w:r>
        <w:rPr>
          <w:rFonts w:hint="eastAsia" w:ascii="宋体" w:hAnsi="宋体" w:eastAsia="宋体" w:cs="宋体"/>
          <w:color w:val="000000"/>
          <w:sz w:val="24"/>
          <w:szCs w:val="24"/>
          <w:highlight w:val="none"/>
        </w:rPr>
        <w:t xml:space="preserve">  其他</w:t>
      </w: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投标人认为有利于其本次投标的其它资格证明材料等。</w:t>
      </w:r>
    </w:p>
    <w:p w14:paraId="610AF91E">
      <w:pPr>
        <w:pStyle w:val="3"/>
        <w:spacing w:line="360" w:lineRule="auto"/>
        <w:ind w:firstLine="0"/>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w:t>
      </w:r>
      <w:r>
        <w:rPr>
          <w:rFonts w:hint="eastAsia" w:ascii="宋体" w:hAnsi="宋体" w:eastAsia="宋体" w:cs="宋体"/>
          <w:color w:val="000000"/>
          <w:sz w:val="24"/>
          <w:highlight w:val="none"/>
        </w:rPr>
        <w:t>格式自行设计</w:t>
      </w:r>
      <w:r>
        <w:rPr>
          <w:rFonts w:hint="eastAsia" w:ascii="宋体" w:hAnsi="宋体" w:eastAsia="宋体" w:cs="宋体"/>
          <w:color w:val="000000"/>
          <w:sz w:val="24"/>
          <w:szCs w:val="24"/>
          <w:highlight w:val="none"/>
        </w:rPr>
        <w:t>）</w:t>
      </w:r>
    </w:p>
    <w:p w14:paraId="35F3EAA6">
      <w:pPr>
        <w:pStyle w:val="5"/>
        <w:spacing w:before="0" w:after="0"/>
        <w:ind w:firstLine="0" w:firstLineChars="0"/>
        <w:jc w:val="left"/>
        <w:rPr>
          <w:rFonts w:hint="eastAsia" w:ascii="宋体" w:hAnsi="宋体" w:eastAsia="宋体" w:cs="宋体"/>
          <w:b/>
          <w:bCs/>
          <w:color w:val="000000"/>
          <w:highlight w:val="none"/>
        </w:rPr>
        <w:sectPr>
          <w:pgSz w:w="11906" w:h="16838"/>
          <w:pgMar w:top="1440" w:right="1440" w:bottom="1440" w:left="1440" w:header="851" w:footer="851" w:gutter="0"/>
          <w:cols w:space="720" w:num="1"/>
          <w:docGrid w:linePitch="312" w:charSpace="0"/>
        </w:sectPr>
      </w:pPr>
    </w:p>
    <w:p w14:paraId="418DA14D">
      <w:pPr>
        <w:pStyle w:val="5"/>
        <w:ind w:firstLine="0" w:firstLineChars="0"/>
        <w:rPr>
          <w:rFonts w:ascii="宋体" w:hAnsi="宋体" w:eastAsia="宋体" w:cs="宋体"/>
          <w:b w:val="0"/>
          <w:bCs w:val="0"/>
          <w:color w:val="000000" w:themeColor="text1"/>
          <w:sz w:val="32"/>
          <w:szCs w:val="21"/>
          <w:highlight w:val="none"/>
          <w14:textFill>
            <w14:solidFill>
              <w14:schemeClr w14:val="tx1"/>
            </w14:solidFill>
          </w14:textFill>
        </w:rPr>
      </w:pPr>
      <w:r>
        <w:rPr>
          <w:rFonts w:hint="eastAsia" w:ascii="宋体" w:hAnsi="宋体" w:eastAsia="宋体" w:cs="宋体"/>
          <w:b w:val="0"/>
          <w:bCs w:val="0"/>
          <w:color w:val="000000" w:themeColor="text1"/>
          <w:sz w:val="32"/>
          <w:szCs w:val="21"/>
          <w:highlight w:val="none"/>
          <w14:textFill>
            <w14:solidFill>
              <w14:schemeClr w14:val="tx1"/>
            </w14:solidFill>
          </w14:textFill>
        </w:rPr>
        <w:t>二   资信商务及技术文件格式</w:t>
      </w:r>
      <w:bookmarkEnd w:id="152"/>
    </w:p>
    <w:p w14:paraId="429E9602">
      <w:pPr>
        <w:spacing w:line="360" w:lineRule="auto"/>
        <w:jc w:val="center"/>
        <w:rPr>
          <w:rFonts w:ascii="宋体" w:hAnsi="宋体" w:cs="宋体"/>
          <w:color w:val="000000" w:themeColor="text1"/>
          <w:sz w:val="21"/>
          <w:szCs w:val="20"/>
          <w:highlight w:val="none"/>
          <w14:textFill>
            <w14:solidFill>
              <w14:schemeClr w14:val="tx1"/>
            </w14:solidFill>
          </w14:textFill>
        </w:rPr>
      </w:pPr>
    </w:p>
    <w:p w14:paraId="653CC8C9">
      <w:pPr>
        <w:spacing w:line="360" w:lineRule="auto"/>
        <w:jc w:val="center"/>
        <w:rPr>
          <w:rFonts w:hint="eastAsia" w:ascii="宋体" w:hAnsi="宋体" w:cs="宋体"/>
          <w:color w:val="000000" w:themeColor="text1"/>
          <w:sz w:val="32"/>
          <w:szCs w:val="28"/>
          <w:highlight w:val="none"/>
          <w14:textFill>
            <w14:solidFill>
              <w14:schemeClr w14:val="tx1"/>
            </w14:solidFill>
          </w14:textFill>
        </w:rPr>
      </w:pPr>
    </w:p>
    <w:p w14:paraId="2E584089">
      <w:pPr>
        <w:spacing w:line="360" w:lineRule="auto"/>
        <w:jc w:val="center"/>
        <w:rPr>
          <w:rFonts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2"/>
          <w:szCs w:val="28"/>
          <w:highlight w:val="none"/>
          <w14:textFill>
            <w14:solidFill>
              <w14:schemeClr w14:val="tx1"/>
            </w14:solidFill>
          </w14:textFill>
        </w:rPr>
        <w:t>资信商务及技术文件封面</w:t>
      </w:r>
    </w:p>
    <w:p w14:paraId="66E7C2EA">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4F1434E9">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3FA93729">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采购编号：</w:t>
      </w:r>
    </w:p>
    <w:p w14:paraId="0023116C">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784E5349">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7B6CAC01">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 xml:space="preserve">项目名称：                  </w:t>
      </w:r>
    </w:p>
    <w:p w14:paraId="4DAE9161">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74923691">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5708E858">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投标文件名称：</w:t>
      </w:r>
      <w:r>
        <w:rPr>
          <w:rFonts w:hint="eastAsia" w:ascii="宋体" w:hAnsi="宋体" w:cs="宋体"/>
          <w:color w:val="000000" w:themeColor="text1"/>
          <w:sz w:val="32"/>
          <w:szCs w:val="21"/>
          <w:highlight w:val="none"/>
          <w14:textFill>
            <w14:solidFill>
              <w14:schemeClr w14:val="tx1"/>
            </w14:solidFill>
          </w14:textFill>
        </w:rPr>
        <w:t>资信商务及技术文件</w:t>
      </w:r>
    </w:p>
    <w:p w14:paraId="06EE37A6">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05B25E93">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62BDC346">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投标人名称（CA签章）：</w:t>
      </w:r>
    </w:p>
    <w:p w14:paraId="49C44E23">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0BE7BFD8">
      <w:pPr>
        <w:pStyle w:val="3"/>
        <w:ind w:firstLine="0"/>
        <w:rPr>
          <w:rFonts w:ascii="宋体" w:hAnsi="宋体" w:cs="宋体"/>
          <w:color w:val="000000" w:themeColor="text1"/>
          <w:sz w:val="36"/>
          <w:szCs w:val="36"/>
          <w:highlight w:val="none"/>
          <w14:textFill>
            <w14:solidFill>
              <w14:schemeClr w14:val="tx1"/>
            </w14:solidFill>
          </w14:textFill>
        </w:rPr>
      </w:pPr>
    </w:p>
    <w:p w14:paraId="78215485">
      <w:pPr>
        <w:pStyle w:val="3"/>
        <w:ind w:firstLine="1497" w:firstLineChars="416"/>
        <w:rPr>
          <w:rFonts w:hint="eastAsia" w:ascii="Times New Roman" w:hAnsi="Times New Roman" w:eastAsia="宋体" w:cs="Times New Roman"/>
          <w:kern w:val="2"/>
          <w:sz w:val="21"/>
          <w:szCs w:val="24"/>
          <w:lang w:val="en-US" w:eastAsia="zh-CN" w:bidi="ar-SA"/>
        </w:rPr>
      </w:pPr>
      <w:r>
        <w:rPr>
          <w:rFonts w:hint="eastAsia" w:ascii="宋体" w:hAnsi="宋体" w:cs="宋体"/>
          <w:color w:val="000000" w:themeColor="text1"/>
          <w:sz w:val="36"/>
          <w:szCs w:val="36"/>
          <w:highlight w:val="none"/>
          <w14:textFill>
            <w14:solidFill>
              <w14:schemeClr w14:val="tx1"/>
            </w14:solidFill>
          </w14:textFill>
        </w:rPr>
        <w:t>投标人地址：</w:t>
      </w:r>
    </w:p>
    <w:p w14:paraId="18D4CE85">
      <w:pPr>
        <w:jc w:val="center"/>
        <w:rPr>
          <w:rFonts w:hint="eastAsia" w:ascii="宋体" w:hAnsi="宋体" w:cs="宋体"/>
          <w:color w:val="000000" w:themeColor="text1"/>
          <w:sz w:val="32"/>
          <w:szCs w:val="28"/>
          <w:highlight w:val="none"/>
          <w14:textFill>
            <w14:solidFill>
              <w14:schemeClr w14:val="tx1"/>
            </w14:solidFill>
          </w14:textFill>
        </w:rPr>
      </w:pPr>
    </w:p>
    <w:p w14:paraId="1604B8E3">
      <w:pPr>
        <w:jc w:val="center"/>
        <w:rPr>
          <w:rFonts w:hint="eastAsia" w:ascii="宋体" w:hAnsi="宋体" w:cs="宋体"/>
          <w:color w:val="000000" w:themeColor="text1"/>
          <w:sz w:val="32"/>
          <w:szCs w:val="28"/>
          <w:highlight w:val="none"/>
          <w14:textFill>
            <w14:solidFill>
              <w14:schemeClr w14:val="tx1"/>
            </w14:solidFill>
          </w14:textFill>
        </w:rPr>
      </w:pPr>
    </w:p>
    <w:p w14:paraId="50BD9423">
      <w:pPr>
        <w:jc w:val="center"/>
        <w:rPr>
          <w:rFonts w:hint="eastAsia" w:ascii="宋体" w:hAnsi="宋体" w:cs="宋体"/>
          <w:color w:val="000000" w:themeColor="text1"/>
          <w:sz w:val="32"/>
          <w:szCs w:val="28"/>
          <w:highlight w:val="none"/>
          <w14:textFill>
            <w14:solidFill>
              <w14:schemeClr w14:val="tx1"/>
            </w14:solidFill>
          </w14:textFill>
        </w:rPr>
      </w:pPr>
    </w:p>
    <w:p w14:paraId="4CE2E368">
      <w:pPr>
        <w:jc w:val="center"/>
        <w:rPr>
          <w:rFonts w:hint="eastAsia" w:ascii="宋体" w:hAnsi="宋体" w:cs="宋体"/>
          <w:color w:val="000000" w:themeColor="text1"/>
          <w:sz w:val="32"/>
          <w:szCs w:val="28"/>
          <w:highlight w:val="none"/>
          <w14:textFill>
            <w14:solidFill>
              <w14:schemeClr w14:val="tx1"/>
            </w14:solidFill>
          </w14:textFill>
        </w:rPr>
      </w:pPr>
    </w:p>
    <w:p w14:paraId="64C04327">
      <w:pPr>
        <w:jc w:val="center"/>
        <w:rPr>
          <w:rFonts w:hint="eastAsia" w:ascii="宋体" w:hAnsi="宋体" w:cs="宋体"/>
          <w:color w:val="000000" w:themeColor="text1"/>
          <w:sz w:val="32"/>
          <w:szCs w:val="28"/>
          <w:highlight w:val="none"/>
          <w14:textFill>
            <w14:solidFill>
              <w14:schemeClr w14:val="tx1"/>
            </w14:solidFill>
          </w14:textFill>
        </w:rPr>
      </w:pPr>
    </w:p>
    <w:p w14:paraId="5A1B8B60">
      <w:pPr>
        <w:jc w:val="center"/>
        <w:rPr>
          <w:rFonts w:hint="eastAsia" w:ascii="宋体" w:hAnsi="宋体" w:cs="宋体"/>
          <w:color w:val="000000" w:themeColor="text1"/>
          <w:sz w:val="32"/>
          <w:szCs w:val="28"/>
          <w:highlight w:val="none"/>
          <w14:textFill>
            <w14:solidFill>
              <w14:schemeClr w14:val="tx1"/>
            </w14:solidFill>
          </w14:textFill>
        </w:rPr>
      </w:pPr>
    </w:p>
    <w:p w14:paraId="6D329C6B">
      <w:pPr>
        <w:jc w:val="center"/>
        <w:rPr>
          <w:rFonts w:hint="eastAsia" w:ascii="宋体" w:hAnsi="宋体" w:cs="宋体"/>
          <w:color w:val="000000" w:themeColor="text1"/>
          <w:sz w:val="32"/>
          <w:szCs w:val="28"/>
          <w:highlight w:val="none"/>
          <w14:textFill>
            <w14:solidFill>
              <w14:schemeClr w14:val="tx1"/>
            </w14:solidFill>
          </w14:textFill>
        </w:rPr>
      </w:pPr>
    </w:p>
    <w:p w14:paraId="58BDC68B">
      <w:pPr>
        <w:jc w:val="center"/>
        <w:rPr>
          <w:rFonts w:hint="eastAsia" w:ascii="宋体" w:hAnsi="宋体" w:cs="宋体"/>
          <w:color w:val="000000" w:themeColor="text1"/>
          <w:sz w:val="32"/>
          <w:szCs w:val="28"/>
          <w:highlight w:val="none"/>
          <w14:textFill>
            <w14:solidFill>
              <w14:schemeClr w14:val="tx1"/>
            </w14:solidFill>
          </w14:textFill>
        </w:rPr>
      </w:pPr>
    </w:p>
    <w:p w14:paraId="0CD31749">
      <w:pPr>
        <w:jc w:val="center"/>
        <w:rPr>
          <w:rFonts w:hint="eastAsia" w:ascii="宋体" w:hAnsi="宋体" w:cs="宋体"/>
          <w:color w:val="000000" w:themeColor="text1"/>
          <w:sz w:val="32"/>
          <w:szCs w:val="28"/>
          <w:highlight w:val="none"/>
          <w14:textFill>
            <w14:solidFill>
              <w14:schemeClr w14:val="tx1"/>
            </w14:solidFill>
          </w14:textFill>
        </w:rPr>
      </w:pPr>
    </w:p>
    <w:p w14:paraId="5E486149">
      <w:pPr>
        <w:jc w:val="center"/>
        <w:rPr>
          <w:rFonts w:hint="eastAsia" w:ascii="宋体" w:hAnsi="宋体" w:cs="宋体"/>
          <w:color w:val="000000" w:themeColor="text1"/>
          <w:sz w:val="32"/>
          <w:szCs w:val="28"/>
          <w:highlight w:val="none"/>
          <w14:textFill>
            <w14:solidFill>
              <w14:schemeClr w14:val="tx1"/>
            </w14:solidFill>
          </w14:textFill>
        </w:rPr>
      </w:pPr>
    </w:p>
    <w:p w14:paraId="1A634FE2">
      <w:pPr>
        <w:jc w:val="center"/>
        <w:rPr>
          <w:rFonts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2"/>
          <w:szCs w:val="28"/>
          <w:highlight w:val="none"/>
          <w14:textFill>
            <w14:solidFill>
              <w14:schemeClr w14:val="tx1"/>
            </w14:solidFill>
          </w14:textFill>
        </w:rPr>
        <w:t>（一）资信商务部分</w:t>
      </w:r>
    </w:p>
    <w:bookmarkEnd w:id="130"/>
    <w:bookmarkEnd w:id="131"/>
    <w:bookmarkEnd w:id="132"/>
    <w:bookmarkEnd w:id="133"/>
    <w:p w14:paraId="7195FB85">
      <w:pPr>
        <w:spacing w:line="360" w:lineRule="auto"/>
        <w:jc w:val="center"/>
        <w:rPr>
          <w:rFonts w:ascii="宋体" w:hAnsi="宋体" w:cs="宋体"/>
          <w:b/>
          <w:color w:val="000000" w:themeColor="text1"/>
          <w:sz w:val="32"/>
          <w:highlight w:val="none"/>
          <w14:textFill>
            <w14:solidFill>
              <w14:schemeClr w14:val="tx1"/>
            </w14:solidFill>
          </w14:textFill>
        </w:rPr>
      </w:pPr>
      <w:bookmarkStart w:id="155" w:name="_Toc105230662"/>
      <w:bookmarkStart w:id="156" w:name="_Toc173728539"/>
      <w:r>
        <w:rPr>
          <w:rFonts w:hint="eastAsia" w:ascii="宋体" w:hAnsi="宋体" w:cs="宋体"/>
          <w:b/>
          <w:color w:val="000000" w:themeColor="text1"/>
          <w:sz w:val="32"/>
          <w:highlight w:val="none"/>
          <w14:textFill>
            <w14:solidFill>
              <w14:schemeClr w14:val="tx1"/>
            </w14:solidFill>
          </w14:textFill>
        </w:rPr>
        <w:t>1、投标声明书</w:t>
      </w:r>
    </w:p>
    <w:p w14:paraId="0523D238">
      <w:pPr>
        <w:pStyle w:val="87"/>
        <w:spacing w:line="360" w:lineRule="auto"/>
        <w:rPr>
          <w:rFonts w:ascii="宋体" w:hAnsi="宋体" w:cs="宋体"/>
          <w:color w:val="000000" w:themeColor="text1"/>
          <w:kern w:val="0"/>
          <w:sz w:val="24"/>
          <w:highlight w:val="none"/>
          <w:u w:val="single"/>
          <w14:textFill>
            <w14:solidFill>
              <w14:schemeClr w14:val="tx1"/>
            </w14:solidFill>
          </w14:textFill>
        </w:rPr>
      </w:pPr>
      <w:r>
        <w:rPr>
          <w:rFonts w:hint="eastAsia" w:ascii="宋体" w:hAnsi="宋体" w:cs="宋体"/>
          <w:color w:val="000000" w:themeColor="text1"/>
          <w:sz w:val="28"/>
          <w:szCs w:val="28"/>
          <w:highlight w:val="none"/>
          <w:u w:val="single"/>
          <w14:textFill>
            <w14:solidFill>
              <w14:schemeClr w14:val="tx1"/>
            </w14:solidFill>
          </w14:textFill>
        </w:rPr>
        <w:t>（采购人名称）</w:t>
      </w:r>
      <w:r>
        <w:rPr>
          <w:rFonts w:hint="eastAsia" w:ascii="宋体" w:hAnsi="宋体" w:cs="宋体"/>
          <w:color w:val="000000" w:themeColor="text1"/>
          <w:kern w:val="0"/>
          <w:sz w:val="24"/>
          <w:highlight w:val="none"/>
          <w:u w:val="single"/>
          <w14:textFill>
            <w14:solidFill>
              <w14:schemeClr w14:val="tx1"/>
            </w14:solidFill>
          </w14:textFill>
        </w:rPr>
        <w:t>：</w:t>
      </w:r>
    </w:p>
    <w:p w14:paraId="08E7D171">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u w:val="single"/>
          <w14:textFill>
            <w14:solidFill>
              <w14:schemeClr w14:val="tx1"/>
            </w14:solidFill>
          </w14:textFill>
        </w:rPr>
        <w:t xml:space="preserve">        (投标人全称</w:t>
      </w:r>
      <w:r>
        <w:rPr>
          <w:rFonts w:hint="eastAsia" w:hAnsi="宋体" w:cs="宋体"/>
          <w:color w:val="000000" w:themeColor="text1"/>
          <w:sz w:val="24"/>
          <w:szCs w:val="24"/>
          <w:highlight w:val="none"/>
          <w14:textFill>
            <w14:solidFill>
              <w14:schemeClr w14:val="tx1"/>
            </w14:solidFill>
          </w14:textFill>
        </w:rPr>
        <w:t>)系中华人民共和国合法企业，经营地址</w:t>
      </w:r>
      <w:r>
        <w:rPr>
          <w:rFonts w:hint="eastAsia" w:hAnsi="宋体" w:cs="宋体"/>
          <w:color w:val="000000" w:themeColor="text1"/>
          <w:sz w:val="24"/>
          <w:szCs w:val="24"/>
          <w:highlight w:val="none"/>
          <w:u w:val="single"/>
          <w14:textFill>
            <w14:solidFill>
              <w14:schemeClr w14:val="tx1"/>
            </w14:solidFill>
          </w14:textFill>
        </w:rPr>
        <w:t xml:space="preserve">         </w:t>
      </w:r>
      <w:r>
        <w:rPr>
          <w:rFonts w:hint="eastAsia" w:hAnsi="宋体" w:cs="宋体"/>
          <w:color w:val="000000" w:themeColor="text1"/>
          <w:sz w:val="24"/>
          <w:szCs w:val="24"/>
          <w:highlight w:val="none"/>
          <w14:textFill>
            <w14:solidFill>
              <w14:schemeClr w14:val="tx1"/>
            </w14:solidFill>
          </w14:textFill>
        </w:rPr>
        <w:t>。</w:t>
      </w:r>
    </w:p>
    <w:p w14:paraId="247AB18D">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我</w:t>
      </w:r>
      <w:r>
        <w:rPr>
          <w:rFonts w:hint="eastAsia" w:hAnsi="宋体" w:cs="宋体"/>
          <w:color w:val="000000" w:themeColor="text1"/>
          <w:sz w:val="24"/>
          <w:szCs w:val="24"/>
          <w:highlight w:val="none"/>
          <w:u w:val="single"/>
          <w14:textFill>
            <w14:solidFill>
              <w14:schemeClr w14:val="tx1"/>
            </w14:solidFill>
          </w14:textFill>
        </w:rPr>
        <w:t xml:space="preserve">   (法定代表人或负责人名字)  </w:t>
      </w:r>
      <w:r>
        <w:rPr>
          <w:rFonts w:hint="eastAsia" w:hAnsi="宋体" w:cs="宋体"/>
          <w:color w:val="000000" w:themeColor="text1"/>
          <w:sz w:val="24"/>
          <w:szCs w:val="24"/>
          <w:highlight w:val="none"/>
          <w14:textFill>
            <w14:solidFill>
              <w14:schemeClr w14:val="tx1"/>
            </w14:solidFill>
          </w14:textFill>
        </w:rPr>
        <w:t>系</w:t>
      </w:r>
      <w:r>
        <w:rPr>
          <w:rFonts w:hint="eastAsia" w:hAnsi="宋体" w:cs="宋体"/>
          <w:color w:val="000000" w:themeColor="text1"/>
          <w:sz w:val="24"/>
          <w:szCs w:val="24"/>
          <w:highlight w:val="none"/>
          <w:u w:val="single"/>
          <w14:textFill>
            <w14:solidFill>
              <w14:schemeClr w14:val="tx1"/>
            </w14:solidFill>
          </w14:textFill>
        </w:rPr>
        <w:t xml:space="preserve">    (投标人名称)       </w:t>
      </w:r>
      <w:r>
        <w:rPr>
          <w:rFonts w:hint="eastAsia" w:hAnsi="宋体" w:cs="宋体"/>
          <w:color w:val="000000" w:themeColor="text1"/>
          <w:sz w:val="24"/>
          <w:szCs w:val="24"/>
          <w:highlight w:val="none"/>
          <w14:textFill>
            <w14:solidFill>
              <w14:schemeClr w14:val="tx1"/>
            </w14:solidFill>
          </w14:textFill>
        </w:rPr>
        <w:t>的负责人，我方愿意参加贵方组织的</w:t>
      </w:r>
      <w:r>
        <w:rPr>
          <w:rFonts w:hint="eastAsia" w:hAnsi="宋体" w:cs="宋体"/>
          <w:color w:val="000000" w:themeColor="text1"/>
          <w:sz w:val="24"/>
          <w:szCs w:val="24"/>
          <w:highlight w:val="none"/>
          <w:u w:val="single"/>
          <w14:textFill>
            <w14:solidFill>
              <w14:schemeClr w14:val="tx1"/>
            </w14:solidFill>
          </w14:textFill>
        </w:rPr>
        <w:t xml:space="preserve">    （项目名称及标项）（采购编号：   ）</w:t>
      </w:r>
      <w:r>
        <w:rPr>
          <w:rFonts w:hint="eastAsia" w:hAnsi="宋体" w:cs="宋体"/>
          <w:color w:val="000000" w:themeColor="text1"/>
          <w:sz w:val="24"/>
          <w:szCs w:val="24"/>
          <w:highlight w:val="none"/>
          <w14:textFill>
            <w14:solidFill>
              <w14:schemeClr w14:val="tx1"/>
            </w14:solidFill>
          </w14:textFill>
        </w:rPr>
        <w:t>的投标。为便于贵方公正、择优地确定中标人以及投标产品和服务，我方就本次投标有关事项郑重承诺如下：</w:t>
      </w:r>
    </w:p>
    <w:p w14:paraId="30BB50DF">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1、我方向贵方提交的所有投标文件、资料都是准确的和真实的。</w:t>
      </w:r>
    </w:p>
    <w:p w14:paraId="2863DCF2">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2、我方承诺已经具备《中华人民共和国政府采购法》、《中华人民共和国政府采购法实施条例》中规定的参加政府采购活动的投标人应当具备的条件，并真实提供相关材料。</w:t>
      </w:r>
    </w:p>
    <w:p w14:paraId="243AF5BA">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3、提供投标人须知规定的全部投标文件，包括：</w:t>
      </w:r>
    </w:p>
    <w:p w14:paraId="51F72CFD">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①电子投标文件；</w:t>
      </w:r>
    </w:p>
    <w:p w14:paraId="48F15AA9">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②备份投标文件（注：是否提交由投标人自行决定，如不提交，本条可删除）。</w:t>
      </w:r>
    </w:p>
    <w:p w14:paraId="13F91676">
      <w:pPr>
        <w:pStyle w:val="89"/>
        <w:spacing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4、如果我方中标，将派出</w:t>
      </w:r>
      <w:r>
        <w:rPr>
          <w:rFonts w:hint="eastAsia" w:hAnsi="宋体" w:cs="宋体"/>
          <w:color w:val="000000" w:themeColor="text1"/>
          <w:sz w:val="24"/>
          <w:szCs w:val="24"/>
          <w:highlight w:val="none"/>
          <w:u w:val="single"/>
          <w14:textFill>
            <w14:solidFill>
              <w14:schemeClr w14:val="tx1"/>
            </w14:solidFill>
          </w14:textFill>
        </w:rPr>
        <w:t xml:space="preserve">  （姓名及身份证号码）</w:t>
      </w:r>
      <w:r>
        <w:rPr>
          <w:rFonts w:hint="eastAsia" w:hAnsi="宋体" w:cs="宋体"/>
          <w:color w:val="000000" w:themeColor="text1"/>
          <w:sz w:val="24"/>
          <w:szCs w:val="24"/>
          <w:highlight w:val="none"/>
          <w14:textFill>
            <w14:solidFill>
              <w14:schemeClr w14:val="tx1"/>
            </w14:solidFill>
          </w14:textFill>
        </w:rPr>
        <w:t>，作为本项目与采购人联系的项目实施负责人，联系手机号码：</w:t>
      </w:r>
      <w:r>
        <w:rPr>
          <w:rFonts w:hint="eastAsia" w:hAnsi="宋体" w:cs="宋体"/>
          <w:color w:val="000000" w:themeColor="text1"/>
          <w:sz w:val="24"/>
          <w:szCs w:val="24"/>
          <w:highlight w:val="none"/>
          <w:u w:val="single"/>
          <w14:textFill>
            <w14:solidFill>
              <w14:schemeClr w14:val="tx1"/>
            </w14:solidFill>
          </w14:textFill>
        </w:rPr>
        <w:t xml:space="preserve">             </w:t>
      </w:r>
      <w:r>
        <w:rPr>
          <w:rFonts w:hint="eastAsia" w:hAnsi="宋体" w:cs="宋体"/>
          <w:color w:val="000000" w:themeColor="text1"/>
          <w:sz w:val="24"/>
          <w:szCs w:val="24"/>
          <w:highlight w:val="none"/>
          <w14:textFill>
            <w14:solidFill>
              <w14:schemeClr w14:val="tx1"/>
            </w14:solidFill>
          </w14:textFill>
        </w:rPr>
        <w:t>。在项目实施过程中，并承诺项目实施负责人不更换，若确需要更换的，书面征得采购人同意后才准予更换。</w:t>
      </w:r>
    </w:p>
    <w:p w14:paraId="2FB07C49">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5、我方的投标有效期自</w:t>
      </w:r>
      <w:r>
        <w:rPr>
          <w:rFonts w:hint="eastAsia" w:hAnsi="宋体" w:cs="宋体"/>
          <w:bCs/>
          <w:snapToGrid w:val="0"/>
          <w:color w:val="000000" w:themeColor="text1"/>
          <w:kern w:val="2"/>
          <w:sz w:val="24"/>
          <w:szCs w:val="24"/>
          <w:highlight w:val="none"/>
          <w14:textFill>
            <w14:solidFill>
              <w14:schemeClr w14:val="tx1"/>
            </w14:solidFill>
          </w14:textFill>
        </w:rPr>
        <w:t>提交投标文件的截止之日起</w:t>
      </w:r>
      <w:r>
        <w:rPr>
          <w:rFonts w:hint="eastAsia" w:hAnsi="宋体" w:cs="宋体"/>
          <w:color w:val="000000" w:themeColor="text1"/>
          <w:sz w:val="24"/>
          <w:szCs w:val="24"/>
          <w:highlight w:val="none"/>
          <w:u w:val="single"/>
          <w14:textFill>
            <w14:solidFill>
              <w14:schemeClr w14:val="tx1"/>
            </w14:solidFill>
          </w14:textFill>
        </w:rPr>
        <w:t>90</w:t>
      </w:r>
      <w:r>
        <w:rPr>
          <w:rFonts w:hint="eastAsia" w:hAnsi="宋体" w:cs="宋体"/>
          <w:color w:val="000000" w:themeColor="text1"/>
          <w:sz w:val="24"/>
          <w:szCs w:val="24"/>
          <w:highlight w:val="none"/>
          <w14:textFill>
            <w14:solidFill>
              <w14:schemeClr w14:val="tx1"/>
            </w14:solidFill>
          </w14:textFill>
        </w:rPr>
        <w:t>天内有效。</w:t>
      </w:r>
    </w:p>
    <w:p w14:paraId="4D6D7044">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6、我方在投标之前已经与贵方进行了充分的沟通，完全理解并接受招标文件的各项规定和要求，对招标文件的合理性、合法性不再有异议。</w:t>
      </w:r>
    </w:p>
    <w:p w14:paraId="63A55E64">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我方愿意向贵方提供真实完整的任何与该项投标有关的数据、情况和技术资料。若贵方需要，我方愿意提供我方作出的一切承诺的证明材料。</w:t>
      </w:r>
    </w:p>
    <w:p w14:paraId="66B8A3CA">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7、我方已详细审核全部招标文件，包括招标文件的澄清或修改文件（如有）、参考资料及有关附件，已经了解我方对于招标文件、采购过程、采购结果有依法进行询问、质疑、投诉的权利及相关渠道和要求。</w:t>
      </w:r>
    </w:p>
    <w:p w14:paraId="7F231104">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8、我方不是采购人的附属机构，并未为本项目提供整体设计、规范编制或者项目管理、监理、监测等服务。</w:t>
      </w:r>
    </w:p>
    <w:p w14:paraId="66A0E0EB">
      <w:pPr>
        <w:pStyle w:val="89"/>
        <w:spacing w:line="440" w:lineRule="exact"/>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9、我方将严格遵守《中华人民共和国政府采购法》第七十七条规定：投标人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14:paraId="40F6F933">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（一）提供虚假材料谋取中标、中标的；</w:t>
      </w:r>
    </w:p>
    <w:p w14:paraId="3848F824">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（二）采取不正当手段诋毁、排挤其他投标人的；</w:t>
      </w:r>
    </w:p>
    <w:p w14:paraId="1A99D861">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（三）与采购人、其它投标人或者采购代理机构恶意串通的；</w:t>
      </w:r>
    </w:p>
    <w:p w14:paraId="3F1C784E">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（四）向采购人、采购代理机构行贿或者提供其他不正当利益的；</w:t>
      </w:r>
    </w:p>
    <w:p w14:paraId="4D36EDB0">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（五）在招标采购过程中与采购人进行协商谈判的；</w:t>
      </w:r>
    </w:p>
    <w:p w14:paraId="4DBE22E7">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（六）拒绝有关部门监督检查或提供虚假情况的。</w:t>
      </w:r>
    </w:p>
    <w:p w14:paraId="1235F5C5">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10、如中标，本投标文件至本项目合同履行完毕止均保持有效，我方将按招标文件及政府采购法律、法规的规定履行合同责任和义务。</w:t>
      </w:r>
    </w:p>
    <w:p w14:paraId="3879B14A">
      <w:pPr>
        <w:pStyle w:val="89"/>
        <w:spacing w:line="440" w:lineRule="exact"/>
        <w:ind w:firstLine="240" w:firstLineChars="1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11、以上事项如有虚假或隐瞒，我方愿意承担一切不利后果，并不再寻求任何旨在减轻或免除法律责任。</w:t>
      </w:r>
    </w:p>
    <w:p w14:paraId="72AAD970">
      <w:pPr>
        <w:pStyle w:val="89"/>
        <w:spacing w:line="440" w:lineRule="exact"/>
        <w:ind w:firstLine="48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与本次投标有关的一切正式往来信函请寄：</w:t>
      </w:r>
    </w:p>
    <w:p w14:paraId="7BD06EA3">
      <w:pPr>
        <w:pStyle w:val="89"/>
        <w:spacing w:line="440" w:lineRule="exact"/>
        <w:ind w:firstLine="480"/>
        <w:rPr>
          <w:rFonts w:hAnsi="宋体" w:cs="宋体"/>
          <w:color w:val="000000" w:themeColor="text1"/>
          <w:sz w:val="24"/>
          <w:szCs w:val="24"/>
          <w:highlight w:val="none"/>
          <w14:textFill>
            <w14:solidFill>
              <w14:schemeClr w14:val="tx1"/>
            </w14:solidFill>
          </w14:textFill>
        </w:rPr>
      </w:pPr>
    </w:p>
    <w:p w14:paraId="4020F7DD">
      <w:pPr>
        <w:pStyle w:val="89"/>
        <w:spacing w:line="440" w:lineRule="exact"/>
        <w:ind w:firstLine="48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地址：</w:t>
      </w:r>
      <w:r>
        <w:rPr>
          <w:rFonts w:hint="eastAsia" w:hAnsi="宋体" w:cs="宋体"/>
          <w:color w:val="000000" w:themeColor="text1"/>
          <w:spacing w:val="20"/>
          <w:sz w:val="24"/>
          <w:szCs w:val="24"/>
          <w:highlight w:val="none"/>
          <w:u w:val="single"/>
          <w14:textFill>
            <w14:solidFill>
              <w14:schemeClr w14:val="tx1"/>
            </w14:solidFill>
          </w14:textFill>
        </w:rPr>
        <w:t xml:space="preserve">             </w:t>
      </w:r>
      <w:r>
        <w:rPr>
          <w:rFonts w:hint="eastAsia" w:hAnsi="宋体" w:cs="宋体"/>
          <w:color w:val="000000" w:themeColor="text1"/>
          <w:sz w:val="24"/>
          <w:szCs w:val="24"/>
          <w:highlight w:val="none"/>
          <w14:textFill>
            <w14:solidFill>
              <w14:schemeClr w14:val="tx1"/>
            </w14:solidFill>
          </w14:textFill>
        </w:rPr>
        <w:t xml:space="preserve">     邮编：</w:t>
      </w:r>
      <w:r>
        <w:rPr>
          <w:rFonts w:hint="eastAsia" w:hAnsi="宋体" w:cs="宋体"/>
          <w:color w:val="000000" w:themeColor="text1"/>
          <w:spacing w:val="20"/>
          <w:sz w:val="24"/>
          <w:szCs w:val="24"/>
          <w:highlight w:val="none"/>
          <w:u w:val="single"/>
          <w14:textFill>
            <w14:solidFill>
              <w14:schemeClr w14:val="tx1"/>
            </w14:solidFill>
          </w14:textFill>
        </w:rPr>
        <w:t xml:space="preserve">           </w:t>
      </w:r>
      <w:r>
        <w:rPr>
          <w:rFonts w:hint="eastAsia" w:hAnsi="宋体" w:cs="宋体"/>
          <w:color w:val="000000" w:themeColor="text1"/>
          <w:sz w:val="24"/>
          <w:szCs w:val="24"/>
          <w:highlight w:val="none"/>
          <w14:textFill>
            <w14:solidFill>
              <w14:schemeClr w14:val="tx1"/>
            </w14:solidFill>
          </w14:textFill>
        </w:rPr>
        <w:t>　</w:t>
      </w:r>
    </w:p>
    <w:p w14:paraId="2DF04FFD">
      <w:pPr>
        <w:pStyle w:val="11"/>
        <w:spacing w:line="440" w:lineRule="exact"/>
        <w:ind w:firstLine="480" w:firstLineChars="200"/>
        <w:rPr>
          <w:rFonts w:hAnsi="宋体" w:eastAsia="宋体" w:cs="宋体"/>
          <w:color w:val="000000" w:themeColor="text1"/>
          <w:sz w:val="24"/>
          <w:highlight w:val="none"/>
          <w14:textFill>
            <w14:solidFill>
              <w14:schemeClr w14:val="tx1"/>
            </w14:solidFill>
          </w14:textFill>
        </w:rPr>
      </w:pPr>
      <w:r>
        <w:rPr>
          <w:rFonts w:hint="eastAsia" w:hAnsi="宋体" w:eastAsia="宋体" w:cs="宋体"/>
          <w:color w:val="000000" w:themeColor="text1"/>
          <w:sz w:val="24"/>
          <w:highlight w:val="none"/>
          <w14:textFill>
            <w14:solidFill>
              <w14:schemeClr w14:val="tx1"/>
            </w14:solidFill>
          </w14:textFill>
        </w:rPr>
        <w:t>电话：</w:t>
      </w:r>
      <w:r>
        <w:rPr>
          <w:rFonts w:hint="eastAsia" w:hAnsi="宋体" w:eastAsia="宋体" w:cs="宋体"/>
          <w:color w:val="000000" w:themeColor="text1"/>
          <w:spacing w:val="20"/>
          <w:sz w:val="24"/>
          <w:highlight w:val="none"/>
          <w:u w:val="single"/>
          <w14:textFill>
            <w14:solidFill>
              <w14:schemeClr w14:val="tx1"/>
            </w14:solidFill>
          </w14:textFill>
        </w:rPr>
        <w:t xml:space="preserve">             </w:t>
      </w:r>
      <w:r>
        <w:rPr>
          <w:rFonts w:hint="eastAsia" w:hAnsi="宋体" w:eastAsia="宋体" w:cs="宋体"/>
          <w:color w:val="000000" w:themeColor="text1"/>
          <w:sz w:val="24"/>
          <w:highlight w:val="none"/>
          <w14:textFill>
            <w14:solidFill>
              <w14:schemeClr w14:val="tx1"/>
            </w14:solidFill>
          </w14:textFill>
        </w:rPr>
        <w:t xml:space="preserve">     传真：</w:t>
      </w:r>
      <w:r>
        <w:rPr>
          <w:rFonts w:hint="eastAsia" w:hAnsi="宋体" w:eastAsia="宋体" w:cs="宋体"/>
          <w:color w:val="000000" w:themeColor="text1"/>
          <w:spacing w:val="20"/>
          <w:sz w:val="24"/>
          <w:highlight w:val="none"/>
          <w:u w:val="single"/>
          <w14:textFill>
            <w14:solidFill>
              <w14:schemeClr w14:val="tx1"/>
            </w14:solidFill>
          </w14:textFill>
        </w:rPr>
        <w:t xml:space="preserve">           </w:t>
      </w:r>
    </w:p>
    <w:p w14:paraId="5A759E98">
      <w:pPr>
        <w:pStyle w:val="89"/>
        <w:spacing w:line="440" w:lineRule="exact"/>
        <w:rPr>
          <w:rFonts w:hAnsi="宋体" w:cs="宋体"/>
          <w:color w:val="000000" w:themeColor="text1"/>
          <w:sz w:val="28"/>
          <w:szCs w:val="22"/>
          <w:highlight w:val="none"/>
          <w14:textFill>
            <w14:solidFill>
              <w14:schemeClr w14:val="tx1"/>
            </w14:solidFill>
          </w14:textFill>
        </w:rPr>
      </w:pPr>
    </w:p>
    <w:p w14:paraId="30CFD43B">
      <w:pPr>
        <w:spacing w:line="360" w:lineRule="auto"/>
        <w:jc w:val="center"/>
        <w:rPr>
          <w:rFonts w:ascii="宋体" w:hAnsi="宋体" w:cs="宋体"/>
          <w:b/>
          <w:color w:val="000000" w:themeColor="text1"/>
          <w:sz w:val="32"/>
          <w:highlight w:val="none"/>
          <w14:textFill>
            <w14:solidFill>
              <w14:schemeClr w14:val="tx1"/>
            </w14:solidFill>
          </w14:textFill>
        </w:rPr>
      </w:pPr>
      <w:r>
        <w:rPr>
          <w:rFonts w:hint="eastAsia" w:ascii="宋体" w:hAnsi="宋体" w:cs="宋体"/>
          <w:b/>
          <w:color w:val="000000" w:themeColor="text1"/>
          <w:sz w:val="32"/>
          <w:szCs w:val="28"/>
          <w:highlight w:val="none"/>
          <w14:textFill>
            <w14:solidFill>
              <w14:schemeClr w14:val="tx1"/>
            </w14:solidFill>
          </w14:textFill>
        </w:rPr>
        <w:br w:type="page"/>
      </w:r>
      <w:r>
        <w:rPr>
          <w:rFonts w:hint="eastAsia" w:ascii="宋体" w:hAnsi="宋体" w:cs="宋体"/>
          <w:b/>
          <w:color w:val="000000" w:themeColor="text1"/>
          <w:sz w:val="32"/>
          <w:highlight w:val="none"/>
          <w14:textFill>
            <w14:solidFill>
              <w14:schemeClr w14:val="tx1"/>
            </w14:solidFill>
          </w14:textFill>
        </w:rPr>
        <w:t>2、投标人参标申请表</w:t>
      </w:r>
    </w:p>
    <w:tbl>
      <w:tblPr>
        <w:tblStyle w:val="28"/>
        <w:tblW w:w="899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5"/>
        <w:gridCol w:w="266"/>
        <w:gridCol w:w="862"/>
        <w:gridCol w:w="1028"/>
        <w:gridCol w:w="539"/>
        <w:gridCol w:w="1080"/>
        <w:gridCol w:w="1628"/>
        <w:gridCol w:w="2843"/>
      </w:tblGrid>
      <w:tr w14:paraId="494147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013E9A07">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投标人名称</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2594044D">
            <w:pPr>
              <w:pStyle w:val="91"/>
              <w:ind w:firstLine="480"/>
              <w:jc w:val="center"/>
              <w:rPr>
                <w:rFonts w:ascii="宋体" w:hAnsi="宋体" w:cs="宋体"/>
                <w:color w:val="000000" w:themeColor="text1"/>
                <w:sz w:val="24"/>
                <w:highlight w:val="none"/>
                <w14:textFill>
                  <w14:solidFill>
                    <w14:schemeClr w14:val="tx1"/>
                  </w14:solidFill>
                </w14:textFill>
              </w:rPr>
            </w:pPr>
          </w:p>
        </w:tc>
        <w:tc>
          <w:tcPr>
            <w:tcW w:w="1628" w:type="dxa"/>
            <w:tcBorders>
              <w:top w:val="single" w:color="auto" w:sz="4" w:space="0"/>
              <w:left w:val="single" w:color="auto" w:sz="4" w:space="0"/>
              <w:bottom w:val="single" w:color="auto" w:sz="4" w:space="0"/>
              <w:right w:val="single" w:color="auto" w:sz="4" w:space="0"/>
            </w:tcBorders>
            <w:vAlign w:val="center"/>
          </w:tcPr>
          <w:p w14:paraId="0474380F">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统一社会信用代码</w:t>
            </w:r>
          </w:p>
        </w:tc>
        <w:tc>
          <w:tcPr>
            <w:tcW w:w="2843" w:type="dxa"/>
            <w:tcBorders>
              <w:top w:val="single" w:color="auto" w:sz="4" w:space="0"/>
              <w:left w:val="single" w:color="auto" w:sz="4" w:space="0"/>
              <w:bottom w:val="single" w:color="auto" w:sz="4" w:space="0"/>
              <w:right w:val="single" w:color="auto" w:sz="4" w:space="0"/>
            </w:tcBorders>
            <w:vAlign w:val="center"/>
          </w:tcPr>
          <w:p w14:paraId="669717D8">
            <w:pPr>
              <w:pStyle w:val="91"/>
              <w:ind w:firstLine="360"/>
              <w:jc w:val="center"/>
              <w:rPr>
                <w:rFonts w:ascii="宋体" w:hAnsi="宋体" w:cs="宋体"/>
                <w:color w:val="000000" w:themeColor="text1"/>
                <w:sz w:val="24"/>
                <w:highlight w:val="none"/>
                <w14:textFill>
                  <w14:solidFill>
                    <w14:schemeClr w14:val="tx1"/>
                  </w14:solidFill>
                </w14:textFill>
              </w:rPr>
            </w:pPr>
          </w:p>
        </w:tc>
      </w:tr>
      <w:tr w14:paraId="665578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2002ADDC">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投标人地址</w:t>
            </w:r>
          </w:p>
        </w:tc>
        <w:tc>
          <w:tcPr>
            <w:tcW w:w="7118" w:type="dxa"/>
            <w:gridSpan w:val="5"/>
            <w:tcBorders>
              <w:top w:val="single" w:color="auto" w:sz="4" w:space="0"/>
              <w:left w:val="single" w:color="auto" w:sz="4" w:space="0"/>
              <w:bottom w:val="single" w:color="auto" w:sz="4" w:space="0"/>
              <w:right w:val="single" w:color="auto" w:sz="4" w:space="0"/>
            </w:tcBorders>
            <w:vAlign w:val="center"/>
          </w:tcPr>
          <w:p w14:paraId="152ACABF">
            <w:pPr>
              <w:pStyle w:val="91"/>
              <w:ind w:firstLine="480"/>
              <w:jc w:val="center"/>
              <w:rPr>
                <w:rFonts w:ascii="宋体" w:hAnsi="宋体" w:cs="宋体"/>
                <w:color w:val="000000" w:themeColor="text1"/>
                <w:sz w:val="24"/>
                <w:highlight w:val="none"/>
                <w14:textFill>
                  <w14:solidFill>
                    <w14:schemeClr w14:val="tx1"/>
                  </w14:solidFill>
                </w14:textFill>
              </w:rPr>
            </w:pPr>
          </w:p>
        </w:tc>
      </w:tr>
      <w:tr w14:paraId="7CBE53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1CA1F0C0">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注册日期</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69A53397">
            <w:pPr>
              <w:pStyle w:val="91"/>
              <w:ind w:firstLine="480"/>
              <w:jc w:val="center"/>
              <w:rPr>
                <w:rFonts w:ascii="宋体" w:hAnsi="宋体" w:cs="宋体"/>
                <w:color w:val="000000" w:themeColor="text1"/>
                <w:sz w:val="24"/>
                <w:highlight w:val="none"/>
                <w14:textFill>
                  <w14:solidFill>
                    <w14:schemeClr w14:val="tx1"/>
                  </w14:solidFill>
                </w14:textFill>
              </w:rPr>
            </w:pPr>
          </w:p>
        </w:tc>
        <w:tc>
          <w:tcPr>
            <w:tcW w:w="1628" w:type="dxa"/>
            <w:tcBorders>
              <w:top w:val="single" w:color="auto" w:sz="4" w:space="0"/>
              <w:left w:val="single" w:color="auto" w:sz="4" w:space="0"/>
              <w:bottom w:val="single" w:color="auto" w:sz="4" w:space="0"/>
              <w:right w:val="single" w:color="auto" w:sz="4" w:space="0"/>
            </w:tcBorders>
            <w:vAlign w:val="center"/>
          </w:tcPr>
          <w:p w14:paraId="23FA75A7">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注册资金</w:t>
            </w:r>
          </w:p>
        </w:tc>
        <w:tc>
          <w:tcPr>
            <w:tcW w:w="2843" w:type="dxa"/>
            <w:tcBorders>
              <w:top w:val="single" w:color="auto" w:sz="4" w:space="0"/>
              <w:left w:val="single" w:color="auto" w:sz="4" w:space="0"/>
              <w:bottom w:val="single" w:color="auto" w:sz="4" w:space="0"/>
              <w:right w:val="single" w:color="auto" w:sz="4" w:space="0"/>
            </w:tcBorders>
            <w:vAlign w:val="center"/>
          </w:tcPr>
          <w:p w14:paraId="0E151E1B">
            <w:pPr>
              <w:pStyle w:val="91"/>
              <w:ind w:firstLine="480"/>
              <w:jc w:val="center"/>
              <w:rPr>
                <w:rFonts w:ascii="宋体" w:hAnsi="宋体" w:cs="宋体"/>
                <w:color w:val="000000" w:themeColor="text1"/>
                <w:sz w:val="24"/>
                <w:highlight w:val="none"/>
                <w14:textFill>
                  <w14:solidFill>
                    <w14:schemeClr w14:val="tx1"/>
                  </w14:solidFill>
                </w14:textFill>
              </w:rPr>
            </w:pPr>
          </w:p>
        </w:tc>
      </w:tr>
      <w:tr w14:paraId="7B9B12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5FB699A8">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投标人网址</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475E406F">
            <w:pPr>
              <w:pStyle w:val="91"/>
              <w:ind w:firstLine="480"/>
              <w:jc w:val="center"/>
              <w:rPr>
                <w:rFonts w:ascii="宋体" w:hAnsi="宋体" w:cs="宋体"/>
                <w:color w:val="000000" w:themeColor="text1"/>
                <w:sz w:val="24"/>
                <w:highlight w:val="none"/>
                <w14:textFill>
                  <w14:solidFill>
                    <w14:schemeClr w14:val="tx1"/>
                  </w14:solidFill>
                </w14:textFill>
              </w:rPr>
            </w:pPr>
          </w:p>
        </w:tc>
        <w:tc>
          <w:tcPr>
            <w:tcW w:w="1628" w:type="dxa"/>
            <w:tcBorders>
              <w:top w:val="single" w:color="auto" w:sz="4" w:space="0"/>
              <w:left w:val="single" w:color="auto" w:sz="4" w:space="0"/>
              <w:bottom w:val="single" w:color="auto" w:sz="4" w:space="0"/>
              <w:right w:val="single" w:color="auto" w:sz="4" w:space="0"/>
            </w:tcBorders>
            <w:vAlign w:val="center"/>
          </w:tcPr>
          <w:p w14:paraId="69091307">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E-mail</w:t>
            </w:r>
          </w:p>
        </w:tc>
        <w:tc>
          <w:tcPr>
            <w:tcW w:w="2843" w:type="dxa"/>
            <w:tcBorders>
              <w:top w:val="single" w:color="auto" w:sz="4" w:space="0"/>
              <w:left w:val="single" w:color="auto" w:sz="4" w:space="0"/>
              <w:bottom w:val="single" w:color="auto" w:sz="4" w:space="0"/>
              <w:right w:val="single" w:color="auto" w:sz="4" w:space="0"/>
            </w:tcBorders>
            <w:vAlign w:val="center"/>
          </w:tcPr>
          <w:p w14:paraId="524F3CE2">
            <w:pPr>
              <w:pStyle w:val="91"/>
              <w:ind w:firstLine="480"/>
              <w:jc w:val="center"/>
              <w:rPr>
                <w:rFonts w:ascii="宋体" w:hAnsi="宋体" w:cs="宋体"/>
                <w:color w:val="000000" w:themeColor="text1"/>
                <w:sz w:val="24"/>
                <w:highlight w:val="none"/>
                <w14:textFill>
                  <w14:solidFill>
                    <w14:schemeClr w14:val="tx1"/>
                  </w14:solidFill>
                </w14:textFill>
              </w:rPr>
            </w:pPr>
          </w:p>
        </w:tc>
      </w:tr>
      <w:tr w14:paraId="132E7C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0BE8B253">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负责人</w:t>
            </w:r>
          </w:p>
        </w:tc>
        <w:tc>
          <w:tcPr>
            <w:tcW w:w="1890" w:type="dxa"/>
            <w:gridSpan w:val="2"/>
            <w:tcBorders>
              <w:top w:val="single" w:color="auto" w:sz="4" w:space="0"/>
              <w:left w:val="single" w:color="auto" w:sz="4" w:space="0"/>
              <w:bottom w:val="single" w:color="auto" w:sz="4" w:space="0"/>
              <w:right w:val="single" w:color="auto" w:sz="4" w:space="0"/>
            </w:tcBorders>
            <w:vAlign w:val="center"/>
          </w:tcPr>
          <w:p w14:paraId="364081B0">
            <w:pPr>
              <w:pStyle w:val="91"/>
              <w:ind w:firstLine="480"/>
              <w:jc w:val="center"/>
              <w:rPr>
                <w:rFonts w:ascii="宋体" w:hAnsi="宋体" w:cs="宋体"/>
                <w:color w:val="000000" w:themeColor="text1"/>
                <w:sz w:val="24"/>
                <w:highlight w:val="none"/>
                <w14:textFill>
                  <w14:solidFill>
                    <w14:schemeClr w14:val="tx1"/>
                  </w14:solidFill>
                </w14:textFill>
              </w:rPr>
            </w:pPr>
          </w:p>
        </w:tc>
        <w:tc>
          <w:tcPr>
            <w:tcW w:w="3247" w:type="dxa"/>
            <w:gridSpan w:val="3"/>
            <w:tcBorders>
              <w:top w:val="single" w:color="auto" w:sz="4" w:space="0"/>
              <w:left w:val="single" w:color="auto" w:sz="4" w:space="0"/>
              <w:bottom w:val="single" w:color="auto" w:sz="4" w:space="0"/>
              <w:right w:val="single" w:color="auto" w:sz="4" w:space="0"/>
            </w:tcBorders>
            <w:vAlign w:val="center"/>
          </w:tcPr>
          <w:p w14:paraId="6CE7291B">
            <w:pPr>
              <w:pStyle w:val="91"/>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联系电话：</w:t>
            </w:r>
          </w:p>
        </w:tc>
        <w:tc>
          <w:tcPr>
            <w:tcW w:w="2843" w:type="dxa"/>
            <w:tcBorders>
              <w:top w:val="single" w:color="auto" w:sz="4" w:space="0"/>
              <w:left w:val="single" w:color="auto" w:sz="4" w:space="0"/>
              <w:bottom w:val="single" w:color="auto" w:sz="4" w:space="0"/>
              <w:right w:val="single" w:color="auto" w:sz="4" w:space="0"/>
            </w:tcBorders>
            <w:vAlign w:val="center"/>
          </w:tcPr>
          <w:p w14:paraId="4B9E5DEB">
            <w:pPr>
              <w:pStyle w:val="91"/>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手机：</w:t>
            </w:r>
          </w:p>
        </w:tc>
      </w:tr>
      <w:tr w14:paraId="6EBD45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769CBF8B">
            <w:pPr>
              <w:pStyle w:val="91"/>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联系人</w:t>
            </w:r>
          </w:p>
        </w:tc>
        <w:tc>
          <w:tcPr>
            <w:tcW w:w="1890" w:type="dxa"/>
            <w:gridSpan w:val="2"/>
            <w:tcBorders>
              <w:top w:val="single" w:color="auto" w:sz="4" w:space="0"/>
              <w:left w:val="single" w:color="auto" w:sz="4" w:space="0"/>
              <w:bottom w:val="single" w:color="auto" w:sz="4" w:space="0"/>
              <w:right w:val="single" w:color="auto" w:sz="4" w:space="0"/>
            </w:tcBorders>
            <w:vAlign w:val="center"/>
          </w:tcPr>
          <w:p w14:paraId="1852B890">
            <w:pPr>
              <w:pStyle w:val="91"/>
              <w:ind w:firstLine="480"/>
              <w:jc w:val="center"/>
              <w:rPr>
                <w:rFonts w:ascii="宋体" w:hAnsi="宋体" w:cs="宋体"/>
                <w:color w:val="000000" w:themeColor="text1"/>
                <w:sz w:val="24"/>
                <w:highlight w:val="none"/>
                <w14:textFill>
                  <w14:solidFill>
                    <w14:schemeClr w14:val="tx1"/>
                  </w14:solidFill>
                </w14:textFill>
              </w:rPr>
            </w:pPr>
          </w:p>
        </w:tc>
        <w:tc>
          <w:tcPr>
            <w:tcW w:w="3247" w:type="dxa"/>
            <w:gridSpan w:val="3"/>
            <w:tcBorders>
              <w:top w:val="single" w:color="auto" w:sz="4" w:space="0"/>
              <w:left w:val="single" w:color="auto" w:sz="4" w:space="0"/>
              <w:bottom w:val="single" w:color="auto" w:sz="4" w:space="0"/>
              <w:right w:val="single" w:color="auto" w:sz="4" w:space="0"/>
            </w:tcBorders>
            <w:vAlign w:val="center"/>
          </w:tcPr>
          <w:p w14:paraId="001F9366">
            <w:pPr>
              <w:pStyle w:val="91"/>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联系电话：</w:t>
            </w:r>
          </w:p>
        </w:tc>
        <w:tc>
          <w:tcPr>
            <w:tcW w:w="2843" w:type="dxa"/>
            <w:tcBorders>
              <w:top w:val="single" w:color="auto" w:sz="4" w:space="0"/>
              <w:left w:val="single" w:color="auto" w:sz="4" w:space="0"/>
              <w:bottom w:val="single" w:color="auto" w:sz="4" w:space="0"/>
              <w:right w:val="single" w:color="auto" w:sz="4" w:space="0"/>
            </w:tcBorders>
            <w:vAlign w:val="center"/>
          </w:tcPr>
          <w:p w14:paraId="3EEBD5B6">
            <w:pPr>
              <w:pStyle w:val="91"/>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手机：</w:t>
            </w:r>
          </w:p>
        </w:tc>
      </w:tr>
      <w:tr w14:paraId="2A00D6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23D82B97">
            <w:pPr>
              <w:pStyle w:val="91"/>
              <w:ind w:left="-109" w:leftChars="-52" w:right="-113" w:rightChars="-54"/>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主营项目</w:t>
            </w:r>
          </w:p>
        </w:tc>
        <w:tc>
          <w:tcPr>
            <w:tcW w:w="7980" w:type="dxa"/>
            <w:gridSpan w:val="6"/>
            <w:tcBorders>
              <w:top w:val="single" w:color="auto" w:sz="4" w:space="0"/>
              <w:left w:val="single" w:color="auto" w:sz="4" w:space="0"/>
              <w:bottom w:val="single" w:color="auto" w:sz="4" w:space="0"/>
              <w:right w:val="single" w:color="auto" w:sz="4" w:space="0"/>
            </w:tcBorders>
            <w:vAlign w:val="center"/>
          </w:tcPr>
          <w:p w14:paraId="477D0800">
            <w:pPr>
              <w:pStyle w:val="91"/>
              <w:ind w:firstLine="480"/>
              <w:jc w:val="center"/>
              <w:rPr>
                <w:rFonts w:ascii="宋体" w:hAnsi="宋体" w:cs="宋体"/>
                <w:color w:val="000000" w:themeColor="text1"/>
                <w:sz w:val="24"/>
                <w:highlight w:val="none"/>
                <w14:textFill>
                  <w14:solidFill>
                    <w14:schemeClr w14:val="tx1"/>
                  </w14:solidFill>
                </w14:textFill>
              </w:rPr>
            </w:pPr>
          </w:p>
        </w:tc>
      </w:tr>
      <w:tr w14:paraId="0C3A5B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67F49261">
            <w:pPr>
              <w:pStyle w:val="91"/>
              <w:ind w:left="-109" w:leftChars="-52" w:right="-113" w:rightChars="-54"/>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兼营项目</w:t>
            </w:r>
          </w:p>
        </w:tc>
        <w:tc>
          <w:tcPr>
            <w:tcW w:w="7980" w:type="dxa"/>
            <w:gridSpan w:val="6"/>
            <w:tcBorders>
              <w:top w:val="single" w:color="auto" w:sz="4" w:space="0"/>
              <w:left w:val="single" w:color="auto" w:sz="4" w:space="0"/>
              <w:bottom w:val="single" w:color="auto" w:sz="4" w:space="0"/>
              <w:right w:val="single" w:color="auto" w:sz="4" w:space="0"/>
            </w:tcBorders>
            <w:vAlign w:val="center"/>
          </w:tcPr>
          <w:p w14:paraId="4A5A8F77">
            <w:pPr>
              <w:pStyle w:val="91"/>
              <w:ind w:firstLine="480"/>
              <w:jc w:val="center"/>
              <w:rPr>
                <w:rFonts w:ascii="宋体" w:hAnsi="宋体" w:cs="宋体"/>
                <w:color w:val="000000" w:themeColor="text1"/>
                <w:sz w:val="24"/>
                <w:highlight w:val="none"/>
                <w14:textFill>
                  <w14:solidFill>
                    <w14:schemeClr w14:val="tx1"/>
                  </w14:solidFill>
                </w14:textFill>
              </w:rPr>
            </w:pPr>
          </w:p>
        </w:tc>
      </w:tr>
      <w:tr w14:paraId="59BBF5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91" w:type="dxa"/>
            <w:gridSpan w:val="8"/>
            <w:tcBorders>
              <w:top w:val="single" w:color="auto" w:sz="4" w:space="0"/>
              <w:left w:val="single" w:color="auto" w:sz="4" w:space="0"/>
              <w:bottom w:val="single" w:color="auto" w:sz="4" w:space="0"/>
              <w:right w:val="single" w:color="auto" w:sz="4" w:space="0"/>
            </w:tcBorders>
            <w:vAlign w:val="center"/>
          </w:tcPr>
          <w:p w14:paraId="4CD8C10E">
            <w:pPr>
              <w:pStyle w:val="91"/>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本单位申请参加下列采购项目的投标：</w:t>
            </w:r>
          </w:p>
        </w:tc>
      </w:tr>
      <w:tr w14:paraId="24620C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l2br w:val="single" w:color="auto" w:sz="4" w:space="0"/>
            </w:tcBorders>
            <w:vAlign w:val="center"/>
          </w:tcPr>
          <w:p w14:paraId="49222416">
            <w:pPr>
              <w:pStyle w:val="91"/>
              <w:ind w:firstLine="480"/>
              <w:jc w:val="center"/>
              <w:rPr>
                <w:rFonts w:ascii="宋体" w:hAnsi="宋体" w:cs="宋体"/>
                <w:color w:val="000000" w:themeColor="text1"/>
                <w:sz w:val="24"/>
                <w:highlight w:val="none"/>
                <w14:textFill>
                  <w14:solidFill>
                    <w14:schemeClr w14:val="tx1"/>
                  </w14:solidFill>
                </w14:textFill>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10B50A7F">
            <w:pPr>
              <w:pStyle w:val="91"/>
              <w:ind w:firstLine="480"/>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采购编号</w:t>
            </w: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0C0B1225">
            <w:pPr>
              <w:pStyle w:val="91"/>
              <w:ind w:firstLine="480"/>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项目名称</w:t>
            </w:r>
          </w:p>
        </w:tc>
        <w:tc>
          <w:tcPr>
            <w:tcW w:w="2843" w:type="dxa"/>
            <w:tcBorders>
              <w:top w:val="single" w:color="auto" w:sz="4" w:space="0"/>
              <w:left w:val="single" w:color="auto" w:sz="4" w:space="0"/>
              <w:bottom w:val="single" w:color="auto" w:sz="4" w:space="0"/>
              <w:right w:val="single" w:color="auto" w:sz="4" w:space="0"/>
            </w:tcBorders>
            <w:vAlign w:val="center"/>
          </w:tcPr>
          <w:p w14:paraId="318A2510">
            <w:pPr>
              <w:pStyle w:val="91"/>
              <w:ind w:firstLine="480"/>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标项</w:t>
            </w:r>
          </w:p>
        </w:tc>
      </w:tr>
      <w:tr w14:paraId="622C22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02802CDD">
            <w:pPr>
              <w:pStyle w:val="91"/>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0B7270AC">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612F3242">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6CA95390">
            <w:pPr>
              <w:pStyle w:val="91"/>
              <w:ind w:firstLine="480"/>
              <w:jc w:val="center"/>
              <w:rPr>
                <w:rFonts w:ascii="宋体" w:hAnsi="宋体" w:cs="宋体"/>
                <w:color w:val="000000" w:themeColor="text1"/>
                <w:sz w:val="24"/>
                <w:highlight w:val="none"/>
                <w14:textFill>
                  <w14:solidFill>
                    <w14:schemeClr w14:val="tx1"/>
                  </w14:solidFill>
                </w14:textFill>
              </w:rPr>
            </w:pPr>
          </w:p>
        </w:tc>
      </w:tr>
      <w:tr w14:paraId="3365BE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620CA52E">
            <w:pPr>
              <w:pStyle w:val="91"/>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4A33AC86">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1AAA3C80">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78A2C2EE">
            <w:pPr>
              <w:pStyle w:val="91"/>
              <w:ind w:firstLine="480"/>
              <w:jc w:val="center"/>
              <w:rPr>
                <w:rFonts w:ascii="宋体" w:hAnsi="宋体" w:cs="宋体"/>
                <w:color w:val="000000" w:themeColor="text1"/>
                <w:sz w:val="24"/>
                <w:highlight w:val="none"/>
                <w14:textFill>
                  <w14:solidFill>
                    <w14:schemeClr w14:val="tx1"/>
                  </w14:solidFill>
                </w14:textFill>
              </w:rPr>
            </w:pPr>
          </w:p>
        </w:tc>
      </w:tr>
      <w:tr w14:paraId="5859D1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57F38650">
            <w:pPr>
              <w:pStyle w:val="91"/>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631DFCA5">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08AB9F1D">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6DA3FE4D">
            <w:pPr>
              <w:pStyle w:val="91"/>
              <w:ind w:firstLine="480"/>
              <w:jc w:val="center"/>
              <w:rPr>
                <w:rFonts w:ascii="宋体" w:hAnsi="宋体" w:cs="宋体"/>
                <w:color w:val="000000" w:themeColor="text1"/>
                <w:sz w:val="24"/>
                <w:highlight w:val="none"/>
                <w14:textFill>
                  <w14:solidFill>
                    <w14:schemeClr w14:val="tx1"/>
                  </w14:solidFill>
                </w14:textFill>
              </w:rPr>
            </w:pPr>
          </w:p>
        </w:tc>
      </w:tr>
      <w:tr w14:paraId="70DDCE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06FB418A">
            <w:pPr>
              <w:pStyle w:val="91"/>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58752CD4">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0240A34B">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79E462C7">
            <w:pPr>
              <w:pStyle w:val="91"/>
              <w:ind w:firstLine="480"/>
              <w:jc w:val="center"/>
              <w:rPr>
                <w:rFonts w:ascii="宋体" w:hAnsi="宋体" w:cs="宋体"/>
                <w:color w:val="000000" w:themeColor="text1"/>
                <w:sz w:val="24"/>
                <w:highlight w:val="none"/>
                <w14:textFill>
                  <w14:solidFill>
                    <w14:schemeClr w14:val="tx1"/>
                  </w14:solidFill>
                </w14:textFill>
              </w:rPr>
            </w:pPr>
          </w:p>
        </w:tc>
      </w:tr>
      <w:tr w14:paraId="4FB30D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508E4333">
            <w:pPr>
              <w:pStyle w:val="91"/>
              <w:ind w:firstLine="480"/>
              <w:jc w:val="center"/>
              <w:rPr>
                <w:rFonts w:ascii="宋体" w:hAnsi="宋体" w:cs="宋体"/>
                <w:color w:val="000000" w:themeColor="text1"/>
                <w:sz w:val="24"/>
                <w:highlight w:val="none"/>
                <w14:textFill>
                  <w14:solidFill>
                    <w14:schemeClr w14:val="tx1"/>
                  </w14:solidFill>
                </w14:textFill>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2D1D1993">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5AC5FD10">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5FD9FC1E">
            <w:pPr>
              <w:pStyle w:val="91"/>
              <w:ind w:firstLine="480"/>
              <w:jc w:val="center"/>
              <w:rPr>
                <w:rFonts w:ascii="宋体" w:hAnsi="宋体" w:cs="宋体"/>
                <w:color w:val="000000" w:themeColor="text1"/>
                <w:sz w:val="24"/>
                <w:highlight w:val="none"/>
                <w14:textFill>
                  <w14:solidFill>
                    <w14:schemeClr w14:val="tx1"/>
                  </w14:solidFill>
                </w14:textFill>
              </w:rPr>
            </w:pPr>
          </w:p>
        </w:tc>
      </w:tr>
      <w:tr w14:paraId="5C2DEA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54248F6B">
            <w:pPr>
              <w:pStyle w:val="91"/>
              <w:ind w:firstLine="480"/>
              <w:jc w:val="center"/>
              <w:rPr>
                <w:rFonts w:ascii="宋体" w:hAnsi="宋体" w:cs="宋体"/>
                <w:color w:val="000000" w:themeColor="text1"/>
                <w:sz w:val="24"/>
                <w:highlight w:val="none"/>
                <w14:textFill>
                  <w14:solidFill>
                    <w14:schemeClr w14:val="tx1"/>
                  </w14:solidFill>
                </w14:textFill>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0B56AB0F">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26D78C2B">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22127E18">
            <w:pPr>
              <w:pStyle w:val="91"/>
              <w:ind w:firstLine="480"/>
              <w:jc w:val="center"/>
              <w:rPr>
                <w:rFonts w:ascii="宋体" w:hAnsi="宋体" w:cs="宋体"/>
                <w:color w:val="000000" w:themeColor="text1"/>
                <w:sz w:val="24"/>
                <w:highlight w:val="none"/>
                <w14:textFill>
                  <w14:solidFill>
                    <w14:schemeClr w14:val="tx1"/>
                  </w14:solidFill>
                </w14:textFill>
              </w:rPr>
            </w:pPr>
          </w:p>
        </w:tc>
      </w:tr>
      <w:tr w14:paraId="34576C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34001107">
            <w:pPr>
              <w:pStyle w:val="91"/>
              <w:ind w:firstLine="480"/>
              <w:jc w:val="center"/>
              <w:rPr>
                <w:rFonts w:ascii="宋体" w:hAnsi="宋体" w:cs="宋体"/>
                <w:color w:val="000000" w:themeColor="text1"/>
                <w:sz w:val="24"/>
                <w:highlight w:val="none"/>
                <w14:textFill>
                  <w14:solidFill>
                    <w14:schemeClr w14:val="tx1"/>
                  </w14:solidFill>
                </w14:textFill>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30A7235B">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3D48DA7E">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1C18E959">
            <w:pPr>
              <w:pStyle w:val="91"/>
              <w:ind w:firstLine="480"/>
              <w:jc w:val="center"/>
              <w:rPr>
                <w:rFonts w:ascii="宋体" w:hAnsi="宋体" w:cs="宋体"/>
                <w:color w:val="000000" w:themeColor="text1"/>
                <w:sz w:val="24"/>
                <w:highlight w:val="none"/>
                <w14:textFill>
                  <w14:solidFill>
                    <w14:schemeClr w14:val="tx1"/>
                  </w14:solidFill>
                </w14:textFill>
              </w:rPr>
            </w:pPr>
          </w:p>
        </w:tc>
      </w:tr>
      <w:tr w14:paraId="136731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68424BAD">
            <w:pPr>
              <w:pStyle w:val="91"/>
              <w:ind w:firstLine="480"/>
              <w:jc w:val="center"/>
              <w:rPr>
                <w:rFonts w:ascii="宋体" w:hAnsi="宋体" w:cs="宋体"/>
                <w:color w:val="000000" w:themeColor="text1"/>
                <w:sz w:val="24"/>
                <w:highlight w:val="none"/>
                <w14:textFill>
                  <w14:solidFill>
                    <w14:schemeClr w14:val="tx1"/>
                  </w14:solidFill>
                </w14:textFill>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5771DF7D">
            <w:pPr>
              <w:pStyle w:val="91"/>
              <w:ind w:firstLine="480"/>
              <w:jc w:val="center"/>
              <w:rPr>
                <w:rFonts w:ascii="宋体" w:hAnsi="宋体" w:cs="宋体"/>
                <w:color w:val="000000" w:themeColor="text1"/>
                <w:sz w:val="24"/>
                <w:highlight w:val="none"/>
                <w14:textFill>
                  <w14:solidFill>
                    <w14:schemeClr w14:val="tx1"/>
                  </w14:solidFill>
                </w14:textFill>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28D8037A">
            <w:pPr>
              <w:pStyle w:val="91"/>
              <w:ind w:firstLine="480"/>
              <w:jc w:val="center"/>
              <w:rPr>
                <w:rFonts w:ascii="宋体" w:hAnsi="宋体" w:cs="宋体"/>
                <w:color w:val="000000" w:themeColor="text1"/>
                <w:sz w:val="24"/>
                <w:highlight w:val="none"/>
                <w14:textFill>
                  <w14:solidFill>
                    <w14:schemeClr w14:val="tx1"/>
                  </w14:solidFill>
                </w14:textFill>
              </w:rPr>
            </w:pPr>
          </w:p>
        </w:tc>
        <w:tc>
          <w:tcPr>
            <w:tcW w:w="2843" w:type="dxa"/>
            <w:tcBorders>
              <w:top w:val="single" w:color="auto" w:sz="4" w:space="0"/>
              <w:left w:val="single" w:color="auto" w:sz="4" w:space="0"/>
              <w:bottom w:val="single" w:color="auto" w:sz="4" w:space="0"/>
              <w:right w:val="single" w:color="auto" w:sz="4" w:space="0"/>
            </w:tcBorders>
            <w:vAlign w:val="center"/>
          </w:tcPr>
          <w:p w14:paraId="6C6F764F">
            <w:pPr>
              <w:pStyle w:val="91"/>
              <w:ind w:firstLine="480"/>
              <w:jc w:val="center"/>
              <w:rPr>
                <w:rFonts w:ascii="宋体" w:hAnsi="宋体" w:cs="宋体"/>
                <w:color w:val="000000" w:themeColor="text1"/>
                <w:sz w:val="24"/>
                <w:highlight w:val="none"/>
                <w14:textFill>
                  <w14:solidFill>
                    <w14:schemeClr w14:val="tx1"/>
                  </w14:solidFill>
                </w14:textFill>
              </w:rPr>
            </w:pPr>
          </w:p>
        </w:tc>
      </w:tr>
    </w:tbl>
    <w:p w14:paraId="5C9D2B29">
      <w:pPr>
        <w:pStyle w:val="90"/>
        <w:spacing w:line="520" w:lineRule="exact"/>
        <w:jc w:val="center"/>
        <w:rPr>
          <w:rFonts w:hAnsi="宋体" w:cs="宋体"/>
          <w:b/>
          <w:color w:val="000000" w:themeColor="text1"/>
          <w:sz w:val="32"/>
          <w:highlight w:val="none"/>
          <w14:textFill>
            <w14:solidFill>
              <w14:schemeClr w14:val="tx1"/>
            </w14:solidFill>
          </w14:textFill>
        </w:rPr>
      </w:pPr>
      <w:r>
        <w:rPr>
          <w:rFonts w:hint="eastAsia" w:hAnsi="宋体" w:cs="宋体"/>
          <w:b/>
          <w:color w:val="000000" w:themeColor="text1"/>
          <w:sz w:val="36"/>
          <w:szCs w:val="36"/>
          <w:highlight w:val="none"/>
          <w14:textFill>
            <w14:solidFill>
              <w14:schemeClr w14:val="tx1"/>
            </w14:solidFill>
          </w14:textFill>
        </w:rPr>
        <w:br w:type="page"/>
      </w:r>
      <w:r>
        <w:rPr>
          <w:rFonts w:hint="eastAsia" w:hAnsi="宋体" w:cs="宋体"/>
          <w:b/>
          <w:color w:val="000000" w:themeColor="text1"/>
          <w:sz w:val="32"/>
          <w:szCs w:val="32"/>
          <w:highlight w:val="none"/>
          <w:lang w:val="en-US" w:eastAsia="zh-CN"/>
          <w14:textFill>
            <w14:solidFill>
              <w14:schemeClr w14:val="tx1"/>
            </w14:solidFill>
          </w14:textFill>
        </w:rPr>
        <w:t>3</w:t>
      </w:r>
      <w:r>
        <w:rPr>
          <w:rFonts w:hint="eastAsia" w:hAnsi="宋体" w:cs="宋体"/>
          <w:b/>
          <w:color w:val="000000" w:themeColor="text1"/>
          <w:sz w:val="32"/>
          <w:szCs w:val="32"/>
          <w:highlight w:val="none"/>
          <w14:textFill>
            <w14:solidFill>
              <w14:schemeClr w14:val="tx1"/>
            </w14:solidFill>
          </w14:textFill>
        </w:rPr>
        <w:t>、</w:t>
      </w:r>
      <w:r>
        <w:rPr>
          <w:rFonts w:hint="eastAsia" w:hAnsi="宋体" w:cs="宋体"/>
          <w:b/>
          <w:color w:val="000000" w:themeColor="text1"/>
          <w:sz w:val="32"/>
          <w:highlight w:val="none"/>
          <w14:textFill>
            <w14:solidFill>
              <w14:schemeClr w14:val="tx1"/>
            </w14:solidFill>
          </w14:textFill>
        </w:rPr>
        <w:t>代理服务费支付承诺书</w:t>
      </w:r>
    </w:p>
    <w:p w14:paraId="2A4CBADD">
      <w:pPr>
        <w:spacing w:line="360" w:lineRule="auto"/>
        <w:jc w:val="left"/>
        <w:rPr>
          <w:rFonts w:ascii="宋体" w:hAnsi="宋体" w:cs="宋体"/>
          <w:color w:val="000000" w:themeColor="text1"/>
          <w:sz w:val="32"/>
          <w:szCs w:val="32"/>
          <w:highlight w:val="none"/>
          <w14:textFill>
            <w14:solidFill>
              <w14:schemeClr w14:val="tx1"/>
            </w14:solidFill>
          </w14:textFill>
        </w:rPr>
      </w:pPr>
    </w:p>
    <w:p w14:paraId="22D63AAA">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浙江大兴建设项目管理咨询有限公司：</w:t>
      </w:r>
    </w:p>
    <w:p w14:paraId="0A167F09">
      <w:pPr>
        <w:spacing w:line="360" w:lineRule="auto"/>
        <w:ind w:firstLine="480" w:firstLineChars="200"/>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如确定我公司为该项目中标（成交）人，我公司承诺在中标（成交）公告发出之日起5个工作日之内向贵公司按招标文件约定一次性支付代理服务费。逾期未支付的，贵公司有权就此事项向我公司提出赔偿，我公司愿意承担由此产生的全部赔偿责任。</w:t>
      </w:r>
    </w:p>
    <w:p w14:paraId="33EBEDDA">
      <w:pPr>
        <w:spacing w:line="360" w:lineRule="auto"/>
        <w:jc w:val="left"/>
        <w:rPr>
          <w:rFonts w:ascii="宋体" w:hAnsi="宋体" w:cs="宋体"/>
          <w:b/>
          <w:color w:val="000000" w:themeColor="text1"/>
          <w:sz w:val="24"/>
          <w:highlight w:val="none"/>
          <w14:textFill>
            <w14:solidFill>
              <w14:schemeClr w14:val="tx1"/>
            </w14:solidFill>
          </w14:textFill>
        </w:rPr>
      </w:pPr>
    </w:p>
    <w:p w14:paraId="5BF46D0E">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注：</w:t>
      </w:r>
    </w:p>
    <w:p w14:paraId="2CD1F71F">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代理服务费收取账户信息：</w:t>
      </w:r>
    </w:p>
    <w:p w14:paraId="54668762">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户名：浙江大兴建设项目管理咨询有限公司缙云分公司</w:t>
      </w:r>
    </w:p>
    <w:p w14:paraId="5EE383E4">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账号： 396158683598</w:t>
      </w:r>
    </w:p>
    <w:p w14:paraId="615A2493">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开户行：中国银行股份有限公司缙云县支行</w:t>
      </w:r>
    </w:p>
    <w:p w14:paraId="362C68B9">
      <w:pPr>
        <w:spacing w:line="360" w:lineRule="auto"/>
        <w:jc w:val="center"/>
        <w:rPr>
          <w:rFonts w:ascii="宋体" w:hAnsi="宋体" w:cs="宋体"/>
          <w:b/>
          <w:color w:val="000000" w:themeColor="text1"/>
          <w:sz w:val="36"/>
          <w:szCs w:val="32"/>
          <w:highlight w:val="none"/>
          <w14:textFill>
            <w14:solidFill>
              <w14:schemeClr w14:val="tx1"/>
            </w14:solidFill>
          </w14:textFill>
        </w:rPr>
      </w:pPr>
    </w:p>
    <w:p w14:paraId="362371C1">
      <w:pPr>
        <w:spacing w:line="360" w:lineRule="auto"/>
        <w:jc w:val="center"/>
        <w:rPr>
          <w:rFonts w:ascii="宋体" w:hAnsi="宋体" w:cs="宋体"/>
          <w:b/>
          <w:color w:val="000000" w:themeColor="text1"/>
          <w:sz w:val="32"/>
          <w:szCs w:val="28"/>
          <w:highlight w:val="none"/>
          <w14:textFill>
            <w14:solidFill>
              <w14:schemeClr w14:val="tx1"/>
            </w14:solidFill>
          </w14:textFill>
        </w:rPr>
      </w:pPr>
    </w:p>
    <w:p w14:paraId="173F1F19">
      <w:pPr>
        <w:spacing w:line="360" w:lineRule="auto"/>
        <w:jc w:val="center"/>
        <w:rPr>
          <w:rFonts w:ascii="宋体" w:hAnsi="宋体" w:cs="宋体"/>
          <w:b/>
          <w:color w:val="000000" w:themeColor="text1"/>
          <w:sz w:val="32"/>
          <w:szCs w:val="28"/>
          <w:highlight w:val="none"/>
          <w14:textFill>
            <w14:solidFill>
              <w14:schemeClr w14:val="tx1"/>
            </w14:solidFill>
          </w14:textFill>
        </w:rPr>
      </w:pPr>
    </w:p>
    <w:p w14:paraId="1496AE4B">
      <w:pPr>
        <w:spacing w:line="360" w:lineRule="auto"/>
        <w:jc w:val="center"/>
        <w:rPr>
          <w:rFonts w:ascii="宋体" w:hAnsi="宋体" w:cs="宋体"/>
          <w:b/>
          <w:color w:val="000000" w:themeColor="text1"/>
          <w:sz w:val="32"/>
          <w:szCs w:val="28"/>
          <w:highlight w:val="none"/>
          <w14:textFill>
            <w14:solidFill>
              <w14:schemeClr w14:val="tx1"/>
            </w14:solidFill>
          </w14:textFill>
        </w:rPr>
      </w:pPr>
    </w:p>
    <w:p w14:paraId="346D6972">
      <w:pPr>
        <w:spacing w:line="360" w:lineRule="auto"/>
        <w:jc w:val="center"/>
        <w:rPr>
          <w:rFonts w:ascii="宋体" w:hAnsi="宋体" w:cs="宋体"/>
          <w:b/>
          <w:color w:val="000000" w:themeColor="text1"/>
          <w:sz w:val="32"/>
          <w:szCs w:val="28"/>
          <w:highlight w:val="none"/>
          <w14:textFill>
            <w14:solidFill>
              <w14:schemeClr w14:val="tx1"/>
            </w14:solidFill>
          </w14:textFill>
        </w:rPr>
      </w:pPr>
    </w:p>
    <w:p w14:paraId="1828CC1A">
      <w:pPr>
        <w:spacing w:line="360" w:lineRule="auto"/>
        <w:jc w:val="center"/>
        <w:rPr>
          <w:rFonts w:ascii="宋体" w:hAnsi="宋体" w:cs="宋体"/>
          <w:b/>
          <w:color w:val="000000" w:themeColor="text1"/>
          <w:sz w:val="32"/>
          <w:szCs w:val="28"/>
          <w:highlight w:val="none"/>
          <w14:textFill>
            <w14:solidFill>
              <w14:schemeClr w14:val="tx1"/>
            </w14:solidFill>
          </w14:textFill>
        </w:rPr>
      </w:pPr>
    </w:p>
    <w:p w14:paraId="77226DEC">
      <w:pPr>
        <w:spacing w:line="360" w:lineRule="auto"/>
        <w:jc w:val="center"/>
        <w:rPr>
          <w:rFonts w:ascii="宋体" w:hAnsi="宋体" w:cs="宋体"/>
          <w:b/>
          <w:color w:val="000000" w:themeColor="text1"/>
          <w:sz w:val="32"/>
          <w:szCs w:val="28"/>
          <w:highlight w:val="none"/>
          <w14:textFill>
            <w14:solidFill>
              <w14:schemeClr w14:val="tx1"/>
            </w14:solidFill>
          </w14:textFill>
        </w:rPr>
      </w:pPr>
      <w:r>
        <w:rPr>
          <w:rFonts w:hint="eastAsia" w:ascii="宋体" w:hAnsi="宋体" w:cs="宋体"/>
          <w:b/>
          <w:color w:val="000000" w:themeColor="text1"/>
          <w:sz w:val="32"/>
          <w:szCs w:val="28"/>
          <w:highlight w:val="none"/>
          <w14:textFill>
            <w14:solidFill>
              <w14:schemeClr w14:val="tx1"/>
            </w14:solidFill>
          </w14:textFill>
        </w:rPr>
        <w:t>5、其  他</w:t>
      </w:r>
    </w:p>
    <w:p w14:paraId="737A46AF">
      <w:pPr>
        <w:pStyle w:val="93"/>
        <w:spacing w:before="156" w:after="156"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除招标文件规定的要求外，投标人还可以提供如下证明材料：</w:t>
      </w:r>
    </w:p>
    <w:p w14:paraId="4499476A">
      <w:pPr>
        <w:pStyle w:val="93"/>
        <w:spacing w:before="156" w:after="156"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fldChar w:fldCharType="begin"/>
      </w:r>
      <w:r>
        <w:rPr>
          <w:rFonts w:hint="eastAsia" w:hAnsi="宋体" w:cs="宋体"/>
          <w:color w:val="000000" w:themeColor="text1"/>
          <w:sz w:val="24"/>
          <w:szCs w:val="24"/>
          <w:highlight w:val="none"/>
          <w14:textFill>
            <w14:solidFill>
              <w14:schemeClr w14:val="tx1"/>
            </w14:solidFill>
          </w14:textFill>
        </w:rPr>
        <w:instrText xml:space="preserve"> = 1 \* GB2 </w:instrText>
      </w:r>
      <w:r>
        <w:rPr>
          <w:rFonts w:hint="eastAsia" w:hAnsi="宋体" w:cs="宋体"/>
          <w:color w:val="000000" w:themeColor="text1"/>
          <w:sz w:val="24"/>
          <w:szCs w:val="24"/>
          <w:highlight w:val="none"/>
          <w14:textFill>
            <w14:solidFill>
              <w14:schemeClr w14:val="tx1"/>
            </w14:solidFill>
          </w14:textFill>
        </w:rPr>
        <w:fldChar w:fldCharType="separate"/>
      </w:r>
      <w:r>
        <w:rPr>
          <w:rFonts w:hint="eastAsia" w:hAnsi="宋体" w:cs="宋体"/>
          <w:color w:val="000000" w:themeColor="text1"/>
          <w:sz w:val="24"/>
          <w:szCs w:val="24"/>
          <w:highlight w:val="none"/>
          <w14:textFill>
            <w14:solidFill>
              <w14:schemeClr w14:val="tx1"/>
            </w14:solidFill>
          </w14:textFill>
        </w:rPr>
        <w:t>⑴</w:t>
      </w:r>
      <w:r>
        <w:rPr>
          <w:rFonts w:hint="eastAsia" w:hAnsi="宋体" w:cs="宋体"/>
          <w:color w:val="000000" w:themeColor="text1"/>
          <w:sz w:val="24"/>
          <w:szCs w:val="24"/>
          <w:highlight w:val="none"/>
          <w14:textFill>
            <w14:solidFill>
              <w14:schemeClr w14:val="tx1"/>
            </w14:solidFill>
          </w14:textFill>
        </w:rPr>
        <w:fldChar w:fldCharType="end"/>
      </w:r>
      <w:r>
        <w:rPr>
          <w:rFonts w:hint="eastAsia" w:hAnsi="宋体" w:cs="宋体"/>
          <w:color w:val="000000" w:themeColor="text1"/>
          <w:sz w:val="24"/>
          <w:szCs w:val="24"/>
          <w:highlight w:val="none"/>
          <w14:textFill>
            <w14:solidFill>
              <w14:schemeClr w14:val="tx1"/>
            </w14:solidFill>
          </w14:textFill>
        </w:rPr>
        <w:t>评标办法要求的其他资料；</w:t>
      </w:r>
    </w:p>
    <w:p w14:paraId="7CDBC4FA">
      <w:pPr>
        <w:pStyle w:val="93"/>
        <w:spacing w:before="156" w:after="156" w:line="360" w:lineRule="auto"/>
        <w:ind w:firstLine="480" w:firstLineChars="200"/>
        <w:rPr>
          <w:rFonts w:hAnsi="宋体" w:cs="宋体"/>
          <w:color w:val="000000" w:themeColor="text1"/>
          <w:sz w:val="24"/>
          <w:szCs w:val="24"/>
          <w:highlight w:val="none"/>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fldChar w:fldCharType="begin"/>
      </w:r>
      <w:r>
        <w:rPr>
          <w:rFonts w:hint="eastAsia" w:hAnsi="宋体" w:cs="宋体"/>
          <w:color w:val="000000" w:themeColor="text1"/>
          <w:sz w:val="24"/>
          <w:szCs w:val="24"/>
          <w:highlight w:val="none"/>
          <w14:textFill>
            <w14:solidFill>
              <w14:schemeClr w14:val="tx1"/>
            </w14:solidFill>
          </w14:textFill>
        </w:rPr>
        <w:instrText xml:space="preserve"> = 2 \* GB2 </w:instrText>
      </w:r>
      <w:r>
        <w:rPr>
          <w:rFonts w:hint="eastAsia" w:hAnsi="宋体" w:cs="宋体"/>
          <w:color w:val="000000" w:themeColor="text1"/>
          <w:sz w:val="24"/>
          <w:szCs w:val="24"/>
          <w:highlight w:val="none"/>
          <w14:textFill>
            <w14:solidFill>
              <w14:schemeClr w14:val="tx1"/>
            </w14:solidFill>
          </w14:textFill>
        </w:rPr>
        <w:fldChar w:fldCharType="separate"/>
      </w:r>
      <w:r>
        <w:rPr>
          <w:rFonts w:hint="eastAsia" w:hAnsi="宋体" w:cs="宋体"/>
          <w:color w:val="000000" w:themeColor="text1"/>
          <w:sz w:val="24"/>
          <w:szCs w:val="24"/>
          <w:highlight w:val="none"/>
          <w14:textFill>
            <w14:solidFill>
              <w14:schemeClr w14:val="tx1"/>
            </w14:solidFill>
          </w14:textFill>
        </w:rPr>
        <w:t>⑵</w:t>
      </w:r>
      <w:r>
        <w:rPr>
          <w:rFonts w:hint="eastAsia" w:hAnsi="宋体" w:cs="宋体"/>
          <w:color w:val="000000" w:themeColor="text1"/>
          <w:sz w:val="24"/>
          <w:szCs w:val="24"/>
          <w:highlight w:val="none"/>
          <w14:textFill>
            <w14:solidFill>
              <w14:schemeClr w14:val="tx1"/>
            </w14:solidFill>
          </w14:textFill>
        </w:rPr>
        <w:fldChar w:fldCharType="end"/>
      </w:r>
      <w:r>
        <w:rPr>
          <w:rFonts w:hint="eastAsia" w:hAnsi="宋体" w:cs="宋体"/>
          <w:color w:val="000000" w:themeColor="text1"/>
          <w:sz w:val="24"/>
          <w:szCs w:val="24"/>
          <w:highlight w:val="none"/>
          <w14:textFill>
            <w14:solidFill>
              <w14:schemeClr w14:val="tx1"/>
            </w14:solidFill>
          </w14:textFill>
        </w:rPr>
        <w:t>投标人认为需要提供的其他材料，但不得出现报价。</w:t>
      </w:r>
    </w:p>
    <w:p w14:paraId="1E6DBAD8">
      <w:pPr>
        <w:spacing w:line="360" w:lineRule="auto"/>
        <w:jc w:val="center"/>
        <w:rPr>
          <w:rFonts w:ascii="宋体" w:hAnsi="宋体" w:cs="宋体"/>
          <w:color w:val="000000" w:themeColor="text1"/>
          <w:sz w:val="22"/>
          <w:szCs w:val="28"/>
          <w:highlight w:val="none"/>
          <w14:textFill>
            <w14:solidFill>
              <w14:schemeClr w14:val="tx1"/>
            </w14:solidFill>
          </w14:textFill>
        </w:rPr>
      </w:pPr>
      <w:r>
        <w:rPr>
          <w:rFonts w:hint="eastAsia" w:ascii="宋体" w:hAnsi="宋体" w:cs="宋体"/>
          <w:color w:val="000000" w:themeColor="text1"/>
          <w:sz w:val="22"/>
          <w:szCs w:val="28"/>
          <w:highlight w:val="none"/>
          <w14:textFill>
            <w14:solidFill>
              <w14:schemeClr w14:val="tx1"/>
            </w14:solidFill>
          </w14:textFill>
        </w:rPr>
        <w:br w:type="page"/>
      </w:r>
      <w:bookmarkEnd w:id="155"/>
      <w:bookmarkEnd w:id="156"/>
      <w:bookmarkStart w:id="157" w:name="_Toc65051207"/>
      <w:bookmarkStart w:id="158" w:name="_Toc58318190"/>
    </w:p>
    <w:p w14:paraId="39D3FCAE">
      <w:pPr>
        <w:spacing w:line="360" w:lineRule="auto"/>
        <w:rPr>
          <w:rFonts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2"/>
          <w:szCs w:val="28"/>
          <w:highlight w:val="none"/>
          <w14:textFill>
            <w14:solidFill>
              <w14:schemeClr w14:val="tx1"/>
            </w14:solidFill>
          </w14:textFill>
        </w:rPr>
        <w:t>（二）技术</w:t>
      </w:r>
      <w:bookmarkEnd w:id="157"/>
      <w:bookmarkEnd w:id="158"/>
      <w:bookmarkStart w:id="159" w:name="_Toc208049590"/>
      <w:r>
        <w:rPr>
          <w:rFonts w:hint="eastAsia" w:ascii="宋体" w:hAnsi="宋体" w:cs="宋体"/>
          <w:color w:val="000000" w:themeColor="text1"/>
          <w:sz w:val="32"/>
          <w:szCs w:val="28"/>
          <w:highlight w:val="none"/>
          <w14:textFill>
            <w14:solidFill>
              <w14:schemeClr w14:val="tx1"/>
            </w14:solidFill>
          </w14:textFill>
        </w:rPr>
        <w:t>部分</w:t>
      </w:r>
    </w:p>
    <w:p w14:paraId="28B4E403">
      <w:pPr>
        <w:spacing w:line="360" w:lineRule="auto"/>
        <w:jc w:val="center"/>
        <w:outlineLvl w:val="3"/>
        <w:rPr>
          <w:rFonts w:hint="eastAsia" w:ascii="宋体" w:hAnsi="宋体" w:eastAsia="宋体" w:cs="宋体"/>
          <w:b/>
          <w:bCs/>
          <w:color w:val="000000" w:themeColor="text1"/>
          <w:sz w:val="28"/>
          <w:szCs w:val="28"/>
          <w:highlight w:val="none"/>
          <w14:textFill>
            <w14:solidFill>
              <w14:schemeClr w14:val="tx1"/>
            </w14:solidFill>
          </w14:textFill>
        </w:rPr>
      </w:pPr>
      <w:bookmarkStart w:id="160" w:name="_Toc530551887"/>
      <w:bookmarkStart w:id="161" w:name="_Toc493956063"/>
      <w:r>
        <w:rPr>
          <w:rFonts w:hint="eastAsia" w:ascii="宋体" w:hAnsi="宋体" w:eastAsia="宋体" w:cs="宋体"/>
          <w:b/>
          <w:bCs/>
          <w:color w:val="000000" w:themeColor="text1"/>
          <w:sz w:val="28"/>
          <w:szCs w:val="28"/>
          <w:highlight w:val="none"/>
          <w14:textFill>
            <w14:solidFill>
              <w14:schemeClr w14:val="tx1"/>
            </w14:solidFill>
          </w14:textFill>
        </w:rPr>
        <w:t>1、商务响应表</w:t>
      </w:r>
    </w:p>
    <w:p w14:paraId="166B34ED">
      <w:pPr>
        <w:pStyle w:val="95"/>
        <w:spacing w:line="560" w:lineRule="exact"/>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项目编号：</w:t>
      </w:r>
    </w:p>
    <w:p w14:paraId="3542D37B">
      <w:pPr>
        <w:pStyle w:val="95"/>
        <w:spacing w:line="560" w:lineRule="exact"/>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项目名称：                               标项（若有）：</w:t>
      </w:r>
    </w:p>
    <w:tbl>
      <w:tblPr>
        <w:tblStyle w:val="28"/>
        <w:tblW w:w="99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3446"/>
        <w:gridCol w:w="2969"/>
        <w:gridCol w:w="2347"/>
      </w:tblGrid>
      <w:tr w14:paraId="220E1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2C513CBB">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序号</w:t>
            </w:r>
          </w:p>
        </w:tc>
        <w:tc>
          <w:tcPr>
            <w:tcW w:w="3446" w:type="dxa"/>
            <w:vAlign w:val="center"/>
          </w:tcPr>
          <w:p w14:paraId="60949B07">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采购</w:t>
            </w:r>
            <w:r>
              <w:rPr>
                <w:rFonts w:hint="eastAsia" w:ascii="宋体" w:hAnsi="宋体" w:eastAsia="宋体" w:cs="宋体"/>
                <w:color w:val="000000" w:themeColor="text1"/>
                <w:sz w:val="24"/>
                <w:highlight w:val="none"/>
                <w14:textFill>
                  <w14:solidFill>
                    <w14:schemeClr w14:val="tx1"/>
                  </w14:solidFill>
                </w14:textFill>
              </w:rPr>
              <w:t>文件要求</w:t>
            </w:r>
          </w:p>
        </w:tc>
        <w:tc>
          <w:tcPr>
            <w:tcW w:w="2969" w:type="dxa"/>
            <w:vAlign w:val="center"/>
          </w:tcPr>
          <w:p w14:paraId="1DAD0ECD">
            <w:pPr>
              <w:pStyle w:val="95"/>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供应商</w:t>
            </w:r>
            <w:r>
              <w:rPr>
                <w:rFonts w:hint="eastAsia" w:ascii="宋体" w:hAnsi="宋体" w:cs="宋体"/>
                <w:color w:val="000000" w:themeColor="text1"/>
                <w:sz w:val="24"/>
                <w:highlight w:val="none"/>
                <w:lang w:eastAsia="zh-CN"/>
                <w14:textFill>
                  <w14:solidFill>
                    <w14:schemeClr w14:val="tx1"/>
                  </w14:solidFill>
                </w14:textFill>
              </w:rPr>
              <w:t>是否响应</w:t>
            </w:r>
          </w:p>
        </w:tc>
        <w:tc>
          <w:tcPr>
            <w:tcW w:w="2347" w:type="dxa"/>
            <w:vAlign w:val="center"/>
          </w:tcPr>
          <w:p w14:paraId="4B2464F3">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备注</w:t>
            </w:r>
          </w:p>
        </w:tc>
      </w:tr>
      <w:tr w14:paraId="7CD56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6EBEEDCF">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tc>
        <w:tc>
          <w:tcPr>
            <w:tcW w:w="3446" w:type="dxa"/>
            <w:vAlign w:val="center"/>
          </w:tcPr>
          <w:p w14:paraId="5FCCAD1F">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00D97D14">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6617DB8D">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7B448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7794831C">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tc>
        <w:tc>
          <w:tcPr>
            <w:tcW w:w="3446" w:type="dxa"/>
            <w:vAlign w:val="center"/>
          </w:tcPr>
          <w:p w14:paraId="43507585">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2D1D47DA">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09F30C74">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5C543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3155ACFD">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3</w:t>
            </w:r>
          </w:p>
        </w:tc>
        <w:tc>
          <w:tcPr>
            <w:tcW w:w="3446" w:type="dxa"/>
            <w:vAlign w:val="center"/>
          </w:tcPr>
          <w:p w14:paraId="4F8ACE05">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60431443">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71C08FD2">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0B435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673FFFBF">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w:t>
            </w:r>
          </w:p>
        </w:tc>
        <w:tc>
          <w:tcPr>
            <w:tcW w:w="3446" w:type="dxa"/>
            <w:vAlign w:val="center"/>
          </w:tcPr>
          <w:p w14:paraId="63D9CF66">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787BA302">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1B736A29">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7D007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6C1122AB">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5</w:t>
            </w:r>
          </w:p>
        </w:tc>
        <w:tc>
          <w:tcPr>
            <w:tcW w:w="3446" w:type="dxa"/>
            <w:vAlign w:val="center"/>
          </w:tcPr>
          <w:p w14:paraId="13006BB6">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45895FB7">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43F4C017">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616E9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216" w:type="dxa"/>
            <w:vAlign w:val="center"/>
          </w:tcPr>
          <w:p w14:paraId="384219CF">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6</w:t>
            </w:r>
          </w:p>
        </w:tc>
        <w:tc>
          <w:tcPr>
            <w:tcW w:w="3446" w:type="dxa"/>
            <w:vAlign w:val="center"/>
          </w:tcPr>
          <w:p w14:paraId="5A1ABE98">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05203191">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2560C85E">
            <w:pPr>
              <w:pStyle w:val="95"/>
              <w:jc w:val="center"/>
              <w:rPr>
                <w:rFonts w:hint="eastAsia" w:ascii="宋体" w:hAnsi="宋体" w:eastAsia="宋体" w:cs="宋体"/>
                <w:color w:val="000000" w:themeColor="text1"/>
                <w:sz w:val="24"/>
                <w:highlight w:val="none"/>
                <w14:textFill>
                  <w14:solidFill>
                    <w14:schemeClr w14:val="tx1"/>
                  </w14:solidFill>
                </w14:textFill>
              </w:rPr>
            </w:pPr>
          </w:p>
        </w:tc>
      </w:tr>
      <w:tr w14:paraId="68C36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1216" w:type="dxa"/>
            <w:vAlign w:val="center"/>
          </w:tcPr>
          <w:p w14:paraId="660FEC70">
            <w:pPr>
              <w:pStyle w:val="9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7</w:t>
            </w:r>
          </w:p>
        </w:tc>
        <w:tc>
          <w:tcPr>
            <w:tcW w:w="3446" w:type="dxa"/>
            <w:vAlign w:val="center"/>
          </w:tcPr>
          <w:p w14:paraId="7711C527">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969" w:type="dxa"/>
            <w:vAlign w:val="center"/>
          </w:tcPr>
          <w:p w14:paraId="4EDFBA1A">
            <w:pPr>
              <w:pStyle w:val="95"/>
              <w:jc w:val="center"/>
              <w:rPr>
                <w:rFonts w:hint="eastAsia" w:ascii="宋体" w:hAnsi="宋体" w:eastAsia="宋体" w:cs="宋体"/>
                <w:color w:val="000000" w:themeColor="text1"/>
                <w:sz w:val="24"/>
                <w:highlight w:val="none"/>
                <w14:textFill>
                  <w14:solidFill>
                    <w14:schemeClr w14:val="tx1"/>
                  </w14:solidFill>
                </w14:textFill>
              </w:rPr>
            </w:pPr>
          </w:p>
        </w:tc>
        <w:tc>
          <w:tcPr>
            <w:tcW w:w="2347" w:type="dxa"/>
            <w:vAlign w:val="center"/>
          </w:tcPr>
          <w:p w14:paraId="7AE13CC2">
            <w:pPr>
              <w:pStyle w:val="95"/>
              <w:jc w:val="center"/>
              <w:rPr>
                <w:rFonts w:hint="eastAsia" w:ascii="宋体" w:hAnsi="宋体" w:eastAsia="宋体" w:cs="宋体"/>
                <w:color w:val="000000" w:themeColor="text1"/>
                <w:sz w:val="24"/>
                <w:highlight w:val="none"/>
                <w14:textFill>
                  <w14:solidFill>
                    <w14:schemeClr w14:val="tx1"/>
                  </w14:solidFill>
                </w14:textFill>
              </w:rPr>
            </w:pPr>
          </w:p>
        </w:tc>
      </w:tr>
    </w:tbl>
    <w:p w14:paraId="009B050E">
      <w:pPr>
        <w:pStyle w:val="18"/>
        <w:snapToGrid w:val="0"/>
        <w:ind w:left="480" w:hanging="480"/>
        <w:jc w:val="left"/>
        <w:rPr>
          <w:rFonts w:hint="eastAsia" w:ascii="宋体" w:hAnsi="宋体" w:eastAsia="宋体" w:cs="宋体"/>
          <w:color w:val="000000" w:themeColor="text1"/>
          <w:sz w:val="24"/>
          <w:highlight w:val="none"/>
          <w14:textFill>
            <w14:solidFill>
              <w14:schemeClr w14:val="tx1"/>
            </w14:solidFill>
          </w14:textFill>
        </w:rPr>
      </w:pPr>
    </w:p>
    <w:p w14:paraId="030B669D">
      <w:pPr>
        <w:pStyle w:val="87"/>
        <w:wordWrap w:val="0"/>
        <w:spacing w:line="360" w:lineRule="auto"/>
        <w:ind w:firstLine="480"/>
        <w:jc w:val="right"/>
        <w:rPr>
          <w:rFonts w:hint="eastAsia" w:ascii="宋体" w:hAnsi="宋体" w:eastAsia="宋体" w:cs="宋体"/>
          <w:color w:val="000000" w:themeColor="text1"/>
          <w:sz w:val="24"/>
          <w:highlight w:val="none"/>
          <w:u w:val="singl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供应商盖章：</w:t>
      </w:r>
      <w:r>
        <w:rPr>
          <w:rFonts w:hint="eastAsia" w:ascii="宋体" w:hAnsi="宋体" w:eastAsia="宋体" w:cs="宋体"/>
          <w:color w:val="000000" w:themeColor="text1"/>
          <w:sz w:val="24"/>
          <w:highlight w:val="none"/>
          <w:u w:val="single"/>
          <w14:textFill>
            <w14:solidFill>
              <w14:schemeClr w14:val="tx1"/>
            </w14:solidFill>
          </w14:textFill>
        </w:rPr>
        <w:t xml:space="preserve">                </w:t>
      </w:r>
    </w:p>
    <w:p w14:paraId="59410D45">
      <w:pPr>
        <w:pStyle w:val="89"/>
        <w:spacing w:line="360" w:lineRule="auto"/>
        <w:ind w:firstLine="480" w:firstLineChars="200"/>
        <w:jc w:val="center"/>
        <w:rPr>
          <w:rFonts w:hint="default" w:ascii="Times New Roman" w:hAnsi="Times New Roman" w:eastAsia="宋体" w:cs="Times New Roman"/>
          <w:kern w:val="2"/>
          <w:sz w:val="21"/>
          <w:szCs w:val="24"/>
          <w:u w:val="single"/>
          <w:lang w:val="en-US" w:eastAsia="zh-CN" w:bidi="ar-SA"/>
        </w:rPr>
      </w:pPr>
      <w:r>
        <w:rPr>
          <w:rFonts w:hint="eastAsia" w:hAnsi="宋体" w:cs="宋体"/>
          <w:color w:val="000000" w:themeColor="text1"/>
          <w:sz w:val="24"/>
          <w:szCs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4"/>
          <w:szCs w:val="24"/>
          <w:highlight w:val="none"/>
          <w14:textFill>
            <w14:solidFill>
              <w14:schemeClr w14:val="tx1"/>
            </w14:solidFill>
          </w14:textFill>
        </w:rPr>
        <w:t>日      期：</w:t>
      </w:r>
      <w:r>
        <w:rPr>
          <w:rFonts w:hint="eastAsia" w:hAnsi="宋体" w:cs="宋体"/>
          <w:color w:val="000000" w:themeColor="text1"/>
          <w:sz w:val="24"/>
          <w:szCs w:val="24"/>
          <w:highlight w:val="none"/>
          <w:u w:val="single"/>
          <w:lang w:val="en-US" w:eastAsia="zh-CN"/>
          <w14:textFill>
            <w14:solidFill>
              <w14:schemeClr w14:val="tx1"/>
            </w14:solidFill>
          </w14:textFill>
        </w:rPr>
        <w:t xml:space="preserve">                </w:t>
      </w:r>
    </w:p>
    <w:p w14:paraId="49188DC1">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441F642C">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4DF17FDD">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784EA58C">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5212700C">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1C7C6450">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55BFF426">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321E8ACD">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5E1BA87D">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52B44823">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2C03A92E">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0B272B75">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4581E471">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6EBD5F9C">
      <w:pPr>
        <w:rPr>
          <w:rFonts w:hint="eastAsia" w:ascii="宋体" w:hAnsi="宋体" w:cs="宋体"/>
          <w:b/>
          <w:bCs/>
          <w:color w:val="000000" w:themeColor="text1"/>
          <w:sz w:val="28"/>
          <w:szCs w:val="28"/>
          <w:highlight w:val="none"/>
          <w:lang w:val="en-US" w:eastAsia="zh-CN"/>
          <w14:textFill>
            <w14:solidFill>
              <w14:schemeClr w14:val="tx1"/>
            </w14:solidFill>
          </w14:textFill>
        </w:rPr>
      </w:pPr>
    </w:p>
    <w:p w14:paraId="325A247F">
      <w:pPr>
        <w:rPr>
          <w:rFonts w:ascii="宋体" w:hAnsi="宋体" w:eastAsia="宋体" w:cs="宋体"/>
          <w:color w:val="000000" w:themeColor="text1"/>
          <w:sz w:val="28"/>
          <w:szCs w:val="28"/>
          <w:highlight w:val="none"/>
          <w14:textFill>
            <w14:solidFill>
              <w14:schemeClr w14:val="tx1"/>
            </w14:solidFill>
          </w14:textFill>
        </w:rPr>
      </w:pPr>
      <w:r>
        <w:rPr>
          <w:rFonts w:hint="eastAsia" w:ascii="宋体" w:hAnsi="宋体" w:cs="宋体"/>
          <w:b/>
          <w:bCs/>
          <w:color w:val="000000" w:themeColor="text1"/>
          <w:sz w:val="28"/>
          <w:szCs w:val="28"/>
          <w:highlight w:val="none"/>
          <w:lang w:val="en-US" w:eastAsia="zh-CN"/>
          <w14:textFill>
            <w14:solidFill>
              <w14:schemeClr w14:val="tx1"/>
            </w14:solidFill>
          </w14:textFill>
        </w:rPr>
        <w:t>2</w:t>
      </w:r>
      <w:r>
        <w:rPr>
          <w:rFonts w:hint="eastAsia" w:ascii="宋体" w:hAnsi="宋体" w:eastAsia="宋体" w:cs="宋体"/>
          <w:b/>
          <w:bCs/>
          <w:color w:val="000000" w:themeColor="text1"/>
          <w:sz w:val="28"/>
          <w:szCs w:val="28"/>
          <w:highlight w:val="none"/>
          <w14:textFill>
            <w14:solidFill>
              <w14:schemeClr w14:val="tx1"/>
            </w14:solidFill>
          </w14:textFill>
        </w:rPr>
        <w:t>、技术规格偏离表</w:t>
      </w:r>
    </w:p>
    <w:p w14:paraId="4E353254">
      <w:pPr>
        <w:pStyle w:val="5"/>
        <w:spacing w:before="0" w:after="0"/>
        <w:ind w:firstLine="0" w:firstLineChars="0"/>
        <w:jc w:val="center"/>
        <w:outlineLvl w:val="4"/>
        <w:rPr>
          <w:rFonts w:hint="eastAsia" w:ascii="宋体" w:hAnsi="宋体" w:eastAsia="宋体" w:cs="宋体"/>
          <w:color w:val="000000" w:themeColor="text1"/>
          <w:sz w:val="28"/>
          <w:szCs w:val="28"/>
          <w:highlight w:val="none"/>
          <w14:textFill>
            <w14:solidFill>
              <w14:schemeClr w14:val="tx1"/>
            </w14:solidFill>
          </w14:textFill>
        </w:rPr>
      </w:pPr>
      <w:bookmarkStart w:id="162" w:name="_Toc2978"/>
      <w:bookmarkStart w:id="163" w:name="_Toc8209"/>
      <w:bookmarkStart w:id="164" w:name="_Toc22428"/>
      <w:bookmarkStart w:id="165" w:name="_Toc1752"/>
      <w:r>
        <w:rPr>
          <w:rFonts w:hint="eastAsia" w:ascii="宋体" w:hAnsi="宋体" w:eastAsia="宋体" w:cs="宋体"/>
          <w:color w:val="000000" w:themeColor="text1"/>
          <w:sz w:val="28"/>
          <w:szCs w:val="28"/>
          <w:highlight w:val="none"/>
          <w14:textFill>
            <w14:solidFill>
              <w14:schemeClr w14:val="tx1"/>
            </w14:solidFill>
          </w14:textFill>
        </w:rPr>
        <w:t>技术规格偏离表</w:t>
      </w:r>
      <w:bookmarkEnd w:id="162"/>
      <w:bookmarkEnd w:id="163"/>
      <w:bookmarkEnd w:id="164"/>
      <w:bookmarkEnd w:id="165"/>
    </w:p>
    <w:tbl>
      <w:tblPr>
        <w:tblStyle w:val="28"/>
        <w:tblpPr w:leftFromText="180" w:rightFromText="180" w:vertAnchor="text" w:horzAnchor="page" w:tblpX="1308" w:tblpY="618"/>
        <w:tblOverlap w:val="never"/>
        <w:tblW w:w="9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2389"/>
        <w:gridCol w:w="1831"/>
        <w:gridCol w:w="1350"/>
        <w:gridCol w:w="1740"/>
        <w:gridCol w:w="1290"/>
      </w:tblGrid>
      <w:tr w14:paraId="1523B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695" w:type="dxa"/>
            <w:tcBorders>
              <w:top w:val="single" w:color="auto" w:sz="4" w:space="0"/>
              <w:left w:val="single" w:color="auto" w:sz="4" w:space="0"/>
              <w:right w:val="single" w:color="auto" w:sz="4" w:space="0"/>
            </w:tcBorders>
            <w:vAlign w:val="center"/>
          </w:tcPr>
          <w:p w14:paraId="017F0612">
            <w:pPr>
              <w:pStyle w:val="105"/>
              <w:tabs>
                <w:tab w:val="left" w:pos="3200"/>
              </w:tabs>
              <w:jc w:val="center"/>
              <w:rPr>
                <w:rFonts w:hint="eastAsia" w:ascii="宋体" w:hAnsi="宋体" w:eastAsia="宋体" w:cs="宋体"/>
                <w:b/>
                <w:bCs/>
                <w:color w:val="000000" w:themeColor="text1"/>
                <w:sz w:val="24"/>
                <w:highlight w:val="none"/>
                <w14:textFill>
                  <w14:solidFill>
                    <w14:schemeClr w14:val="tx1"/>
                  </w14:solidFill>
                </w14:textFill>
              </w:rPr>
            </w:pPr>
            <w:r>
              <w:rPr>
                <w:rFonts w:hint="eastAsia" w:ascii="宋体" w:hAnsi="宋体" w:eastAsia="宋体" w:cs="宋体"/>
                <w:b/>
                <w:bCs/>
                <w:color w:val="000000" w:themeColor="text1"/>
                <w:sz w:val="24"/>
                <w:highlight w:val="none"/>
                <w14:textFill>
                  <w14:solidFill>
                    <w14:schemeClr w14:val="tx1"/>
                  </w14:solidFill>
                </w14:textFill>
              </w:rPr>
              <w:t>序号</w:t>
            </w:r>
          </w:p>
        </w:tc>
        <w:tc>
          <w:tcPr>
            <w:tcW w:w="2389" w:type="dxa"/>
            <w:tcBorders>
              <w:top w:val="single" w:color="auto" w:sz="4" w:space="0"/>
              <w:left w:val="single" w:color="auto" w:sz="4" w:space="0"/>
              <w:right w:val="single" w:color="auto" w:sz="4" w:space="0"/>
            </w:tcBorders>
            <w:vAlign w:val="center"/>
          </w:tcPr>
          <w:p w14:paraId="101CEE00">
            <w:pPr>
              <w:pStyle w:val="105"/>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招标文件要求</w:t>
            </w:r>
            <w:r>
              <w:rPr>
                <w:rFonts w:hint="eastAsia" w:ascii="宋体" w:hAnsi="宋体" w:cs="宋体"/>
                <w:color w:val="000000" w:themeColor="text1"/>
                <w:sz w:val="24"/>
                <w:highlight w:val="none"/>
                <w:lang w:eastAsia="zh-CN"/>
                <w14:textFill>
                  <w14:solidFill>
                    <w14:schemeClr w14:val="tx1"/>
                  </w14:solidFill>
                </w14:textFill>
              </w:rPr>
              <w:t>的规格参数</w:t>
            </w:r>
          </w:p>
        </w:tc>
        <w:tc>
          <w:tcPr>
            <w:tcW w:w="1831" w:type="dxa"/>
            <w:tcBorders>
              <w:top w:val="single" w:color="auto" w:sz="4" w:space="0"/>
              <w:left w:val="single" w:color="auto" w:sz="4" w:space="0"/>
              <w:right w:val="single" w:color="auto" w:sz="4" w:space="0"/>
            </w:tcBorders>
            <w:vAlign w:val="center"/>
          </w:tcPr>
          <w:p w14:paraId="6B7ED4DB">
            <w:pPr>
              <w:pStyle w:val="105"/>
              <w:jc w:val="center"/>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投标产品详细规格</w:t>
            </w:r>
            <w:r>
              <w:rPr>
                <w:rFonts w:hint="eastAsia" w:ascii="宋体" w:hAnsi="宋体" w:eastAsia="宋体" w:cs="宋体"/>
                <w:color w:val="000000" w:themeColor="text1"/>
                <w:sz w:val="24"/>
                <w:highlight w:val="none"/>
                <w:lang w:eastAsia="zh-CN"/>
                <w14:textFill>
                  <w14:solidFill>
                    <w14:schemeClr w14:val="tx1"/>
                  </w14:solidFill>
                </w14:textFill>
              </w:rPr>
              <w:t>参数</w:t>
            </w:r>
          </w:p>
        </w:tc>
        <w:tc>
          <w:tcPr>
            <w:tcW w:w="1350" w:type="dxa"/>
            <w:tcBorders>
              <w:top w:val="single" w:color="auto" w:sz="4" w:space="0"/>
              <w:left w:val="single" w:color="auto" w:sz="4" w:space="0"/>
              <w:right w:val="single" w:color="auto" w:sz="4" w:space="0"/>
            </w:tcBorders>
            <w:vAlign w:val="center"/>
          </w:tcPr>
          <w:p w14:paraId="51859DB3">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偏离情况</w:t>
            </w:r>
          </w:p>
        </w:tc>
        <w:tc>
          <w:tcPr>
            <w:tcW w:w="1740" w:type="dxa"/>
            <w:tcBorders>
              <w:top w:val="single" w:color="auto" w:sz="4" w:space="0"/>
              <w:left w:val="single" w:color="auto" w:sz="4" w:space="0"/>
              <w:right w:val="single" w:color="auto" w:sz="4" w:space="0"/>
            </w:tcBorders>
            <w:vAlign w:val="center"/>
          </w:tcPr>
          <w:p w14:paraId="10D8A176">
            <w:pPr>
              <w:pStyle w:val="105"/>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提供的相应</w:t>
            </w:r>
            <w:r>
              <w:rPr>
                <w:rFonts w:hint="eastAsia" w:ascii="宋体" w:hAnsi="宋体" w:cs="宋体"/>
                <w:color w:val="000000" w:themeColor="text1"/>
                <w:sz w:val="24"/>
                <w:highlight w:val="none"/>
                <w14:textFill>
                  <w14:solidFill>
                    <w14:schemeClr w14:val="tx1"/>
                  </w14:solidFill>
                </w14:textFill>
              </w:rPr>
              <w:t>佐证</w:t>
            </w:r>
            <w:r>
              <w:rPr>
                <w:rFonts w:hint="eastAsia" w:ascii="宋体" w:hAnsi="宋体" w:eastAsia="宋体" w:cs="宋体"/>
                <w:color w:val="000000" w:themeColor="text1"/>
                <w:sz w:val="24"/>
                <w:highlight w:val="none"/>
                <w:lang w:eastAsia="zh-CN"/>
                <w14:textFill>
                  <w14:solidFill>
                    <w14:schemeClr w14:val="tx1"/>
                  </w14:solidFill>
                </w14:textFill>
              </w:rPr>
              <w:t>材料</w:t>
            </w:r>
            <w:r>
              <w:rPr>
                <w:rFonts w:hint="eastAsia" w:ascii="宋体" w:hAnsi="宋体" w:cs="宋体"/>
                <w:color w:val="000000" w:themeColor="text1"/>
                <w:sz w:val="24"/>
                <w:highlight w:val="none"/>
                <w:lang w:eastAsia="zh-CN"/>
                <w14:textFill>
                  <w14:solidFill>
                    <w14:schemeClr w14:val="tx1"/>
                  </w14:solidFill>
                </w14:textFill>
              </w:rPr>
              <w:t>对应</w:t>
            </w:r>
            <w:r>
              <w:rPr>
                <w:rFonts w:hint="eastAsia" w:ascii="宋体" w:hAnsi="宋体" w:eastAsia="宋体" w:cs="宋体"/>
                <w:color w:val="000000" w:themeColor="text1"/>
                <w:sz w:val="24"/>
                <w:highlight w:val="none"/>
                <w:lang w:eastAsia="zh-CN"/>
                <w14:textFill>
                  <w14:solidFill>
                    <w14:schemeClr w14:val="tx1"/>
                  </w14:solidFill>
                </w14:textFill>
              </w:rPr>
              <w:t>的页码</w:t>
            </w:r>
            <w:r>
              <w:rPr>
                <w:rFonts w:hint="eastAsia" w:ascii="宋体" w:hAnsi="宋体" w:cs="宋体"/>
                <w:color w:val="000000" w:themeColor="text1"/>
                <w:sz w:val="24"/>
                <w:highlight w:val="none"/>
                <w:lang w:eastAsia="zh-CN"/>
                <w14:textFill>
                  <w14:solidFill>
                    <w14:schemeClr w14:val="tx1"/>
                  </w14:solidFill>
                </w14:textFill>
              </w:rPr>
              <w:t>（如有）</w:t>
            </w:r>
          </w:p>
        </w:tc>
        <w:tc>
          <w:tcPr>
            <w:tcW w:w="1290" w:type="dxa"/>
            <w:tcBorders>
              <w:top w:val="single" w:color="auto" w:sz="4" w:space="0"/>
              <w:left w:val="single" w:color="auto" w:sz="4" w:space="0"/>
              <w:right w:val="single" w:color="auto" w:sz="4" w:space="0"/>
            </w:tcBorders>
            <w:vAlign w:val="center"/>
          </w:tcPr>
          <w:p w14:paraId="0C78FE90">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备注</w:t>
            </w:r>
          </w:p>
        </w:tc>
      </w:tr>
      <w:tr w14:paraId="5A725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95" w:type="dxa"/>
            <w:tcBorders>
              <w:left w:val="single" w:color="auto" w:sz="4" w:space="0"/>
              <w:right w:val="single" w:color="auto" w:sz="4" w:space="0"/>
            </w:tcBorders>
            <w:vAlign w:val="center"/>
          </w:tcPr>
          <w:p w14:paraId="0723F135">
            <w:pPr>
              <w:pStyle w:val="105"/>
              <w:tabs>
                <w:tab w:val="left" w:pos="3200"/>
              </w:tabs>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1</w:t>
            </w:r>
          </w:p>
        </w:tc>
        <w:tc>
          <w:tcPr>
            <w:tcW w:w="2389" w:type="dxa"/>
            <w:tcBorders>
              <w:top w:val="single" w:color="auto" w:sz="4" w:space="0"/>
              <w:left w:val="single" w:color="auto" w:sz="4" w:space="0"/>
              <w:bottom w:val="single" w:color="auto" w:sz="4" w:space="0"/>
              <w:right w:val="single" w:color="auto" w:sz="4" w:space="0"/>
            </w:tcBorders>
            <w:vAlign w:val="center"/>
          </w:tcPr>
          <w:p w14:paraId="74124E47">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831" w:type="dxa"/>
            <w:tcBorders>
              <w:top w:val="single" w:color="auto" w:sz="4" w:space="0"/>
              <w:left w:val="single" w:color="auto" w:sz="4" w:space="0"/>
              <w:bottom w:val="single" w:color="auto" w:sz="4" w:space="0"/>
              <w:right w:val="single" w:color="auto" w:sz="4" w:space="0"/>
            </w:tcBorders>
            <w:vAlign w:val="center"/>
          </w:tcPr>
          <w:p w14:paraId="3ACE18F9">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350" w:type="dxa"/>
            <w:tcBorders>
              <w:top w:val="single" w:color="auto" w:sz="4" w:space="0"/>
              <w:left w:val="single" w:color="auto" w:sz="4" w:space="0"/>
              <w:bottom w:val="single" w:color="auto" w:sz="4" w:space="0"/>
              <w:right w:val="single" w:color="auto" w:sz="4" w:space="0"/>
            </w:tcBorders>
            <w:vAlign w:val="center"/>
          </w:tcPr>
          <w:p w14:paraId="6FF7104B">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740" w:type="dxa"/>
            <w:tcBorders>
              <w:top w:val="single" w:color="auto" w:sz="4" w:space="0"/>
              <w:left w:val="single" w:color="auto" w:sz="4" w:space="0"/>
              <w:bottom w:val="single" w:color="auto" w:sz="4" w:space="0"/>
              <w:right w:val="single" w:color="auto" w:sz="4" w:space="0"/>
            </w:tcBorders>
            <w:vAlign w:val="center"/>
          </w:tcPr>
          <w:p w14:paraId="3744117D">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290" w:type="dxa"/>
            <w:tcBorders>
              <w:top w:val="single" w:color="auto" w:sz="4" w:space="0"/>
              <w:left w:val="single" w:color="auto" w:sz="4" w:space="0"/>
              <w:bottom w:val="single" w:color="auto" w:sz="4" w:space="0"/>
              <w:right w:val="single" w:color="auto" w:sz="4" w:space="0"/>
            </w:tcBorders>
            <w:vAlign w:val="center"/>
          </w:tcPr>
          <w:p w14:paraId="29A14EBD">
            <w:pPr>
              <w:pStyle w:val="105"/>
              <w:jc w:val="center"/>
              <w:rPr>
                <w:rFonts w:hint="eastAsia" w:ascii="宋体" w:hAnsi="宋体" w:eastAsia="宋体" w:cs="宋体"/>
                <w:color w:val="000000" w:themeColor="text1"/>
                <w:sz w:val="24"/>
                <w:highlight w:val="none"/>
                <w14:textFill>
                  <w14:solidFill>
                    <w14:schemeClr w14:val="tx1"/>
                  </w14:solidFill>
                </w14:textFill>
              </w:rPr>
            </w:pPr>
          </w:p>
        </w:tc>
      </w:tr>
      <w:tr w14:paraId="175DE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95" w:type="dxa"/>
            <w:tcBorders>
              <w:left w:val="single" w:color="auto" w:sz="4" w:space="0"/>
              <w:right w:val="single" w:color="auto" w:sz="4" w:space="0"/>
            </w:tcBorders>
            <w:vAlign w:val="center"/>
          </w:tcPr>
          <w:p w14:paraId="1CC297D1">
            <w:pPr>
              <w:pStyle w:val="105"/>
              <w:tabs>
                <w:tab w:val="left" w:pos="3200"/>
              </w:tabs>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2</w:t>
            </w:r>
          </w:p>
        </w:tc>
        <w:tc>
          <w:tcPr>
            <w:tcW w:w="2389" w:type="dxa"/>
            <w:tcBorders>
              <w:top w:val="single" w:color="auto" w:sz="4" w:space="0"/>
              <w:left w:val="single" w:color="auto" w:sz="4" w:space="0"/>
              <w:bottom w:val="single" w:color="auto" w:sz="4" w:space="0"/>
              <w:right w:val="single" w:color="auto" w:sz="4" w:space="0"/>
            </w:tcBorders>
            <w:vAlign w:val="center"/>
          </w:tcPr>
          <w:p w14:paraId="4A3DCF3E">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831" w:type="dxa"/>
            <w:tcBorders>
              <w:top w:val="single" w:color="auto" w:sz="4" w:space="0"/>
              <w:left w:val="single" w:color="auto" w:sz="4" w:space="0"/>
              <w:bottom w:val="single" w:color="auto" w:sz="4" w:space="0"/>
              <w:right w:val="single" w:color="auto" w:sz="4" w:space="0"/>
            </w:tcBorders>
            <w:vAlign w:val="center"/>
          </w:tcPr>
          <w:p w14:paraId="338CA6EF">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350" w:type="dxa"/>
            <w:tcBorders>
              <w:top w:val="single" w:color="auto" w:sz="4" w:space="0"/>
              <w:left w:val="single" w:color="auto" w:sz="4" w:space="0"/>
              <w:bottom w:val="single" w:color="auto" w:sz="4" w:space="0"/>
              <w:right w:val="single" w:color="auto" w:sz="4" w:space="0"/>
            </w:tcBorders>
            <w:vAlign w:val="center"/>
          </w:tcPr>
          <w:p w14:paraId="26556A5B">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740" w:type="dxa"/>
            <w:tcBorders>
              <w:top w:val="single" w:color="auto" w:sz="4" w:space="0"/>
              <w:left w:val="single" w:color="auto" w:sz="4" w:space="0"/>
              <w:bottom w:val="single" w:color="auto" w:sz="4" w:space="0"/>
              <w:right w:val="single" w:color="auto" w:sz="4" w:space="0"/>
            </w:tcBorders>
            <w:vAlign w:val="center"/>
          </w:tcPr>
          <w:p w14:paraId="563870C0">
            <w:pPr>
              <w:pStyle w:val="105"/>
              <w:jc w:val="center"/>
              <w:rPr>
                <w:rFonts w:hint="eastAsia" w:ascii="宋体" w:hAnsi="宋体" w:eastAsia="宋体" w:cs="宋体"/>
                <w:color w:val="000000" w:themeColor="text1"/>
                <w:sz w:val="24"/>
                <w:highlight w:val="none"/>
                <w14:textFill>
                  <w14:solidFill>
                    <w14:schemeClr w14:val="tx1"/>
                  </w14:solidFill>
                </w14:textFill>
              </w:rPr>
            </w:pPr>
          </w:p>
        </w:tc>
        <w:tc>
          <w:tcPr>
            <w:tcW w:w="1290" w:type="dxa"/>
            <w:tcBorders>
              <w:top w:val="single" w:color="auto" w:sz="4" w:space="0"/>
              <w:left w:val="single" w:color="auto" w:sz="4" w:space="0"/>
              <w:bottom w:val="single" w:color="auto" w:sz="4" w:space="0"/>
              <w:right w:val="single" w:color="auto" w:sz="4" w:space="0"/>
            </w:tcBorders>
            <w:vAlign w:val="center"/>
          </w:tcPr>
          <w:p w14:paraId="62E0E1E7">
            <w:pPr>
              <w:pStyle w:val="105"/>
              <w:jc w:val="center"/>
              <w:rPr>
                <w:rFonts w:hint="eastAsia" w:ascii="宋体" w:hAnsi="宋体" w:eastAsia="宋体" w:cs="宋体"/>
                <w:color w:val="000000" w:themeColor="text1"/>
                <w:sz w:val="24"/>
                <w:highlight w:val="none"/>
                <w14:textFill>
                  <w14:solidFill>
                    <w14:schemeClr w14:val="tx1"/>
                  </w14:solidFill>
                </w14:textFill>
              </w:rPr>
            </w:pPr>
          </w:p>
        </w:tc>
      </w:tr>
      <w:tr w14:paraId="7B2E2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95" w:type="dxa"/>
            <w:tcBorders>
              <w:left w:val="single" w:color="auto" w:sz="4" w:space="0"/>
              <w:right w:val="single" w:color="auto" w:sz="4" w:space="0"/>
            </w:tcBorders>
            <w:vAlign w:val="center"/>
          </w:tcPr>
          <w:p w14:paraId="6F6E812F">
            <w:pPr>
              <w:pStyle w:val="105"/>
              <w:tabs>
                <w:tab w:val="left" w:pos="3200"/>
              </w:tabs>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c>
          <w:tcPr>
            <w:tcW w:w="2389" w:type="dxa"/>
            <w:tcBorders>
              <w:top w:val="single" w:color="auto" w:sz="4" w:space="0"/>
              <w:left w:val="single" w:color="auto" w:sz="4" w:space="0"/>
              <w:bottom w:val="single" w:color="auto" w:sz="4" w:space="0"/>
              <w:right w:val="single" w:color="auto" w:sz="4" w:space="0"/>
            </w:tcBorders>
            <w:vAlign w:val="center"/>
          </w:tcPr>
          <w:p w14:paraId="10886783">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c>
          <w:tcPr>
            <w:tcW w:w="1831" w:type="dxa"/>
            <w:tcBorders>
              <w:top w:val="single" w:color="auto" w:sz="4" w:space="0"/>
              <w:left w:val="single" w:color="auto" w:sz="4" w:space="0"/>
              <w:bottom w:val="single" w:color="auto" w:sz="4" w:space="0"/>
              <w:right w:val="single" w:color="auto" w:sz="4" w:space="0"/>
            </w:tcBorders>
            <w:vAlign w:val="center"/>
          </w:tcPr>
          <w:p w14:paraId="3F9F8471">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c>
          <w:tcPr>
            <w:tcW w:w="1350" w:type="dxa"/>
            <w:tcBorders>
              <w:top w:val="single" w:color="auto" w:sz="4" w:space="0"/>
              <w:left w:val="single" w:color="auto" w:sz="4" w:space="0"/>
              <w:bottom w:val="single" w:color="auto" w:sz="4" w:space="0"/>
              <w:right w:val="single" w:color="auto" w:sz="4" w:space="0"/>
            </w:tcBorders>
            <w:vAlign w:val="center"/>
          </w:tcPr>
          <w:p w14:paraId="62A58E85">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c>
          <w:tcPr>
            <w:tcW w:w="1740" w:type="dxa"/>
            <w:tcBorders>
              <w:top w:val="single" w:color="auto" w:sz="4" w:space="0"/>
              <w:left w:val="single" w:color="auto" w:sz="4" w:space="0"/>
              <w:bottom w:val="single" w:color="auto" w:sz="4" w:space="0"/>
              <w:right w:val="single" w:color="auto" w:sz="4" w:space="0"/>
            </w:tcBorders>
            <w:vAlign w:val="center"/>
          </w:tcPr>
          <w:p w14:paraId="6A166105">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c>
          <w:tcPr>
            <w:tcW w:w="1290" w:type="dxa"/>
            <w:tcBorders>
              <w:top w:val="single" w:color="auto" w:sz="4" w:space="0"/>
              <w:left w:val="single" w:color="auto" w:sz="4" w:space="0"/>
              <w:bottom w:val="single" w:color="auto" w:sz="4" w:space="0"/>
              <w:right w:val="single" w:color="auto" w:sz="4" w:space="0"/>
            </w:tcBorders>
            <w:vAlign w:val="center"/>
          </w:tcPr>
          <w:p w14:paraId="26444CD4">
            <w:pPr>
              <w:pStyle w:val="105"/>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w:t>
            </w:r>
          </w:p>
        </w:tc>
      </w:tr>
    </w:tbl>
    <w:p w14:paraId="3BCA5AC4">
      <w:pPr>
        <w:pStyle w:val="5"/>
        <w:spacing w:before="0" w:after="0"/>
        <w:ind w:firstLine="0" w:firstLineChars="0"/>
        <w:jc w:val="both"/>
        <w:outlineLvl w:val="9"/>
        <w:rPr>
          <w:rFonts w:hint="eastAsia" w:ascii="宋体" w:hAnsi="宋体" w:eastAsia="宋体" w:cs="宋体"/>
          <w:color w:val="000000" w:themeColor="text1"/>
          <w:sz w:val="28"/>
          <w:szCs w:val="28"/>
          <w:highlight w:val="none"/>
          <w14:textFill>
            <w14:solidFill>
              <w14:schemeClr w14:val="tx1"/>
            </w14:solidFill>
          </w14:textFill>
        </w:rPr>
      </w:pPr>
    </w:p>
    <w:p w14:paraId="7A83E124">
      <w:pPr>
        <w:pStyle w:val="105"/>
        <w:spacing w:line="360" w:lineRule="auto"/>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注：请各投标人参照招标文件严格按以下要求认真填写偏离表：</w:t>
      </w:r>
    </w:p>
    <w:p w14:paraId="3091B272">
      <w:pPr>
        <w:pStyle w:val="105"/>
        <w:spacing w:line="360" w:lineRule="auto"/>
        <w:ind w:firstLine="480" w:firstLineChars="200"/>
        <w:rPr>
          <w:rFonts w:hint="eastAsia" w:ascii="宋体" w:hAnsi="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1.投标人应根据投标货物的实际规格，并对照招标文件</w:t>
      </w:r>
      <w:r>
        <w:rPr>
          <w:rFonts w:hint="eastAsia" w:ascii="宋体" w:hAnsi="宋体" w:cs="宋体"/>
          <w:color w:val="000000" w:themeColor="text1"/>
          <w:sz w:val="24"/>
          <w:highlight w:val="none"/>
          <w:lang w:eastAsia="zh-CN"/>
          <w14:textFill>
            <w14:solidFill>
              <w14:schemeClr w14:val="tx1"/>
            </w14:solidFill>
          </w14:textFill>
        </w:rPr>
        <w:t>中采购需求内容</w:t>
      </w:r>
      <w:r>
        <w:rPr>
          <w:rFonts w:hint="eastAsia" w:ascii="宋体" w:hAnsi="宋体" w:cs="宋体"/>
          <w:color w:val="000000" w:themeColor="text1"/>
          <w:sz w:val="24"/>
          <w:highlight w:val="none"/>
          <w14:textFill>
            <w14:solidFill>
              <w14:schemeClr w14:val="tx1"/>
            </w14:solidFill>
          </w14:textFill>
        </w:rPr>
        <w:t>要求，对确实存在投标规格要求与招标文件要求有偏离的情况，应真实、认真的填写本表。“招标文件要求</w:t>
      </w:r>
      <w:r>
        <w:rPr>
          <w:rFonts w:hint="eastAsia" w:ascii="宋体" w:hAnsi="宋体" w:cs="宋体"/>
          <w:color w:val="000000" w:themeColor="text1"/>
          <w:sz w:val="24"/>
          <w:highlight w:val="none"/>
          <w:lang w:eastAsia="zh-CN"/>
          <w14:textFill>
            <w14:solidFill>
              <w14:schemeClr w14:val="tx1"/>
            </w14:solidFill>
          </w14:textFill>
        </w:rPr>
        <w:t>的规格参数</w:t>
      </w:r>
      <w:r>
        <w:rPr>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投标产品详细规格</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“偏离情况”“</w:t>
      </w:r>
      <w:r>
        <w:rPr>
          <w:rFonts w:hint="eastAsia" w:ascii="宋体" w:hAnsi="宋体" w:cs="宋体"/>
          <w:color w:val="000000" w:themeColor="text1"/>
          <w:sz w:val="24"/>
          <w:highlight w:val="none"/>
          <w:lang w:eastAsia="zh-CN"/>
          <w14:textFill>
            <w14:solidFill>
              <w14:schemeClr w14:val="tx1"/>
            </w14:solidFill>
          </w14:textFill>
        </w:rPr>
        <w:t>提供的相应证明材料的页码</w:t>
      </w:r>
      <w:r>
        <w:rPr>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“偏离情况”栏注明此项偏离为“正偏离”或“负偏离”</w:t>
      </w:r>
      <w:r>
        <w:rPr>
          <w:rFonts w:hint="eastAsia" w:ascii="宋体" w:hAnsi="宋体" w:cs="宋体"/>
          <w:color w:val="000000" w:themeColor="text1"/>
          <w:sz w:val="24"/>
          <w:highlight w:val="none"/>
          <w:lang w:eastAsia="zh-CN"/>
          <w14:textFill>
            <w14:solidFill>
              <w14:schemeClr w14:val="tx1"/>
            </w14:solidFill>
          </w14:textFill>
        </w:rPr>
        <w:t>或“</w:t>
      </w:r>
      <w:r>
        <w:rPr>
          <w:rFonts w:hint="eastAsia" w:ascii="宋体" w:hAnsi="宋体" w:cs="宋体"/>
          <w:color w:val="000000" w:themeColor="text1"/>
          <w:sz w:val="24"/>
          <w:highlight w:val="none"/>
          <w14:textFill>
            <w14:solidFill>
              <w14:schemeClr w14:val="tx1"/>
            </w14:solidFill>
          </w14:textFill>
        </w:rPr>
        <w:t>无偏离</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偏离说明是指对招标文件要求存在不同之处的解释说明。偏离系指：正偏离（高于采购需求）、负偏离（低于采购需求）、无偏离（满足采购需求）</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投标人应任何原因漏写或缺项或填写不正确的，后果由投标人自行承担</w:t>
      </w:r>
      <w:r>
        <w:rPr>
          <w:rFonts w:hint="eastAsia" w:ascii="宋体" w:hAnsi="宋体" w:cs="宋体"/>
          <w:color w:val="000000" w:themeColor="text1"/>
          <w:sz w:val="24"/>
          <w:highlight w:val="none"/>
          <w:lang w:eastAsia="zh-CN"/>
          <w14:textFill>
            <w14:solidFill>
              <w14:schemeClr w14:val="tx1"/>
            </w14:solidFill>
          </w14:textFill>
        </w:rPr>
        <w:t>。</w:t>
      </w:r>
    </w:p>
    <w:p w14:paraId="5A002202">
      <w:pPr>
        <w:pStyle w:val="105"/>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2</w:t>
      </w:r>
      <w:r>
        <w:rPr>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lang w:eastAsia="zh-CN"/>
          <w14:textFill>
            <w14:solidFill>
              <w14:schemeClr w14:val="tx1"/>
            </w14:solidFill>
          </w14:textFill>
        </w:rPr>
        <w:t>采购文件</w:t>
      </w:r>
      <w:r>
        <w:rPr>
          <w:rFonts w:hint="eastAsia" w:ascii="宋体" w:hAnsi="宋体" w:cs="宋体"/>
          <w:color w:val="000000" w:themeColor="text1"/>
          <w:sz w:val="24"/>
          <w:highlight w:val="none"/>
          <w14:textFill>
            <w14:solidFill>
              <w14:schemeClr w14:val="tx1"/>
            </w14:solidFill>
          </w14:textFill>
        </w:rPr>
        <w:t>技术指标若有要求供应商提供相应佐证材料的，供应商未提供相应佐证材料或者供应商的响应承诺与其佐证材料不一致</w:t>
      </w:r>
      <w:r>
        <w:rPr>
          <w:rFonts w:hint="eastAsia" w:ascii="宋体" w:hAnsi="宋体" w:cs="宋体"/>
          <w:color w:val="000000" w:themeColor="text1"/>
          <w:sz w:val="24"/>
          <w:highlight w:val="none"/>
          <w:lang w:eastAsia="zh-CN"/>
          <w14:textFill>
            <w14:solidFill>
              <w14:schemeClr w14:val="tx1"/>
            </w14:solidFill>
          </w14:textFill>
        </w:rPr>
        <w:t>且于招标文件要求不符的</w:t>
      </w:r>
      <w:r>
        <w:rPr>
          <w:rFonts w:hint="eastAsia" w:ascii="宋体" w:hAnsi="宋体" w:cs="宋体"/>
          <w:color w:val="000000" w:themeColor="text1"/>
          <w:sz w:val="24"/>
          <w:highlight w:val="none"/>
          <w14:textFill>
            <w14:solidFill>
              <w14:schemeClr w14:val="tx1"/>
            </w14:solidFill>
          </w14:textFill>
        </w:rPr>
        <w:t>，评审小组会将以不利于供应商的内容为准进行评审</w:t>
      </w: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14:textFill>
            <w14:solidFill>
              <w14:schemeClr w14:val="tx1"/>
            </w14:solidFill>
          </w14:textFill>
        </w:rPr>
        <w:t>投标人</w:t>
      </w:r>
      <w:r>
        <w:rPr>
          <w:rFonts w:hint="eastAsia" w:ascii="宋体" w:hAnsi="宋体" w:cs="宋体"/>
          <w:color w:val="000000" w:themeColor="text1"/>
          <w:sz w:val="24"/>
          <w:highlight w:val="none"/>
          <w:lang w:eastAsia="zh-CN"/>
          <w14:textFill>
            <w14:solidFill>
              <w14:schemeClr w14:val="tx1"/>
            </w14:solidFill>
          </w14:textFill>
        </w:rPr>
        <w:t>应</w:t>
      </w:r>
      <w:r>
        <w:rPr>
          <w:rFonts w:hint="eastAsia" w:ascii="宋体" w:hAnsi="宋体" w:eastAsia="宋体" w:cs="宋体"/>
          <w:color w:val="000000" w:themeColor="text1"/>
          <w:sz w:val="24"/>
          <w:highlight w:val="none"/>
          <w14:textFill>
            <w14:solidFill>
              <w14:schemeClr w14:val="tx1"/>
            </w14:solidFill>
          </w14:textFill>
        </w:rPr>
        <w:t>真实填写本表，并对其真实性负责。</w:t>
      </w:r>
    </w:p>
    <w:p w14:paraId="5C28E50D">
      <w:pPr>
        <w:pStyle w:val="105"/>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3. 投标人注明的偏离情况只作为评审专家评定的参考，最终是否构成偏离或实质性偏离情况应由评标委员会决定。</w:t>
      </w:r>
    </w:p>
    <w:p w14:paraId="6EBA483C">
      <w:pPr>
        <w:pStyle w:val="105"/>
        <w:spacing w:line="360" w:lineRule="auto"/>
        <w:ind w:firstLine="480" w:firstLineChars="200"/>
        <w:rPr>
          <w:rFonts w:hint="eastAsia" w:ascii="宋体" w:hAnsi="宋体" w:eastAsia="宋体" w:cs="宋体"/>
          <w:color w:val="000000" w:themeColor="text1"/>
          <w:sz w:val="24"/>
          <w:szCs w:val="20"/>
          <w:highlight w:val="none"/>
          <w:lang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4.不允许存在实质性负偏离（招标文件中</w:t>
      </w:r>
      <w:r>
        <w:rPr>
          <w:rFonts w:hint="eastAsia" w:ascii="宋体" w:hAnsi="宋体" w:eastAsia="宋体" w:cs="宋体"/>
          <w:color w:val="000000" w:themeColor="text1"/>
          <w:sz w:val="24"/>
          <w:szCs w:val="20"/>
          <w:highlight w:val="none"/>
          <w14:textFill>
            <w14:solidFill>
              <w14:schemeClr w14:val="tx1"/>
            </w14:solidFill>
          </w14:textFill>
        </w:rPr>
        <w:t>“▲”条款为实质性条款）</w:t>
      </w:r>
      <w:r>
        <w:rPr>
          <w:rFonts w:hint="eastAsia" w:ascii="宋体" w:hAnsi="宋体" w:cs="宋体"/>
          <w:color w:val="000000" w:themeColor="text1"/>
          <w:sz w:val="24"/>
          <w:szCs w:val="20"/>
          <w:highlight w:val="none"/>
          <w:lang w:eastAsia="zh-CN"/>
          <w14:textFill>
            <w14:solidFill>
              <w14:schemeClr w14:val="tx1"/>
            </w14:solidFill>
          </w14:textFill>
        </w:rPr>
        <w:t>。</w:t>
      </w:r>
    </w:p>
    <w:p w14:paraId="5D290BD3">
      <w:pPr>
        <w:pStyle w:val="106"/>
        <w:spacing w:line="360" w:lineRule="auto"/>
        <w:ind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5.投标规格的实际偏离情况以评标委员会综合评价为准，</w:t>
      </w:r>
      <w:r>
        <w:rPr>
          <w:rFonts w:hint="eastAsia" w:ascii="宋体" w:hAnsi="宋体" w:eastAsia="宋体" w:cs="宋体"/>
          <w:bCs/>
          <w:color w:val="000000" w:themeColor="text1"/>
          <w:sz w:val="24"/>
          <w:highlight w:val="none"/>
          <w14:textFill>
            <w14:solidFill>
              <w14:schemeClr w14:val="tx1"/>
            </w14:solidFill>
          </w14:textFill>
        </w:rPr>
        <w:t>解释权属</w:t>
      </w:r>
      <w:r>
        <w:rPr>
          <w:rFonts w:hint="eastAsia" w:ascii="宋体" w:hAnsi="宋体" w:eastAsia="宋体" w:cs="宋体"/>
          <w:color w:val="000000" w:themeColor="text1"/>
          <w:sz w:val="24"/>
          <w:highlight w:val="none"/>
          <w14:textFill>
            <w14:solidFill>
              <w14:schemeClr w14:val="tx1"/>
            </w14:solidFill>
          </w14:textFill>
        </w:rPr>
        <w:t>评标委员会。</w:t>
      </w:r>
    </w:p>
    <w:p w14:paraId="3FC0C510">
      <w:pPr>
        <w:pStyle w:val="87"/>
        <w:spacing w:line="360" w:lineRule="auto"/>
        <w:ind w:firstLine="5520" w:firstLineChars="2300"/>
        <w:jc w:val="both"/>
        <w:rPr>
          <w:rFonts w:hint="eastAsia" w:ascii="宋体" w:hAnsi="宋体" w:eastAsia="宋体" w:cs="宋体"/>
          <w:color w:val="000000" w:themeColor="text1"/>
          <w:sz w:val="24"/>
          <w:highlight w:val="none"/>
          <w:u w:val="singl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投标人盖章：</w:t>
      </w:r>
      <w:r>
        <w:rPr>
          <w:rFonts w:hint="eastAsia" w:ascii="宋体" w:hAnsi="宋体" w:cs="宋体"/>
          <w:color w:val="000000" w:themeColor="text1"/>
          <w:sz w:val="24"/>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u w:val="single"/>
          <w:lang w:val="en-US" w:eastAsia="zh-CN"/>
          <w14:textFill>
            <w14:solidFill>
              <w14:schemeClr w14:val="tx1"/>
            </w14:solidFill>
          </w14:textFill>
        </w:rPr>
        <w:t xml:space="preserve"> </w:t>
      </w:r>
    </w:p>
    <w:p w14:paraId="672C2220">
      <w:pPr>
        <w:pStyle w:val="87"/>
        <w:spacing w:line="360" w:lineRule="auto"/>
        <w:ind w:firstLine="480"/>
        <w:jc w:val="center"/>
        <w:rPr>
          <w:rFonts w:hint="eastAsia" w:ascii="宋体" w:hAnsi="宋体" w:eastAsia="宋体" w:cs="宋体"/>
          <w:color w:val="000000" w:themeColor="text1"/>
          <w:sz w:val="28"/>
          <w:szCs w:val="28"/>
          <w:highlight w:val="none"/>
          <w:u w:val="single"/>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4"/>
          <w:highlight w:val="none"/>
          <w14:textFill>
            <w14:solidFill>
              <w14:schemeClr w14:val="tx1"/>
            </w14:solidFill>
          </w14:textFill>
        </w:rPr>
        <w:t>日      期：</w:t>
      </w:r>
      <w:r>
        <w:rPr>
          <w:rFonts w:hint="eastAsia" w:ascii="宋体" w:hAnsi="宋体" w:eastAsia="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u w:val="single"/>
          <w:lang w:val="en-US" w:eastAsia="zh-CN"/>
          <w14:textFill>
            <w14:solidFill>
              <w14:schemeClr w14:val="tx1"/>
            </w14:solidFill>
          </w14:textFill>
        </w:rPr>
        <w:t xml:space="preserve">  </w:t>
      </w:r>
      <w:r>
        <w:rPr>
          <w:rFonts w:hint="eastAsia" w:ascii="宋体" w:hAnsi="宋体" w:eastAsia="宋体" w:cs="宋体"/>
          <w:color w:val="000000" w:themeColor="text1"/>
          <w:sz w:val="24"/>
          <w:highlight w:val="none"/>
          <w:u w:val="single"/>
          <w14:textFill>
            <w14:solidFill>
              <w14:schemeClr w14:val="tx1"/>
            </w14:solidFill>
          </w14:textFill>
        </w:rPr>
        <w:t xml:space="preserve">   </w:t>
      </w:r>
    </w:p>
    <w:p w14:paraId="76CCFAA7">
      <w:pPr>
        <w:rPr>
          <w:rFonts w:ascii="宋体" w:hAnsi="宋体" w:cs="宋体"/>
          <w:b/>
          <w:color w:val="000000" w:themeColor="text1"/>
          <w:sz w:val="32"/>
          <w:szCs w:val="32"/>
          <w:highlight w:val="none"/>
          <w14:textFill>
            <w14:solidFill>
              <w14:schemeClr w14:val="tx1"/>
            </w14:solidFill>
          </w14:textFill>
        </w:rPr>
      </w:pPr>
      <w:r>
        <w:rPr>
          <w:rFonts w:hint="eastAsia" w:ascii="宋体" w:hAnsi="宋体" w:cs="宋体"/>
          <w:b/>
          <w:color w:val="000000" w:themeColor="text1"/>
          <w:sz w:val="32"/>
          <w:szCs w:val="32"/>
          <w:highlight w:val="none"/>
          <w14:textFill>
            <w14:solidFill>
              <w14:schemeClr w14:val="tx1"/>
            </w14:solidFill>
          </w14:textFill>
        </w:rPr>
        <w:br w:type="page"/>
      </w:r>
    </w:p>
    <w:p w14:paraId="1EFC9351">
      <w:pPr>
        <w:pStyle w:val="87"/>
        <w:wordWrap w:val="0"/>
        <w:spacing w:line="360" w:lineRule="auto"/>
        <w:rPr>
          <w:rFonts w:ascii="宋体" w:hAnsi="宋体" w:cs="宋体"/>
          <w:b/>
          <w:color w:val="000000" w:themeColor="text1"/>
          <w:sz w:val="28"/>
          <w:szCs w:val="28"/>
          <w:highlight w:val="none"/>
          <w14:textFill>
            <w14:solidFill>
              <w14:schemeClr w14:val="tx1"/>
            </w14:solidFill>
          </w14:textFill>
        </w:rPr>
      </w:pPr>
      <w:r>
        <w:rPr>
          <w:rFonts w:hint="eastAsia" w:ascii="宋体" w:hAnsi="宋体" w:cs="宋体"/>
          <w:b/>
          <w:color w:val="000000" w:themeColor="text1"/>
          <w:sz w:val="28"/>
          <w:szCs w:val="28"/>
          <w:highlight w:val="none"/>
          <w:lang w:val="en-US" w:eastAsia="zh-CN"/>
          <w14:textFill>
            <w14:solidFill>
              <w14:schemeClr w14:val="tx1"/>
            </w14:solidFill>
          </w14:textFill>
        </w:rPr>
        <w:t>3</w:t>
      </w:r>
      <w:r>
        <w:rPr>
          <w:rFonts w:hint="eastAsia" w:ascii="宋体" w:hAnsi="宋体" w:cs="宋体"/>
          <w:b/>
          <w:color w:val="000000" w:themeColor="text1"/>
          <w:sz w:val="28"/>
          <w:szCs w:val="28"/>
          <w:highlight w:val="none"/>
          <w14:textFill>
            <w14:solidFill>
              <w14:schemeClr w14:val="tx1"/>
            </w14:solidFill>
          </w14:textFill>
        </w:rPr>
        <w:t>.按照评分办法跟采购需求</w:t>
      </w:r>
      <w:r>
        <w:rPr>
          <w:rFonts w:hint="eastAsia" w:ascii="宋体" w:hAnsi="宋体" w:cs="宋体"/>
          <w:b/>
          <w:color w:val="000000" w:themeColor="text1"/>
          <w:sz w:val="28"/>
          <w:szCs w:val="28"/>
          <w:highlight w:val="none"/>
          <w:lang w:eastAsia="zh-CN"/>
          <w14:textFill>
            <w14:solidFill>
              <w14:schemeClr w14:val="tx1"/>
            </w14:solidFill>
          </w14:textFill>
        </w:rPr>
        <w:t>内容</w:t>
      </w:r>
      <w:r>
        <w:rPr>
          <w:rFonts w:hint="eastAsia" w:ascii="宋体" w:hAnsi="宋体" w:cs="宋体"/>
          <w:b/>
          <w:color w:val="000000" w:themeColor="text1"/>
          <w:sz w:val="28"/>
          <w:szCs w:val="28"/>
          <w:highlight w:val="none"/>
          <w14:textFill>
            <w14:solidFill>
              <w14:schemeClr w14:val="tx1"/>
            </w14:solidFill>
          </w14:textFill>
        </w:rPr>
        <w:t>进行编制综合阐述。</w:t>
      </w:r>
    </w:p>
    <w:bookmarkEnd w:id="160"/>
    <w:bookmarkEnd w:id="161"/>
    <w:p w14:paraId="48A82E6A">
      <w:pPr>
        <w:spacing w:line="360" w:lineRule="auto"/>
        <w:rPr>
          <w:rFonts w:ascii="宋体" w:hAnsi="宋体" w:cs="宋体"/>
          <w:b/>
          <w:color w:val="000000" w:themeColor="text1"/>
          <w:kern w:val="0"/>
          <w:sz w:val="32"/>
          <w:szCs w:val="32"/>
          <w:highlight w:val="none"/>
          <w14:textFill>
            <w14:solidFill>
              <w14:schemeClr w14:val="tx1"/>
            </w14:solidFill>
          </w14:textFill>
        </w:rPr>
      </w:pPr>
      <w:bookmarkStart w:id="166" w:name="_Toc493956067"/>
      <w:bookmarkStart w:id="167" w:name="_Toc34985817"/>
      <w:bookmarkStart w:id="168" w:name="_Toc530551891"/>
      <w:bookmarkStart w:id="169" w:name="_Toc531359062"/>
    </w:p>
    <w:bookmarkEnd w:id="166"/>
    <w:bookmarkEnd w:id="167"/>
    <w:bookmarkEnd w:id="168"/>
    <w:bookmarkEnd w:id="169"/>
    <w:p w14:paraId="7896AEBE">
      <w:pPr>
        <w:pStyle w:val="87"/>
        <w:wordWrap w:val="0"/>
        <w:spacing w:line="360" w:lineRule="auto"/>
        <w:ind w:firstLine="480"/>
        <w:jc w:val="center"/>
        <w:rPr>
          <w:rFonts w:ascii="宋体" w:hAnsi="宋体" w:cs="宋体"/>
          <w:color w:val="000000" w:themeColor="text1"/>
          <w:sz w:val="22"/>
          <w:szCs w:val="22"/>
          <w:highlight w:val="none"/>
          <w:u w:val="single"/>
          <w14:textFill>
            <w14:solidFill>
              <w14:schemeClr w14:val="tx1"/>
            </w14:solidFill>
          </w14:textFill>
        </w:rPr>
      </w:pPr>
      <w:r>
        <w:rPr>
          <w:rFonts w:hint="eastAsia" w:ascii="宋体" w:hAnsi="宋体" w:cs="宋体"/>
          <w:color w:val="000000" w:themeColor="text1"/>
          <w:sz w:val="22"/>
          <w:szCs w:val="22"/>
          <w:highlight w:val="none"/>
          <w14:textFill>
            <w14:solidFill>
              <w14:schemeClr w14:val="tx1"/>
            </w14:solidFill>
          </w14:textFill>
        </w:rPr>
        <w:t xml:space="preserve">           </w:t>
      </w:r>
      <w:r>
        <w:rPr>
          <w:rFonts w:hint="eastAsia" w:ascii="宋体" w:hAnsi="宋体" w:cs="宋体"/>
          <w:color w:val="000000" w:themeColor="text1"/>
          <w:sz w:val="22"/>
          <w:szCs w:val="22"/>
          <w:highlight w:val="none"/>
          <w:lang w:val="en-US" w:eastAsia="zh-CN"/>
          <w14:textFill>
            <w14:solidFill>
              <w14:schemeClr w14:val="tx1"/>
            </w14:solidFill>
          </w14:textFill>
        </w:rPr>
        <w:t xml:space="preserve">                                      </w:t>
      </w:r>
      <w:r>
        <w:rPr>
          <w:rFonts w:hint="eastAsia" w:ascii="宋体" w:hAnsi="宋体" w:cs="宋体"/>
          <w:color w:val="000000" w:themeColor="text1"/>
          <w:sz w:val="22"/>
          <w:szCs w:val="22"/>
          <w:highlight w:val="none"/>
          <w14:textFill>
            <w14:solidFill>
              <w14:schemeClr w14:val="tx1"/>
            </w14:solidFill>
          </w14:textFill>
        </w:rPr>
        <w:t>供应商盖章：</w:t>
      </w:r>
      <w:r>
        <w:rPr>
          <w:rFonts w:hint="eastAsia" w:ascii="宋体" w:hAnsi="宋体" w:cs="宋体"/>
          <w:color w:val="000000" w:themeColor="text1"/>
          <w:sz w:val="22"/>
          <w:szCs w:val="22"/>
          <w:highlight w:val="none"/>
          <w:u w:val="single"/>
          <w14:textFill>
            <w14:solidFill>
              <w14:schemeClr w14:val="tx1"/>
            </w14:solidFill>
          </w14:textFill>
        </w:rPr>
        <w:t xml:space="preserve">                </w:t>
      </w:r>
    </w:p>
    <w:p w14:paraId="7588E65F">
      <w:pPr>
        <w:pStyle w:val="89"/>
        <w:spacing w:line="360" w:lineRule="auto"/>
        <w:ind w:firstLine="5940" w:firstLineChars="2700"/>
        <w:rPr>
          <w:rFonts w:hint="default" w:hAnsi="宋体" w:eastAsia="宋体" w:cs="宋体"/>
          <w:color w:val="000000" w:themeColor="text1"/>
          <w:sz w:val="22"/>
          <w:szCs w:val="22"/>
          <w:highlight w:val="none"/>
          <w:u w:val="single"/>
          <w:lang w:val="en-US" w:eastAsia="zh-CN"/>
          <w14:textFill>
            <w14:solidFill>
              <w14:schemeClr w14:val="tx1"/>
            </w14:solidFill>
          </w14:textFill>
        </w:rPr>
      </w:pPr>
      <w:r>
        <w:rPr>
          <w:rFonts w:hint="eastAsia" w:hAnsi="宋体" w:cs="宋体"/>
          <w:color w:val="000000" w:themeColor="text1"/>
          <w:sz w:val="22"/>
          <w:szCs w:val="22"/>
          <w:highlight w:val="none"/>
          <w14:textFill>
            <w14:solidFill>
              <w14:schemeClr w14:val="tx1"/>
            </w14:solidFill>
          </w14:textFill>
        </w:rPr>
        <w:t>日      期：</w:t>
      </w:r>
      <w:r>
        <w:rPr>
          <w:rFonts w:hint="eastAsia" w:hAnsi="宋体" w:cs="宋体"/>
          <w:color w:val="000000" w:themeColor="text1"/>
          <w:sz w:val="22"/>
          <w:szCs w:val="22"/>
          <w:highlight w:val="none"/>
          <w:u w:val="single"/>
          <w14:textFill>
            <w14:solidFill>
              <w14:schemeClr w14:val="tx1"/>
            </w14:solidFill>
          </w14:textFill>
        </w:rPr>
        <w:t xml:space="preserve">              </w:t>
      </w:r>
      <w:r>
        <w:rPr>
          <w:rFonts w:hint="eastAsia" w:hAnsi="宋体" w:cs="宋体"/>
          <w:color w:val="000000" w:themeColor="text1"/>
          <w:sz w:val="22"/>
          <w:szCs w:val="22"/>
          <w:highlight w:val="none"/>
          <w:u w:val="single"/>
          <w:lang w:val="en-US" w:eastAsia="zh-CN"/>
          <w14:textFill>
            <w14:solidFill>
              <w14:schemeClr w14:val="tx1"/>
            </w14:solidFill>
          </w14:textFill>
        </w:rPr>
        <w:t xml:space="preserve">  </w:t>
      </w:r>
    </w:p>
    <w:p w14:paraId="06BAACA6">
      <w:pPr>
        <w:pStyle w:val="87"/>
        <w:wordWrap w:val="0"/>
        <w:spacing w:line="360" w:lineRule="auto"/>
        <w:ind w:firstLine="480"/>
        <w:jc w:val="right"/>
        <w:rPr>
          <w:rFonts w:ascii="宋体" w:hAnsi="宋体" w:cs="宋体"/>
          <w:color w:val="000000" w:themeColor="text1"/>
          <w:sz w:val="32"/>
          <w:szCs w:val="32"/>
          <w:highlight w:val="none"/>
          <w:u w:val="single"/>
          <w14:textFill>
            <w14:solidFill>
              <w14:schemeClr w14:val="tx1"/>
            </w14:solidFill>
          </w14:textFill>
        </w:rPr>
      </w:pPr>
    </w:p>
    <w:p w14:paraId="2810D949">
      <w:pPr>
        <w:pStyle w:val="87"/>
        <w:spacing w:line="360" w:lineRule="auto"/>
        <w:ind w:firstLine="480"/>
        <w:jc w:val="right"/>
        <w:rPr>
          <w:rFonts w:ascii="宋体" w:hAnsi="宋体" w:cs="宋体"/>
          <w:color w:val="000000" w:themeColor="text1"/>
          <w:sz w:val="32"/>
          <w:szCs w:val="32"/>
          <w:highlight w:val="none"/>
          <w:u w:val="single"/>
          <w14:textFill>
            <w14:solidFill>
              <w14:schemeClr w14:val="tx1"/>
            </w14:solidFill>
          </w14:textFill>
        </w:rPr>
      </w:pPr>
    </w:p>
    <w:p w14:paraId="658FD18F">
      <w:pPr>
        <w:pStyle w:val="87"/>
        <w:spacing w:line="360" w:lineRule="auto"/>
        <w:ind w:firstLine="480"/>
        <w:jc w:val="right"/>
        <w:rPr>
          <w:rFonts w:ascii="宋体" w:hAnsi="宋体" w:cs="宋体"/>
          <w:color w:val="000000" w:themeColor="text1"/>
          <w:sz w:val="32"/>
          <w:szCs w:val="32"/>
          <w:highlight w:val="none"/>
          <w:u w:val="single"/>
          <w14:textFill>
            <w14:solidFill>
              <w14:schemeClr w14:val="tx1"/>
            </w14:solidFill>
          </w14:textFill>
        </w:rPr>
      </w:pPr>
    </w:p>
    <w:p w14:paraId="5D6F7B4B">
      <w:pPr>
        <w:pStyle w:val="87"/>
        <w:wordWrap w:val="0"/>
        <w:spacing w:line="360" w:lineRule="auto"/>
        <w:rPr>
          <w:rFonts w:ascii="宋体" w:hAnsi="宋体" w:cs="宋体"/>
          <w:b/>
          <w:color w:val="000000" w:themeColor="text1"/>
          <w:sz w:val="28"/>
          <w:szCs w:val="28"/>
          <w:highlight w:val="none"/>
          <w14:textFill>
            <w14:solidFill>
              <w14:schemeClr w14:val="tx1"/>
            </w14:solidFill>
          </w14:textFill>
        </w:rPr>
      </w:pPr>
      <w:r>
        <w:rPr>
          <w:rFonts w:hint="eastAsia" w:ascii="宋体" w:hAnsi="宋体" w:cs="宋体"/>
          <w:b/>
          <w:color w:val="000000" w:themeColor="text1"/>
          <w:sz w:val="28"/>
          <w:szCs w:val="28"/>
          <w:highlight w:val="none"/>
          <w:lang w:val="en-US" w:eastAsia="zh-CN"/>
          <w14:textFill>
            <w14:solidFill>
              <w14:schemeClr w14:val="tx1"/>
            </w14:solidFill>
          </w14:textFill>
        </w:rPr>
        <w:t>4</w:t>
      </w:r>
      <w:r>
        <w:rPr>
          <w:rFonts w:hint="eastAsia" w:ascii="宋体" w:hAnsi="宋体" w:cs="宋体"/>
          <w:b/>
          <w:color w:val="000000" w:themeColor="text1"/>
          <w:sz w:val="28"/>
          <w:szCs w:val="28"/>
          <w:highlight w:val="none"/>
          <w14:textFill>
            <w14:solidFill>
              <w14:schemeClr w14:val="tx1"/>
            </w14:solidFill>
          </w14:textFill>
        </w:rPr>
        <w:t>.投标人认为有必要提供</w:t>
      </w:r>
      <w:r>
        <w:rPr>
          <w:rFonts w:hint="eastAsia" w:ascii="宋体" w:hAnsi="宋体" w:cs="宋体"/>
          <w:b/>
          <w:bCs/>
          <w:color w:val="000000" w:themeColor="text1"/>
          <w:sz w:val="28"/>
          <w:szCs w:val="28"/>
          <w:highlight w:val="none"/>
          <w14:textFill>
            <w14:solidFill>
              <w14:schemeClr w14:val="tx1"/>
            </w14:solidFill>
          </w14:textFill>
        </w:rPr>
        <w:t>和</w:t>
      </w:r>
      <w:r>
        <w:rPr>
          <w:rFonts w:hint="eastAsia" w:ascii="宋体" w:hAnsi="宋体" w:cs="宋体"/>
          <w:b/>
          <w:color w:val="000000" w:themeColor="text1"/>
          <w:sz w:val="28"/>
          <w:szCs w:val="28"/>
          <w:highlight w:val="none"/>
          <w14:textFill>
            <w14:solidFill>
              <w14:schemeClr w14:val="tx1"/>
            </w14:solidFill>
          </w14:textFill>
        </w:rPr>
        <w:t>评分办法中要求提供的其他资料。</w:t>
      </w:r>
    </w:p>
    <w:p w14:paraId="1C9117FE">
      <w:pPr>
        <w:pStyle w:val="87"/>
        <w:wordWrap w:val="0"/>
        <w:spacing w:line="360" w:lineRule="auto"/>
        <w:ind w:firstLine="3654" w:firstLineChars="1300"/>
        <w:rPr>
          <w:rFonts w:ascii="宋体" w:hAnsi="宋体" w:cs="宋体"/>
          <w:b/>
          <w:color w:val="000000" w:themeColor="text1"/>
          <w:sz w:val="28"/>
          <w:szCs w:val="28"/>
          <w:highlight w:val="none"/>
          <w14:textFill>
            <w14:solidFill>
              <w14:schemeClr w14:val="tx1"/>
            </w14:solidFill>
          </w14:textFill>
        </w:rPr>
      </w:pPr>
      <w:r>
        <w:rPr>
          <w:rFonts w:hint="eastAsia" w:ascii="宋体" w:hAnsi="宋体" w:cs="宋体"/>
          <w:b/>
          <w:color w:val="000000" w:themeColor="text1"/>
          <w:sz w:val="28"/>
          <w:szCs w:val="28"/>
          <w:highlight w:val="none"/>
          <w14:textFill>
            <w14:solidFill>
              <w14:schemeClr w14:val="tx1"/>
            </w14:solidFill>
          </w14:textFill>
        </w:rPr>
        <w:t>（不得出现报价）</w:t>
      </w:r>
    </w:p>
    <w:p w14:paraId="53CC6D5F">
      <w:pPr>
        <w:pStyle w:val="87"/>
        <w:wordWrap w:val="0"/>
        <w:spacing w:line="360" w:lineRule="auto"/>
        <w:ind w:firstLine="4698" w:firstLineChars="1300"/>
        <w:rPr>
          <w:rFonts w:ascii="宋体" w:hAnsi="宋体" w:cs="宋体"/>
          <w:b/>
          <w:color w:val="000000" w:themeColor="text1"/>
          <w:sz w:val="36"/>
          <w:szCs w:val="36"/>
          <w:highlight w:val="none"/>
          <w14:textFill>
            <w14:solidFill>
              <w14:schemeClr w14:val="tx1"/>
            </w14:solidFill>
          </w14:textFill>
        </w:rPr>
      </w:pPr>
    </w:p>
    <w:p w14:paraId="2B4304D2">
      <w:pPr>
        <w:pStyle w:val="87"/>
        <w:wordWrap w:val="0"/>
        <w:spacing w:line="360" w:lineRule="auto"/>
        <w:ind w:firstLine="6380" w:firstLineChars="2900"/>
        <w:rPr>
          <w:rFonts w:ascii="宋体" w:hAnsi="宋体" w:cs="宋体"/>
          <w:color w:val="000000" w:themeColor="text1"/>
          <w:sz w:val="22"/>
          <w:szCs w:val="22"/>
          <w:highlight w:val="none"/>
          <w:u w:val="single"/>
          <w14:textFill>
            <w14:solidFill>
              <w14:schemeClr w14:val="tx1"/>
            </w14:solidFill>
          </w14:textFill>
        </w:rPr>
      </w:pPr>
      <w:r>
        <w:rPr>
          <w:rFonts w:hint="eastAsia" w:ascii="宋体" w:hAnsi="宋体" w:cs="宋体"/>
          <w:color w:val="000000" w:themeColor="text1"/>
          <w:sz w:val="22"/>
          <w:szCs w:val="22"/>
          <w:highlight w:val="none"/>
          <w14:textFill>
            <w14:solidFill>
              <w14:schemeClr w14:val="tx1"/>
            </w14:solidFill>
          </w14:textFill>
        </w:rPr>
        <w:t>供应商盖章：</w:t>
      </w:r>
      <w:r>
        <w:rPr>
          <w:rFonts w:hint="eastAsia" w:ascii="宋体" w:hAnsi="宋体" w:cs="宋体"/>
          <w:color w:val="000000" w:themeColor="text1"/>
          <w:sz w:val="22"/>
          <w:szCs w:val="22"/>
          <w:highlight w:val="none"/>
          <w:u w:val="single"/>
          <w14:textFill>
            <w14:solidFill>
              <w14:schemeClr w14:val="tx1"/>
            </w14:solidFill>
          </w14:textFill>
        </w:rPr>
        <w:t xml:space="preserve">                </w:t>
      </w:r>
    </w:p>
    <w:p w14:paraId="7C49E162">
      <w:pPr>
        <w:pStyle w:val="89"/>
        <w:spacing w:line="360" w:lineRule="auto"/>
        <w:ind w:firstLine="6380" w:firstLineChars="2900"/>
        <w:rPr>
          <w:rFonts w:ascii="宋体" w:hAnsi="宋体" w:cs="宋体"/>
          <w:color w:val="000000" w:themeColor="text1"/>
          <w:sz w:val="32"/>
          <w:szCs w:val="28"/>
          <w:highlight w:val="none"/>
          <w14:textFill>
            <w14:solidFill>
              <w14:schemeClr w14:val="tx1"/>
            </w14:solidFill>
          </w14:textFill>
        </w:rPr>
      </w:pPr>
      <w:r>
        <w:rPr>
          <w:rFonts w:hint="eastAsia" w:hAnsi="宋体" w:cs="宋体"/>
          <w:color w:val="000000" w:themeColor="text1"/>
          <w:sz w:val="22"/>
          <w:szCs w:val="22"/>
          <w:highlight w:val="none"/>
          <w14:textFill>
            <w14:solidFill>
              <w14:schemeClr w14:val="tx1"/>
            </w14:solidFill>
          </w14:textFill>
        </w:rPr>
        <w:t>日      期：</w:t>
      </w:r>
      <w:r>
        <w:rPr>
          <w:rFonts w:hint="eastAsia" w:hAnsi="宋体" w:cs="宋体"/>
          <w:color w:val="000000" w:themeColor="text1"/>
          <w:sz w:val="22"/>
          <w:szCs w:val="22"/>
          <w:highlight w:val="none"/>
          <w:u w:val="single"/>
          <w14:textFill>
            <w14:solidFill>
              <w14:schemeClr w14:val="tx1"/>
            </w14:solidFill>
          </w14:textFill>
        </w:rPr>
        <w:t xml:space="preserve">              </w:t>
      </w:r>
      <w:r>
        <w:rPr>
          <w:rFonts w:hint="eastAsia" w:hAnsi="宋体" w:cs="宋体"/>
          <w:color w:val="000000" w:themeColor="text1"/>
          <w:sz w:val="22"/>
          <w:szCs w:val="22"/>
          <w:highlight w:val="none"/>
          <w:u w:val="single"/>
          <w:lang w:val="en-US" w:eastAsia="zh-CN"/>
          <w14:textFill>
            <w14:solidFill>
              <w14:schemeClr w14:val="tx1"/>
            </w14:solidFill>
          </w14:textFill>
        </w:rPr>
        <w:t xml:space="preserve">  </w:t>
      </w:r>
      <w:r>
        <w:rPr>
          <w:rFonts w:hint="eastAsia" w:ascii="宋体" w:hAnsi="宋体" w:cs="宋体"/>
          <w:b/>
          <w:color w:val="000000" w:themeColor="text1"/>
          <w:sz w:val="28"/>
          <w:szCs w:val="28"/>
          <w:highlight w:val="none"/>
          <w14:textFill>
            <w14:solidFill>
              <w14:schemeClr w14:val="tx1"/>
            </w14:solidFill>
          </w14:textFill>
        </w:rPr>
        <w:br w:type="page"/>
      </w:r>
    </w:p>
    <w:bookmarkEnd w:id="159"/>
    <w:p w14:paraId="21BAA042">
      <w:pPr>
        <w:pStyle w:val="5"/>
        <w:ind w:firstLine="0" w:firstLineChars="0"/>
        <w:jc w:val="center"/>
        <w:rPr>
          <w:rFonts w:ascii="宋体" w:hAnsi="宋体" w:cs="宋体"/>
          <w:color w:val="000000" w:themeColor="text1"/>
          <w:sz w:val="22"/>
          <w:szCs w:val="21"/>
          <w:highlight w:val="none"/>
          <w14:textFill>
            <w14:solidFill>
              <w14:schemeClr w14:val="tx1"/>
            </w14:solidFill>
          </w14:textFill>
        </w:rPr>
      </w:pPr>
      <w:bookmarkStart w:id="170" w:name="_Toc69635465"/>
      <w:bookmarkStart w:id="171" w:name="_Toc27986"/>
      <w:r>
        <w:rPr>
          <w:rFonts w:hint="eastAsia" w:ascii="宋体" w:hAnsi="宋体" w:eastAsia="宋体" w:cs="宋体"/>
          <w:color w:val="000000" w:themeColor="text1"/>
          <w:sz w:val="32"/>
          <w:szCs w:val="21"/>
          <w:highlight w:val="none"/>
          <w14:textFill>
            <w14:solidFill>
              <w14:schemeClr w14:val="tx1"/>
            </w14:solidFill>
          </w14:textFill>
        </w:rPr>
        <w:t>三   报价文件格式</w:t>
      </w:r>
      <w:bookmarkEnd w:id="170"/>
      <w:bookmarkEnd w:id="171"/>
    </w:p>
    <w:p w14:paraId="66671232">
      <w:pPr>
        <w:pStyle w:val="3"/>
        <w:rPr>
          <w:rFonts w:ascii="宋体" w:hAnsi="宋体" w:cs="宋体"/>
          <w:color w:val="000000" w:themeColor="text1"/>
          <w:sz w:val="22"/>
          <w:szCs w:val="21"/>
          <w:highlight w:val="none"/>
          <w14:textFill>
            <w14:solidFill>
              <w14:schemeClr w14:val="tx1"/>
            </w14:solidFill>
          </w14:textFill>
        </w:rPr>
      </w:pPr>
    </w:p>
    <w:p w14:paraId="6F651F11">
      <w:pPr>
        <w:spacing w:line="360" w:lineRule="auto"/>
        <w:jc w:val="center"/>
        <w:rPr>
          <w:rFonts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2"/>
          <w:szCs w:val="28"/>
          <w:highlight w:val="none"/>
          <w14:textFill>
            <w14:solidFill>
              <w14:schemeClr w14:val="tx1"/>
            </w14:solidFill>
          </w14:textFill>
        </w:rPr>
        <w:t>报价文件封面</w:t>
      </w:r>
    </w:p>
    <w:p w14:paraId="60A9F149">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2B710470">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3D80C143">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采购编号：</w:t>
      </w:r>
    </w:p>
    <w:p w14:paraId="028D9B58">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53B9A5B0">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5B2A2CCD">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 xml:space="preserve">项目名称：                 </w:t>
      </w:r>
    </w:p>
    <w:p w14:paraId="5AC71A53">
      <w:pPr>
        <w:pStyle w:val="8"/>
        <w:rPr>
          <w:rFonts w:ascii="宋体" w:hAnsi="宋体" w:cs="宋体"/>
          <w:color w:val="000000" w:themeColor="text1"/>
          <w:sz w:val="32"/>
          <w:szCs w:val="21"/>
          <w:highlight w:val="none"/>
          <w14:textFill>
            <w14:solidFill>
              <w14:schemeClr w14:val="tx1"/>
            </w14:solidFill>
          </w14:textFill>
        </w:rPr>
      </w:pPr>
    </w:p>
    <w:p w14:paraId="40B15A4C">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27A164D0">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投标文件名称：</w:t>
      </w:r>
      <w:r>
        <w:rPr>
          <w:rFonts w:hint="eastAsia" w:ascii="宋体" w:hAnsi="宋体" w:cs="宋体"/>
          <w:color w:val="000000" w:themeColor="text1"/>
          <w:sz w:val="32"/>
          <w:szCs w:val="21"/>
          <w:highlight w:val="none"/>
          <w14:textFill>
            <w14:solidFill>
              <w14:schemeClr w14:val="tx1"/>
            </w14:solidFill>
          </w14:textFill>
        </w:rPr>
        <w:t>报价文件</w:t>
      </w:r>
    </w:p>
    <w:p w14:paraId="2C9793CE">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5D772D1B">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13421093">
      <w:pPr>
        <w:pStyle w:val="3"/>
        <w:ind w:firstLine="1497" w:firstLineChars="416"/>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投标人名称（CA签章）：</w:t>
      </w:r>
    </w:p>
    <w:p w14:paraId="73A9FF0D">
      <w:pPr>
        <w:pStyle w:val="3"/>
        <w:ind w:firstLine="1497" w:firstLineChars="416"/>
        <w:rPr>
          <w:rFonts w:ascii="宋体" w:hAnsi="宋体" w:cs="宋体"/>
          <w:color w:val="000000" w:themeColor="text1"/>
          <w:sz w:val="36"/>
          <w:szCs w:val="36"/>
          <w:highlight w:val="none"/>
          <w14:textFill>
            <w14:solidFill>
              <w14:schemeClr w14:val="tx1"/>
            </w14:solidFill>
          </w14:textFill>
        </w:rPr>
      </w:pPr>
    </w:p>
    <w:p w14:paraId="0F02EA3B">
      <w:pPr>
        <w:pStyle w:val="3"/>
        <w:ind w:firstLine="0"/>
        <w:rPr>
          <w:rFonts w:ascii="宋体" w:hAnsi="宋体" w:cs="宋体"/>
          <w:color w:val="000000" w:themeColor="text1"/>
          <w:sz w:val="36"/>
          <w:szCs w:val="36"/>
          <w:highlight w:val="none"/>
          <w14:textFill>
            <w14:solidFill>
              <w14:schemeClr w14:val="tx1"/>
            </w14:solidFill>
          </w14:textFill>
        </w:rPr>
      </w:pPr>
    </w:p>
    <w:p w14:paraId="671E6BDE">
      <w:pPr>
        <w:pStyle w:val="3"/>
        <w:ind w:firstLine="1497" w:firstLineChars="416"/>
        <w:rPr>
          <w:rFonts w:ascii="宋体" w:hAnsi="宋体" w:cs="宋体"/>
          <w:color w:val="000000" w:themeColor="text1"/>
          <w:sz w:val="32"/>
          <w:szCs w:val="28"/>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t>投标人地址：</w:t>
      </w:r>
    </w:p>
    <w:p w14:paraId="625DDDA4">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5CB01571">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23BD774B">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672B75B7">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0D17E192">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3FBA0583">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4D4CBA42">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3994E840">
      <w:pPr>
        <w:spacing w:line="360" w:lineRule="auto"/>
        <w:jc w:val="center"/>
        <w:rPr>
          <w:rFonts w:hint="eastAsia" w:ascii="宋体" w:hAnsi="宋体" w:cs="宋体"/>
          <w:b/>
          <w:color w:val="000000" w:themeColor="text1"/>
          <w:sz w:val="32"/>
          <w:szCs w:val="32"/>
          <w:highlight w:val="none"/>
          <w14:textFill>
            <w14:solidFill>
              <w14:schemeClr w14:val="tx1"/>
            </w14:solidFill>
          </w14:textFill>
        </w:rPr>
      </w:pPr>
    </w:p>
    <w:p w14:paraId="3EF5DD75">
      <w:pPr>
        <w:spacing w:line="360" w:lineRule="auto"/>
        <w:jc w:val="center"/>
        <w:rPr>
          <w:rFonts w:ascii="宋体" w:hAnsi="宋体" w:cs="宋体"/>
          <w:b/>
          <w:color w:val="000000" w:themeColor="text1"/>
          <w:sz w:val="32"/>
          <w:szCs w:val="32"/>
          <w:highlight w:val="none"/>
          <w14:textFill>
            <w14:solidFill>
              <w14:schemeClr w14:val="tx1"/>
            </w14:solidFill>
          </w14:textFill>
        </w:rPr>
      </w:pPr>
      <w:r>
        <w:rPr>
          <w:rFonts w:hint="eastAsia" w:ascii="宋体" w:hAnsi="宋体" w:cs="宋体"/>
          <w:b/>
          <w:color w:val="000000" w:themeColor="text1"/>
          <w:sz w:val="32"/>
          <w:szCs w:val="32"/>
          <w:highlight w:val="none"/>
          <w14:textFill>
            <w14:solidFill>
              <w14:schemeClr w14:val="tx1"/>
            </w14:solidFill>
          </w14:textFill>
        </w:rPr>
        <w:t>1.报价书（开标一览表）</w:t>
      </w:r>
    </w:p>
    <w:p w14:paraId="41993445">
      <w:pPr>
        <w:spacing w:line="440" w:lineRule="exact"/>
        <w:ind w:firstLine="420" w:firstLineChars="150"/>
        <w:rPr>
          <w:rFonts w:ascii="宋体" w:hAnsi="宋体" w:cs="宋体"/>
          <w:caps/>
          <w:color w:val="000000" w:themeColor="text1"/>
          <w:spacing w:val="20"/>
          <w:kern w:val="0"/>
          <w:sz w:val="24"/>
          <w:highlight w:val="none"/>
          <w14:textFill>
            <w14:solidFill>
              <w14:schemeClr w14:val="tx1"/>
            </w14:solidFill>
          </w14:textFill>
        </w:rPr>
      </w:pPr>
      <w:r>
        <w:rPr>
          <w:rFonts w:hint="eastAsia" w:ascii="宋体" w:hAnsi="宋体" w:cs="宋体"/>
          <w:caps/>
          <w:color w:val="000000" w:themeColor="text1"/>
          <w:spacing w:val="20"/>
          <w:kern w:val="0"/>
          <w:sz w:val="24"/>
          <w:highlight w:val="none"/>
          <w14:textFill>
            <w14:solidFill>
              <w14:schemeClr w14:val="tx1"/>
            </w14:solidFill>
          </w14:textFill>
        </w:rPr>
        <w:t xml:space="preserve">采购编号： </w:t>
      </w:r>
    </w:p>
    <w:p w14:paraId="1E6CBFD3">
      <w:pPr>
        <w:spacing w:line="440" w:lineRule="exact"/>
        <w:ind w:firstLine="420" w:firstLineChars="150"/>
        <w:rPr>
          <w:rFonts w:ascii="宋体" w:hAnsi="宋体" w:cs="宋体"/>
          <w:caps/>
          <w:color w:val="000000" w:themeColor="text1"/>
          <w:spacing w:val="20"/>
          <w:kern w:val="0"/>
          <w:sz w:val="24"/>
          <w:highlight w:val="none"/>
          <w14:textFill>
            <w14:solidFill>
              <w14:schemeClr w14:val="tx1"/>
            </w14:solidFill>
          </w14:textFill>
        </w:rPr>
      </w:pPr>
      <w:r>
        <w:rPr>
          <w:rFonts w:hint="eastAsia" w:ascii="宋体" w:hAnsi="宋体" w:cs="宋体"/>
          <w:caps/>
          <w:color w:val="000000" w:themeColor="text1"/>
          <w:spacing w:val="20"/>
          <w:kern w:val="0"/>
          <w:sz w:val="24"/>
          <w:highlight w:val="none"/>
          <w14:textFill>
            <w14:solidFill>
              <w14:schemeClr w14:val="tx1"/>
            </w14:solidFill>
          </w14:textFill>
        </w:rPr>
        <w:t xml:space="preserve">项目名称：                             </w:t>
      </w:r>
    </w:p>
    <w:p w14:paraId="76D822C6">
      <w:pPr>
        <w:spacing w:line="440" w:lineRule="exact"/>
        <w:ind w:firstLine="5180" w:firstLineChars="1850"/>
        <w:rPr>
          <w:rFonts w:ascii="宋体" w:hAnsi="宋体" w:cs="宋体"/>
          <w:caps/>
          <w:color w:val="000000" w:themeColor="text1"/>
          <w:spacing w:val="20"/>
          <w:kern w:val="0"/>
          <w:sz w:val="24"/>
          <w:highlight w:val="none"/>
          <w14:textFill>
            <w14:solidFill>
              <w14:schemeClr w14:val="tx1"/>
            </w14:solidFill>
          </w14:textFill>
        </w:rPr>
      </w:pPr>
      <w:r>
        <w:rPr>
          <w:rFonts w:hint="eastAsia" w:ascii="宋体" w:hAnsi="宋体" w:cs="宋体"/>
          <w:caps/>
          <w:color w:val="000000" w:themeColor="text1"/>
          <w:spacing w:val="20"/>
          <w:kern w:val="0"/>
          <w:sz w:val="24"/>
          <w:highlight w:val="none"/>
          <w14:textFill>
            <w14:solidFill>
              <w14:schemeClr w14:val="tx1"/>
            </w14:solidFill>
          </w14:textFill>
        </w:rPr>
        <w:t xml:space="preserve"> 报价金额单位：人民币元</w:t>
      </w:r>
    </w:p>
    <w:tbl>
      <w:tblPr>
        <w:tblStyle w:val="28"/>
        <w:tblW w:w="883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3477"/>
        <w:gridCol w:w="3210"/>
        <w:gridCol w:w="1305"/>
      </w:tblGrid>
      <w:tr w14:paraId="4498A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42" w:type="dxa"/>
            <w:vAlign w:val="center"/>
          </w:tcPr>
          <w:p w14:paraId="6DA84047">
            <w:pPr>
              <w:jc w:val="center"/>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序号</w:t>
            </w:r>
          </w:p>
        </w:tc>
        <w:tc>
          <w:tcPr>
            <w:tcW w:w="3477" w:type="dxa"/>
            <w:vAlign w:val="center"/>
          </w:tcPr>
          <w:p w14:paraId="78C93AF0">
            <w:pPr>
              <w:jc w:val="center"/>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内容</w:t>
            </w:r>
          </w:p>
        </w:tc>
        <w:tc>
          <w:tcPr>
            <w:tcW w:w="3210" w:type="dxa"/>
            <w:vAlign w:val="center"/>
          </w:tcPr>
          <w:p w14:paraId="5EC439A7">
            <w:pPr>
              <w:ind w:firstLine="964" w:firstLineChars="4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投标报价（元）</w:t>
            </w:r>
          </w:p>
        </w:tc>
        <w:tc>
          <w:tcPr>
            <w:tcW w:w="1305" w:type="dxa"/>
            <w:vAlign w:val="center"/>
          </w:tcPr>
          <w:p w14:paraId="12DC072E">
            <w:pPr>
              <w:jc w:val="center"/>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备注</w:t>
            </w:r>
          </w:p>
        </w:tc>
      </w:tr>
      <w:tr w14:paraId="4B085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3" w:hRule="atLeast"/>
        </w:trPr>
        <w:tc>
          <w:tcPr>
            <w:tcW w:w="842" w:type="dxa"/>
            <w:vAlign w:val="center"/>
          </w:tcPr>
          <w:p w14:paraId="23CE2F8D">
            <w:pPr>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w:t>
            </w:r>
          </w:p>
        </w:tc>
        <w:tc>
          <w:tcPr>
            <w:tcW w:w="3477" w:type="dxa"/>
            <w:vAlign w:val="center"/>
          </w:tcPr>
          <w:p w14:paraId="2CFDD92B">
            <w:pPr>
              <w:rPr>
                <w:rFonts w:hint="eastAsia" w:ascii="宋体" w:hAnsi="宋体" w:eastAsia="宋体" w:cs="宋体"/>
                <w:color w:val="0000FF"/>
                <w:sz w:val="24"/>
                <w:highlight w:val="none"/>
                <w:lang w:eastAsia="zh-CN"/>
              </w:rPr>
            </w:pPr>
            <w:r>
              <w:rPr>
                <w:rFonts w:hint="eastAsia" w:ascii="宋体" w:hAnsi="宋体" w:eastAsia="宋体" w:cs="宋体"/>
                <w:color w:val="000000" w:themeColor="text1"/>
                <w:sz w:val="24"/>
                <w:szCs w:val="24"/>
                <w:highlight w:val="none"/>
                <w:lang w:eastAsia="zh-CN"/>
                <w14:textFill>
                  <w14:solidFill>
                    <w14:schemeClr w14:val="tx1"/>
                  </w14:solidFill>
                </w14:textFill>
              </w:rPr>
              <w:t xml:space="preserve">缙云县教育局（缙云县五云学校）专用教室和功能室采购项目 </w:t>
            </w:r>
            <w:r>
              <w:rPr>
                <w:rFonts w:hint="eastAsia" w:ascii="宋体" w:hAnsi="宋体" w:cs="宋体"/>
                <w:color w:val="0000FF"/>
                <w:sz w:val="24"/>
                <w:highlight w:val="none"/>
                <w:lang w:eastAsia="zh-CN"/>
              </w:rPr>
              <w:t> </w:t>
            </w:r>
          </w:p>
        </w:tc>
        <w:tc>
          <w:tcPr>
            <w:tcW w:w="3210" w:type="dxa"/>
            <w:vAlign w:val="center"/>
          </w:tcPr>
          <w:p w14:paraId="6F945E72">
            <w:pPr>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大写：</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元</w:t>
            </w:r>
          </w:p>
          <w:p w14:paraId="306FA8DF">
            <w:pPr>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u w:val="single"/>
                <w14:textFill>
                  <w14:solidFill>
                    <w14:schemeClr w14:val="tx1"/>
                  </w14:solidFill>
                </w14:textFill>
              </w:rPr>
              <w:t xml:space="preserve">              </w:t>
            </w:r>
            <w:r>
              <w:rPr>
                <w:rFonts w:hint="eastAsia" w:ascii="宋体" w:hAnsi="宋体" w:cs="宋体"/>
                <w:color w:val="000000" w:themeColor="text1"/>
                <w:sz w:val="24"/>
                <w:highlight w:val="none"/>
                <w14:textFill>
                  <w14:solidFill>
                    <w14:schemeClr w14:val="tx1"/>
                  </w14:solidFill>
                </w14:textFill>
              </w:rPr>
              <w:t>元</w:t>
            </w:r>
          </w:p>
        </w:tc>
        <w:tc>
          <w:tcPr>
            <w:tcW w:w="1305" w:type="dxa"/>
            <w:vAlign w:val="center"/>
          </w:tcPr>
          <w:p w14:paraId="6C2D5B3C">
            <w:pPr>
              <w:rPr>
                <w:rFonts w:ascii="宋体" w:hAnsi="宋体" w:cs="宋体"/>
                <w:color w:val="000000" w:themeColor="text1"/>
                <w:sz w:val="24"/>
                <w:highlight w:val="none"/>
                <w14:textFill>
                  <w14:solidFill>
                    <w14:schemeClr w14:val="tx1"/>
                  </w14:solidFill>
                </w14:textFill>
              </w:rPr>
            </w:pPr>
          </w:p>
        </w:tc>
      </w:tr>
    </w:tbl>
    <w:p w14:paraId="4B8CFC65">
      <w:pPr>
        <w:spacing w:line="360" w:lineRule="auto"/>
        <w:rPr>
          <w:rFonts w:ascii="宋体" w:hAnsi="宋体" w:cs="宋体"/>
          <w:iCs/>
          <w:color w:val="000000" w:themeColor="text1"/>
          <w:spacing w:val="2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    </w:t>
      </w:r>
    </w:p>
    <w:p w14:paraId="2AC7AD6F">
      <w:pPr>
        <w:spacing w:line="360" w:lineRule="auto"/>
        <w:ind w:firstLine="480" w:firstLineChars="200"/>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注：</w:t>
      </w:r>
      <w:r>
        <w:rPr>
          <w:rFonts w:hint="eastAsia" w:ascii="宋体" w:hAnsi="宋体" w:cs="宋体"/>
          <w:color w:val="000000" w:themeColor="text1"/>
          <w:sz w:val="24"/>
          <w:highlight w:val="none"/>
          <w:lang w:val="en-US" w:eastAsia="zh-CN"/>
          <w14:textFill>
            <w14:solidFill>
              <w14:schemeClr w14:val="tx1"/>
            </w14:solidFill>
          </w14:textFill>
        </w:rPr>
        <w:t>1.</w:t>
      </w:r>
      <w:r>
        <w:rPr>
          <w:rFonts w:hint="eastAsia" w:ascii="宋体" w:hAnsi="宋体" w:cs="宋体"/>
          <w:color w:val="000000" w:themeColor="text1"/>
          <w:sz w:val="24"/>
          <w:highlight w:val="none"/>
          <w14:textFill>
            <w14:solidFill>
              <w14:schemeClr w14:val="tx1"/>
            </w14:solidFill>
          </w14:textFill>
        </w:rPr>
        <w:t>本项目</w:t>
      </w:r>
      <w:r>
        <w:rPr>
          <w:rFonts w:hint="eastAsia" w:ascii="宋体" w:hAnsi="宋体" w:cs="宋体"/>
          <w:color w:val="000000" w:themeColor="text1"/>
          <w:sz w:val="24"/>
          <w:highlight w:val="none"/>
          <w:lang w:eastAsia="zh-CN"/>
          <w14:textFill>
            <w14:solidFill>
              <w14:schemeClr w14:val="tx1"/>
            </w14:solidFill>
          </w14:textFill>
        </w:rPr>
        <w:t>投标报价</w:t>
      </w:r>
      <w:r>
        <w:rPr>
          <w:rFonts w:hint="eastAsia" w:ascii="宋体" w:hAnsi="宋体" w:cs="宋体"/>
          <w:color w:val="000000" w:themeColor="text1"/>
          <w:sz w:val="24"/>
          <w:highlight w:val="none"/>
          <w14:textFill>
            <w14:solidFill>
              <w14:schemeClr w14:val="tx1"/>
            </w14:solidFill>
          </w14:textFill>
        </w:rPr>
        <w:t>包括但不仅限于：制造、运输、装卸、保险、保管、安装、调试、 验收、设</w:t>
      </w:r>
      <w:r>
        <w:rPr>
          <w:rFonts w:hint="eastAsia" w:ascii="宋体" w:hAnsi="宋体" w:cs="宋体"/>
          <w:b w:val="0"/>
          <w:bCs w:val="0"/>
          <w:color w:val="000000" w:themeColor="text1"/>
          <w:sz w:val="24"/>
          <w:highlight w:val="none"/>
          <w14:textFill>
            <w14:solidFill>
              <w14:schemeClr w14:val="tx1"/>
            </w14:solidFill>
          </w14:textFill>
        </w:rPr>
        <w:t>备及材料费、</w:t>
      </w:r>
      <w:r>
        <w:rPr>
          <w:rFonts w:hint="eastAsia" w:ascii="宋体" w:hAnsi="宋体" w:cs="宋体"/>
          <w:b w:val="0"/>
          <w:bCs w:val="0"/>
          <w:color w:val="000000" w:themeColor="text1"/>
          <w:sz w:val="24"/>
          <w:szCs w:val="24"/>
          <w:highlight w:val="none"/>
          <w:lang w:eastAsia="zh-CN"/>
          <w14:textFill>
            <w14:solidFill>
              <w14:schemeClr w14:val="tx1"/>
            </w14:solidFill>
          </w14:textFill>
        </w:rPr>
        <w:t>设备</w:t>
      </w:r>
      <w:r>
        <w:rPr>
          <w:rFonts w:hint="eastAsia" w:ascii="宋体" w:hAnsi="宋体" w:eastAsia="宋体" w:cs="宋体"/>
          <w:b w:val="0"/>
          <w:bCs w:val="0"/>
          <w:color w:val="000000" w:themeColor="text1"/>
          <w:sz w:val="24"/>
          <w:szCs w:val="24"/>
          <w:highlight w:val="none"/>
          <w14:textFill>
            <w14:solidFill>
              <w14:schemeClr w14:val="tx1"/>
            </w14:solidFill>
          </w14:textFill>
        </w:rPr>
        <w:t>基础</w:t>
      </w:r>
      <w:r>
        <w:rPr>
          <w:rFonts w:hint="eastAsia" w:ascii="宋体" w:hAnsi="宋体" w:cs="宋体"/>
          <w:b w:val="0"/>
          <w:bCs w:val="0"/>
          <w:color w:val="000000" w:themeColor="text1"/>
          <w:sz w:val="24"/>
          <w:szCs w:val="24"/>
          <w:highlight w:val="none"/>
          <w:lang w:eastAsia="zh-CN"/>
          <w14:textFill>
            <w14:solidFill>
              <w14:schemeClr w14:val="tx1"/>
            </w14:solidFill>
          </w14:textFill>
        </w:rPr>
        <w:t>制作、管路安装、</w:t>
      </w:r>
      <w:r>
        <w:rPr>
          <w:rFonts w:hint="eastAsia" w:ascii="宋体" w:hAnsi="宋体" w:cs="宋体"/>
          <w:b w:val="0"/>
          <w:bCs w:val="0"/>
          <w:color w:val="000000" w:themeColor="text1"/>
          <w:sz w:val="24"/>
          <w:highlight w:val="none"/>
          <w14:textFill>
            <w14:solidFill>
              <w14:schemeClr w14:val="tx1"/>
            </w14:solidFill>
          </w14:textFill>
        </w:rPr>
        <w:t>图纸二次优化、系统对接、第三方检测机构检测所产生的一切费用、成本、利润、税金、人员培训费、风险费、售后服务费、代理费等。投标人应对本项目所有子目、内容进行投标报价，应报而未报价的、漏报的、规范内已含的而未报的等所有涉及一切内容及费用均视为已包含</w:t>
      </w:r>
      <w:r>
        <w:rPr>
          <w:rFonts w:hint="eastAsia" w:ascii="宋体" w:hAnsi="宋体" w:cs="宋体"/>
          <w:color w:val="000000" w:themeColor="text1"/>
          <w:sz w:val="24"/>
          <w:highlight w:val="none"/>
          <w14:textFill>
            <w14:solidFill>
              <w14:schemeClr w14:val="tx1"/>
            </w14:solidFill>
          </w14:textFill>
        </w:rPr>
        <w:t>在各项单价报价中，合同单价不作调整，结算时按实际完成的工程量结算。</w:t>
      </w:r>
    </w:p>
    <w:p w14:paraId="79D80E40">
      <w:pPr>
        <w:spacing w:line="360" w:lineRule="auto"/>
        <w:ind w:firstLine="480" w:firstLineChars="200"/>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2.</w:t>
      </w:r>
      <w:r>
        <w:rPr>
          <w:rFonts w:hint="eastAsia" w:ascii="宋体" w:hAnsi="宋体" w:cs="宋体"/>
          <w:color w:val="000000" w:themeColor="text1"/>
          <w:sz w:val="24"/>
          <w:highlight w:val="none"/>
          <w14:textFill>
            <w14:solidFill>
              <w14:schemeClr w14:val="tx1"/>
            </w14:solidFill>
          </w14:textFill>
        </w:rPr>
        <w:t>投标人不接受有选择报价及优惠前报价，请投标人直接填报优惠后的报价。</w:t>
      </w:r>
    </w:p>
    <w:p w14:paraId="6FB4B2F7">
      <w:pPr>
        <w:ind w:right="120"/>
        <w:jc w:val="both"/>
        <w:rPr>
          <w:rFonts w:ascii="宋体" w:hAnsi="宋体" w:cs="宋体"/>
          <w:color w:val="000000" w:themeColor="text1"/>
          <w:spacing w:val="20"/>
          <w:sz w:val="24"/>
          <w:highlight w:val="none"/>
          <w:u w:val="none" w:color="auto"/>
          <w14:textFill>
            <w14:solidFill>
              <w14:schemeClr w14:val="tx1"/>
            </w14:solidFill>
          </w14:textFill>
        </w:rPr>
      </w:pPr>
      <w:r>
        <w:rPr>
          <w:rFonts w:hint="eastAsia" w:ascii="宋体" w:hAnsi="宋体" w:cs="宋体"/>
          <w:color w:val="000000" w:themeColor="text1"/>
          <w:spacing w:val="20"/>
          <w:sz w:val="24"/>
          <w:highlight w:val="none"/>
          <w:u w:val="none" w:color="auto"/>
          <w14:textFill>
            <w14:solidFill>
              <w14:schemeClr w14:val="tx1"/>
            </w14:solidFill>
          </w14:textFill>
        </w:rPr>
        <w:t xml:space="preserve">            </w:t>
      </w:r>
    </w:p>
    <w:p w14:paraId="133D241E">
      <w:pPr>
        <w:rPr>
          <w:rFonts w:ascii="宋体" w:hAnsi="宋体" w:cs="宋体"/>
          <w:color w:val="000000" w:themeColor="text1"/>
          <w:spacing w:val="20"/>
          <w:sz w:val="24"/>
          <w:highlight w:val="none"/>
          <w:u w:val="single" w:color="000000"/>
          <w14:textFill>
            <w14:solidFill>
              <w14:schemeClr w14:val="tx1"/>
            </w14:solidFill>
          </w14:textFill>
        </w:rPr>
      </w:pPr>
    </w:p>
    <w:p w14:paraId="230161C0">
      <w:pPr>
        <w:ind w:firstLine="5880" w:firstLineChars="2100"/>
        <w:rPr>
          <w:rFonts w:hint="default" w:ascii="宋体" w:hAnsi="宋体" w:eastAsia="宋体" w:cs="宋体"/>
          <w:color w:val="000000" w:themeColor="text1"/>
          <w:spacing w:val="20"/>
          <w:sz w:val="24"/>
          <w:highlight w:val="none"/>
          <w:u w:val="single" w:color="000000"/>
          <w:lang w:val="en-US" w:eastAsia="zh-CN"/>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供应商(电子签章):</w:t>
      </w:r>
      <w:r>
        <w:rPr>
          <w:rFonts w:hint="eastAsia" w:ascii="宋体" w:hAnsi="宋体" w:cs="宋体"/>
          <w:color w:val="000000" w:themeColor="text1"/>
          <w:spacing w:val="20"/>
          <w:sz w:val="24"/>
          <w:highlight w:val="none"/>
          <w:u w:val="single" w:color="000000"/>
          <w14:textFill>
            <w14:solidFill>
              <w14:schemeClr w14:val="tx1"/>
            </w14:solidFill>
          </w14:textFill>
        </w:rPr>
        <w:t xml:space="preserve">      </w:t>
      </w:r>
      <w:r>
        <w:rPr>
          <w:rFonts w:hint="eastAsia" w:ascii="宋体" w:hAnsi="宋体" w:cs="宋体"/>
          <w:color w:val="000000" w:themeColor="text1"/>
          <w:spacing w:val="20"/>
          <w:sz w:val="24"/>
          <w:highlight w:val="none"/>
          <w:u w:val="single" w:color="000000"/>
          <w:lang w:val="en-US" w:eastAsia="zh-CN"/>
          <w14:textFill>
            <w14:solidFill>
              <w14:schemeClr w14:val="tx1"/>
            </w14:solidFill>
          </w14:textFill>
        </w:rPr>
        <w:t xml:space="preserve">     </w:t>
      </w:r>
    </w:p>
    <w:p w14:paraId="7FFC52DF">
      <w:pPr>
        <w:jc w:val="center"/>
        <w:rPr>
          <w:rFonts w:ascii="宋体" w:hAnsi="宋体" w:cs="宋体"/>
          <w:color w:val="000000" w:themeColor="text1"/>
          <w:spacing w:val="20"/>
          <w:sz w:val="24"/>
          <w:highlight w:val="non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 xml:space="preserve">                  </w:t>
      </w:r>
    </w:p>
    <w:p w14:paraId="04C33A84">
      <w:pPr>
        <w:jc w:val="center"/>
        <w:rPr>
          <w:rFonts w:hint="eastAsia" w:ascii="Times New Roman" w:hAnsi="Times New Roman" w:eastAsia="宋体" w:cs="Times New Roman"/>
          <w:kern w:val="2"/>
          <w:sz w:val="21"/>
          <w:szCs w:val="24"/>
          <w:lang w:val="en-US" w:eastAsia="zh-CN" w:bidi="ar-SA"/>
        </w:rPr>
      </w:pPr>
      <w:r>
        <w:rPr>
          <w:rFonts w:hint="eastAsia" w:ascii="宋体" w:hAnsi="宋体" w:cs="宋体"/>
          <w:color w:val="000000" w:themeColor="text1"/>
          <w:spacing w:val="20"/>
          <w:sz w:val="24"/>
          <w:highlight w:val="none"/>
          <w14:textFill>
            <w14:solidFill>
              <w14:schemeClr w14:val="tx1"/>
            </w14:solidFill>
          </w14:textFill>
        </w:rPr>
        <w:t xml:space="preserve">                           日     期:</w:t>
      </w:r>
      <w:r>
        <w:rPr>
          <w:rFonts w:hint="eastAsia" w:ascii="宋体" w:hAnsi="宋体" w:cs="宋体"/>
          <w:color w:val="000000" w:themeColor="text1"/>
          <w:spacing w:val="20"/>
          <w:sz w:val="24"/>
          <w:highlight w:val="none"/>
          <w:u w:val="single" w:color="000000"/>
          <w14:textFill>
            <w14:solidFill>
              <w14:schemeClr w14:val="tx1"/>
            </w14:solidFill>
          </w14:textFill>
        </w:rPr>
        <w:t xml:space="preserve">           </w:t>
      </w:r>
    </w:p>
    <w:p w14:paraId="2F292FD3">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1103323B">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2699C40F">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4C923DBF">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0E83463A">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3131A070">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13DA8004">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7C4511BE">
      <w:pPr>
        <w:spacing w:line="360" w:lineRule="auto"/>
        <w:jc w:val="center"/>
        <w:rPr>
          <w:rFonts w:hint="eastAsia" w:ascii="宋体" w:hAnsi="宋体" w:cs="宋体"/>
          <w:b/>
          <w:bCs/>
          <w:iCs/>
          <w:color w:val="000000" w:themeColor="text1"/>
          <w:spacing w:val="20"/>
          <w:sz w:val="28"/>
          <w:szCs w:val="28"/>
          <w:highlight w:val="none"/>
          <w14:textFill>
            <w14:solidFill>
              <w14:schemeClr w14:val="tx1"/>
            </w14:solidFill>
          </w14:textFill>
        </w:rPr>
      </w:pPr>
    </w:p>
    <w:p w14:paraId="10221862">
      <w:pPr>
        <w:spacing w:line="360" w:lineRule="auto"/>
        <w:jc w:val="center"/>
        <w:rPr>
          <w:rFonts w:ascii="宋体" w:hAnsi="宋体" w:cs="宋体"/>
          <w:b/>
          <w:bCs/>
          <w:iCs/>
          <w:color w:val="000000" w:themeColor="text1"/>
          <w:spacing w:val="20"/>
          <w:sz w:val="28"/>
          <w:szCs w:val="28"/>
          <w:highlight w:val="none"/>
          <w14:textFill>
            <w14:solidFill>
              <w14:schemeClr w14:val="tx1"/>
            </w14:solidFill>
          </w14:textFill>
        </w:rPr>
      </w:pPr>
      <w:r>
        <w:rPr>
          <w:rFonts w:hint="eastAsia" w:ascii="宋体" w:hAnsi="宋体" w:cs="宋体"/>
          <w:b/>
          <w:bCs/>
          <w:iCs/>
          <w:color w:val="000000" w:themeColor="text1"/>
          <w:spacing w:val="20"/>
          <w:sz w:val="28"/>
          <w:szCs w:val="28"/>
          <w:highlight w:val="none"/>
          <w14:textFill>
            <w14:solidFill>
              <w14:schemeClr w14:val="tx1"/>
            </w14:solidFill>
          </w14:textFill>
        </w:rPr>
        <w:t>2、分项报价表</w:t>
      </w:r>
    </w:p>
    <w:p w14:paraId="7119AB1F">
      <w:pPr>
        <w:spacing w:line="360" w:lineRule="auto"/>
        <w:ind w:firstLine="280" w:firstLineChars="100"/>
        <w:rPr>
          <w:rFonts w:ascii="宋体" w:hAnsi="宋体" w:cs="宋体"/>
          <w:iCs/>
          <w:color w:val="000000" w:themeColor="text1"/>
          <w:spacing w:val="20"/>
          <w:sz w:val="24"/>
          <w:highlight w:val="none"/>
          <w14:textFill>
            <w14:solidFill>
              <w14:schemeClr w14:val="tx1"/>
            </w14:solidFill>
          </w14:textFill>
        </w:rPr>
      </w:pPr>
      <w:r>
        <w:rPr>
          <w:rFonts w:hint="eastAsia" w:ascii="宋体" w:hAnsi="宋体" w:cs="宋体"/>
          <w:iCs/>
          <w:color w:val="000000" w:themeColor="text1"/>
          <w:spacing w:val="20"/>
          <w:sz w:val="24"/>
          <w:highlight w:val="none"/>
          <w14:textFill>
            <w14:solidFill>
              <w14:schemeClr w14:val="tx1"/>
            </w14:solidFill>
          </w14:textFill>
        </w:rPr>
        <w:t>（格式自行编制）</w:t>
      </w:r>
    </w:p>
    <w:p w14:paraId="0122045D">
      <w:pPr>
        <w:spacing w:line="360" w:lineRule="auto"/>
        <w:ind w:firstLine="280" w:firstLineChars="100"/>
        <w:rPr>
          <w:rFonts w:ascii="宋体" w:hAnsi="宋体" w:cs="宋体"/>
          <w:iCs/>
          <w:color w:val="000000" w:themeColor="text1"/>
          <w:spacing w:val="20"/>
          <w:sz w:val="24"/>
          <w:highlight w:val="none"/>
          <w14:textFill>
            <w14:solidFill>
              <w14:schemeClr w14:val="tx1"/>
            </w14:solidFill>
          </w14:textFill>
        </w:rPr>
      </w:pPr>
      <w:r>
        <w:rPr>
          <w:rFonts w:hint="eastAsia" w:ascii="宋体" w:hAnsi="宋体" w:cs="宋体"/>
          <w:iCs/>
          <w:color w:val="000000" w:themeColor="text1"/>
          <w:spacing w:val="20"/>
          <w:sz w:val="24"/>
          <w:highlight w:val="none"/>
          <w14:textFill>
            <w14:solidFill>
              <w14:schemeClr w14:val="tx1"/>
            </w14:solidFill>
          </w14:textFill>
        </w:rPr>
        <w:t>注：1、投标人需按“总报价表”的报价，对“</w:t>
      </w:r>
      <w:r>
        <w:rPr>
          <w:rFonts w:hint="eastAsia" w:ascii="宋体" w:hAnsi="宋体" w:eastAsia="宋体" w:cs="宋体"/>
          <w:color w:val="000000" w:themeColor="text1"/>
          <w:sz w:val="24"/>
          <w:szCs w:val="24"/>
          <w:highlight w:val="none"/>
          <w:lang w:eastAsia="zh-CN"/>
          <w14:textFill>
            <w14:solidFill>
              <w14:schemeClr w14:val="tx1"/>
            </w14:solidFill>
          </w14:textFill>
        </w:rPr>
        <w:t xml:space="preserve">缙云县教育局（缙云县五云学校）专用教室和功能室采购项目 </w:t>
      </w:r>
      <w:r>
        <w:rPr>
          <w:rFonts w:hint="eastAsia" w:ascii="宋体" w:hAnsi="宋体" w:cs="宋体"/>
          <w:iCs/>
          <w:color w:val="000000" w:themeColor="text1"/>
          <w:spacing w:val="20"/>
          <w:sz w:val="24"/>
          <w:highlight w:val="none"/>
          <w14:textFill>
            <w14:solidFill>
              <w14:schemeClr w14:val="tx1"/>
            </w14:solidFill>
          </w14:textFill>
        </w:rPr>
        <w:t>”的分项报价分别进行详细列表说明。</w:t>
      </w:r>
    </w:p>
    <w:p w14:paraId="62AAF7FA">
      <w:pPr>
        <w:spacing w:line="360" w:lineRule="auto"/>
        <w:ind w:firstLine="280" w:firstLineChars="100"/>
        <w:rPr>
          <w:rFonts w:ascii="宋体" w:hAnsi="宋体" w:cs="宋体"/>
          <w:iCs/>
          <w:color w:val="000000" w:themeColor="text1"/>
          <w:spacing w:val="20"/>
          <w:sz w:val="24"/>
          <w:highlight w:val="none"/>
          <w14:textFill>
            <w14:solidFill>
              <w14:schemeClr w14:val="tx1"/>
            </w14:solidFill>
          </w14:textFill>
        </w:rPr>
      </w:pPr>
    </w:p>
    <w:p w14:paraId="2CD687DB">
      <w:pPr>
        <w:spacing w:line="360" w:lineRule="auto"/>
        <w:ind w:firstLine="280" w:firstLineChars="100"/>
        <w:rPr>
          <w:rFonts w:ascii="宋体" w:hAnsi="宋体" w:cs="宋体"/>
          <w:color w:val="000000" w:themeColor="text1"/>
          <w:spacing w:val="20"/>
          <w:sz w:val="24"/>
          <w:highlight w:val="none"/>
          <w14:textFill>
            <w14:solidFill>
              <w14:schemeClr w14:val="tx1"/>
            </w14:solidFill>
          </w14:textFill>
        </w:rPr>
      </w:pPr>
    </w:p>
    <w:p w14:paraId="34275268">
      <w:pPr>
        <w:rPr>
          <w:rFonts w:ascii="宋体" w:hAnsi="宋体" w:cs="宋体"/>
          <w:b/>
          <w:color w:val="000000" w:themeColor="text1"/>
          <w:sz w:val="24"/>
          <w:highlight w:val="none"/>
          <w14:textFill>
            <w14:solidFill>
              <w14:schemeClr w14:val="tx1"/>
            </w14:solidFill>
          </w14:textFill>
        </w:rPr>
      </w:pPr>
    </w:p>
    <w:p w14:paraId="73C65535">
      <w:pPr>
        <w:rPr>
          <w:rFonts w:ascii="宋体" w:hAnsi="宋体" w:cs="宋体"/>
          <w:b/>
          <w:color w:val="000000" w:themeColor="text1"/>
          <w:sz w:val="24"/>
          <w:highlight w:val="none"/>
          <w14:textFill>
            <w14:solidFill>
              <w14:schemeClr w14:val="tx1"/>
            </w14:solidFill>
          </w14:textFill>
        </w:rPr>
      </w:pPr>
      <w:bookmarkStart w:id="172" w:name="_Toc119229667"/>
    </w:p>
    <w:p w14:paraId="437D5312">
      <w:pPr>
        <w:rPr>
          <w:rFonts w:ascii="宋体" w:hAnsi="宋体" w:cs="宋体"/>
          <w:b/>
          <w:color w:val="000000" w:themeColor="text1"/>
          <w:sz w:val="24"/>
          <w:highlight w:val="none"/>
          <w14:textFill>
            <w14:solidFill>
              <w14:schemeClr w14:val="tx1"/>
            </w14:solidFill>
          </w14:textFill>
        </w:rPr>
      </w:pPr>
    </w:p>
    <w:p w14:paraId="2B426711">
      <w:pPr>
        <w:rPr>
          <w:rFonts w:ascii="宋体" w:hAnsi="宋体" w:cs="宋体"/>
          <w:b/>
          <w:color w:val="000000" w:themeColor="text1"/>
          <w:sz w:val="24"/>
          <w:highlight w:val="none"/>
          <w14:textFill>
            <w14:solidFill>
              <w14:schemeClr w14:val="tx1"/>
            </w14:solidFill>
          </w14:textFill>
        </w:rPr>
      </w:pPr>
    </w:p>
    <w:p w14:paraId="0BB60314">
      <w:pPr>
        <w:rPr>
          <w:rFonts w:ascii="宋体" w:hAnsi="宋体" w:cs="宋体"/>
          <w:b/>
          <w:color w:val="000000" w:themeColor="text1"/>
          <w:sz w:val="24"/>
          <w:highlight w:val="none"/>
          <w14:textFill>
            <w14:solidFill>
              <w14:schemeClr w14:val="tx1"/>
            </w14:solidFill>
          </w14:textFill>
        </w:rPr>
      </w:pPr>
    </w:p>
    <w:p w14:paraId="63C9E477">
      <w:pPr>
        <w:ind w:firstLine="280" w:firstLineChars="100"/>
        <w:jc w:val="center"/>
        <w:rPr>
          <w:rFonts w:hint="default" w:ascii="宋体" w:hAnsi="宋体" w:eastAsia="宋体" w:cs="宋体"/>
          <w:color w:val="000000" w:themeColor="text1"/>
          <w:spacing w:val="20"/>
          <w:sz w:val="24"/>
          <w:highlight w:val="none"/>
          <w:u w:val="single" w:color="auto"/>
          <w:lang w:val="en-US" w:eastAsia="zh-CN"/>
          <w14:textFill>
            <w14:solidFill>
              <w14:schemeClr w14:val="tx1"/>
            </w14:solidFill>
          </w14:textFill>
        </w:rPr>
      </w:pPr>
      <w:r>
        <w:rPr>
          <w:rFonts w:hint="eastAsia" w:ascii="宋体" w:hAnsi="宋体" w:cs="宋体"/>
          <w:color w:val="000000" w:themeColor="text1"/>
          <w:spacing w:val="20"/>
          <w:sz w:val="24"/>
          <w:highlight w:val="none"/>
          <w:lang w:val="en-US" w:eastAsia="zh-CN"/>
          <w14:textFill>
            <w14:solidFill>
              <w14:schemeClr w14:val="tx1"/>
            </w14:solidFill>
          </w14:textFill>
        </w:rPr>
        <w:t xml:space="preserve">                </w:t>
      </w:r>
      <w:r>
        <w:rPr>
          <w:rFonts w:hint="eastAsia" w:ascii="宋体" w:hAnsi="宋体" w:cs="宋体"/>
          <w:color w:val="000000" w:themeColor="text1"/>
          <w:spacing w:val="20"/>
          <w:sz w:val="24"/>
          <w:highlight w:val="none"/>
          <w14:textFill>
            <w14:solidFill>
              <w14:schemeClr w14:val="tx1"/>
            </w14:solidFill>
          </w14:textFill>
        </w:rPr>
        <w:t>供应商(电子签章):</w:t>
      </w:r>
      <w:r>
        <w:rPr>
          <w:rFonts w:hint="eastAsia" w:ascii="宋体" w:hAnsi="宋体" w:cs="宋体"/>
          <w:color w:val="000000" w:themeColor="text1"/>
          <w:spacing w:val="20"/>
          <w:sz w:val="24"/>
          <w:highlight w:val="none"/>
          <w:u w:val="single" w:color="auto"/>
          <w:lang w:val="en-US" w:eastAsia="zh-CN"/>
          <w14:textFill>
            <w14:solidFill>
              <w14:schemeClr w14:val="tx1"/>
            </w14:solidFill>
          </w14:textFill>
        </w:rPr>
        <w:t xml:space="preserve">           </w:t>
      </w:r>
    </w:p>
    <w:p w14:paraId="6113E6DA">
      <w:pPr>
        <w:jc w:val="center"/>
        <w:rPr>
          <w:rFonts w:ascii="宋体" w:hAnsi="宋体" w:cs="宋体"/>
          <w:color w:val="000000" w:themeColor="text1"/>
          <w:spacing w:val="20"/>
          <w:sz w:val="24"/>
          <w:highlight w:val="none"/>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 xml:space="preserve">                  </w:t>
      </w:r>
    </w:p>
    <w:p w14:paraId="1968786C">
      <w:pPr>
        <w:jc w:val="center"/>
        <w:rPr>
          <w:rFonts w:hint="eastAsia" w:ascii="宋体" w:hAnsi="宋体" w:eastAsia="宋体" w:cs="宋体"/>
          <w:color w:val="000000" w:themeColor="text1"/>
          <w:spacing w:val="20"/>
          <w:sz w:val="24"/>
          <w:highlight w:val="none"/>
          <w:u w:val="single" w:color="000000"/>
          <w:lang w:val="en-US" w:eastAsia="zh-CN"/>
          <w14:textFill>
            <w14:solidFill>
              <w14:schemeClr w14:val="tx1"/>
            </w14:solidFill>
          </w14:textFill>
        </w:rPr>
      </w:pPr>
      <w:r>
        <w:rPr>
          <w:rFonts w:hint="eastAsia" w:ascii="宋体" w:hAnsi="宋体" w:cs="宋体"/>
          <w:color w:val="000000" w:themeColor="text1"/>
          <w:spacing w:val="20"/>
          <w:sz w:val="24"/>
          <w:highlight w:val="none"/>
          <w14:textFill>
            <w14:solidFill>
              <w14:schemeClr w14:val="tx1"/>
            </w14:solidFill>
          </w14:textFill>
        </w:rPr>
        <w:t xml:space="preserve">                       日     期:</w:t>
      </w:r>
      <w:r>
        <w:rPr>
          <w:rFonts w:hint="eastAsia" w:ascii="宋体" w:hAnsi="宋体" w:cs="宋体"/>
          <w:color w:val="000000" w:themeColor="text1"/>
          <w:spacing w:val="20"/>
          <w:sz w:val="24"/>
          <w:highlight w:val="none"/>
          <w:u w:val="single" w:color="000000"/>
          <w14:textFill>
            <w14:solidFill>
              <w14:schemeClr w14:val="tx1"/>
            </w14:solidFill>
          </w14:textFill>
        </w:rPr>
        <w:t xml:space="preserve">          </w:t>
      </w:r>
      <w:bookmarkEnd w:id="172"/>
      <w:r>
        <w:rPr>
          <w:rFonts w:hint="eastAsia" w:ascii="宋体" w:hAnsi="宋体" w:cs="宋体"/>
          <w:color w:val="000000" w:themeColor="text1"/>
          <w:spacing w:val="20"/>
          <w:sz w:val="24"/>
          <w:highlight w:val="none"/>
          <w:u w:val="single" w:color="000000"/>
          <w:lang w:val="en-US" w:eastAsia="zh-CN"/>
          <w14:textFill>
            <w14:solidFill>
              <w14:schemeClr w14:val="tx1"/>
            </w14:solidFill>
          </w14:textFill>
        </w:rPr>
        <w:t xml:space="preserve"> </w:t>
      </w:r>
    </w:p>
    <w:p w14:paraId="130E02A5">
      <w:pPr>
        <w:jc w:val="center"/>
        <w:rPr>
          <w:rFonts w:ascii="宋体" w:hAnsi="宋体" w:cs="宋体"/>
          <w:color w:val="000000" w:themeColor="text1"/>
          <w:spacing w:val="20"/>
          <w:sz w:val="24"/>
          <w:highlight w:val="none"/>
          <w:u w:val="single" w:color="000000"/>
          <w14:textFill>
            <w14:solidFill>
              <w14:schemeClr w14:val="tx1"/>
            </w14:solidFill>
          </w14:textFill>
        </w:rPr>
      </w:pPr>
    </w:p>
    <w:p w14:paraId="0EFCC6E7">
      <w:pPr>
        <w:jc w:val="center"/>
        <w:rPr>
          <w:rFonts w:ascii="宋体" w:hAnsi="宋体" w:cs="宋体"/>
          <w:color w:val="000000" w:themeColor="text1"/>
          <w:spacing w:val="20"/>
          <w:sz w:val="22"/>
          <w:szCs w:val="22"/>
          <w:highlight w:val="none"/>
          <w:u w:val="single" w:color="000000"/>
          <w14:textFill>
            <w14:solidFill>
              <w14:schemeClr w14:val="tx1"/>
            </w14:solidFill>
          </w14:textFill>
        </w:rPr>
      </w:pPr>
    </w:p>
    <w:p w14:paraId="2271E3B4">
      <w:pPr>
        <w:jc w:val="center"/>
        <w:rPr>
          <w:rFonts w:ascii="宋体" w:hAnsi="宋体" w:cs="宋体"/>
          <w:color w:val="000000" w:themeColor="text1"/>
          <w:spacing w:val="20"/>
          <w:sz w:val="22"/>
          <w:szCs w:val="22"/>
          <w:highlight w:val="none"/>
          <w:u w:val="single" w:color="000000"/>
          <w14:textFill>
            <w14:solidFill>
              <w14:schemeClr w14:val="tx1"/>
            </w14:solidFill>
          </w14:textFill>
        </w:rPr>
      </w:pPr>
    </w:p>
    <w:p w14:paraId="4769BE51">
      <w:pPr>
        <w:jc w:val="center"/>
        <w:rPr>
          <w:rFonts w:ascii="宋体" w:hAnsi="宋体" w:cs="宋体"/>
          <w:color w:val="000000" w:themeColor="text1"/>
          <w:spacing w:val="20"/>
          <w:sz w:val="22"/>
          <w:szCs w:val="22"/>
          <w:highlight w:val="none"/>
          <w:u w:val="single" w:color="000000"/>
          <w14:textFill>
            <w14:solidFill>
              <w14:schemeClr w14:val="tx1"/>
            </w14:solidFill>
          </w14:textFill>
        </w:rPr>
      </w:pPr>
    </w:p>
    <w:p w14:paraId="1FA697CB">
      <w:pPr>
        <w:jc w:val="center"/>
        <w:rPr>
          <w:rFonts w:ascii="宋体" w:hAnsi="宋体" w:cs="宋体"/>
          <w:color w:val="000000" w:themeColor="text1"/>
          <w:spacing w:val="20"/>
          <w:sz w:val="22"/>
          <w:szCs w:val="22"/>
          <w:highlight w:val="none"/>
          <w:u w:val="single" w:color="000000"/>
          <w14:textFill>
            <w14:solidFill>
              <w14:schemeClr w14:val="tx1"/>
            </w14:solidFill>
          </w14:textFill>
        </w:rPr>
      </w:pPr>
    </w:p>
    <w:p w14:paraId="633588A0">
      <w:pPr>
        <w:rPr>
          <w:rFonts w:ascii="宋体" w:hAnsi="宋体" w:cs="宋体"/>
          <w:b/>
          <w:color w:val="000000" w:themeColor="text1"/>
          <w:sz w:val="32"/>
          <w:szCs w:val="32"/>
          <w:highlight w:val="none"/>
          <w14:textFill>
            <w14:solidFill>
              <w14:schemeClr w14:val="tx1"/>
            </w14:solidFill>
          </w14:textFill>
        </w:rPr>
      </w:pPr>
      <w:bookmarkStart w:id="173" w:name="_Toc18018_WPSOffice_Level1"/>
      <w:bookmarkStart w:id="174" w:name="_Toc19258"/>
      <w:r>
        <w:rPr>
          <w:rFonts w:hint="eastAsia" w:ascii="宋体" w:hAnsi="宋体" w:cs="宋体"/>
          <w:b/>
          <w:color w:val="000000" w:themeColor="text1"/>
          <w:sz w:val="32"/>
          <w:szCs w:val="32"/>
          <w:highlight w:val="none"/>
          <w14:textFill>
            <w14:solidFill>
              <w14:schemeClr w14:val="tx1"/>
            </w14:solidFill>
          </w14:textFill>
        </w:rPr>
        <w:br w:type="page"/>
      </w:r>
    </w:p>
    <w:p w14:paraId="343033A2">
      <w:pPr>
        <w:jc w:val="both"/>
        <w:rPr>
          <w:rFonts w:ascii="宋体" w:hAnsi="宋体" w:cs="宋体"/>
          <w:b/>
          <w:color w:val="000000" w:themeColor="text1"/>
          <w:sz w:val="28"/>
          <w:szCs w:val="28"/>
          <w:highlight w:val="none"/>
          <w14:textFill>
            <w14:solidFill>
              <w14:schemeClr w14:val="tx1"/>
            </w14:solidFill>
          </w14:textFill>
        </w:rPr>
      </w:pPr>
    </w:p>
    <w:p w14:paraId="0FEDA7EB">
      <w:pPr>
        <w:jc w:val="center"/>
        <w:rPr>
          <w:rFonts w:ascii="宋体" w:hAnsi="宋体" w:cs="宋体"/>
          <w:b/>
          <w:color w:val="000000" w:themeColor="text1"/>
          <w:sz w:val="28"/>
          <w:szCs w:val="28"/>
          <w:highlight w:val="none"/>
          <w14:textFill>
            <w14:solidFill>
              <w14:schemeClr w14:val="tx1"/>
            </w14:solidFill>
          </w14:textFill>
        </w:rPr>
      </w:pPr>
      <w:r>
        <w:rPr>
          <w:rFonts w:hint="eastAsia" w:ascii="宋体" w:hAnsi="宋体" w:cs="宋体"/>
          <w:b/>
          <w:color w:val="000000" w:themeColor="text1"/>
          <w:sz w:val="28"/>
          <w:szCs w:val="28"/>
          <w:highlight w:val="none"/>
          <w:lang w:val="en-US" w:eastAsia="zh-CN"/>
          <w14:textFill>
            <w14:solidFill>
              <w14:schemeClr w14:val="tx1"/>
            </w14:solidFill>
          </w14:textFill>
        </w:rPr>
        <w:t>3.</w:t>
      </w:r>
      <w:r>
        <w:rPr>
          <w:rFonts w:hint="eastAsia" w:ascii="宋体" w:hAnsi="宋体" w:cs="宋体"/>
          <w:b/>
          <w:color w:val="000000" w:themeColor="text1"/>
          <w:sz w:val="28"/>
          <w:szCs w:val="28"/>
          <w:highlight w:val="none"/>
          <w14:textFill>
            <w14:solidFill>
              <w14:schemeClr w14:val="tx1"/>
            </w14:solidFill>
          </w14:textFill>
        </w:rPr>
        <w:t>其它</w:t>
      </w:r>
    </w:p>
    <w:p w14:paraId="24ABB150">
      <w:pPr>
        <w:jc w:val="center"/>
        <w:rPr>
          <w:rFonts w:ascii="宋体" w:hAnsi="宋体" w:cs="宋体"/>
          <w:color w:val="000000" w:themeColor="text1"/>
          <w:sz w:val="22"/>
          <w:szCs w:val="28"/>
          <w:highlight w:val="none"/>
          <w14:textFill>
            <w14:solidFill>
              <w14:schemeClr w14:val="tx1"/>
            </w14:solidFill>
          </w14:textFill>
        </w:rPr>
      </w:pPr>
    </w:p>
    <w:p w14:paraId="49764B31">
      <w:pPr>
        <w:jc w:val="center"/>
        <w:rPr>
          <w:rFonts w:ascii="宋体" w:hAnsi="宋体" w:cs="宋体"/>
          <w:color w:val="000000" w:themeColor="text1"/>
          <w:sz w:val="22"/>
          <w:szCs w:val="22"/>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评标办法中涉及评分的相应证件、证明等资料的复印件（格式自拟）</w:t>
      </w:r>
    </w:p>
    <w:p w14:paraId="383E8DE2">
      <w:pPr>
        <w:rPr>
          <w:color w:val="000000" w:themeColor="text1"/>
          <w:highlight w:val="none"/>
          <w14:textFill>
            <w14:solidFill>
              <w14:schemeClr w14:val="tx1"/>
            </w14:solidFill>
          </w14:textFill>
        </w:rPr>
      </w:pPr>
      <w:bookmarkStart w:id="175" w:name="_Toc13063"/>
    </w:p>
    <w:p w14:paraId="427DCD95">
      <w:pPr>
        <w:rPr>
          <w:color w:val="000000" w:themeColor="text1"/>
          <w:highlight w:val="none"/>
          <w14:textFill>
            <w14:solidFill>
              <w14:schemeClr w14:val="tx1"/>
            </w14:solidFill>
          </w14:textFill>
        </w:rPr>
      </w:pPr>
    </w:p>
    <w:p w14:paraId="53B4AB52">
      <w:pPr>
        <w:rPr>
          <w:color w:val="000000" w:themeColor="text1"/>
          <w:highlight w:val="none"/>
          <w14:textFill>
            <w14:solidFill>
              <w14:schemeClr w14:val="tx1"/>
            </w14:solidFill>
          </w14:textFill>
        </w:rPr>
      </w:pPr>
    </w:p>
    <w:p w14:paraId="4E76419A">
      <w:pPr>
        <w:rPr>
          <w:color w:val="000000" w:themeColor="text1"/>
          <w:highlight w:val="none"/>
          <w14:textFill>
            <w14:solidFill>
              <w14:schemeClr w14:val="tx1"/>
            </w14:solidFill>
          </w14:textFill>
        </w:rPr>
      </w:pPr>
    </w:p>
    <w:p w14:paraId="4FA9095D">
      <w:pPr>
        <w:rPr>
          <w:color w:val="000000" w:themeColor="text1"/>
          <w:highlight w:val="none"/>
          <w14:textFill>
            <w14:solidFill>
              <w14:schemeClr w14:val="tx1"/>
            </w14:solidFill>
          </w14:textFill>
        </w:rPr>
      </w:pPr>
    </w:p>
    <w:p w14:paraId="77715CAD">
      <w:pPr>
        <w:rPr>
          <w:color w:val="000000" w:themeColor="text1"/>
          <w:highlight w:val="none"/>
          <w14:textFill>
            <w14:solidFill>
              <w14:schemeClr w14:val="tx1"/>
            </w14:solidFill>
          </w14:textFill>
        </w:rPr>
      </w:pPr>
    </w:p>
    <w:p w14:paraId="3EEB6290">
      <w:pPr>
        <w:rPr>
          <w:color w:val="000000" w:themeColor="text1"/>
          <w:highlight w:val="none"/>
          <w14:textFill>
            <w14:solidFill>
              <w14:schemeClr w14:val="tx1"/>
            </w14:solidFill>
          </w14:textFill>
        </w:rPr>
      </w:pPr>
    </w:p>
    <w:p w14:paraId="66E26605">
      <w:pPr>
        <w:rPr>
          <w:color w:val="000000" w:themeColor="text1"/>
          <w:highlight w:val="none"/>
          <w14:textFill>
            <w14:solidFill>
              <w14:schemeClr w14:val="tx1"/>
            </w14:solidFill>
          </w14:textFill>
        </w:rPr>
      </w:pPr>
    </w:p>
    <w:p w14:paraId="65972685">
      <w:pPr>
        <w:rPr>
          <w:color w:val="000000" w:themeColor="text1"/>
          <w:highlight w:val="none"/>
          <w14:textFill>
            <w14:solidFill>
              <w14:schemeClr w14:val="tx1"/>
            </w14:solidFill>
          </w14:textFill>
        </w:rPr>
      </w:pPr>
    </w:p>
    <w:p w14:paraId="15EC007E">
      <w:pPr>
        <w:rPr>
          <w:color w:val="000000" w:themeColor="text1"/>
          <w:highlight w:val="none"/>
          <w14:textFill>
            <w14:solidFill>
              <w14:schemeClr w14:val="tx1"/>
            </w14:solidFill>
          </w14:textFill>
        </w:rPr>
      </w:pPr>
    </w:p>
    <w:p w14:paraId="22930526">
      <w:pPr>
        <w:rPr>
          <w:color w:val="000000" w:themeColor="text1"/>
          <w:highlight w:val="none"/>
          <w14:textFill>
            <w14:solidFill>
              <w14:schemeClr w14:val="tx1"/>
            </w14:solidFill>
          </w14:textFill>
        </w:rPr>
      </w:pPr>
    </w:p>
    <w:p w14:paraId="55144CE2">
      <w:pPr>
        <w:rPr>
          <w:color w:val="000000" w:themeColor="text1"/>
          <w:highlight w:val="none"/>
          <w14:textFill>
            <w14:solidFill>
              <w14:schemeClr w14:val="tx1"/>
            </w14:solidFill>
          </w14:textFill>
        </w:rPr>
      </w:pPr>
    </w:p>
    <w:p w14:paraId="5E22C33F">
      <w:pPr>
        <w:rPr>
          <w:color w:val="000000" w:themeColor="text1"/>
          <w:highlight w:val="none"/>
          <w14:textFill>
            <w14:solidFill>
              <w14:schemeClr w14:val="tx1"/>
            </w14:solidFill>
          </w14:textFill>
        </w:rPr>
      </w:pPr>
    </w:p>
    <w:p w14:paraId="467C8ADC">
      <w:pPr>
        <w:rPr>
          <w:color w:val="000000" w:themeColor="text1"/>
          <w:highlight w:val="none"/>
          <w14:textFill>
            <w14:solidFill>
              <w14:schemeClr w14:val="tx1"/>
            </w14:solidFill>
          </w14:textFill>
        </w:rPr>
      </w:pPr>
    </w:p>
    <w:p w14:paraId="72D72DF9">
      <w:pPr>
        <w:rPr>
          <w:color w:val="000000" w:themeColor="text1"/>
          <w:highlight w:val="none"/>
          <w14:textFill>
            <w14:solidFill>
              <w14:schemeClr w14:val="tx1"/>
            </w14:solidFill>
          </w14:textFill>
        </w:rPr>
      </w:pPr>
    </w:p>
    <w:p w14:paraId="5768DB3D">
      <w:pPr>
        <w:rPr>
          <w:color w:val="000000" w:themeColor="text1"/>
          <w:highlight w:val="none"/>
          <w14:textFill>
            <w14:solidFill>
              <w14:schemeClr w14:val="tx1"/>
            </w14:solidFill>
          </w14:textFill>
        </w:rPr>
      </w:pPr>
    </w:p>
    <w:p w14:paraId="656D5547">
      <w:pPr>
        <w:rPr>
          <w:color w:val="000000" w:themeColor="text1"/>
          <w:highlight w:val="none"/>
          <w14:textFill>
            <w14:solidFill>
              <w14:schemeClr w14:val="tx1"/>
            </w14:solidFill>
          </w14:textFill>
        </w:rPr>
      </w:pPr>
    </w:p>
    <w:p w14:paraId="77B1A920">
      <w:pPr>
        <w:rPr>
          <w:color w:val="000000" w:themeColor="text1"/>
          <w:highlight w:val="none"/>
          <w14:textFill>
            <w14:solidFill>
              <w14:schemeClr w14:val="tx1"/>
            </w14:solidFill>
          </w14:textFill>
        </w:rPr>
      </w:pPr>
    </w:p>
    <w:p w14:paraId="08061CDE">
      <w:pPr>
        <w:rPr>
          <w:color w:val="000000" w:themeColor="text1"/>
          <w:highlight w:val="none"/>
          <w14:textFill>
            <w14:solidFill>
              <w14:schemeClr w14:val="tx1"/>
            </w14:solidFill>
          </w14:textFill>
        </w:rPr>
      </w:pPr>
    </w:p>
    <w:p w14:paraId="67F6DC6A">
      <w:pPr>
        <w:rPr>
          <w:rFonts w:ascii="宋体" w:hAnsi="宋体" w:cs="宋体"/>
          <w:color w:val="000000" w:themeColor="text1"/>
          <w:sz w:val="36"/>
          <w:szCs w:val="36"/>
          <w:highlight w:val="none"/>
          <w14:textFill>
            <w14:solidFill>
              <w14:schemeClr w14:val="tx1"/>
            </w14:solidFill>
          </w14:textFill>
        </w:rPr>
      </w:pPr>
    </w:p>
    <w:p w14:paraId="6BE6BD0E">
      <w:pPr>
        <w:rPr>
          <w:rFonts w:ascii="宋体" w:hAnsi="宋体" w:cs="宋体"/>
          <w:color w:val="000000" w:themeColor="text1"/>
          <w:sz w:val="36"/>
          <w:szCs w:val="36"/>
          <w:highlight w:val="none"/>
          <w14:textFill>
            <w14:solidFill>
              <w14:schemeClr w14:val="tx1"/>
            </w14:solidFill>
          </w14:textFill>
        </w:rPr>
      </w:pPr>
      <w:r>
        <w:rPr>
          <w:rFonts w:hint="eastAsia" w:ascii="宋体" w:hAnsi="宋体" w:cs="宋体"/>
          <w:color w:val="000000" w:themeColor="text1"/>
          <w:sz w:val="36"/>
          <w:szCs w:val="36"/>
          <w:highlight w:val="none"/>
          <w14:textFill>
            <w14:solidFill>
              <w14:schemeClr w14:val="tx1"/>
            </w14:solidFill>
          </w14:textFill>
        </w:rPr>
        <w:br w:type="page"/>
      </w:r>
    </w:p>
    <w:p w14:paraId="7ADAF0D7">
      <w:pPr>
        <w:pStyle w:val="2"/>
        <w:spacing w:line="560" w:lineRule="exact"/>
        <w:rPr>
          <w:rFonts w:ascii="宋体" w:hAnsi="宋体" w:eastAsia="宋体" w:cs="宋体"/>
          <w:color w:val="000000" w:themeColor="text1"/>
          <w:sz w:val="36"/>
          <w:szCs w:val="36"/>
          <w:highlight w:val="none"/>
          <w14:textFill>
            <w14:solidFill>
              <w14:schemeClr w14:val="tx1"/>
            </w14:solidFill>
          </w14:textFill>
        </w:rPr>
      </w:pPr>
      <w:r>
        <w:rPr>
          <w:rFonts w:hint="eastAsia" w:ascii="宋体" w:hAnsi="宋体" w:eastAsia="宋体" w:cs="宋体"/>
          <w:color w:val="000000" w:themeColor="text1"/>
          <w:sz w:val="36"/>
          <w:szCs w:val="36"/>
          <w:highlight w:val="none"/>
          <w14:textFill>
            <w14:solidFill>
              <w14:schemeClr w14:val="tx1"/>
            </w14:solidFill>
          </w14:textFill>
        </w:rPr>
        <w:t>第六章  评标办法和细则</w:t>
      </w:r>
      <w:bookmarkEnd w:id="173"/>
      <w:bookmarkEnd w:id="174"/>
      <w:bookmarkEnd w:id="175"/>
    </w:p>
    <w:p w14:paraId="02044EAA">
      <w:pPr>
        <w:pStyle w:val="13"/>
        <w:snapToGrid/>
        <w:spacing w:line="360" w:lineRule="auto"/>
        <w:ind w:firstLineChars="200"/>
        <w:rPr>
          <w:rFonts w:ascii="宋体" w:hAnsi="宋体" w:eastAsia="宋体" w:cs="宋体"/>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根据《中华人民共和国政府采购法》等有关法律法规的规定，并结合本项目的实际，按照公正、公平、科学、择优的原则选择中标人，特制定本办法。</w:t>
      </w:r>
    </w:p>
    <w:p w14:paraId="56C34BD8">
      <w:pPr>
        <w:pStyle w:val="5"/>
        <w:spacing w:line="240" w:lineRule="auto"/>
        <w:ind w:firstLine="241" w:firstLineChars="100"/>
        <w:rPr>
          <w:rFonts w:ascii="宋体" w:hAnsi="宋体" w:eastAsia="宋体" w:cs="宋体"/>
          <w:color w:val="000000" w:themeColor="text1"/>
          <w:sz w:val="24"/>
          <w:szCs w:val="24"/>
          <w:highlight w:val="none"/>
          <w14:textFill>
            <w14:solidFill>
              <w14:schemeClr w14:val="tx1"/>
            </w14:solidFill>
          </w14:textFill>
        </w:rPr>
      </w:pPr>
      <w:bookmarkStart w:id="176" w:name="_Toc18586"/>
      <w:r>
        <w:rPr>
          <w:rFonts w:hint="eastAsia" w:ascii="宋体" w:hAnsi="宋体" w:eastAsia="宋体" w:cs="宋体"/>
          <w:color w:val="000000" w:themeColor="text1"/>
          <w:sz w:val="24"/>
          <w:szCs w:val="24"/>
          <w:highlight w:val="none"/>
          <w14:textFill>
            <w14:solidFill>
              <w14:schemeClr w14:val="tx1"/>
            </w14:solidFill>
          </w14:textFill>
        </w:rPr>
        <w:t>一   总则</w:t>
      </w:r>
      <w:bookmarkEnd w:id="176"/>
    </w:p>
    <w:p w14:paraId="20672E2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1.1 为最大限度地保护各当事人的权益，评审委员会应严格按照招标文件的技术、资信及商务、报价要求，对</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进行综合分析评价并编制评标报告。评审专家必须严格遵守保密规定，不得泄漏评标有关的情况，不得索贿受贿，不得参加影响评标的任何活动。</w:t>
      </w:r>
    </w:p>
    <w:p w14:paraId="4AB07C76">
      <w:pPr>
        <w:spacing w:line="360" w:lineRule="auto"/>
        <w:ind w:firstLine="480" w:firstLineChars="200"/>
        <w:rPr>
          <w:rFonts w:ascii="宋体" w:hAnsi="宋体" w:cs="宋体"/>
          <w:b w:val="0"/>
          <w:bCs/>
          <w:color w:val="000000" w:themeColor="text1"/>
          <w:sz w:val="24"/>
          <w:highlight w:val="none"/>
          <w14:textFill>
            <w14:solidFill>
              <w14:schemeClr w14:val="tx1"/>
            </w14:solidFill>
          </w14:textFill>
        </w:rPr>
      </w:pPr>
      <w:r>
        <w:rPr>
          <w:rFonts w:hint="eastAsia" w:ascii="宋体" w:hAnsi="宋体" w:cs="宋体"/>
          <w:b w:val="0"/>
          <w:bCs/>
          <w:color w:val="000000" w:themeColor="text1"/>
          <w:sz w:val="24"/>
          <w:highlight w:val="none"/>
          <w14:textFill>
            <w14:solidFill>
              <w14:schemeClr w14:val="tx1"/>
            </w14:solidFill>
          </w14:textFill>
        </w:rPr>
        <w:t>1.2</w:t>
      </w:r>
      <w:r>
        <w:rPr>
          <w:rFonts w:hint="eastAsia" w:ascii="宋体" w:hAnsi="宋体"/>
          <w:b w:val="0"/>
          <w:bCs/>
          <w:color w:val="000000" w:themeColor="text1"/>
          <w:sz w:val="24"/>
          <w14:textFill>
            <w14:solidFill>
              <w14:schemeClr w14:val="tx1"/>
            </w14:solidFill>
          </w14:textFill>
        </w:rPr>
        <w:t>本次评审方法采取百分制综合评分法，按最终总得分由高到低顺序排列。总得分相同的，按报价得分由高到低顺序排列；总得分和报价得分均相同的，按商务技术得分由高到低顺序排列；以上得分均相同的，由采购人抽签确定排名（即第一抽出人为第一名，以此类推。），评标委员会按总得分从高到低推荐</w:t>
      </w:r>
      <w:r>
        <w:rPr>
          <w:rFonts w:hint="eastAsia" w:ascii="宋体" w:hAnsi="宋体"/>
          <w:b w:val="0"/>
          <w:bCs/>
          <w:color w:val="000000" w:themeColor="text1"/>
          <w:sz w:val="24"/>
          <w:lang w:val="en-US" w:eastAsia="zh-CN"/>
          <w14:textFill>
            <w14:solidFill>
              <w14:schemeClr w14:val="tx1"/>
            </w14:solidFill>
          </w14:textFill>
        </w:rPr>
        <w:t>一名</w:t>
      </w:r>
      <w:r>
        <w:rPr>
          <w:rFonts w:hint="eastAsia" w:ascii="宋体" w:hAnsi="宋体"/>
          <w:b w:val="0"/>
          <w:bCs/>
          <w:color w:val="000000" w:themeColor="text1"/>
          <w:sz w:val="24"/>
          <w14:textFill>
            <w14:solidFill>
              <w14:schemeClr w14:val="tx1"/>
            </w14:solidFill>
          </w14:textFill>
        </w:rPr>
        <w:t>中标候选人，由采购人确定本项目中标人。</w:t>
      </w:r>
    </w:p>
    <w:p w14:paraId="5AB70F7F">
      <w:pPr>
        <w:pStyle w:val="5"/>
        <w:spacing w:line="240" w:lineRule="auto"/>
        <w:ind w:firstLine="241" w:firstLineChars="100"/>
        <w:rPr>
          <w:rFonts w:ascii="宋体" w:hAnsi="宋体" w:eastAsia="宋体" w:cs="宋体"/>
          <w:color w:val="000000" w:themeColor="text1"/>
          <w:sz w:val="24"/>
          <w:szCs w:val="24"/>
          <w:highlight w:val="none"/>
          <w14:textFill>
            <w14:solidFill>
              <w14:schemeClr w14:val="tx1"/>
            </w14:solidFill>
          </w14:textFill>
        </w:rPr>
      </w:pPr>
      <w:bookmarkStart w:id="177" w:name="_Toc8737"/>
      <w:r>
        <w:rPr>
          <w:rFonts w:hint="eastAsia" w:ascii="宋体" w:hAnsi="宋体" w:eastAsia="宋体" w:cs="宋体"/>
          <w:color w:val="000000" w:themeColor="text1"/>
          <w:sz w:val="24"/>
          <w:szCs w:val="24"/>
          <w:highlight w:val="none"/>
          <w14:textFill>
            <w14:solidFill>
              <w14:schemeClr w14:val="tx1"/>
            </w14:solidFill>
          </w14:textFill>
        </w:rPr>
        <w:t>二   评审委员会</w:t>
      </w:r>
      <w:bookmarkEnd w:id="177"/>
    </w:p>
    <w:p w14:paraId="246A83B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2.1评审委员会</w:t>
      </w:r>
    </w:p>
    <w:p w14:paraId="2D97BB1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2.1.1成员：由采购人代表和评审专家组成单数，其中经济、技术评审专家不得少于评审委员会总人数的三分之二。除国务院财政部门规定的情形外，评审专家由采购代理机构在政府采购专家库中随机抽取。评审委员会</w:t>
      </w:r>
      <w:r>
        <w:rPr>
          <w:rFonts w:hint="eastAsia" w:ascii="宋体" w:hAnsi="宋体" w:cs="宋体"/>
          <w:color w:val="000000" w:themeColor="text1"/>
          <w:kern w:val="0"/>
          <w:sz w:val="24"/>
          <w:highlight w:val="none"/>
          <w14:textFill>
            <w14:solidFill>
              <w14:schemeClr w14:val="tx1"/>
            </w14:solidFill>
          </w14:textFill>
        </w:rPr>
        <w:t>对投标文件进行符合性审查、询标、评价和推荐中标候选人。</w:t>
      </w:r>
    </w:p>
    <w:p w14:paraId="10F1332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2.1.2职责：严格按政府采购法律法规的有关规定执行，评审专家应按招标文件规定的评审要求、评审程序、评审内容、评审方法和评审标准进行评审，对评审意见承担个人责任。</w:t>
      </w:r>
    </w:p>
    <w:p w14:paraId="279C4F68">
      <w:pPr>
        <w:spacing w:line="360" w:lineRule="auto"/>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 xml:space="preserve">    2.2评审专家的评审情况和评审意见受监督人员和采购代理机构审查，如发现评审专家的评审意见带有明显倾向性，或不按规定程序和标准评审、计分的，可要求评审专家进行书面澄清和说明。</w:t>
      </w:r>
    </w:p>
    <w:p w14:paraId="43BD2E04">
      <w:pPr>
        <w:pStyle w:val="5"/>
        <w:spacing w:line="240" w:lineRule="auto"/>
        <w:ind w:firstLine="241" w:firstLineChars="100"/>
        <w:rPr>
          <w:rFonts w:ascii="宋体" w:hAnsi="宋体" w:eastAsia="宋体" w:cs="宋体"/>
          <w:color w:val="000000" w:themeColor="text1"/>
          <w:sz w:val="24"/>
          <w:szCs w:val="24"/>
          <w:highlight w:val="none"/>
          <w14:textFill>
            <w14:solidFill>
              <w14:schemeClr w14:val="tx1"/>
            </w14:solidFill>
          </w14:textFill>
        </w:rPr>
      </w:pPr>
      <w:bookmarkStart w:id="178" w:name="_Toc7115"/>
      <w:r>
        <w:rPr>
          <w:rFonts w:hint="eastAsia" w:ascii="宋体" w:hAnsi="宋体" w:eastAsia="宋体" w:cs="宋体"/>
          <w:color w:val="000000" w:themeColor="text1"/>
          <w:sz w:val="24"/>
          <w:szCs w:val="24"/>
          <w:highlight w:val="none"/>
          <w14:textFill>
            <w14:solidFill>
              <w14:schemeClr w14:val="tx1"/>
            </w14:solidFill>
          </w14:textFill>
        </w:rPr>
        <w:t>三   评标程序</w:t>
      </w:r>
      <w:bookmarkEnd w:id="178"/>
    </w:p>
    <w:p w14:paraId="1037C63A">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3.1 符合性审查</w:t>
      </w:r>
    </w:p>
    <w:p w14:paraId="4C1E886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评审委员会依据招标文件的规定，从投标文件的有效性、完整性和对招标文件的响应程度进行审查，以确定是否对招标文件的实质性要求作出响应。通过符合性审查不足三家的，除采购任务取消情形外，按相关规定重新组织招标。</w:t>
      </w:r>
    </w:p>
    <w:p w14:paraId="5146EBAD">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3.2 资信商务及技术文件评审</w:t>
      </w:r>
    </w:p>
    <w:p w14:paraId="1EC93BE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3.2.1评审委员会依据招标文件的规定，对各</w:t>
      </w:r>
      <w:r>
        <w:rPr>
          <w:rFonts w:hint="eastAsia" w:ascii="宋体" w:hAnsi="宋体" w:cs="宋体"/>
          <w:color w:val="000000" w:themeColor="text1"/>
          <w:kern w:val="0"/>
          <w:sz w:val="24"/>
          <w:highlight w:val="none"/>
          <w14:textFill>
            <w14:solidFill>
              <w14:schemeClr w14:val="tx1"/>
            </w14:solidFill>
          </w14:textFill>
        </w:rPr>
        <w:t>投标人的</w:t>
      </w:r>
      <w:r>
        <w:rPr>
          <w:rFonts w:hint="eastAsia" w:ascii="宋体" w:hAnsi="宋体" w:cs="宋体"/>
          <w:color w:val="000000" w:themeColor="text1"/>
          <w:sz w:val="24"/>
          <w:highlight w:val="none"/>
          <w14:textFill>
            <w14:solidFill>
              <w14:schemeClr w14:val="tx1"/>
            </w14:solidFill>
          </w14:textFill>
        </w:rPr>
        <w:t>资信商务部分进行评审，对客观分应统一意见后统一给分。</w:t>
      </w:r>
    </w:p>
    <w:p w14:paraId="6947B4E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3.2.2评审委员会依据招标文件的规定，对各</w:t>
      </w:r>
      <w:r>
        <w:rPr>
          <w:rFonts w:hint="eastAsia" w:ascii="宋体" w:hAnsi="宋体" w:cs="宋体"/>
          <w:color w:val="000000" w:themeColor="text1"/>
          <w:kern w:val="0"/>
          <w:sz w:val="24"/>
          <w:highlight w:val="none"/>
          <w14:textFill>
            <w14:solidFill>
              <w14:schemeClr w14:val="tx1"/>
            </w14:solidFill>
          </w14:textFill>
        </w:rPr>
        <w:t>投标人的</w:t>
      </w:r>
      <w:r>
        <w:rPr>
          <w:rFonts w:hint="eastAsia" w:ascii="宋体" w:hAnsi="宋体" w:cs="宋体"/>
          <w:color w:val="000000" w:themeColor="text1"/>
          <w:sz w:val="24"/>
          <w:highlight w:val="none"/>
          <w14:textFill>
            <w14:solidFill>
              <w14:schemeClr w14:val="tx1"/>
            </w14:solidFill>
          </w14:textFill>
        </w:rPr>
        <w:t>技术部分进行独立评审，对各</w:t>
      </w:r>
      <w:r>
        <w:rPr>
          <w:rFonts w:hint="eastAsia" w:ascii="宋体" w:hAnsi="宋体" w:cs="宋体"/>
          <w:color w:val="000000" w:themeColor="text1"/>
          <w:kern w:val="0"/>
          <w:sz w:val="24"/>
          <w:highlight w:val="none"/>
          <w14:textFill>
            <w14:solidFill>
              <w14:schemeClr w14:val="tx1"/>
            </w14:solidFill>
          </w14:textFill>
        </w:rPr>
        <w:t>投标文件</w:t>
      </w:r>
      <w:r>
        <w:rPr>
          <w:rFonts w:hint="eastAsia" w:ascii="宋体" w:hAnsi="宋体" w:cs="宋体"/>
          <w:color w:val="000000" w:themeColor="text1"/>
          <w:sz w:val="24"/>
          <w:highlight w:val="none"/>
          <w14:textFill>
            <w14:solidFill>
              <w14:schemeClr w14:val="tx1"/>
            </w14:solidFill>
          </w14:textFill>
        </w:rPr>
        <w:t>进行比较和必要的澄清，并根据审查、澄清等情况结合评审办法进行独立打分；</w:t>
      </w:r>
    </w:p>
    <w:p w14:paraId="56AEB2E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3.2.3各投标人的资信商务及技术得分，为各评审专家对该投标人的评分汇总后的算术平均数。</w:t>
      </w:r>
    </w:p>
    <w:p w14:paraId="3AF7CEB7">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3.4通过政采云平台公布各投标人的资信商务及技术得分，开启有效投标人的报价文件。</w:t>
      </w:r>
    </w:p>
    <w:p w14:paraId="7D3D57BB">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3.5 报价文件评审</w:t>
      </w:r>
    </w:p>
    <w:p w14:paraId="4701CE7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3.5.1 评审委员会依据招标文件的规定，对各投标人的报价的符合性进行审查，必要时可要求投标人对其报价做出澄清、说明；</w:t>
      </w:r>
    </w:p>
    <w:p w14:paraId="3160EA6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3.5.2报价修正；</w:t>
      </w:r>
    </w:p>
    <w:p w14:paraId="3625449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3.5.3政府采购政策价格扣除；</w:t>
      </w:r>
    </w:p>
    <w:p w14:paraId="14C8729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3.5.4评审委员会根据投标人的报价和评审标准，计算各投标人的报价得分。</w:t>
      </w:r>
    </w:p>
    <w:p w14:paraId="0A36B9D7">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3.6 评标结果</w:t>
      </w:r>
    </w:p>
    <w:p w14:paraId="3734CDF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3.6.1 评审结果汇总，投标人结果排序；</w:t>
      </w:r>
    </w:p>
    <w:p w14:paraId="39F9C6D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3.6.2 起草评标报告，确定中标候选人；</w:t>
      </w:r>
    </w:p>
    <w:p w14:paraId="387B777A">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3.6.2.1 评标报告包括以下内容：</w:t>
      </w:r>
    </w:p>
    <w:p w14:paraId="6C480D90">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（1）招标公告刊登的媒体名称、开标日期和地点；</w:t>
      </w:r>
    </w:p>
    <w:p w14:paraId="2578D98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（2）投标人名单和评审委员会成员名单；</w:t>
      </w:r>
    </w:p>
    <w:p w14:paraId="799EDAE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（3）评审方法和标准；</w:t>
      </w:r>
    </w:p>
    <w:p w14:paraId="40AB446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（4）资格审查记录；</w:t>
      </w:r>
    </w:p>
    <w:p w14:paraId="00922459">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（5）开标记录和评审情况及说明，包括无效投标人名单及原因；</w:t>
      </w:r>
    </w:p>
    <w:p w14:paraId="1BF34D0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（6）评审结果，确定的中标候选人名单；</w:t>
      </w:r>
    </w:p>
    <w:p w14:paraId="5904964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（7）其他需要说明的情况，包括评审过程中投标人根据评审委员会要求进行的澄清、说明或者补正，评审委员会成员的更换等。</w:t>
      </w:r>
    </w:p>
    <w:p w14:paraId="2E9B40E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3.7 评标报告由全体评审委员会成员确认后提交。</w:t>
      </w:r>
    </w:p>
    <w:p w14:paraId="1C104331">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3.8 评审结束后，由电子交易平台自动生成评审结果，采购人确定中标人后2个工作日内，发出中标通知书，并在相关媒体上公告中标结果。</w:t>
      </w:r>
    </w:p>
    <w:p w14:paraId="2A58E1B3">
      <w:pPr>
        <w:pStyle w:val="5"/>
        <w:spacing w:line="240" w:lineRule="auto"/>
        <w:ind w:firstLine="241" w:firstLineChars="100"/>
        <w:rPr>
          <w:rFonts w:ascii="宋体" w:hAnsi="宋体" w:eastAsia="宋体" w:cs="宋体"/>
          <w:color w:val="000000" w:themeColor="text1"/>
          <w:sz w:val="24"/>
          <w:szCs w:val="24"/>
          <w:highlight w:val="none"/>
          <w14:textFill>
            <w14:solidFill>
              <w14:schemeClr w14:val="tx1"/>
            </w14:solidFill>
          </w14:textFill>
        </w:rPr>
      </w:pPr>
      <w:bookmarkStart w:id="179" w:name="_Toc27258"/>
      <w:r>
        <w:rPr>
          <w:rFonts w:hint="eastAsia" w:ascii="宋体" w:hAnsi="宋体" w:eastAsia="宋体" w:cs="宋体"/>
          <w:color w:val="000000" w:themeColor="text1"/>
          <w:sz w:val="24"/>
          <w:szCs w:val="24"/>
          <w:highlight w:val="none"/>
          <w14:textFill>
            <w14:solidFill>
              <w14:schemeClr w14:val="tx1"/>
            </w14:solidFill>
          </w14:textFill>
        </w:rPr>
        <w:t>四   评标一般规定</w:t>
      </w:r>
      <w:bookmarkEnd w:id="179"/>
    </w:p>
    <w:p w14:paraId="0CDC0A4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4.本评标办法采用综合评分法,总分100分。</w:t>
      </w:r>
    </w:p>
    <w:p w14:paraId="1A068513">
      <w:pPr>
        <w:spacing w:line="360" w:lineRule="auto"/>
        <w:ind w:firstLine="482" w:firstLineChars="200"/>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4.1资信商务及技术权重为</w:t>
      </w:r>
      <w:r>
        <w:rPr>
          <w:rFonts w:hint="eastAsia" w:ascii="宋体" w:hAnsi="宋体" w:cs="宋体"/>
          <w:b/>
          <w:color w:val="000000" w:themeColor="text1"/>
          <w:sz w:val="24"/>
          <w:highlight w:val="none"/>
          <w:lang w:val="en-US" w:eastAsia="zh-CN"/>
          <w14:textFill>
            <w14:solidFill>
              <w14:schemeClr w14:val="tx1"/>
            </w14:solidFill>
          </w14:textFill>
        </w:rPr>
        <w:t>70</w:t>
      </w:r>
      <w:r>
        <w:rPr>
          <w:rFonts w:hint="eastAsia" w:ascii="宋体" w:hAnsi="宋体" w:cs="宋体"/>
          <w:b/>
          <w:color w:val="000000" w:themeColor="text1"/>
          <w:sz w:val="24"/>
          <w:highlight w:val="none"/>
          <w14:textFill>
            <w14:solidFill>
              <w14:schemeClr w14:val="tx1"/>
            </w14:solidFill>
          </w14:textFill>
        </w:rPr>
        <w:t>%，分值为</w:t>
      </w:r>
      <w:r>
        <w:rPr>
          <w:rFonts w:hint="eastAsia" w:ascii="宋体" w:hAnsi="宋体" w:cs="宋体"/>
          <w:b/>
          <w:color w:val="000000" w:themeColor="text1"/>
          <w:sz w:val="24"/>
          <w:highlight w:val="none"/>
          <w:lang w:val="en-US" w:eastAsia="zh-CN"/>
          <w14:textFill>
            <w14:solidFill>
              <w14:schemeClr w14:val="tx1"/>
            </w14:solidFill>
          </w14:textFill>
        </w:rPr>
        <w:t>70</w:t>
      </w:r>
      <w:r>
        <w:rPr>
          <w:rFonts w:hint="eastAsia" w:ascii="宋体" w:hAnsi="宋体" w:cs="宋体"/>
          <w:b/>
          <w:color w:val="000000" w:themeColor="text1"/>
          <w:sz w:val="24"/>
          <w:highlight w:val="none"/>
          <w14:textFill>
            <w14:solidFill>
              <w14:schemeClr w14:val="tx1"/>
            </w14:solidFill>
          </w14:textFill>
        </w:rPr>
        <w:t>分，</w:t>
      </w:r>
      <w:r>
        <w:rPr>
          <w:rFonts w:hint="eastAsia" w:ascii="宋体" w:hAnsi="宋体" w:cs="宋体"/>
          <w:color w:val="000000" w:themeColor="text1"/>
          <w:sz w:val="24"/>
          <w:highlight w:val="none"/>
          <w14:textFill>
            <w14:solidFill>
              <w14:schemeClr w14:val="tx1"/>
            </w14:solidFill>
          </w14:textFill>
        </w:rPr>
        <w:t>评委对各投标文件经充分审核后，在规定的分值内由评委单独评定打分。如果某个单项的打分超过所规定的分值范围，则该张打分表无效。</w:t>
      </w:r>
    </w:p>
    <w:p w14:paraId="1624934C">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4.2报价权重为</w:t>
      </w:r>
      <w:r>
        <w:rPr>
          <w:rFonts w:hint="eastAsia" w:ascii="宋体" w:hAnsi="宋体" w:cs="宋体"/>
          <w:color w:val="000000" w:themeColor="text1"/>
          <w:sz w:val="24"/>
          <w:highlight w:val="none"/>
          <w:lang w:val="en-US" w:eastAsia="zh-CN"/>
          <w14:textFill>
            <w14:solidFill>
              <w14:schemeClr w14:val="tx1"/>
            </w14:solidFill>
          </w14:textFill>
        </w:rPr>
        <w:t>30</w:t>
      </w:r>
      <w:r>
        <w:rPr>
          <w:rFonts w:hint="eastAsia" w:ascii="宋体" w:hAnsi="宋体" w:cs="宋体"/>
          <w:color w:val="000000" w:themeColor="text1"/>
          <w:sz w:val="24"/>
          <w:highlight w:val="none"/>
          <w14:textFill>
            <w14:solidFill>
              <w14:schemeClr w14:val="tx1"/>
            </w14:solidFill>
          </w14:textFill>
        </w:rPr>
        <w:t>%，分值为</w:t>
      </w:r>
      <w:r>
        <w:rPr>
          <w:rFonts w:hint="eastAsia" w:ascii="宋体" w:hAnsi="宋体" w:cs="宋体"/>
          <w:color w:val="000000" w:themeColor="text1"/>
          <w:sz w:val="24"/>
          <w:highlight w:val="none"/>
          <w:lang w:val="en-US" w:eastAsia="zh-CN"/>
          <w14:textFill>
            <w14:solidFill>
              <w14:schemeClr w14:val="tx1"/>
            </w14:solidFill>
          </w14:textFill>
        </w:rPr>
        <w:t>30</w:t>
      </w:r>
      <w:r>
        <w:rPr>
          <w:rFonts w:hint="eastAsia" w:ascii="宋体" w:hAnsi="宋体" w:cs="宋体"/>
          <w:color w:val="000000" w:themeColor="text1"/>
          <w:sz w:val="24"/>
          <w:highlight w:val="none"/>
          <w14:textFill>
            <w14:solidFill>
              <w14:schemeClr w14:val="tx1"/>
            </w14:solidFill>
          </w14:textFill>
        </w:rPr>
        <w:t>分，由评委按各投标人的报价统一计算。</w:t>
      </w:r>
    </w:p>
    <w:p w14:paraId="1853B4B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4.3评审专家在规定的分值范围内独立打分，评分保留两位小数，如某分项评分要素为2分，则评审专家在0.01〜2分内打分。</w:t>
      </w:r>
      <w:bookmarkStart w:id="180" w:name="_Toc8214"/>
    </w:p>
    <w:p w14:paraId="72519B1D">
      <w:pPr>
        <w:spacing w:line="360" w:lineRule="auto"/>
        <w:jc w:val="left"/>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五   评标办法和细则</w:t>
      </w:r>
      <w:bookmarkEnd w:id="180"/>
    </w:p>
    <w:p w14:paraId="7406230E">
      <w:pPr>
        <w:spacing w:line="360" w:lineRule="auto"/>
        <w:jc w:val="left"/>
        <w:rPr>
          <w:rFonts w:hint="eastAsia"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5.1.资信商务及技术分值为</w:t>
      </w:r>
      <w:r>
        <w:rPr>
          <w:rFonts w:hint="eastAsia" w:ascii="宋体" w:hAnsi="宋体" w:cs="宋体"/>
          <w:b/>
          <w:color w:val="000000" w:themeColor="text1"/>
          <w:sz w:val="24"/>
          <w:highlight w:val="none"/>
          <w:lang w:val="en-US" w:eastAsia="zh-CN"/>
          <w14:textFill>
            <w14:solidFill>
              <w14:schemeClr w14:val="tx1"/>
            </w14:solidFill>
          </w14:textFill>
        </w:rPr>
        <w:t>70</w:t>
      </w:r>
      <w:r>
        <w:rPr>
          <w:rFonts w:hint="eastAsia" w:ascii="宋体" w:hAnsi="宋体" w:cs="宋体"/>
          <w:b/>
          <w:color w:val="000000" w:themeColor="text1"/>
          <w:sz w:val="24"/>
          <w:highlight w:val="none"/>
          <w14:textFill>
            <w14:solidFill>
              <w14:schemeClr w14:val="tx1"/>
            </w14:solidFill>
          </w14:textFill>
        </w:rPr>
        <w:t>分，权重为</w:t>
      </w:r>
      <w:r>
        <w:rPr>
          <w:rFonts w:hint="eastAsia" w:ascii="宋体" w:hAnsi="宋体" w:cs="宋体"/>
          <w:b/>
          <w:color w:val="000000" w:themeColor="text1"/>
          <w:sz w:val="24"/>
          <w:highlight w:val="none"/>
          <w:lang w:val="en-US" w:eastAsia="zh-CN"/>
          <w14:textFill>
            <w14:solidFill>
              <w14:schemeClr w14:val="tx1"/>
            </w14:solidFill>
          </w14:textFill>
        </w:rPr>
        <w:t>70</w:t>
      </w:r>
      <w:r>
        <w:rPr>
          <w:rFonts w:hint="eastAsia" w:ascii="宋体" w:hAnsi="宋体" w:cs="宋体"/>
          <w:b/>
          <w:color w:val="000000" w:themeColor="text1"/>
          <w:sz w:val="24"/>
          <w:highlight w:val="none"/>
          <w14:textFill>
            <w14:solidFill>
              <w14:schemeClr w14:val="tx1"/>
            </w14:solidFill>
          </w14:textFill>
        </w:rPr>
        <w:t>%。</w:t>
      </w:r>
    </w:p>
    <w:p w14:paraId="3DD59841">
      <w:pPr>
        <w:spacing w:line="360" w:lineRule="auto"/>
        <w:jc w:val="center"/>
        <w:rPr>
          <w:rFonts w:hint="eastAsia" w:ascii="宋体" w:hAnsi="宋体" w:cs="宋体"/>
          <w:b/>
          <w:color w:val="000000" w:themeColor="text1"/>
          <w:sz w:val="24"/>
          <w:highlight w:val="none"/>
          <w:lang w:eastAsia="zh-CN"/>
          <w14:textFill>
            <w14:solidFill>
              <w14:schemeClr w14:val="tx1"/>
            </w14:solidFill>
          </w14:textFill>
        </w:rPr>
      </w:pPr>
    </w:p>
    <w:p w14:paraId="29679A9E">
      <w:pPr>
        <w:spacing w:line="360" w:lineRule="auto"/>
        <w:jc w:val="center"/>
        <w:rPr>
          <w:rFonts w:hint="eastAsia" w:ascii="宋体" w:hAnsi="宋体" w:eastAsia="宋体" w:cs="宋体"/>
          <w:b/>
          <w:color w:val="000000" w:themeColor="text1"/>
          <w:sz w:val="28"/>
          <w:szCs w:val="28"/>
          <w:highlight w:val="none"/>
          <w:lang w:eastAsia="zh-CN"/>
          <w14:textFill>
            <w14:solidFill>
              <w14:schemeClr w14:val="tx1"/>
            </w14:solidFill>
          </w14:textFill>
        </w:rPr>
      </w:pPr>
      <w:r>
        <w:rPr>
          <w:rFonts w:hint="eastAsia" w:ascii="宋体" w:hAnsi="宋体" w:cs="宋体"/>
          <w:b/>
          <w:color w:val="000000" w:themeColor="text1"/>
          <w:sz w:val="28"/>
          <w:szCs w:val="28"/>
          <w:highlight w:val="none"/>
          <w:lang w:eastAsia="zh-CN"/>
          <w14:textFill>
            <w14:solidFill>
              <w14:schemeClr w14:val="tx1"/>
            </w14:solidFill>
          </w14:textFill>
        </w:rPr>
        <w:t>标项一评分标准</w:t>
      </w:r>
    </w:p>
    <w:tbl>
      <w:tblPr>
        <w:tblStyle w:val="28"/>
        <w:tblW w:w="10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01"/>
        <w:gridCol w:w="1012"/>
        <w:gridCol w:w="6683"/>
        <w:gridCol w:w="720"/>
        <w:gridCol w:w="961"/>
      </w:tblGrid>
      <w:tr w14:paraId="1CC63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0873DE7C">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1012" w:type="dxa"/>
            <w:shd w:val="clear" w:color="auto" w:fill="auto"/>
            <w:vAlign w:val="center"/>
          </w:tcPr>
          <w:p w14:paraId="3EF5D60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评审内容</w:t>
            </w:r>
          </w:p>
        </w:tc>
        <w:tc>
          <w:tcPr>
            <w:tcW w:w="6683" w:type="dxa"/>
            <w:shd w:val="clear" w:color="auto" w:fill="auto"/>
            <w:vAlign w:val="center"/>
          </w:tcPr>
          <w:p w14:paraId="5D69F7C9">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评分标准及细则</w:t>
            </w:r>
          </w:p>
        </w:tc>
        <w:tc>
          <w:tcPr>
            <w:tcW w:w="720" w:type="dxa"/>
            <w:shd w:val="clear" w:color="auto" w:fill="auto"/>
            <w:vAlign w:val="center"/>
          </w:tcPr>
          <w:p w14:paraId="6411926B">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分值</w:t>
            </w:r>
          </w:p>
        </w:tc>
        <w:tc>
          <w:tcPr>
            <w:tcW w:w="961" w:type="dxa"/>
            <w:shd w:val="clear" w:color="auto" w:fill="auto"/>
            <w:vAlign w:val="center"/>
          </w:tcPr>
          <w:p w14:paraId="6BF10FA2">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备注</w:t>
            </w:r>
          </w:p>
        </w:tc>
      </w:tr>
      <w:tr w14:paraId="46A6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1" w:hRule="atLeast"/>
          <w:jc w:val="center"/>
        </w:trPr>
        <w:tc>
          <w:tcPr>
            <w:tcW w:w="701" w:type="dxa"/>
            <w:shd w:val="clear" w:color="auto" w:fill="auto"/>
            <w:vAlign w:val="center"/>
          </w:tcPr>
          <w:p w14:paraId="6216E6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012" w:type="dxa"/>
            <w:shd w:val="clear" w:color="auto" w:fill="auto"/>
            <w:vAlign w:val="center"/>
          </w:tcPr>
          <w:p w14:paraId="285C90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业绩</w:t>
            </w:r>
          </w:p>
        </w:tc>
        <w:tc>
          <w:tcPr>
            <w:tcW w:w="6683" w:type="dxa"/>
            <w:shd w:val="clear" w:color="auto" w:fill="auto"/>
            <w:vAlign w:val="center"/>
          </w:tcPr>
          <w:p w14:paraId="7F74FA44">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自2022年1月1日起至投标截止之日止（以合同签订时间为准），投标人具有同类案例业绩的，每提供一个得1分，本项最高得3分。</w:t>
            </w:r>
          </w:p>
          <w:p w14:paraId="1DBEB2DF">
            <w:pPr>
              <w:keepNext w:val="0"/>
              <w:keepLines w:val="0"/>
              <w:widowControl/>
              <w:suppressLineNumbers w:val="0"/>
              <w:ind w:firstLine="482" w:firstLineChars="20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b/>
                <w:bCs/>
                <w:i w:val="0"/>
                <w:iCs w:val="0"/>
                <w:color w:val="000000"/>
                <w:kern w:val="0"/>
                <w:sz w:val="24"/>
                <w:szCs w:val="24"/>
                <w:u w:val="none"/>
                <w:lang w:val="en-US" w:eastAsia="zh-CN" w:bidi="ar"/>
              </w:rPr>
              <w:t>注：投标文件中提供合同扫描件，未提供或提供不符合要求的不得分。</w:t>
            </w:r>
          </w:p>
        </w:tc>
        <w:tc>
          <w:tcPr>
            <w:tcW w:w="720" w:type="dxa"/>
            <w:shd w:val="clear" w:color="auto" w:fill="auto"/>
            <w:vAlign w:val="center"/>
          </w:tcPr>
          <w:p w14:paraId="6EFAEE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0-3</w:t>
            </w:r>
          </w:p>
        </w:tc>
        <w:tc>
          <w:tcPr>
            <w:tcW w:w="961" w:type="dxa"/>
            <w:shd w:val="clear" w:color="auto" w:fill="auto"/>
            <w:vAlign w:val="center"/>
          </w:tcPr>
          <w:p w14:paraId="60AAAB9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客观分</w:t>
            </w:r>
          </w:p>
        </w:tc>
      </w:tr>
      <w:tr w14:paraId="6223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1" w:hRule="atLeast"/>
          <w:jc w:val="center"/>
        </w:trPr>
        <w:tc>
          <w:tcPr>
            <w:tcW w:w="701" w:type="dxa"/>
            <w:shd w:val="clear" w:color="auto" w:fill="auto"/>
            <w:vAlign w:val="center"/>
          </w:tcPr>
          <w:p w14:paraId="2AE380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012" w:type="dxa"/>
            <w:shd w:val="clear" w:color="auto" w:fill="auto"/>
            <w:vAlign w:val="center"/>
          </w:tcPr>
          <w:p w14:paraId="6DE4B8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企业认证</w:t>
            </w:r>
          </w:p>
        </w:tc>
        <w:tc>
          <w:tcPr>
            <w:tcW w:w="6683" w:type="dxa"/>
            <w:shd w:val="clear" w:color="auto" w:fill="auto"/>
            <w:vAlign w:val="center"/>
          </w:tcPr>
          <w:p w14:paraId="176F3DE1">
            <w:pPr>
              <w:keepNext w:val="0"/>
              <w:keepLines w:val="0"/>
              <w:widowControl/>
              <w:suppressLineNumbers w:val="0"/>
              <w:jc w:val="both"/>
              <w:textAlignment w:val="center"/>
              <w:rPr>
                <w:rFonts w:hint="eastAsia" w:ascii="宋体" w:hAnsi="宋体" w:eastAsia="宋体" w:cs="宋体"/>
                <w:i w:val="0"/>
                <w:iCs w:val="0"/>
                <w:color w:val="000000"/>
                <w:sz w:val="24"/>
                <w:szCs w:val="24"/>
                <w:u w:val="none"/>
              </w:rPr>
            </w:pPr>
            <w:r>
              <w:rPr>
                <w:rFonts w:hint="eastAsia" w:ascii="宋体" w:hAnsi="宋体" w:cs="宋体"/>
                <w:color w:val="auto"/>
                <w:kern w:val="2"/>
                <w:sz w:val="24"/>
                <w:szCs w:val="24"/>
                <w:highlight w:val="none"/>
                <w:lang w:val="en-US" w:eastAsia="zh-CN" w:bidi="ar-SA"/>
              </w:rPr>
              <w:t>1、投标人具有有效的ISO9001质量管理体系认证证书的，得1分；</w:t>
            </w:r>
            <w:r>
              <w:rPr>
                <w:rFonts w:hint="eastAsia" w:ascii="宋体" w:hAnsi="宋体" w:cs="宋体"/>
                <w:color w:val="auto"/>
                <w:kern w:val="2"/>
                <w:sz w:val="24"/>
                <w:szCs w:val="24"/>
                <w:highlight w:val="none"/>
                <w:lang w:val="en-US" w:eastAsia="zh-CN" w:bidi="ar-SA"/>
              </w:rPr>
              <w:br w:type="textWrapping"/>
            </w:r>
            <w:r>
              <w:rPr>
                <w:rFonts w:hint="eastAsia" w:ascii="宋体" w:hAnsi="宋体" w:cs="宋体"/>
                <w:color w:val="auto"/>
                <w:kern w:val="2"/>
                <w:sz w:val="24"/>
                <w:szCs w:val="24"/>
                <w:highlight w:val="none"/>
                <w:lang w:val="en-US" w:eastAsia="zh-CN" w:bidi="ar-SA"/>
              </w:rPr>
              <w:t>2、投标人具有有效的ISO45001职业健康安全管理体系认证证书的，得1分；</w:t>
            </w:r>
            <w:r>
              <w:rPr>
                <w:rFonts w:hint="eastAsia" w:ascii="宋体" w:hAnsi="宋体" w:cs="宋体"/>
                <w:color w:val="auto"/>
                <w:kern w:val="2"/>
                <w:sz w:val="24"/>
                <w:szCs w:val="24"/>
                <w:highlight w:val="none"/>
                <w:lang w:val="en-US" w:eastAsia="zh-CN" w:bidi="ar-SA"/>
              </w:rPr>
              <w:br w:type="textWrapping"/>
            </w:r>
            <w:r>
              <w:rPr>
                <w:rFonts w:hint="eastAsia" w:ascii="宋体" w:hAnsi="宋体" w:cs="宋体"/>
                <w:color w:val="auto"/>
                <w:kern w:val="2"/>
                <w:sz w:val="24"/>
                <w:szCs w:val="24"/>
                <w:highlight w:val="none"/>
                <w:lang w:val="en-US" w:eastAsia="zh-CN" w:bidi="ar-SA"/>
              </w:rPr>
              <w:t>3、投标人具有有效的ISO27001信息安全管理体系认证证书的，得1分；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注：提供证书扫描件，并同时提供国家认证认可监督管理委员会官方网站（https://www.cnca.gov.cn/hlwfw/）上相关证书有效的网页截图，证明材料加盖公章，未提供或提供不符合要求的不得分。</w:t>
            </w:r>
          </w:p>
        </w:tc>
        <w:tc>
          <w:tcPr>
            <w:tcW w:w="720" w:type="dxa"/>
            <w:shd w:val="clear" w:color="auto" w:fill="auto"/>
            <w:vAlign w:val="center"/>
          </w:tcPr>
          <w:p w14:paraId="77F8CA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0-3</w:t>
            </w:r>
          </w:p>
        </w:tc>
        <w:tc>
          <w:tcPr>
            <w:tcW w:w="961" w:type="dxa"/>
            <w:shd w:val="clear" w:color="auto" w:fill="auto"/>
            <w:vAlign w:val="center"/>
          </w:tcPr>
          <w:p w14:paraId="1C16CC5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客观分</w:t>
            </w:r>
          </w:p>
        </w:tc>
      </w:tr>
      <w:tr w14:paraId="3A451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vMerge w:val="restart"/>
            <w:shd w:val="clear" w:color="auto" w:fill="auto"/>
            <w:vAlign w:val="center"/>
          </w:tcPr>
          <w:p w14:paraId="63CDCC45">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color w:val="auto"/>
                <w:kern w:val="0"/>
                <w:sz w:val="21"/>
                <w:szCs w:val="21"/>
                <w:highlight w:val="none"/>
                <w:lang w:val="en-US" w:eastAsia="zh-CN"/>
              </w:rPr>
              <w:t>4</w:t>
            </w:r>
          </w:p>
        </w:tc>
        <w:tc>
          <w:tcPr>
            <w:tcW w:w="1012" w:type="dxa"/>
            <w:vMerge w:val="restart"/>
            <w:shd w:val="clear" w:color="auto" w:fill="auto"/>
            <w:vAlign w:val="center"/>
          </w:tcPr>
          <w:p w14:paraId="0570DAC0">
            <w:pPr>
              <w:keepNext w:val="0"/>
              <w:keepLines w:val="0"/>
              <w:pageBreakBefore w:val="0"/>
              <w:shd w:val="clear" w:color="auto" w:fill="auto"/>
              <w:kinsoku/>
              <w:wordWrap/>
              <w:overflowPunct/>
              <w:topLinePunct w:val="0"/>
              <w:autoSpaceDE/>
              <w:autoSpaceDN/>
              <w:bidi w:val="0"/>
              <w:adjustRightInd/>
              <w:snapToGrid/>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color w:val="auto"/>
                <w:sz w:val="21"/>
                <w:szCs w:val="21"/>
                <w:highlight w:val="none"/>
              </w:rPr>
              <w:t>主要</w:t>
            </w:r>
            <w:r>
              <w:rPr>
                <w:rFonts w:hint="eastAsia" w:ascii="宋体" w:hAnsi="宋体" w:cs="宋体"/>
                <w:color w:val="auto"/>
                <w:sz w:val="21"/>
                <w:szCs w:val="21"/>
                <w:highlight w:val="none"/>
                <w:lang w:val="en-US" w:eastAsia="zh-CN"/>
              </w:rPr>
              <w:t>成品、</w:t>
            </w:r>
            <w:r>
              <w:rPr>
                <w:rFonts w:hint="eastAsia" w:ascii="宋体" w:hAnsi="宋体" w:eastAsia="宋体" w:cs="宋体"/>
                <w:color w:val="auto"/>
                <w:sz w:val="21"/>
                <w:szCs w:val="21"/>
                <w:highlight w:val="none"/>
              </w:rPr>
              <w:t>材料检测报告</w:t>
            </w:r>
          </w:p>
        </w:tc>
        <w:tc>
          <w:tcPr>
            <w:tcW w:w="6683" w:type="dxa"/>
            <w:shd w:val="clear" w:color="auto" w:fill="auto"/>
            <w:vAlign w:val="center"/>
          </w:tcPr>
          <w:p w14:paraId="7B091D13">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须提供符合核心技术性能要求的与采购标的同品类</w:t>
            </w:r>
            <w:r>
              <w:rPr>
                <w:rFonts w:hint="eastAsia" w:ascii="宋体" w:hAnsi="宋体" w:cs="宋体"/>
                <w:b/>
                <w:bCs/>
                <w:color w:val="auto"/>
                <w:kern w:val="2"/>
                <w:sz w:val="24"/>
                <w:szCs w:val="24"/>
                <w:highlight w:val="none"/>
                <w:lang w:val="en-US" w:eastAsia="zh-CN" w:bidi="ar-SA"/>
              </w:rPr>
              <w:t>(演示台、实验桌、电脑桌)</w:t>
            </w:r>
            <w:r>
              <w:rPr>
                <w:rFonts w:hint="eastAsia" w:ascii="宋体" w:hAnsi="宋体" w:cs="宋体"/>
                <w:color w:val="auto"/>
                <w:kern w:val="2"/>
                <w:sz w:val="24"/>
                <w:szCs w:val="24"/>
                <w:highlight w:val="none"/>
                <w:lang w:val="en-US" w:eastAsia="zh-CN" w:bidi="ar-SA"/>
              </w:rPr>
              <w:t>成品检测报告(</w:t>
            </w:r>
            <w:r>
              <w:rPr>
                <w:rFonts w:hint="default" w:ascii="宋体" w:hAnsi="宋体" w:cs="宋体"/>
                <w:color w:val="auto"/>
                <w:kern w:val="2"/>
                <w:sz w:val="24"/>
                <w:szCs w:val="24"/>
                <w:highlight w:val="none"/>
                <w:lang w:val="en-US" w:eastAsia="zh-CN" w:bidi="ar-SA"/>
              </w:rPr>
              <w:t>2024年1</w:t>
            </w:r>
            <w:r>
              <w:rPr>
                <w:rFonts w:hint="eastAsia" w:ascii="宋体" w:hAnsi="宋体" w:cs="宋体"/>
                <w:color w:val="auto"/>
                <w:kern w:val="2"/>
                <w:sz w:val="24"/>
                <w:szCs w:val="24"/>
                <w:highlight w:val="none"/>
                <w:lang w:val="en-US" w:eastAsia="zh-CN" w:bidi="ar-SA"/>
              </w:rPr>
              <w:t>月</w:t>
            </w:r>
            <w:r>
              <w:rPr>
                <w:rFonts w:hint="default" w:ascii="宋体" w:hAnsi="宋体" w:cs="宋体"/>
                <w:color w:val="auto"/>
                <w:kern w:val="2"/>
                <w:sz w:val="24"/>
                <w:szCs w:val="24"/>
                <w:highlight w:val="none"/>
                <w:lang w:val="en-US" w:eastAsia="zh-CN" w:bidi="ar-SA"/>
              </w:rPr>
              <w:t>1日起至</w:t>
            </w:r>
            <w:r>
              <w:rPr>
                <w:rFonts w:hint="eastAsia" w:ascii="宋体" w:hAnsi="宋体" w:cs="宋体"/>
                <w:color w:val="auto"/>
                <w:kern w:val="2"/>
                <w:sz w:val="24"/>
                <w:szCs w:val="24"/>
                <w:highlight w:val="none"/>
                <w:lang w:val="en-US" w:eastAsia="zh-CN" w:bidi="ar-SA"/>
              </w:rPr>
              <w:t>投标截止时间前)。</w:t>
            </w:r>
          </w:p>
          <w:p w14:paraId="5088E98B">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每个品类的核心技术指标评分内容如下:</w:t>
            </w:r>
          </w:p>
          <w:p w14:paraId="4192BBF1">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1.力学性能(稳定性全项、符合采购需求的强度及耐久性全项)，符合国家强制标准或国家推荐标准要求得1.5分,不符合不得分。</w:t>
            </w:r>
          </w:p>
          <w:p w14:paraId="1069411C">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2.产品涉及的表面理化性能(如:漆膜、软硬质覆面、金属件、封边条等)，符合得0.5分，不符合不得分。</w:t>
            </w:r>
          </w:p>
          <w:p w14:paraId="4E0C059D">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3.成品甲醛释放量检测按对应的国家强制性标准或国家推荐标准执行评分： 合格得1.5分，其余不得分。</w:t>
            </w:r>
          </w:p>
          <w:p w14:paraId="52AEB98E">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4.除第3项所涉及的甲醛释放量以外的安全性能和有害物质限量，符合得1.5分，不符合不得分。</w:t>
            </w:r>
          </w:p>
          <w:p w14:paraId="5BCB726F">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b/>
                <w:bCs/>
                <w:color w:val="auto"/>
                <w:kern w:val="2"/>
                <w:sz w:val="21"/>
                <w:szCs w:val="21"/>
                <w:highlight w:val="none"/>
                <w:lang w:val="en-US" w:eastAsia="zh-CN" w:bidi="ar-SA"/>
              </w:rPr>
              <w:t>备注：出具的检测报告必须由具备家具成品及其原辅材料检测能力并通过国家计量认证（CMA或CNAS资质）的第三方检测机构提供。</w:t>
            </w:r>
          </w:p>
        </w:tc>
        <w:tc>
          <w:tcPr>
            <w:tcW w:w="720" w:type="dxa"/>
            <w:shd w:val="clear" w:color="auto" w:fill="auto"/>
            <w:vAlign w:val="center"/>
          </w:tcPr>
          <w:p w14:paraId="052C81F8">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kern w:val="0"/>
                <w:sz w:val="21"/>
                <w:szCs w:val="21"/>
                <w:highlight w:val="none"/>
                <w:lang w:val="en-US" w:eastAsia="zh-CN"/>
              </w:rPr>
              <w:t>0-5</w:t>
            </w:r>
          </w:p>
        </w:tc>
        <w:tc>
          <w:tcPr>
            <w:tcW w:w="961" w:type="dxa"/>
            <w:shd w:val="clear" w:color="auto" w:fill="auto"/>
            <w:vAlign w:val="center"/>
          </w:tcPr>
          <w:p w14:paraId="1FE6E927">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kern w:val="0"/>
                <w:sz w:val="21"/>
                <w:szCs w:val="21"/>
                <w:highlight w:val="none"/>
                <w:lang w:eastAsia="zh-CN"/>
              </w:rPr>
              <w:t>客观分</w:t>
            </w:r>
          </w:p>
        </w:tc>
      </w:tr>
      <w:tr w14:paraId="163DD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vMerge w:val="continue"/>
            <w:shd w:val="clear" w:color="auto" w:fill="auto"/>
            <w:vAlign w:val="center"/>
          </w:tcPr>
          <w:p w14:paraId="5D7DAB17">
            <w:pPr>
              <w:keepNext w:val="0"/>
              <w:keepLines w:val="0"/>
              <w:widowControl/>
              <w:suppressLineNumbers w:val="0"/>
              <w:jc w:val="center"/>
              <w:textAlignment w:val="center"/>
              <w:rPr>
                <w:rFonts w:hint="eastAsia" w:ascii="宋体" w:hAnsi="宋体" w:eastAsia="宋体" w:cs="宋体"/>
                <w:i w:val="0"/>
                <w:iCs w:val="0"/>
                <w:color w:val="auto"/>
                <w:kern w:val="0"/>
                <w:sz w:val="24"/>
                <w:szCs w:val="24"/>
                <w:u w:val="none"/>
                <w:lang w:val="en-US" w:eastAsia="zh-CN" w:bidi="ar"/>
              </w:rPr>
            </w:pPr>
          </w:p>
        </w:tc>
        <w:tc>
          <w:tcPr>
            <w:tcW w:w="1012" w:type="dxa"/>
            <w:vMerge w:val="continue"/>
            <w:shd w:val="clear" w:color="auto" w:fill="auto"/>
            <w:vAlign w:val="center"/>
          </w:tcPr>
          <w:p w14:paraId="4B2CD3EF">
            <w:pPr>
              <w:keepNext w:val="0"/>
              <w:keepLines w:val="0"/>
              <w:widowControl/>
              <w:suppressLineNumbers w:val="0"/>
              <w:jc w:val="center"/>
              <w:textAlignment w:val="center"/>
              <w:rPr>
                <w:rFonts w:hint="eastAsia" w:ascii="宋体" w:hAnsi="宋体" w:eastAsia="宋体" w:cs="宋体"/>
                <w:i w:val="0"/>
                <w:iCs w:val="0"/>
                <w:color w:val="auto"/>
                <w:kern w:val="0"/>
                <w:sz w:val="24"/>
                <w:szCs w:val="24"/>
                <w:u w:val="none"/>
                <w:lang w:val="en-US" w:eastAsia="zh-CN" w:bidi="ar"/>
              </w:rPr>
            </w:pPr>
          </w:p>
        </w:tc>
        <w:tc>
          <w:tcPr>
            <w:tcW w:w="6683" w:type="dxa"/>
            <w:shd w:val="clear" w:color="auto" w:fill="auto"/>
            <w:vAlign w:val="center"/>
          </w:tcPr>
          <w:p w14:paraId="0330F63F">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投标人或投标产品制造商</w:t>
            </w:r>
            <w:r>
              <w:rPr>
                <w:rFonts w:hint="eastAsia" w:ascii="宋体" w:hAnsi="宋体" w:eastAsia="宋体" w:cs="宋体"/>
                <w:color w:val="auto"/>
                <w:kern w:val="2"/>
                <w:sz w:val="24"/>
                <w:szCs w:val="24"/>
                <w:highlight w:val="none"/>
                <w:lang w:val="en-US" w:eastAsia="zh-CN" w:bidi="ar-SA"/>
              </w:rPr>
              <w:t>须提供符合国家标准或行业标准要求的主要原材料(如</w:t>
            </w:r>
            <w:r>
              <w:rPr>
                <w:rFonts w:hint="eastAsia" w:ascii="宋体" w:hAnsi="宋体" w:cs="宋体"/>
                <w:color w:val="auto"/>
                <w:kern w:val="2"/>
                <w:sz w:val="24"/>
                <w:szCs w:val="24"/>
                <w:highlight w:val="none"/>
                <w:lang w:val="en-US" w:eastAsia="zh-CN" w:bidi="ar-SA"/>
              </w:rPr>
              <w:t>实芯理化板、</w:t>
            </w:r>
            <w:r>
              <w:rPr>
                <w:rFonts w:hint="eastAsia" w:ascii="宋体" w:hAnsi="宋体" w:eastAsia="宋体" w:cs="宋体"/>
                <w:color w:val="auto"/>
                <w:kern w:val="2"/>
                <w:sz w:val="24"/>
                <w:szCs w:val="24"/>
                <w:highlight w:val="none"/>
                <w:lang w:val="en-US" w:eastAsia="zh-CN" w:bidi="ar-SA"/>
              </w:rPr>
              <w:t>人造板</w:t>
            </w:r>
            <w:r>
              <w:rPr>
                <w:rFonts w:hint="eastAsia" w:ascii="宋体" w:hAnsi="宋体" w:cs="宋体"/>
                <w:color w:val="auto"/>
                <w:kern w:val="2"/>
                <w:sz w:val="24"/>
                <w:szCs w:val="24"/>
                <w:highlight w:val="none"/>
                <w:lang w:val="en-US" w:eastAsia="zh-CN" w:bidi="ar-SA"/>
              </w:rPr>
              <w:t>、金属件、PP塑料</w:t>
            </w:r>
            <w:r>
              <w:rPr>
                <w:rFonts w:hint="eastAsia" w:ascii="宋体" w:hAnsi="宋体" w:eastAsia="宋体" w:cs="宋体"/>
                <w:color w:val="auto"/>
                <w:kern w:val="2"/>
                <w:sz w:val="24"/>
                <w:szCs w:val="24"/>
                <w:highlight w:val="none"/>
                <w:lang w:val="en-US" w:eastAsia="zh-CN" w:bidi="ar-SA"/>
              </w:rPr>
              <w:t>)的检测报告。每提供一个种类的原材料检测报告，得1分，最高得3分。</w:t>
            </w:r>
          </w:p>
          <w:p w14:paraId="318635DF">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2"/>
                <w:sz w:val="21"/>
                <w:szCs w:val="21"/>
                <w:highlight w:val="none"/>
                <w:lang w:val="en-US" w:eastAsia="zh-CN" w:bidi="ar-SA"/>
              </w:rPr>
              <w:t>原材料供应商提供符合上述要求的检测报告也可采用，但必须提供</w:t>
            </w:r>
            <w:r>
              <w:rPr>
                <w:rFonts w:hint="eastAsia" w:ascii="宋体" w:hAnsi="宋体" w:cs="宋体"/>
                <w:b/>
                <w:bCs/>
                <w:color w:val="auto"/>
                <w:kern w:val="2"/>
                <w:sz w:val="21"/>
                <w:szCs w:val="21"/>
                <w:highlight w:val="none"/>
                <w:lang w:val="en-US" w:eastAsia="zh-CN" w:bidi="ar-SA"/>
              </w:rPr>
              <w:t>投标人或投标产品制造商与原材料</w:t>
            </w:r>
            <w:r>
              <w:rPr>
                <w:rFonts w:hint="eastAsia" w:ascii="宋体" w:hAnsi="宋体" w:eastAsia="宋体" w:cs="宋体"/>
                <w:b/>
                <w:bCs/>
                <w:color w:val="auto"/>
                <w:kern w:val="2"/>
                <w:sz w:val="21"/>
                <w:szCs w:val="21"/>
                <w:highlight w:val="none"/>
                <w:lang w:val="en-US" w:eastAsia="zh-CN" w:bidi="ar-SA"/>
              </w:rPr>
              <w:t>供应商</w:t>
            </w:r>
            <w:r>
              <w:rPr>
                <w:rFonts w:hint="eastAsia" w:ascii="宋体" w:hAnsi="宋体" w:cs="宋体"/>
                <w:b/>
                <w:bCs/>
                <w:color w:val="auto"/>
                <w:kern w:val="2"/>
                <w:sz w:val="21"/>
                <w:szCs w:val="21"/>
                <w:highlight w:val="none"/>
                <w:lang w:val="en-US" w:eastAsia="zh-CN" w:bidi="ar-SA"/>
              </w:rPr>
              <w:t>提供的对应</w:t>
            </w:r>
            <w:r>
              <w:rPr>
                <w:rFonts w:hint="eastAsia" w:ascii="宋体" w:hAnsi="宋体" w:eastAsia="宋体" w:cs="宋体"/>
                <w:b/>
                <w:bCs/>
                <w:color w:val="auto"/>
                <w:kern w:val="2"/>
                <w:sz w:val="21"/>
                <w:szCs w:val="21"/>
                <w:highlight w:val="none"/>
                <w:lang w:val="en-US" w:eastAsia="zh-CN" w:bidi="ar-SA"/>
              </w:rPr>
              <w:t>原材料</w:t>
            </w:r>
            <w:r>
              <w:rPr>
                <w:b/>
                <w:bCs/>
                <w:color w:val="auto"/>
              </w:rPr>
              <w:t>供销或采购合作协议等相关证明材料</w:t>
            </w:r>
            <w:r>
              <w:rPr>
                <w:rFonts w:hint="eastAsia" w:ascii="宋体" w:hAnsi="宋体" w:eastAsia="宋体" w:cs="宋体"/>
                <w:color w:val="auto"/>
                <w:kern w:val="2"/>
                <w:sz w:val="21"/>
                <w:szCs w:val="21"/>
                <w:highlight w:val="none"/>
                <w:lang w:val="en-US" w:eastAsia="zh-CN" w:bidi="ar-SA"/>
              </w:rPr>
              <w:t>。</w:t>
            </w:r>
          </w:p>
          <w:p w14:paraId="1ECAF5E6">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bCs/>
                <w:color w:val="auto"/>
                <w:kern w:val="2"/>
                <w:sz w:val="21"/>
                <w:szCs w:val="21"/>
                <w:highlight w:val="none"/>
                <w:lang w:val="en-US" w:eastAsia="zh-CN" w:bidi="ar-SA"/>
              </w:rPr>
              <w:t>备注:出具的检测报告必须由具备家具成品及其原辅材料检测能力并通过国家计量认证(CMA或CNAS资质)的第三方检测机构提供。</w:t>
            </w:r>
          </w:p>
        </w:tc>
        <w:tc>
          <w:tcPr>
            <w:tcW w:w="720" w:type="dxa"/>
            <w:shd w:val="clear" w:color="auto" w:fill="auto"/>
            <w:vAlign w:val="center"/>
          </w:tcPr>
          <w:p w14:paraId="19C8D9C7">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kern w:val="0"/>
                <w:sz w:val="21"/>
                <w:szCs w:val="21"/>
                <w:highlight w:val="none"/>
                <w:lang w:val="en-US" w:eastAsia="zh-CN"/>
              </w:rPr>
              <w:t>0-3</w:t>
            </w:r>
          </w:p>
        </w:tc>
        <w:tc>
          <w:tcPr>
            <w:tcW w:w="961" w:type="dxa"/>
            <w:shd w:val="clear" w:color="auto" w:fill="auto"/>
            <w:vAlign w:val="center"/>
          </w:tcPr>
          <w:p w14:paraId="4861F677">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kern w:val="0"/>
                <w:sz w:val="21"/>
                <w:szCs w:val="21"/>
                <w:highlight w:val="none"/>
                <w:lang w:eastAsia="zh-CN"/>
              </w:rPr>
              <w:t>客观分</w:t>
            </w:r>
          </w:p>
        </w:tc>
      </w:tr>
      <w:tr w14:paraId="2760B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shd w:val="clear" w:color="auto" w:fill="auto"/>
            <w:vAlign w:val="center"/>
          </w:tcPr>
          <w:p w14:paraId="7B3965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012" w:type="dxa"/>
            <w:shd w:val="clear" w:color="auto" w:fill="auto"/>
            <w:vAlign w:val="center"/>
          </w:tcPr>
          <w:p w14:paraId="14D82A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技术参数</w:t>
            </w:r>
            <w:r>
              <w:rPr>
                <w:rFonts w:hint="eastAsia" w:ascii="宋体" w:hAnsi="宋体" w:cs="宋体"/>
                <w:i w:val="0"/>
                <w:iCs w:val="0"/>
                <w:color w:val="000000"/>
                <w:kern w:val="0"/>
                <w:sz w:val="24"/>
                <w:szCs w:val="24"/>
                <w:u w:val="none"/>
                <w:lang w:val="en-US" w:eastAsia="zh-CN" w:bidi="ar"/>
              </w:rPr>
              <w:t>响应</w:t>
            </w:r>
            <w:r>
              <w:rPr>
                <w:rFonts w:hint="eastAsia" w:ascii="宋体" w:hAnsi="宋体" w:eastAsia="宋体" w:cs="宋体"/>
                <w:i w:val="0"/>
                <w:iCs w:val="0"/>
                <w:color w:val="000000"/>
                <w:kern w:val="0"/>
                <w:sz w:val="24"/>
                <w:szCs w:val="24"/>
                <w:u w:val="none"/>
                <w:lang w:val="en-US" w:eastAsia="zh-CN" w:bidi="ar"/>
              </w:rPr>
              <w:t>情况</w:t>
            </w:r>
          </w:p>
        </w:tc>
        <w:tc>
          <w:tcPr>
            <w:tcW w:w="6683" w:type="dxa"/>
            <w:shd w:val="clear" w:color="auto" w:fill="auto"/>
            <w:vAlign w:val="center"/>
          </w:tcPr>
          <w:p w14:paraId="7EF28CD0">
            <w:pPr>
              <w:keepNext w:val="0"/>
              <w:keepLines w:val="0"/>
              <w:widowControl/>
              <w:suppressLineNumbers w:val="0"/>
              <w:ind w:firstLine="480" w:firstLineChars="20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根据投标人对招标文件技术指标的响应程度进行评分：投标产品的基本功能、技术指标完全响应招标文件的得1</w:t>
            </w:r>
            <w:r>
              <w:rPr>
                <w:rFonts w:hint="eastAsia" w:ascii="宋体" w:hAnsi="宋体" w:cs="宋体"/>
                <w:i w:val="0"/>
                <w:iCs w:val="0"/>
                <w:color w:val="000000"/>
                <w:kern w:val="0"/>
                <w:sz w:val="24"/>
                <w:szCs w:val="24"/>
                <w:u w:val="none"/>
                <w:lang w:val="en-US" w:eastAsia="zh-CN" w:bidi="ar"/>
              </w:rPr>
              <w:t>1</w:t>
            </w:r>
            <w:r>
              <w:rPr>
                <w:rFonts w:hint="eastAsia" w:ascii="宋体" w:hAnsi="宋体" w:eastAsia="宋体" w:cs="宋体"/>
                <w:i w:val="0"/>
                <w:iCs w:val="0"/>
                <w:color w:val="000000"/>
                <w:kern w:val="0"/>
                <w:sz w:val="24"/>
                <w:szCs w:val="24"/>
                <w:u w:val="none"/>
                <w:lang w:val="en-US" w:eastAsia="zh-CN" w:bidi="ar"/>
              </w:rPr>
              <w:t>分。参数负偏离每一项扣0.5分；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注：相同技术参数指标不累计扣分。</w:t>
            </w:r>
          </w:p>
        </w:tc>
        <w:tc>
          <w:tcPr>
            <w:tcW w:w="720" w:type="dxa"/>
            <w:shd w:val="clear" w:color="auto" w:fill="auto"/>
            <w:vAlign w:val="center"/>
          </w:tcPr>
          <w:p w14:paraId="416BECD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0-1</w:t>
            </w:r>
            <w:r>
              <w:rPr>
                <w:rFonts w:hint="eastAsia" w:ascii="宋体" w:hAnsi="宋体" w:cs="宋体"/>
                <w:i w:val="0"/>
                <w:iCs w:val="0"/>
                <w:color w:val="000000"/>
                <w:kern w:val="0"/>
                <w:sz w:val="24"/>
                <w:szCs w:val="24"/>
                <w:u w:val="none"/>
                <w:lang w:val="en-US" w:eastAsia="zh-CN" w:bidi="ar"/>
              </w:rPr>
              <w:t>1</w:t>
            </w:r>
          </w:p>
        </w:tc>
        <w:tc>
          <w:tcPr>
            <w:tcW w:w="961" w:type="dxa"/>
            <w:shd w:val="clear" w:color="auto" w:fill="auto"/>
            <w:vAlign w:val="center"/>
          </w:tcPr>
          <w:p w14:paraId="00D162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客观分</w:t>
            </w:r>
          </w:p>
        </w:tc>
      </w:tr>
      <w:tr w14:paraId="353E1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701" w:type="dxa"/>
            <w:shd w:val="clear" w:color="auto" w:fill="auto"/>
            <w:vAlign w:val="center"/>
          </w:tcPr>
          <w:p w14:paraId="0C3C038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012" w:type="dxa"/>
            <w:shd w:val="clear" w:color="auto" w:fill="auto"/>
            <w:vAlign w:val="center"/>
          </w:tcPr>
          <w:p w14:paraId="442BBC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优化设计</w:t>
            </w:r>
          </w:p>
        </w:tc>
        <w:tc>
          <w:tcPr>
            <w:tcW w:w="6683" w:type="dxa"/>
            <w:shd w:val="clear" w:color="auto" w:fill="auto"/>
            <w:vAlign w:val="center"/>
          </w:tcPr>
          <w:p w14:paraId="2575E7DA">
            <w:pPr>
              <w:keepNext w:val="0"/>
              <w:keepLines w:val="0"/>
              <w:widowControl/>
              <w:suppressLineNumbers w:val="0"/>
              <w:ind w:firstLine="482" w:firstLineChars="200"/>
              <w:jc w:val="left"/>
              <w:textAlignment w:val="center"/>
              <w:rPr>
                <w:rFonts w:hint="eastAsia" w:ascii="宋体" w:hAnsi="宋体" w:eastAsia="宋体" w:cs="宋体"/>
                <w:b/>
                <w:bCs/>
                <w:i w:val="0"/>
                <w:iCs w:val="0"/>
                <w:color w:val="auto"/>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标项</w:t>
            </w:r>
            <w:r>
              <w:rPr>
                <w:rFonts w:hint="eastAsia" w:ascii="宋体" w:hAnsi="宋体" w:cs="宋体"/>
                <w:b/>
                <w:bCs/>
                <w:i w:val="0"/>
                <w:iCs w:val="0"/>
                <w:color w:val="000000"/>
                <w:kern w:val="0"/>
                <w:sz w:val="24"/>
                <w:szCs w:val="24"/>
                <w:u w:val="none"/>
                <w:lang w:val="en-US" w:eastAsia="zh-CN" w:bidi="ar"/>
              </w:rPr>
              <w:t>一</w:t>
            </w:r>
            <w:r>
              <w:rPr>
                <w:rFonts w:hint="eastAsia" w:ascii="宋体" w:hAnsi="宋体" w:eastAsia="宋体" w:cs="宋体"/>
                <w:b/>
                <w:bCs/>
                <w:i w:val="0"/>
                <w:iCs w:val="0"/>
                <w:color w:val="000000"/>
                <w:kern w:val="0"/>
                <w:sz w:val="24"/>
                <w:szCs w:val="24"/>
                <w:u w:val="none"/>
                <w:lang w:val="en-US" w:eastAsia="zh-CN" w:bidi="ar"/>
              </w:rPr>
              <w:t>要求提供：美术教室、音乐教室</w:t>
            </w:r>
            <w:r>
              <w:rPr>
                <w:rFonts w:hint="eastAsia" w:ascii="宋体" w:hAnsi="宋体" w:eastAsia="宋体" w:cs="宋体"/>
                <w:b/>
                <w:bCs/>
                <w:i w:val="0"/>
                <w:iCs w:val="0"/>
                <w:color w:val="auto"/>
                <w:kern w:val="0"/>
                <w:sz w:val="24"/>
                <w:szCs w:val="24"/>
                <w:u w:val="none"/>
                <w:lang w:val="en-US" w:eastAsia="zh-CN" w:bidi="ar"/>
              </w:rPr>
              <w:t>、劳技教室、书法教室的效果图与全景图链接。根据与学校实际情况契合度、内容完整度、设计合理性、艺术程度高、呈现效果佳等方面比较打分；</w:t>
            </w:r>
          </w:p>
          <w:p w14:paraId="239F3144">
            <w:pPr>
              <w:keepNext w:val="0"/>
              <w:keepLines w:val="0"/>
              <w:widowControl/>
              <w:numPr>
                <w:ilvl w:val="0"/>
                <w:numId w:val="9"/>
              </w:numPr>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内容与学校实际情况契合度高、内容完整、设计合理、艺术程度高、呈现效果佳的得8分；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2、内容与学校实际情况较契合、有1项欠缺的、艺术呈现效果一般的得</w:t>
            </w:r>
            <w:r>
              <w:rPr>
                <w:rFonts w:hint="eastAsia" w:ascii="宋体" w:hAnsi="宋体" w:cs="宋体"/>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分；</w:t>
            </w:r>
          </w:p>
          <w:p w14:paraId="47949B67">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内容与学校实际情况较契合、有</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项欠缺的、艺术呈现效果一般的得</w:t>
            </w:r>
            <w:r>
              <w:rPr>
                <w:rFonts w:hint="eastAsia" w:ascii="宋体" w:hAnsi="宋体" w:cs="宋体"/>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分；</w:t>
            </w:r>
          </w:p>
          <w:p w14:paraId="54358EF2">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内容与学校实际情况较契合、有</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项欠缺的、艺术呈现效果一般的得</w:t>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000000"/>
                <w:kern w:val="0"/>
                <w:sz w:val="24"/>
                <w:szCs w:val="24"/>
                <w:u w:val="none"/>
                <w:lang w:val="en-US" w:eastAsia="zh-CN" w:bidi="ar"/>
              </w:rPr>
              <w:t>内容与学校实际情况不契合、有</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项</w:t>
            </w:r>
            <w:r>
              <w:rPr>
                <w:rFonts w:hint="eastAsia" w:ascii="宋体" w:hAnsi="宋体" w:cs="宋体"/>
                <w:i w:val="0"/>
                <w:iCs w:val="0"/>
                <w:color w:val="000000"/>
                <w:kern w:val="0"/>
                <w:sz w:val="24"/>
                <w:szCs w:val="24"/>
                <w:u w:val="none"/>
                <w:lang w:val="en-US" w:eastAsia="zh-CN" w:bidi="ar"/>
              </w:rPr>
              <w:t>及以上</w:t>
            </w:r>
            <w:r>
              <w:rPr>
                <w:rFonts w:hint="eastAsia" w:ascii="宋体" w:hAnsi="宋体" w:eastAsia="宋体" w:cs="宋体"/>
                <w:i w:val="0"/>
                <w:iCs w:val="0"/>
                <w:color w:val="000000"/>
                <w:kern w:val="0"/>
                <w:sz w:val="24"/>
                <w:szCs w:val="24"/>
                <w:u w:val="none"/>
                <w:lang w:val="en-US" w:eastAsia="zh-CN" w:bidi="ar"/>
              </w:rPr>
              <w:t>欠缺的、艺术呈现效果差的得2分；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6、</w:t>
            </w:r>
            <w:r>
              <w:rPr>
                <w:rFonts w:hint="eastAsia" w:ascii="宋体" w:hAnsi="宋体" w:eastAsia="宋体" w:cs="宋体"/>
                <w:i w:val="0"/>
                <w:iCs w:val="0"/>
                <w:color w:val="000000"/>
                <w:kern w:val="0"/>
                <w:sz w:val="24"/>
                <w:szCs w:val="24"/>
                <w:u w:val="none"/>
                <w:lang w:val="en-US" w:eastAsia="zh-CN" w:bidi="ar"/>
              </w:rPr>
              <w:t>未提供方案的不得分。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b/>
                <w:bCs/>
                <w:i w:val="0"/>
                <w:iCs w:val="0"/>
                <w:color w:val="000000"/>
                <w:kern w:val="0"/>
                <w:sz w:val="24"/>
                <w:szCs w:val="24"/>
                <w:u w:val="none"/>
                <w:lang w:val="en-US" w:eastAsia="zh-CN" w:bidi="ar"/>
              </w:rPr>
              <w:t>注：未按照要求提供上述效果图不得分。</w:t>
            </w:r>
          </w:p>
        </w:tc>
        <w:tc>
          <w:tcPr>
            <w:tcW w:w="720" w:type="dxa"/>
            <w:shd w:val="clear" w:color="auto" w:fill="auto"/>
            <w:vAlign w:val="center"/>
          </w:tcPr>
          <w:p w14:paraId="1285DA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0-8</w:t>
            </w:r>
          </w:p>
        </w:tc>
        <w:tc>
          <w:tcPr>
            <w:tcW w:w="961" w:type="dxa"/>
            <w:shd w:val="clear" w:color="auto" w:fill="auto"/>
            <w:vAlign w:val="center"/>
          </w:tcPr>
          <w:p w14:paraId="74434E7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主观分</w:t>
            </w:r>
          </w:p>
        </w:tc>
      </w:tr>
      <w:tr w14:paraId="2F9B3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1" w:hRule="atLeast"/>
          <w:jc w:val="center"/>
        </w:trPr>
        <w:tc>
          <w:tcPr>
            <w:tcW w:w="701" w:type="dxa"/>
            <w:shd w:val="clear" w:color="auto" w:fill="auto"/>
            <w:vAlign w:val="center"/>
          </w:tcPr>
          <w:p w14:paraId="06DDE1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012" w:type="dxa"/>
            <w:shd w:val="clear" w:color="auto" w:fill="auto"/>
            <w:vAlign w:val="center"/>
          </w:tcPr>
          <w:p w14:paraId="2BC982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安装、调试方法或方案</w:t>
            </w:r>
          </w:p>
        </w:tc>
        <w:tc>
          <w:tcPr>
            <w:tcW w:w="6683" w:type="dxa"/>
            <w:shd w:val="clear" w:color="auto" w:fill="auto"/>
            <w:vAlign w:val="center"/>
          </w:tcPr>
          <w:p w14:paraId="25004180">
            <w:pPr>
              <w:keepNext w:val="0"/>
              <w:keepLines w:val="0"/>
              <w:widowControl/>
              <w:suppressLineNumbers w:val="0"/>
              <w:ind w:firstLine="480" w:firstLineChars="20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根据投标人提供的安装、调试方法或方案与本项目需求的吻合程度，是否与采购需求及实际特点符合、是否有利于项目的实现及合同履约由评委进行综合打分。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1、安装、调试方法或方案完全符合实际，满足项目实现及合同履约的得4分；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2、安装、调试方法或方案有1项欠缺的，有利于项目实现及合同履约的得</w:t>
            </w:r>
            <w:r>
              <w:rPr>
                <w:rFonts w:hint="eastAsia" w:ascii="宋体" w:hAnsi="宋体" w:cs="宋体"/>
                <w:i w:val="0"/>
                <w:iCs w:val="0"/>
                <w:color w:val="000000"/>
                <w:kern w:val="0"/>
                <w:sz w:val="24"/>
                <w:szCs w:val="24"/>
                <w:u w:val="none"/>
                <w:lang w:val="en-US" w:eastAsia="zh-CN" w:bidi="ar"/>
              </w:rPr>
              <w:t>3</w:t>
            </w:r>
            <w:r>
              <w:rPr>
                <w:rFonts w:hint="eastAsia" w:ascii="宋体" w:hAnsi="宋体" w:eastAsia="宋体" w:cs="宋体"/>
                <w:i w:val="0"/>
                <w:iCs w:val="0"/>
                <w:color w:val="000000"/>
                <w:kern w:val="0"/>
                <w:sz w:val="24"/>
                <w:szCs w:val="24"/>
                <w:u w:val="none"/>
                <w:lang w:val="en-US" w:eastAsia="zh-CN" w:bidi="ar"/>
              </w:rPr>
              <w:t>分；</w:t>
            </w:r>
          </w:p>
          <w:p w14:paraId="18DDFF1A">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、安装、调试方法或方案有</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项欠缺的，有利于项目实现及合同履约的得</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4</w:t>
            </w:r>
            <w:r>
              <w:rPr>
                <w:rFonts w:hint="eastAsia" w:ascii="宋体" w:hAnsi="宋体" w:eastAsia="宋体" w:cs="宋体"/>
                <w:i w:val="0"/>
                <w:iCs w:val="0"/>
                <w:color w:val="000000"/>
                <w:kern w:val="0"/>
                <w:sz w:val="24"/>
                <w:szCs w:val="24"/>
                <w:u w:val="none"/>
                <w:lang w:val="en-US" w:eastAsia="zh-CN" w:bidi="ar"/>
              </w:rPr>
              <w:t>、安装、调试方法或方案有多项欠缺的，不利于项目实现及合同履约的得1分；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5</w:t>
            </w:r>
            <w:r>
              <w:rPr>
                <w:rFonts w:hint="eastAsia" w:ascii="宋体" w:hAnsi="宋体" w:eastAsia="宋体" w:cs="宋体"/>
                <w:i w:val="0"/>
                <w:iCs w:val="0"/>
                <w:color w:val="000000"/>
                <w:kern w:val="0"/>
                <w:sz w:val="24"/>
                <w:szCs w:val="24"/>
                <w:u w:val="none"/>
                <w:lang w:val="en-US" w:eastAsia="zh-CN" w:bidi="ar"/>
              </w:rPr>
              <w:t>、未提供不得分。</w:t>
            </w:r>
          </w:p>
        </w:tc>
        <w:tc>
          <w:tcPr>
            <w:tcW w:w="720" w:type="dxa"/>
            <w:shd w:val="clear" w:color="auto" w:fill="auto"/>
            <w:vAlign w:val="center"/>
          </w:tcPr>
          <w:p w14:paraId="75ECDF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0-4</w:t>
            </w:r>
          </w:p>
        </w:tc>
        <w:tc>
          <w:tcPr>
            <w:tcW w:w="961" w:type="dxa"/>
            <w:shd w:val="clear" w:color="auto" w:fill="auto"/>
            <w:vAlign w:val="center"/>
          </w:tcPr>
          <w:p w14:paraId="7F66AA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主观分</w:t>
            </w:r>
          </w:p>
        </w:tc>
      </w:tr>
      <w:tr w14:paraId="010FA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1" w:hRule="atLeast"/>
          <w:jc w:val="center"/>
        </w:trPr>
        <w:tc>
          <w:tcPr>
            <w:tcW w:w="701" w:type="dxa"/>
            <w:shd w:val="clear" w:color="auto" w:fill="auto"/>
            <w:vAlign w:val="center"/>
          </w:tcPr>
          <w:p w14:paraId="14DB55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012" w:type="dxa"/>
            <w:shd w:val="clear" w:color="auto" w:fill="auto"/>
            <w:vAlign w:val="center"/>
          </w:tcPr>
          <w:p w14:paraId="088C287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售后服务方案</w:t>
            </w:r>
          </w:p>
        </w:tc>
        <w:tc>
          <w:tcPr>
            <w:tcW w:w="6683" w:type="dxa"/>
            <w:shd w:val="clear" w:color="auto" w:fill="auto"/>
            <w:vAlign w:val="center"/>
          </w:tcPr>
          <w:p w14:paraId="3C09409F">
            <w:pPr>
              <w:keepNext w:val="0"/>
              <w:keepLines w:val="0"/>
              <w:widowControl/>
              <w:suppressLineNumbers w:val="0"/>
              <w:ind w:firstLine="480" w:firstLineChars="20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根据投标人的售后服务方案（包括服务内容、服务承诺、服务方式、售后维护机构和人员以及较强的专业技术队伍，能提供快速的售后服务、应急服务等）的合理性、可行性由评委进行综合打分。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1、服务内容、服务承诺、服务方式、售后维护机构和人员以及较强的专业技术队伍、应急服务完善、合理可行、针对性强得4分；</w:t>
            </w:r>
          </w:p>
          <w:p w14:paraId="67715BC6">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auto"/>
                <w:kern w:val="0"/>
                <w:sz w:val="24"/>
                <w:szCs w:val="24"/>
                <w:u w:val="none"/>
                <w:lang w:val="en-US" w:eastAsia="zh-CN" w:bidi="ar"/>
              </w:rPr>
              <w:t>2、服务内容、服务承诺、服务方式、售后维护机构和人员、应急服务等有1项欠缺的，针对性</w:t>
            </w:r>
            <w:r>
              <w:rPr>
                <w:rFonts w:hint="eastAsia" w:ascii="宋体" w:hAnsi="宋体" w:cs="宋体"/>
                <w:i w:val="0"/>
                <w:iCs w:val="0"/>
                <w:color w:val="auto"/>
                <w:kern w:val="0"/>
                <w:sz w:val="24"/>
                <w:szCs w:val="24"/>
                <w:u w:val="none"/>
                <w:lang w:val="en-US" w:eastAsia="zh-CN" w:bidi="ar"/>
              </w:rPr>
              <w:t>较</w:t>
            </w:r>
            <w:r>
              <w:rPr>
                <w:rFonts w:hint="eastAsia" w:ascii="宋体" w:hAnsi="宋体" w:eastAsia="宋体" w:cs="宋体"/>
                <w:i w:val="0"/>
                <w:iCs w:val="0"/>
                <w:color w:val="auto"/>
                <w:kern w:val="0"/>
                <w:sz w:val="24"/>
                <w:szCs w:val="24"/>
                <w:u w:val="none"/>
                <w:lang w:val="en-US" w:eastAsia="zh-CN" w:bidi="ar"/>
              </w:rPr>
              <w:t>弱的得</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、服务内容、服务承诺、服务方式、售后维护机构和人员、应急服务等有</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项欠缺的，针对性弱的得2分；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4</w:t>
            </w:r>
            <w:r>
              <w:rPr>
                <w:rFonts w:hint="eastAsia" w:ascii="宋体" w:hAnsi="宋体" w:eastAsia="宋体" w:cs="宋体"/>
                <w:i w:val="0"/>
                <w:iCs w:val="0"/>
                <w:color w:val="000000"/>
                <w:kern w:val="0"/>
                <w:sz w:val="24"/>
                <w:szCs w:val="24"/>
                <w:u w:val="none"/>
                <w:lang w:val="en-US" w:eastAsia="zh-CN" w:bidi="ar"/>
              </w:rPr>
              <w:t>、服务内容、服务承诺、服务方式、售后维护机构和人员、应急服务等有多项欠缺的，针对性差的得1分；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5</w:t>
            </w:r>
            <w:r>
              <w:rPr>
                <w:rFonts w:hint="eastAsia" w:ascii="宋体" w:hAnsi="宋体" w:eastAsia="宋体" w:cs="宋体"/>
                <w:i w:val="0"/>
                <w:iCs w:val="0"/>
                <w:color w:val="000000"/>
                <w:kern w:val="0"/>
                <w:sz w:val="24"/>
                <w:szCs w:val="24"/>
                <w:u w:val="none"/>
                <w:lang w:val="en-US" w:eastAsia="zh-CN" w:bidi="ar"/>
              </w:rPr>
              <w:t>、未提供不得分。</w:t>
            </w:r>
          </w:p>
        </w:tc>
        <w:tc>
          <w:tcPr>
            <w:tcW w:w="720" w:type="dxa"/>
            <w:shd w:val="clear" w:color="auto" w:fill="auto"/>
            <w:vAlign w:val="center"/>
          </w:tcPr>
          <w:p w14:paraId="18AFC7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0-4</w:t>
            </w:r>
          </w:p>
        </w:tc>
        <w:tc>
          <w:tcPr>
            <w:tcW w:w="961" w:type="dxa"/>
            <w:shd w:val="clear" w:color="auto" w:fill="auto"/>
            <w:vAlign w:val="center"/>
          </w:tcPr>
          <w:p w14:paraId="07F95A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主观分</w:t>
            </w:r>
          </w:p>
        </w:tc>
      </w:tr>
      <w:tr w14:paraId="0F2CF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 w:hRule="atLeast"/>
          <w:jc w:val="center"/>
        </w:trPr>
        <w:tc>
          <w:tcPr>
            <w:tcW w:w="701" w:type="dxa"/>
            <w:shd w:val="clear" w:color="auto" w:fill="auto"/>
            <w:vAlign w:val="center"/>
          </w:tcPr>
          <w:p w14:paraId="74A471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012" w:type="dxa"/>
            <w:shd w:val="clear" w:color="auto" w:fill="auto"/>
            <w:vAlign w:val="center"/>
          </w:tcPr>
          <w:p w14:paraId="686D42C6">
            <w:pPr>
              <w:keepNext w:val="0"/>
              <w:keepLines w:val="0"/>
              <w:widowControl/>
              <w:suppressLineNumbers w:val="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项目重点与难点分析</w:t>
            </w:r>
          </w:p>
        </w:tc>
        <w:tc>
          <w:tcPr>
            <w:tcW w:w="6683" w:type="dxa"/>
            <w:shd w:val="clear" w:color="auto" w:fill="auto"/>
            <w:vAlign w:val="center"/>
          </w:tcPr>
          <w:p w14:paraId="396E1F2F">
            <w:pPr>
              <w:keepNext w:val="0"/>
              <w:keepLines w:val="0"/>
              <w:widowControl/>
              <w:suppressLineNumbers w:val="0"/>
              <w:ind w:firstLine="480" w:firstLineChars="20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根据投标人提供的重点难点理解和分析要点，服务方向是否明确，以及实施难点分析是否到位由评委进行综合打分。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1、方案内容详细全面，合理科学且有针对性的得4分；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2、方案内容欠全面，有1项欠缺的，针对性</w:t>
            </w:r>
            <w:r>
              <w:rPr>
                <w:rFonts w:hint="eastAsia" w:ascii="宋体" w:hAnsi="宋体" w:cs="宋体"/>
                <w:i w:val="0"/>
                <w:iCs w:val="0"/>
                <w:color w:val="auto"/>
                <w:kern w:val="0"/>
                <w:sz w:val="24"/>
                <w:szCs w:val="24"/>
                <w:u w:val="none"/>
                <w:lang w:val="en-US" w:eastAsia="zh-CN" w:bidi="ar"/>
              </w:rPr>
              <w:t>较</w:t>
            </w:r>
            <w:r>
              <w:rPr>
                <w:rFonts w:hint="eastAsia" w:ascii="宋体" w:hAnsi="宋体" w:eastAsia="宋体" w:cs="宋体"/>
                <w:i w:val="0"/>
                <w:iCs w:val="0"/>
                <w:color w:val="auto"/>
                <w:kern w:val="0"/>
                <w:sz w:val="24"/>
                <w:szCs w:val="24"/>
                <w:u w:val="none"/>
                <w:lang w:val="en-US" w:eastAsia="zh-CN" w:bidi="ar"/>
              </w:rPr>
              <w:t>弱的得</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分；</w:t>
            </w:r>
          </w:p>
          <w:p w14:paraId="657222C3">
            <w:pPr>
              <w:keepNext w:val="0"/>
              <w:keepLines w:val="0"/>
              <w:widowControl/>
              <w:suppressLineNumbers w:val="0"/>
              <w:jc w:val="left"/>
              <w:textAlignment w:val="center"/>
              <w:rPr>
                <w:rFonts w:hint="eastAsia" w:ascii="宋体" w:hAnsi="宋体" w:eastAsia="宋体" w:cs="宋体"/>
                <w:i w:val="0"/>
                <w:iCs w:val="0"/>
                <w:color w:val="auto"/>
                <w:sz w:val="24"/>
                <w:szCs w:val="24"/>
                <w:u w:val="none"/>
              </w:rPr>
            </w:pP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、方案内容欠全面，有</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项欠缺的，针对性弱的得2分；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、方案内容不全面，有多项欠缺的，针对性差的得1分；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、未提供不得分。</w:t>
            </w:r>
          </w:p>
        </w:tc>
        <w:tc>
          <w:tcPr>
            <w:tcW w:w="720" w:type="dxa"/>
            <w:shd w:val="clear" w:color="auto" w:fill="auto"/>
            <w:vAlign w:val="center"/>
          </w:tcPr>
          <w:p w14:paraId="05B766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0-4</w:t>
            </w:r>
          </w:p>
        </w:tc>
        <w:tc>
          <w:tcPr>
            <w:tcW w:w="961" w:type="dxa"/>
            <w:shd w:val="clear" w:color="auto" w:fill="auto"/>
            <w:vAlign w:val="center"/>
          </w:tcPr>
          <w:p w14:paraId="7901AD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主观分</w:t>
            </w:r>
          </w:p>
        </w:tc>
      </w:tr>
      <w:tr w14:paraId="32A23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441325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012" w:type="dxa"/>
            <w:shd w:val="clear" w:color="auto" w:fill="auto"/>
            <w:vAlign w:val="center"/>
          </w:tcPr>
          <w:p w14:paraId="7F6D88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质保期</w:t>
            </w:r>
          </w:p>
        </w:tc>
        <w:tc>
          <w:tcPr>
            <w:tcW w:w="6683" w:type="dxa"/>
            <w:shd w:val="clear" w:color="auto" w:fill="auto"/>
            <w:vAlign w:val="center"/>
          </w:tcPr>
          <w:p w14:paraId="45EA26BD">
            <w:pPr>
              <w:keepNext w:val="0"/>
              <w:keepLines w:val="0"/>
              <w:widowControl/>
              <w:suppressLineNumbers w:val="0"/>
              <w:ind w:firstLine="480" w:firstLineChars="20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提供本项目投标产品质保期， 质保期优于招标文件规定的，每延长一年得0.5分，最高1分。</w:t>
            </w:r>
          </w:p>
        </w:tc>
        <w:tc>
          <w:tcPr>
            <w:tcW w:w="720" w:type="dxa"/>
            <w:shd w:val="clear" w:color="auto" w:fill="auto"/>
            <w:vAlign w:val="center"/>
          </w:tcPr>
          <w:p w14:paraId="774FBB9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0-1</w:t>
            </w:r>
          </w:p>
        </w:tc>
        <w:tc>
          <w:tcPr>
            <w:tcW w:w="961" w:type="dxa"/>
            <w:shd w:val="clear" w:color="auto" w:fill="auto"/>
            <w:vAlign w:val="center"/>
          </w:tcPr>
          <w:p w14:paraId="0D316A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客观分</w:t>
            </w:r>
          </w:p>
        </w:tc>
      </w:tr>
      <w:tr w14:paraId="1206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1" w:hRule="atLeast"/>
          <w:jc w:val="center"/>
        </w:trPr>
        <w:tc>
          <w:tcPr>
            <w:tcW w:w="701" w:type="dxa"/>
            <w:shd w:val="clear" w:color="auto" w:fill="auto"/>
            <w:vAlign w:val="center"/>
          </w:tcPr>
          <w:p w14:paraId="61DE07D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012" w:type="dxa"/>
            <w:shd w:val="clear" w:color="auto" w:fill="auto"/>
            <w:vAlign w:val="center"/>
          </w:tcPr>
          <w:p w14:paraId="462AEC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培训计划方案</w:t>
            </w:r>
          </w:p>
        </w:tc>
        <w:tc>
          <w:tcPr>
            <w:tcW w:w="6683" w:type="dxa"/>
            <w:shd w:val="clear" w:color="auto" w:fill="auto"/>
            <w:vAlign w:val="center"/>
          </w:tcPr>
          <w:p w14:paraId="742D9C5A">
            <w:pPr>
              <w:keepNext w:val="0"/>
              <w:keepLines w:val="0"/>
              <w:widowControl/>
              <w:suppressLineNumbers w:val="0"/>
              <w:ind w:firstLine="480" w:firstLineChars="20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根据投标人提供的培训计划方案（包括培训流程、培训方式、培训对象、培训内容、培训日程等）的合理性、完整性、可行性由评委进行综合评分。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1、培训计划方案全面、合理、可操作性强的得3分；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2、培训计划方案欠全面、有1项欠缺的得2分；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3、培训计划方案不全面、有多项欠缺的得1分；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4、不提供不得分。</w:t>
            </w:r>
          </w:p>
        </w:tc>
        <w:tc>
          <w:tcPr>
            <w:tcW w:w="720" w:type="dxa"/>
            <w:shd w:val="clear" w:color="auto" w:fill="auto"/>
            <w:vAlign w:val="center"/>
          </w:tcPr>
          <w:p w14:paraId="36839DD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0-3</w:t>
            </w:r>
          </w:p>
        </w:tc>
        <w:tc>
          <w:tcPr>
            <w:tcW w:w="961" w:type="dxa"/>
            <w:shd w:val="clear" w:color="auto" w:fill="auto"/>
            <w:vAlign w:val="center"/>
          </w:tcPr>
          <w:p w14:paraId="1E8374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主观分</w:t>
            </w:r>
          </w:p>
        </w:tc>
      </w:tr>
      <w:tr w14:paraId="6AFA4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 w:hRule="atLeast"/>
          <w:jc w:val="center"/>
        </w:trPr>
        <w:tc>
          <w:tcPr>
            <w:tcW w:w="701" w:type="dxa"/>
            <w:shd w:val="clear" w:color="auto" w:fill="auto"/>
            <w:vAlign w:val="center"/>
          </w:tcPr>
          <w:p w14:paraId="5B42BD0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012" w:type="dxa"/>
            <w:shd w:val="clear" w:color="auto" w:fill="auto"/>
            <w:vAlign w:val="center"/>
          </w:tcPr>
          <w:p w14:paraId="17D1ECD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确保供应货物质量的措施</w:t>
            </w:r>
          </w:p>
        </w:tc>
        <w:tc>
          <w:tcPr>
            <w:tcW w:w="6683" w:type="dxa"/>
            <w:shd w:val="clear" w:color="auto" w:fill="auto"/>
            <w:vAlign w:val="center"/>
          </w:tcPr>
          <w:p w14:paraId="12A09EFC">
            <w:pPr>
              <w:keepNext w:val="0"/>
              <w:keepLines w:val="0"/>
              <w:widowControl/>
              <w:suppressLineNumbers w:val="0"/>
              <w:ind w:firstLine="480" w:firstLineChars="20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根据确保投标产品的质量保证措施方案进行评分，方案全面完整、科学合理由评委进行综合打分。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1、确保供应货物质量的措施方案全面、合理、可操作性强的得3分；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2、确保供应货物质量的措施方案欠全面、有1项欠缺的得2分；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3、确保供应货物质量的措施方案不全面、有多项欠缺的得1分；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4、未提供不得分。</w:t>
            </w:r>
          </w:p>
        </w:tc>
        <w:tc>
          <w:tcPr>
            <w:tcW w:w="720" w:type="dxa"/>
            <w:shd w:val="clear" w:color="auto" w:fill="auto"/>
            <w:vAlign w:val="center"/>
          </w:tcPr>
          <w:p w14:paraId="40AD9B9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0-3</w:t>
            </w:r>
          </w:p>
        </w:tc>
        <w:tc>
          <w:tcPr>
            <w:tcW w:w="961" w:type="dxa"/>
            <w:shd w:val="clear" w:color="auto" w:fill="auto"/>
            <w:vAlign w:val="center"/>
          </w:tcPr>
          <w:p w14:paraId="4BEF49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主观分</w:t>
            </w:r>
          </w:p>
        </w:tc>
      </w:tr>
      <w:tr w14:paraId="53430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7939AAB7">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11</w:t>
            </w:r>
          </w:p>
        </w:tc>
        <w:tc>
          <w:tcPr>
            <w:tcW w:w="1012" w:type="dxa"/>
            <w:shd w:val="clear" w:color="auto" w:fill="auto"/>
            <w:vAlign w:val="center"/>
          </w:tcPr>
          <w:p w14:paraId="6106335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样品质量评价</w:t>
            </w:r>
          </w:p>
        </w:tc>
        <w:tc>
          <w:tcPr>
            <w:tcW w:w="6683" w:type="dxa"/>
            <w:shd w:val="clear" w:color="auto" w:fill="auto"/>
            <w:vAlign w:val="center"/>
          </w:tcPr>
          <w:p w14:paraId="6C9D2E77">
            <w:pPr>
              <w:keepNext w:val="0"/>
              <w:keepLines w:val="0"/>
              <w:widowControl/>
              <w:suppressLineNumbers w:val="0"/>
              <w:ind w:firstLine="480" w:firstLineChars="20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根据投标人所提供标项一序号8-12喀斯特地貌模型（1套）、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-2学生劳技桌（1</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件</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）样品的实用性、外观、生产工艺等进行评分</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制作要求</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（①</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连接件结合应牢固,外表结合处缝隙不大于0.2mm；②拼贴应严密、平整；③不允许有脱胶、明显透胶、鼓泡、凹陷、压痕；④表面无划伤、麻点、裂痕、崩角和刃口；⑤各种配件结合处应无崩茬或松动；⑥不得有少件、漏钉、透钉；</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⑦</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安装、扎实牢固；</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67C393AE">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）以上内容全部满足的得3分；</w:t>
            </w:r>
          </w:p>
          <w:p w14:paraId="2B5D4342">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）以上内容有2项及以下缺陷的得2分；</w:t>
            </w:r>
          </w:p>
          <w:p w14:paraId="6ADF17D9">
            <w:pPr>
              <w:keepNext w:val="0"/>
              <w:keepLines w:val="0"/>
              <w:widowControl/>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）以上内容有3项及以上缺陷的得1分；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涂饰要求</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包括</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①整件产品和配套产品色泽应相似；②正视面（包括面板）涂层应平整光滑、清晰；③其他部位表面涂层手感应光滑，无明显粒子、涨边和不平整，涂膜实干后允许有木孔沉陷；④涂层不得有皱皮、发粘和漏漆现象。应无明显加工痕迹、划痕、白点、鼓泡、油臼、流挂、缩孔、刷毛、积粉和杂渣；⑤表面平整度、光泽度、防虫、防腐处理；⑥环保标准（有无甲醛异味）</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72F6F3B6">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）以上内容全部满足的得3分；</w:t>
            </w:r>
          </w:p>
          <w:p w14:paraId="49B57F52">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）以上内容有2项及以下缺陷的得2分；</w:t>
            </w:r>
          </w:p>
          <w:p w14:paraId="6BAC49CF">
            <w:pPr>
              <w:keepNext w:val="0"/>
              <w:keepLines w:val="0"/>
              <w:widowControl/>
              <w:numPr>
                <w:ilvl w:val="0"/>
                <w:numId w:val="0"/>
              </w:numPr>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）以上内容有3项及以上缺陷的得1分；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功能要求是否符合招标文件功能要求，包括功能配置、物理性能、人体工程结构造型等方面的成熟性、舒适性、安全性、可维护性</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1A782D26">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、物理性能</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好</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符合</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，舒适安全的得3分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2930772C">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符合招标文件需求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、物理性能</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一般</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有2项及以下欠缺得的得2分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04599F8D">
            <w:pPr>
              <w:pStyle w:val="3"/>
              <w:ind w:left="0" w:leftChars="0" w:firstLine="0" w:firstLineChars="0"/>
              <w:rPr>
                <w:rFonts w:hint="eastAsia"/>
                <w:color w:val="000000" w:themeColor="text1"/>
                <w:lang w:val="en-US" w:eastAsia="zh-CN"/>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不符合招标文件需求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不符合</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，有3项及以上欠缺</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的得1分；</w:t>
            </w:r>
          </w:p>
          <w:p w14:paraId="68E2D589">
            <w:pPr>
              <w:keepNext w:val="0"/>
              <w:keepLines w:val="0"/>
              <w:widowControl/>
              <w:numPr>
                <w:ilvl w:val="0"/>
                <w:numId w:val="0"/>
              </w:numPr>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外观式样：根据投标人提供的产品样品，是否响应招标文件要求，包括式样、外观的整体效果</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279FF23B">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整体效果优越的得3分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78F065C1">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整体效果有2项及以下欠缺的得2分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7A783B37">
            <w:pPr>
              <w:pStyle w:val="3"/>
              <w:ind w:left="0" w:leftChars="0" w:firstLine="0" w:firstLineChars="0"/>
              <w:rPr>
                <w:rFonts w:hint="eastAsia"/>
                <w:color w:val="000000" w:themeColor="text1"/>
                <w:lang w:val="en-US" w:eastAsia="zh-CN"/>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整体效果有3项及以上欠缺</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的得1分；</w:t>
            </w:r>
          </w:p>
          <w:p w14:paraId="3DB53A56">
            <w:pPr>
              <w:keepNext w:val="0"/>
              <w:keepLines w:val="0"/>
              <w:widowControl/>
              <w:numPr>
                <w:ilvl w:val="0"/>
                <w:numId w:val="0"/>
              </w:numPr>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注：样品提供不全或样品技术参数明显不符合招标文件要求的则样品分为0分。</w:t>
            </w:r>
          </w:p>
        </w:tc>
        <w:tc>
          <w:tcPr>
            <w:tcW w:w="720" w:type="dxa"/>
            <w:shd w:val="clear" w:color="auto" w:fill="auto"/>
            <w:vAlign w:val="center"/>
          </w:tcPr>
          <w:p w14:paraId="77E68FCA">
            <w:pPr>
              <w:keepNext w:val="0"/>
              <w:keepLines w:val="0"/>
              <w:widowControl/>
              <w:suppressLineNumbers w:val="0"/>
              <w:jc w:val="center"/>
              <w:textAlignment w:val="center"/>
              <w:rPr>
                <w:rFonts w:hint="default" w:ascii="宋体" w:hAnsi="宋体" w:eastAsia="宋体" w:cs="宋体"/>
                <w:i w:val="0"/>
                <w:iCs w:val="0"/>
                <w:color w:val="000000" w:themeColor="text1"/>
                <w:sz w:val="24"/>
                <w:szCs w:val="24"/>
                <w:u w:val="none"/>
                <w:lang w:val="en-US"/>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12</w:t>
            </w:r>
          </w:p>
        </w:tc>
        <w:tc>
          <w:tcPr>
            <w:tcW w:w="961" w:type="dxa"/>
            <w:shd w:val="clear" w:color="auto" w:fill="auto"/>
            <w:vAlign w:val="center"/>
          </w:tcPr>
          <w:p w14:paraId="49D9DACD">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4FA76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5426975B">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12</w:t>
            </w:r>
          </w:p>
        </w:tc>
        <w:tc>
          <w:tcPr>
            <w:tcW w:w="1012" w:type="dxa"/>
            <w:shd w:val="clear" w:color="auto" w:fill="auto"/>
            <w:vAlign w:val="center"/>
          </w:tcPr>
          <w:p w14:paraId="5DF2D639">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演示</w:t>
            </w:r>
          </w:p>
        </w:tc>
        <w:tc>
          <w:tcPr>
            <w:tcW w:w="6683" w:type="dxa"/>
            <w:shd w:val="clear" w:color="auto" w:fill="auto"/>
            <w:vAlign w:val="center"/>
          </w:tcPr>
          <w:p w14:paraId="60B5AC1C">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评委根据投标人提供的演示功能是否完整、流程是否符合文件要求等进行打分，</w:t>
            </w:r>
            <w:r>
              <w:rPr>
                <w:rFonts w:hint="eastAsia" w:ascii="宋体" w:hAnsi="宋体" w:cs="宋体"/>
                <w:color w:val="000000" w:themeColor="text1"/>
                <w:sz w:val="24"/>
                <w:szCs w:val="24"/>
                <w:highlight w:val="none"/>
                <w:lang w:val="en-US" w:eastAsia="zh-CN"/>
                <w14:textFill>
                  <w14:solidFill>
                    <w14:schemeClr w14:val="tx1"/>
                  </w14:solidFill>
                </w14:textFill>
              </w:rPr>
              <w:t>演示</w:t>
            </w:r>
            <w:r>
              <w:rPr>
                <w:rFonts w:hint="eastAsia" w:ascii="宋体" w:hAnsi="宋体" w:eastAsia="宋体" w:cs="宋体"/>
                <w:color w:val="000000" w:themeColor="text1"/>
                <w:sz w:val="24"/>
                <w:szCs w:val="24"/>
                <w:highlight w:val="none"/>
                <w:lang w:val="en-US" w:eastAsia="zh-CN"/>
                <w14:textFill>
                  <w14:solidFill>
                    <w14:schemeClr w14:val="tx1"/>
                  </w14:solidFill>
                </w14:textFill>
              </w:rPr>
              <w:t>视频时间控制在15分钟内，没有演示不得分。</w:t>
            </w:r>
          </w:p>
          <w:p w14:paraId="102418A5">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要求参与演示设备为所投品牌型号，视频内有展示品牌及型号画面，否则该条演示不得分；演示内容如下：</w:t>
            </w:r>
          </w:p>
          <w:p w14:paraId="749DA0BD">
            <w:pPr>
              <w:keepNext w:val="0"/>
              <w:keepLines w:val="0"/>
              <w:widowControl/>
              <w:numPr>
                <w:ilvl w:val="0"/>
                <w:numId w:val="0"/>
              </w:numPr>
              <w:suppressLineNumbers w:val="0"/>
              <w:ind w:left="241" w:leftChars="0" w:hanging="241"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标项一</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序号2-85</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数字双缝干涉实验观测仪演示（0-</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6</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分）：</w:t>
            </w:r>
          </w:p>
          <w:p w14:paraId="592B0EB7">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1、通过便携式止紧装置，可以快速切换光学/数码观测模式。</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56D9BA67">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0AEFE302">
            <w:pPr>
              <w:keepNext w:val="0"/>
              <w:keepLines w:val="0"/>
              <w:widowControl/>
              <w:numPr>
                <w:ilvl w:val="0"/>
                <w:numId w:val="0"/>
              </w:numPr>
              <w:suppressLineNumbers w:val="0"/>
              <w:ind w:left="210" w:leftChars="0" w:hanging="210"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p w14:paraId="28A1E962">
            <w:pPr>
              <w:keepNext w:val="0"/>
              <w:keepLines w:val="0"/>
              <w:widowControl/>
              <w:numPr>
                <w:ilvl w:val="0"/>
                <w:numId w:val="0"/>
              </w:numPr>
              <w:suppressLineNumbers w:val="0"/>
              <w:ind w:left="241" w:leftChars="0" w:hanging="241"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2.设备接上电脑后获取实时的实验图像，采集的彩色亮条纹不少于7条。</w:t>
            </w:r>
          </w:p>
          <w:p w14:paraId="06616D0E">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50F8ED48">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0E24DA35">
            <w:pPr>
              <w:keepNext w:val="0"/>
              <w:keepLines w:val="0"/>
              <w:widowControl/>
              <w:numPr>
                <w:ilvl w:val="0"/>
                <w:numId w:val="0"/>
              </w:numPr>
              <w:suppressLineNumbers w:val="0"/>
              <w:ind w:left="210" w:leftChars="0" w:hanging="210"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p w14:paraId="5AF004D0">
            <w:pPr>
              <w:keepNext w:val="0"/>
              <w:keepLines w:val="0"/>
              <w:widowControl/>
              <w:numPr>
                <w:ilvl w:val="0"/>
                <w:numId w:val="0"/>
              </w:numPr>
              <w:suppressLineNumbers w:val="0"/>
              <w:ind w:left="241" w:leftChars="0" w:hanging="241"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3.采集的图像分化线清晰可见，移动分划板在屏幕上可以看到分化线与干涉条纹做相对移动，移动的距离可以从游标尺上读出。</w:t>
            </w:r>
          </w:p>
          <w:p w14:paraId="4FF5BD42">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4358D486">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398EC782">
            <w:pPr>
              <w:pStyle w:val="3"/>
              <w:ind w:left="0" w:leftChars="0" w:firstLine="0" w:firstLineChars="0"/>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tc>
        <w:tc>
          <w:tcPr>
            <w:tcW w:w="720" w:type="dxa"/>
            <w:shd w:val="clear" w:color="auto" w:fill="auto"/>
            <w:vAlign w:val="center"/>
          </w:tcPr>
          <w:p w14:paraId="67378149">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6</w:t>
            </w:r>
          </w:p>
        </w:tc>
        <w:tc>
          <w:tcPr>
            <w:tcW w:w="961" w:type="dxa"/>
            <w:shd w:val="clear" w:color="auto" w:fill="auto"/>
            <w:vAlign w:val="center"/>
          </w:tcPr>
          <w:p w14:paraId="466B0C4F">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bl>
    <w:p w14:paraId="5C909F87">
      <w:pPr>
        <w:pStyle w:val="7"/>
        <w:rPr>
          <w:rFonts w:hint="eastAsia"/>
          <w:color w:val="000000" w:themeColor="text1"/>
          <w14:textFill>
            <w14:solidFill>
              <w14:schemeClr w14:val="tx1"/>
            </w14:solidFill>
          </w14:textFill>
        </w:rPr>
      </w:pPr>
    </w:p>
    <w:p w14:paraId="4D76425F">
      <w:pPr>
        <w:keepNext w:val="0"/>
        <w:keepLines w:val="0"/>
        <w:widowControl/>
        <w:suppressLineNumbers w:val="0"/>
        <w:jc w:val="center"/>
        <w:textAlignment w:val="center"/>
        <w:rPr>
          <w:rFonts w:hint="eastAsia" w:ascii="宋体" w:hAnsi="宋体" w:eastAsia="宋体" w:cs="宋体"/>
          <w:b/>
          <w:bCs/>
          <w:i w:val="0"/>
          <w:iCs w:val="0"/>
          <w:color w:val="000000" w:themeColor="text1"/>
          <w:kern w:val="0"/>
          <w:sz w:val="28"/>
          <w:szCs w:val="28"/>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8"/>
          <w:szCs w:val="28"/>
          <w:u w:val="none"/>
          <w:lang w:val="en-US" w:eastAsia="zh-CN" w:bidi="ar"/>
          <w14:textFill>
            <w14:solidFill>
              <w14:schemeClr w14:val="tx1"/>
            </w14:solidFill>
          </w14:textFill>
        </w:rPr>
        <w:t>标项二评分标准</w:t>
      </w:r>
    </w:p>
    <w:p w14:paraId="79D3A935">
      <w:pPr>
        <w:keepNext w:val="0"/>
        <w:keepLines w:val="0"/>
        <w:widowControl/>
        <w:suppressLineNumbers w:val="0"/>
        <w:jc w:val="center"/>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p>
    <w:tbl>
      <w:tblPr>
        <w:tblStyle w:val="28"/>
        <w:tblW w:w="10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01"/>
        <w:gridCol w:w="1012"/>
        <w:gridCol w:w="6489"/>
        <w:gridCol w:w="857"/>
        <w:gridCol w:w="1018"/>
      </w:tblGrid>
      <w:tr w14:paraId="47CA5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425DE259">
            <w:pPr>
              <w:keepNext w:val="0"/>
              <w:keepLines w:val="0"/>
              <w:widowControl/>
              <w:suppressLineNumbers w:val="0"/>
              <w:jc w:val="center"/>
              <w:textAlignment w:val="center"/>
              <w:rPr>
                <w:rFonts w:hint="eastAsia" w:ascii="宋体" w:hAnsi="宋体" w:eastAsia="宋体" w:cs="宋体"/>
                <w:b/>
                <w:bCs/>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序号</w:t>
            </w:r>
          </w:p>
        </w:tc>
        <w:tc>
          <w:tcPr>
            <w:tcW w:w="1012" w:type="dxa"/>
            <w:shd w:val="clear" w:color="auto" w:fill="auto"/>
            <w:vAlign w:val="center"/>
          </w:tcPr>
          <w:p w14:paraId="40527373">
            <w:pPr>
              <w:keepNext w:val="0"/>
              <w:keepLines w:val="0"/>
              <w:widowControl/>
              <w:suppressLineNumbers w:val="0"/>
              <w:jc w:val="center"/>
              <w:textAlignment w:val="center"/>
              <w:rPr>
                <w:rFonts w:hint="eastAsia" w:ascii="宋体" w:hAnsi="宋体" w:eastAsia="宋体" w:cs="宋体"/>
                <w:b/>
                <w:bCs/>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评审内容</w:t>
            </w:r>
          </w:p>
        </w:tc>
        <w:tc>
          <w:tcPr>
            <w:tcW w:w="6489" w:type="dxa"/>
            <w:shd w:val="clear" w:color="auto" w:fill="auto"/>
            <w:vAlign w:val="center"/>
          </w:tcPr>
          <w:p w14:paraId="78BEED65">
            <w:pPr>
              <w:keepNext w:val="0"/>
              <w:keepLines w:val="0"/>
              <w:widowControl/>
              <w:suppressLineNumbers w:val="0"/>
              <w:jc w:val="center"/>
              <w:textAlignment w:val="center"/>
              <w:rPr>
                <w:rFonts w:hint="eastAsia" w:ascii="宋体" w:hAnsi="宋体" w:eastAsia="宋体" w:cs="宋体"/>
                <w:b/>
                <w:bCs/>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评分标准及细则</w:t>
            </w:r>
          </w:p>
        </w:tc>
        <w:tc>
          <w:tcPr>
            <w:tcW w:w="857" w:type="dxa"/>
            <w:shd w:val="clear" w:color="auto" w:fill="auto"/>
            <w:vAlign w:val="center"/>
          </w:tcPr>
          <w:p w14:paraId="699C93F6">
            <w:pPr>
              <w:keepNext w:val="0"/>
              <w:keepLines w:val="0"/>
              <w:widowControl/>
              <w:suppressLineNumbers w:val="0"/>
              <w:jc w:val="center"/>
              <w:textAlignment w:val="center"/>
              <w:rPr>
                <w:rFonts w:hint="eastAsia" w:ascii="宋体" w:hAnsi="宋体" w:eastAsia="宋体" w:cs="宋体"/>
                <w:b/>
                <w:bCs/>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分值</w:t>
            </w:r>
          </w:p>
        </w:tc>
        <w:tc>
          <w:tcPr>
            <w:tcW w:w="1018" w:type="dxa"/>
            <w:shd w:val="clear" w:color="auto" w:fill="auto"/>
            <w:vAlign w:val="center"/>
          </w:tcPr>
          <w:p w14:paraId="59FEB90A">
            <w:pPr>
              <w:keepNext w:val="0"/>
              <w:keepLines w:val="0"/>
              <w:widowControl/>
              <w:suppressLineNumbers w:val="0"/>
              <w:jc w:val="center"/>
              <w:textAlignment w:val="center"/>
              <w:rPr>
                <w:rFonts w:hint="eastAsia" w:ascii="宋体" w:hAnsi="宋体" w:eastAsia="宋体" w:cs="宋体"/>
                <w:b/>
                <w:bCs/>
                <w:i w:val="0"/>
                <w:iCs w:val="0"/>
                <w:color w:val="000000" w:themeColor="text1"/>
                <w:sz w:val="22"/>
                <w:szCs w:val="22"/>
                <w:u w:val="none"/>
                <w14:textFill>
                  <w14:solidFill>
                    <w14:schemeClr w14:val="tx1"/>
                  </w14:solidFill>
                </w14:textFill>
              </w:rPr>
            </w:pPr>
            <w:r>
              <w:rPr>
                <w:rFonts w:hint="eastAsia" w:ascii="宋体" w:hAnsi="宋体" w:eastAsia="宋体" w:cs="宋体"/>
                <w:b/>
                <w:bCs/>
                <w:i w:val="0"/>
                <w:iCs w:val="0"/>
                <w:color w:val="000000" w:themeColor="text1"/>
                <w:kern w:val="0"/>
                <w:sz w:val="22"/>
                <w:szCs w:val="22"/>
                <w:u w:val="none"/>
                <w:lang w:val="en-US" w:eastAsia="zh-CN" w:bidi="ar"/>
                <w14:textFill>
                  <w14:solidFill>
                    <w14:schemeClr w14:val="tx1"/>
                  </w14:solidFill>
                </w14:textFill>
              </w:rPr>
              <w:t>备注</w:t>
            </w:r>
          </w:p>
        </w:tc>
      </w:tr>
      <w:tr w14:paraId="5FF6D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1" w:hRule="atLeast"/>
          <w:jc w:val="center"/>
        </w:trPr>
        <w:tc>
          <w:tcPr>
            <w:tcW w:w="701" w:type="dxa"/>
            <w:shd w:val="clear" w:color="auto" w:fill="auto"/>
            <w:vAlign w:val="center"/>
          </w:tcPr>
          <w:p w14:paraId="2CB3714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w:t>
            </w:r>
          </w:p>
        </w:tc>
        <w:tc>
          <w:tcPr>
            <w:tcW w:w="1012" w:type="dxa"/>
            <w:shd w:val="clear" w:color="auto" w:fill="auto"/>
            <w:vAlign w:val="center"/>
          </w:tcPr>
          <w:p w14:paraId="5EA9B38E">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业绩</w:t>
            </w:r>
          </w:p>
        </w:tc>
        <w:tc>
          <w:tcPr>
            <w:tcW w:w="6489" w:type="dxa"/>
            <w:shd w:val="clear" w:color="auto" w:fill="auto"/>
            <w:vAlign w:val="center"/>
          </w:tcPr>
          <w:p w14:paraId="6B7CDB58">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自2022年1月1日起至投标截止之日止（以合同签订时间为准），投标人具有同类案例业绩的，每提供一个得1分，本项最高得3分。</w:t>
            </w:r>
          </w:p>
          <w:p w14:paraId="24C9C377">
            <w:pPr>
              <w:keepNext w:val="0"/>
              <w:keepLines w:val="0"/>
              <w:widowControl/>
              <w:suppressLineNumbers w:val="0"/>
              <w:ind w:firstLine="482" w:firstLineChars="20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注：投标文件中提供合同扫描件，未提供或提供不符合要求的不得分。</w:t>
            </w:r>
          </w:p>
        </w:tc>
        <w:tc>
          <w:tcPr>
            <w:tcW w:w="857" w:type="dxa"/>
            <w:shd w:val="clear" w:color="auto" w:fill="auto"/>
            <w:vAlign w:val="center"/>
          </w:tcPr>
          <w:p w14:paraId="70933A5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0-3</w:t>
            </w:r>
          </w:p>
        </w:tc>
        <w:tc>
          <w:tcPr>
            <w:tcW w:w="1018" w:type="dxa"/>
            <w:shd w:val="clear" w:color="auto" w:fill="auto"/>
            <w:vAlign w:val="center"/>
          </w:tcPr>
          <w:p w14:paraId="69EC1E12">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客观分</w:t>
            </w:r>
          </w:p>
        </w:tc>
      </w:tr>
      <w:tr w14:paraId="7C522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1" w:hRule="atLeast"/>
          <w:jc w:val="center"/>
        </w:trPr>
        <w:tc>
          <w:tcPr>
            <w:tcW w:w="701" w:type="dxa"/>
            <w:shd w:val="clear" w:color="auto" w:fill="auto"/>
            <w:vAlign w:val="center"/>
          </w:tcPr>
          <w:p w14:paraId="76E99191">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w:t>
            </w:r>
          </w:p>
        </w:tc>
        <w:tc>
          <w:tcPr>
            <w:tcW w:w="1012" w:type="dxa"/>
            <w:shd w:val="clear" w:color="auto" w:fill="auto"/>
            <w:vAlign w:val="center"/>
          </w:tcPr>
          <w:p w14:paraId="6C30D7CD">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企业认证</w:t>
            </w:r>
          </w:p>
        </w:tc>
        <w:tc>
          <w:tcPr>
            <w:tcW w:w="6489" w:type="dxa"/>
            <w:shd w:val="clear" w:color="auto" w:fill="auto"/>
            <w:vAlign w:val="center"/>
          </w:tcPr>
          <w:p w14:paraId="01079326">
            <w:pPr>
              <w:keepNext w:val="0"/>
              <w:keepLines w:val="0"/>
              <w:widowControl/>
              <w:suppressLineNumbers w:val="0"/>
              <w:jc w:val="both"/>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1、投标人具有有效的ISO9001质量管理体系认证证书的，得1分；</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br w:type="textWrapping"/>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2、投标人具有有效的ISO45001职业健康安全管理体系认证证书的，得1分；</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br w:type="textWrapping"/>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3、投标人具有有效的ISO27001信息安全管理体系认证证书的，得1分；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注：提供证书扫描件，并同时提供国家认证认可监督管理委员会官方网站（https://www.cnca.gov.cn/hlwfw/）上相关证书有效的网页截图，证明材料加盖公章，未提供或提供不符合要求的不得分。</w:t>
            </w:r>
          </w:p>
        </w:tc>
        <w:tc>
          <w:tcPr>
            <w:tcW w:w="857" w:type="dxa"/>
            <w:shd w:val="clear" w:color="auto" w:fill="auto"/>
            <w:vAlign w:val="center"/>
          </w:tcPr>
          <w:p w14:paraId="72AB77BB">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0-3</w:t>
            </w:r>
          </w:p>
        </w:tc>
        <w:tc>
          <w:tcPr>
            <w:tcW w:w="1018" w:type="dxa"/>
            <w:shd w:val="clear" w:color="auto" w:fill="auto"/>
            <w:vAlign w:val="center"/>
          </w:tcPr>
          <w:p w14:paraId="214258E7">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客观分</w:t>
            </w:r>
          </w:p>
        </w:tc>
      </w:tr>
      <w:tr w14:paraId="21F8E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vMerge w:val="restart"/>
            <w:shd w:val="clear" w:color="auto" w:fill="auto"/>
            <w:vAlign w:val="center"/>
          </w:tcPr>
          <w:p w14:paraId="0626C5F9">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4</w:t>
            </w:r>
          </w:p>
        </w:tc>
        <w:tc>
          <w:tcPr>
            <w:tcW w:w="1012" w:type="dxa"/>
            <w:vMerge w:val="restart"/>
            <w:shd w:val="clear" w:color="auto" w:fill="auto"/>
            <w:vAlign w:val="center"/>
          </w:tcPr>
          <w:p w14:paraId="3B7FC0D0">
            <w:pPr>
              <w:keepNext w:val="0"/>
              <w:keepLines w:val="0"/>
              <w:pageBreakBefore w:val="0"/>
              <w:shd w:val="clear" w:color="auto" w:fill="auto"/>
              <w:kinsoku/>
              <w:wordWrap/>
              <w:overflowPunct/>
              <w:topLinePunct w:val="0"/>
              <w:autoSpaceDE/>
              <w:autoSpaceDN/>
              <w:bidi w:val="0"/>
              <w:adjustRightInd/>
              <w:snapToGrid/>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主要</w:t>
            </w:r>
            <w:r>
              <w:rPr>
                <w:rFonts w:hint="eastAsia" w:ascii="宋体" w:hAnsi="宋体" w:cs="宋体"/>
                <w:color w:val="000000" w:themeColor="text1"/>
                <w:sz w:val="21"/>
                <w:szCs w:val="21"/>
                <w:highlight w:val="none"/>
                <w:lang w:val="en-US" w:eastAsia="zh-CN"/>
                <w14:textFill>
                  <w14:solidFill>
                    <w14:schemeClr w14:val="tx1"/>
                  </w14:solidFill>
                </w14:textFill>
              </w:rPr>
              <w:t>成品、</w:t>
            </w:r>
            <w:r>
              <w:rPr>
                <w:rFonts w:hint="eastAsia" w:ascii="宋体" w:hAnsi="宋体" w:eastAsia="宋体" w:cs="宋体"/>
                <w:color w:val="000000" w:themeColor="text1"/>
                <w:sz w:val="21"/>
                <w:szCs w:val="21"/>
                <w:highlight w:val="none"/>
                <w14:textFill>
                  <w14:solidFill>
                    <w14:schemeClr w14:val="tx1"/>
                  </w14:solidFill>
                </w14:textFill>
              </w:rPr>
              <w:t>材料检测报告</w:t>
            </w:r>
          </w:p>
        </w:tc>
        <w:tc>
          <w:tcPr>
            <w:tcW w:w="6489" w:type="dxa"/>
            <w:shd w:val="clear" w:color="auto" w:fill="auto"/>
            <w:vAlign w:val="center"/>
          </w:tcPr>
          <w:p w14:paraId="2963C6B7">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须提供符合核心技术性能要求的与采购标的同品类</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(演示台、实验桌、电脑桌)</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成品检测报告(</w:t>
            </w:r>
            <w:r>
              <w:rPr>
                <w:rFonts w:hint="default" w:ascii="宋体" w:hAnsi="宋体" w:cs="宋体"/>
                <w:color w:val="000000" w:themeColor="text1"/>
                <w:kern w:val="2"/>
                <w:sz w:val="24"/>
                <w:szCs w:val="24"/>
                <w:highlight w:val="none"/>
                <w:lang w:val="en-US" w:eastAsia="zh-CN" w:bidi="ar-SA"/>
                <w14:textFill>
                  <w14:solidFill>
                    <w14:schemeClr w14:val="tx1"/>
                  </w14:solidFill>
                </w14:textFill>
              </w:rPr>
              <w:t>2024年1</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月</w:t>
            </w:r>
            <w:r>
              <w:rPr>
                <w:rFonts w:hint="default" w:ascii="宋体" w:hAnsi="宋体" w:cs="宋体"/>
                <w:color w:val="000000" w:themeColor="text1"/>
                <w:kern w:val="2"/>
                <w:sz w:val="24"/>
                <w:szCs w:val="24"/>
                <w:highlight w:val="none"/>
                <w:lang w:val="en-US" w:eastAsia="zh-CN" w:bidi="ar-SA"/>
                <w14:textFill>
                  <w14:solidFill>
                    <w14:schemeClr w14:val="tx1"/>
                  </w14:solidFill>
                </w14:textFill>
              </w:rPr>
              <w:t>1日起至</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投标截止时间前)。</w:t>
            </w:r>
          </w:p>
          <w:p w14:paraId="1901BCE2">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每个品类的核心技术指标评分内容如下:</w:t>
            </w:r>
          </w:p>
          <w:p w14:paraId="01CF0F2E">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1.力学性能(稳定性全项、符合采购需求的强度及耐久性全项)，符合国家强制标准或国家推荐标准要求得1.5分,不符合不得分。</w:t>
            </w:r>
          </w:p>
          <w:p w14:paraId="063DB42C">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2.产品涉及的表面理化性能(如:漆膜、软硬质覆面、金属件、封边条等)，符合得0.5分，不符合不得分。</w:t>
            </w:r>
          </w:p>
          <w:p w14:paraId="3C44C992">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3.成品甲醛释放量检测按对应的国家强制性标准或国家推荐标准执行评分： 合格得1.5分，其余不得分。</w:t>
            </w:r>
          </w:p>
          <w:p w14:paraId="7C4B4FDA">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4.除第3项所涉及的甲醛释放量以外的安全性能和有害物质限量，符合得1.5分，不符合不得分。</w:t>
            </w:r>
          </w:p>
          <w:p w14:paraId="403EBDA8">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i w:val="0"/>
                <w:iCs w:val="0"/>
                <w:color w:val="000000" w:themeColor="text1"/>
                <w:kern w:val="0"/>
                <w:sz w:val="24"/>
                <w:szCs w:val="24"/>
                <w:highlight w:val="none"/>
                <w:u w:val="none"/>
                <w:lang w:val="en-US" w:eastAsia="zh-CN" w:bidi="ar"/>
                <w14:textFill>
                  <w14:solidFill>
                    <w14:schemeClr w14:val="tx1"/>
                  </w14:solidFill>
                </w14:textFill>
              </w:rPr>
            </w:pPr>
            <w: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t>备注：出具的检测报告必须由具备家具成品及其原辅材料检测能力并通过国家计量认证（CMA或CNAS资质）的第三方检测机构提供。</w:t>
            </w:r>
          </w:p>
        </w:tc>
        <w:tc>
          <w:tcPr>
            <w:tcW w:w="857" w:type="dxa"/>
            <w:shd w:val="clear" w:color="auto" w:fill="auto"/>
            <w:vAlign w:val="center"/>
          </w:tcPr>
          <w:p w14:paraId="16EBBB91">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14:textFill>
                  <w14:solidFill>
                    <w14:schemeClr w14:val="tx1"/>
                  </w14:solidFill>
                </w14:textFill>
              </w:rPr>
              <w:t>0-5</w:t>
            </w:r>
          </w:p>
        </w:tc>
        <w:tc>
          <w:tcPr>
            <w:tcW w:w="1018" w:type="dxa"/>
            <w:shd w:val="clear" w:color="auto" w:fill="auto"/>
            <w:vAlign w:val="center"/>
          </w:tcPr>
          <w:p w14:paraId="337A9D36">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eastAsia="zh-CN"/>
                <w14:textFill>
                  <w14:solidFill>
                    <w14:schemeClr w14:val="tx1"/>
                  </w14:solidFill>
                </w14:textFill>
              </w:rPr>
              <w:t>客观分</w:t>
            </w:r>
          </w:p>
        </w:tc>
      </w:tr>
      <w:tr w14:paraId="3123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vMerge w:val="continue"/>
            <w:shd w:val="clear" w:color="auto" w:fill="auto"/>
            <w:vAlign w:val="center"/>
          </w:tcPr>
          <w:p w14:paraId="7F01AA9C">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p>
        </w:tc>
        <w:tc>
          <w:tcPr>
            <w:tcW w:w="1012" w:type="dxa"/>
            <w:vMerge w:val="continue"/>
            <w:shd w:val="clear" w:color="auto" w:fill="auto"/>
            <w:vAlign w:val="center"/>
          </w:tcPr>
          <w:p w14:paraId="2B3BA13F">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p>
        </w:tc>
        <w:tc>
          <w:tcPr>
            <w:tcW w:w="6489" w:type="dxa"/>
            <w:shd w:val="clear" w:color="auto" w:fill="auto"/>
            <w:vAlign w:val="center"/>
          </w:tcPr>
          <w:p w14:paraId="5A6A2158">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cs="宋体"/>
                <w:color w:val="000000" w:themeColor="text1"/>
                <w:kern w:val="2"/>
                <w:sz w:val="24"/>
                <w:szCs w:val="24"/>
                <w:highlight w:val="none"/>
                <w:lang w:val="en-US" w:eastAsia="zh-CN" w:bidi="ar-SA"/>
                <w14:textFill>
                  <w14:solidFill>
                    <w14:schemeClr w14:val="tx1"/>
                  </w14:solidFill>
                </w14:textFill>
              </w:rPr>
              <w:t>投标人或投标产品制造商</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须提供符合国家标准或行业标准要求的主要原材料(如</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实芯理化板、</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人造板</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、金属件、PP塑料</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)的检测报告。每提供一个种类的原材料检测报告，得1分，最高得3分。</w:t>
            </w:r>
          </w:p>
          <w:p w14:paraId="15EE17EE">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t>原材料供应商提供符合上述要求的检测报告也可采用，但必须提供</w:t>
            </w:r>
            <w:r>
              <w:rPr>
                <w:rFonts w:hint="eastAsia" w:ascii="宋体" w:hAnsi="宋体" w:cs="宋体"/>
                <w:b/>
                <w:bCs/>
                <w:color w:val="000000" w:themeColor="text1"/>
                <w:kern w:val="2"/>
                <w:sz w:val="21"/>
                <w:szCs w:val="21"/>
                <w:highlight w:val="none"/>
                <w:lang w:val="en-US" w:eastAsia="zh-CN" w:bidi="ar-SA"/>
                <w14:textFill>
                  <w14:solidFill>
                    <w14:schemeClr w14:val="tx1"/>
                  </w14:solidFill>
                </w14:textFill>
              </w:rPr>
              <w:t>投标人或投标产品制造商与原材料</w:t>
            </w:r>
            <w: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t>供应商</w:t>
            </w:r>
            <w:r>
              <w:rPr>
                <w:rFonts w:hint="eastAsia" w:ascii="宋体" w:hAnsi="宋体" w:cs="宋体"/>
                <w:b/>
                <w:bCs/>
                <w:color w:val="000000" w:themeColor="text1"/>
                <w:kern w:val="2"/>
                <w:sz w:val="21"/>
                <w:szCs w:val="21"/>
                <w:highlight w:val="none"/>
                <w:lang w:val="en-US" w:eastAsia="zh-CN" w:bidi="ar-SA"/>
                <w14:textFill>
                  <w14:solidFill>
                    <w14:schemeClr w14:val="tx1"/>
                  </w14:solidFill>
                </w14:textFill>
              </w:rPr>
              <w:t>提供的对应</w:t>
            </w:r>
            <w: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t>原材料</w:t>
            </w:r>
            <w:r>
              <w:rPr>
                <w:b/>
                <w:bCs/>
                <w:color w:val="000000" w:themeColor="text1"/>
                <w14:textFill>
                  <w14:solidFill>
                    <w14:schemeClr w14:val="tx1"/>
                  </w14:solidFill>
                </w14:textFill>
              </w:rPr>
              <w:t>供销或采购合作协议等相关证明材料</w:t>
            </w:r>
            <w:r>
              <w:rPr>
                <w:rFonts w:hint="eastAsia" w:ascii="宋体" w:hAnsi="宋体" w:eastAsia="宋体" w:cs="宋体"/>
                <w:color w:val="000000" w:themeColor="text1"/>
                <w:kern w:val="2"/>
                <w:sz w:val="21"/>
                <w:szCs w:val="21"/>
                <w:highlight w:val="none"/>
                <w:lang w:val="en-US" w:eastAsia="zh-CN" w:bidi="ar-SA"/>
                <w14:textFill>
                  <w14:solidFill>
                    <w14:schemeClr w14:val="tx1"/>
                  </w14:solidFill>
                </w14:textFill>
              </w:rPr>
              <w:t>。</w:t>
            </w:r>
          </w:p>
          <w:p w14:paraId="26014284">
            <w:pPr>
              <w:keepNext w:val="0"/>
              <w:keepLines w:val="0"/>
              <w:pageBreakBefore w:val="0"/>
              <w:widowControl/>
              <w:shd w:val="clear" w:color="auto" w:fill="auto"/>
              <w:kinsoku/>
              <w:wordWrap/>
              <w:overflowPunct/>
              <w:topLinePunct w:val="0"/>
              <w:autoSpaceDE/>
              <w:autoSpaceDN/>
              <w:bidi w:val="0"/>
              <w:adjustRightInd/>
              <w:snapToGrid/>
              <w:jc w:val="left"/>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t>备注:出具的检测报告必须由具备家具成品及其原辅材料检测能力并通过国家计量认证(CMA或CNAS资质)的第三方检测机构提供。</w:t>
            </w:r>
          </w:p>
        </w:tc>
        <w:tc>
          <w:tcPr>
            <w:tcW w:w="857" w:type="dxa"/>
            <w:shd w:val="clear" w:color="auto" w:fill="auto"/>
            <w:vAlign w:val="center"/>
          </w:tcPr>
          <w:p w14:paraId="507CFC5B">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14:textFill>
                  <w14:solidFill>
                    <w14:schemeClr w14:val="tx1"/>
                  </w14:solidFill>
                </w14:textFill>
              </w:rPr>
              <w:t>0-3</w:t>
            </w:r>
          </w:p>
        </w:tc>
        <w:tc>
          <w:tcPr>
            <w:tcW w:w="1018" w:type="dxa"/>
            <w:shd w:val="clear" w:color="auto" w:fill="auto"/>
            <w:vAlign w:val="center"/>
          </w:tcPr>
          <w:p w14:paraId="549781B0">
            <w:pPr>
              <w:keepNext w:val="0"/>
              <w:keepLines w:val="0"/>
              <w:pageBreakBefore w:val="0"/>
              <w:widowControl/>
              <w:shd w:val="clear" w:color="auto" w:fill="auto"/>
              <w:kinsoku/>
              <w:wordWrap/>
              <w:overflowPunct/>
              <w:topLinePunct w:val="0"/>
              <w:autoSpaceDE/>
              <w:autoSpaceDN/>
              <w:bidi w:val="0"/>
              <w:adjustRightInd/>
              <w:snapToGrid/>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eastAsia="zh-CN"/>
                <w14:textFill>
                  <w14:solidFill>
                    <w14:schemeClr w14:val="tx1"/>
                  </w14:solidFill>
                </w14:textFill>
              </w:rPr>
              <w:t>客观分</w:t>
            </w:r>
          </w:p>
        </w:tc>
      </w:tr>
      <w:tr w14:paraId="33807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1" w:hRule="atLeast"/>
          <w:jc w:val="center"/>
        </w:trPr>
        <w:tc>
          <w:tcPr>
            <w:tcW w:w="701" w:type="dxa"/>
            <w:shd w:val="clear" w:color="auto" w:fill="auto"/>
            <w:vAlign w:val="center"/>
          </w:tcPr>
          <w:p w14:paraId="09F8441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3</w:t>
            </w:r>
          </w:p>
        </w:tc>
        <w:tc>
          <w:tcPr>
            <w:tcW w:w="1012" w:type="dxa"/>
            <w:shd w:val="clear" w:color="auto" w:fill="auto"/>
            <w:vAlign w:val="center"/>
          </w:tcPr>
          <w:p w14:paraId="59AEAAEA">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技术参数</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响应</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情况</w:t>
            </w:r>
          </w:p>
        </w:tc>
        <w:tc>
          <w:tcPr>
            <w:tcW w:w="6489" w:type="dxa"/>
            <w:shd w:val="clear" w:color="auto" w:fill="auto"/>
            <w:vAlign w:val="center"/>
          </w:tcPr>
          <w:p w14:paraId="398FE387">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根据投标人对招标文件技术指标的响应程度进行评分：投标产品的基本功能、技术指标完全响应招标文件的得1</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分。参数负偏离每一项扣0.5分；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注：相同技术参数指标不累计扣分。</w:t>
            </w:r>
          </w:p>
        </w:tc>
        <w:tc>
          <w:tcPr>
            <w:tcW w:w="857" w:type="dxa"/>
            <w:shd w:val="clear" w:color="auto" w:fill="auto"/>
            <w:vAlign w:val="center"/>
          </w:tcPr>
          <w:p w14:paraId="1FE1B417">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0-1</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p>
        </w:tc>
        <w:tc>
          <w:tcPr>
            <w:tcW w:w="1018" w:type="dxa"/>
            <w:shd w:val="clear" w:color="auto" w:fill="auto"/>
            <w:vAlign w:val="center"/>
          </w:tcPr>
          <w:p w14:paraId="650E273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客观分</w:t>
            </w:r>
          </w:p>
        </w:tc>
      </w:tr>
      <w:tr w14:paraId="1824E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701" w:type="dxa"/>
            <w:shd w:val="clear" w:color="auto" w:fill="auto"/>
            <w:vAlign w:val="center"/>
          </w:tcPr>
          <w:p w14:paraId="38AE2441">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4</w:t>
            </w:r>
          </w:p>
        </w:tc>
        <w:tc>
          <w:tcPr>
            <w:tcW w:w="1012" w:type="dxa"/>
            <w:shd w:val="clear" w:color="auto" w:fill="auto"/>
            <w:vAlign w:val="center"/>
          </w:tcPr>
          <w:p w14:paraId="19765ED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优化设计</w:t>
            </w:r>
          </w:p>
        </w:tc>
        <w:tc>
          <w:tcPr>
            <w:tcW w:w="6489" w:type="dxa"/>
            <w:shd w:val="clear" w:color="auto" w:fill="auto"/>
            <w:vAlign w:val="center"/>
          </w:tcPr>
          <w:p w14:paraId="4628649E">
            <w:pPr>
              <w:keepNext w:val="0"/>
              <w:keepLines w:val="0"/>
              <w:widowControl/>
              <w:suppressLineNumbers w:val="0"/>
              <w:ind w:firstLine="482" w:firstLineChars="20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标项</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二</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要求提供：美术教室、音乐教室、劳技教室、录播教室的效果图与全景图链接。根据与学校实际情况契合度、内容完整度、设计合理性、艺术程度高、呈现效果佳等方面比较打分；</w:t>
            </w:r>
          </w:p>
          <w:p w14:paraId="638FB594">
            <w:pPr>
              <w:keepNext w:val="0"/>
              <w:keepLines w:val="0"/>
              <w:widowControl/>
              <w:numPr>
                <w:ilvl w:val="0"/>
                <w:numId w:val="0"/>
              </w:numPr>
              <w:suppressLineNumbers w:val="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内容与学校实际情况契合度高、内容完整、设计合理、艺术程度高、呈现效果佳的得8分；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2、内容与学校实际情况较契合、有1项欠缺的、艺术呈现效果一般的得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7</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p>
          <w:p w14:paraId="1C34419E">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内容与学校实际情况较契合、有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项欠缺的、艺术呈现效果一般的得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6</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p>
          <w:p w14:paraId="050C601F">
            <w:pPr>
              <w:keepNext w:val="0"/>
              <w:keepLines w:val="0"/>
              <w:widowControl/>
              <w:numPr>
                <w:ilvl w:val="0"/>
                <w:numId w:val="0"/>
              </w:numPr>
              <w:suppressLineNumbers w:val="0"/>
              <w:ind w:leftChars="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内容与学校实际情况较契合、有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项欠缺的、艺术呈现效果一般的得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5</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5、</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内容与学校实际情况不契合、有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及以上</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欠缺的、艺术呈现效果差的得2分；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6、</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未提供方案的不得分。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注：未按照要求提供上述效果图不得分。</w:t>
            </w:r>
          </w:p>
        </w:tc>
        <w:tc>
          <w:tcPr>
            <w:tcW w:w="857" w:type="dxa"/>
            <w:shd w:val="clear" w:color="auto" w:fill="auto"/>
            <w:vAlign w:val="center"/>
          </w:tcPr>
          <w:p w14:paraId="75A9EAC1">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0-8</w:t>
            </w:r>
          </w:p>
        </w:tc>
        <w:tc>
          <w:tcPr>
            <w:tcW w:w="1018" w:type="dxa"/>
            <w:shd w:val="clear" w:color="auto" w:fill="auto"/>
            <w:vAlign w:val="center"/>
          </w:tcPr>
          <w:p w14:paraId="6060330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主观分</w:t>
            </w:r>
          </w:p>
        </w:tc>
      </w:tr>
      <w:tr w14:paraId="4EB39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1" w:hRule="atLeast"/>
          <w:jc w:val="center"/>
        </w:trPr>
        <w:tc>
          <w:tcPr>
            <w:tcW w:w="701" w:type="dxa"/>
            <w:shd w:val="clear" w:color="auto" w:fill="auto"/>
            <w:vAlign w:val="center"/>
          </w:tcPr>
          <w:p w14:paraId="1717970C">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5</w:t>
            </w:r>
          </w:p>
        </w:tc>
        <w:tc>
          <w:tcPr>
            <w:tcW w:w="1012" w:type="dxa"/>
            <w:shd w:val="clear" w:color="auto" w:fill="auto"/>
            <w:vAlign w:val="center"/>
          </w:tcPr>
          <w:p w14:paraId="53B9019D">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安装、调试方法或方案</w:t>
            </w:r>
          </w:p>
        </w:tc>
        <w:tc>
          <w:tcPr>
            <w:tcW w:w="6489" w:type="dxa"/>
            <w:shd w:val="clear" w:color="auto" w:fill="auto"/>
            <w:vAlign w:val="center"/>
          </w:tcPr>
          <w:p w14:paraId="037B4B95">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根据投标人提供的安装、调试方法或方案与本项目需求的吻合程度，是否与采购需求及实际特点符合、是否有利于项目的实现及合同履约由评委进行综合打分。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1、安装、调试方法或方案完全符合实际，满足项目实现及合同履约的得4分；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2、安装、调试方法或方案有1项欠缺的，有利于项目实现及合同履约的得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p>
          <w:p w14:paraId="0B8C061E">
            <w:pPr>
              <w:keepNext w:val="0"/>
              <w:keepLines w:val="0"/>
              <w:widowControl/>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、安装、调试方法或方案有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项欠缺的，有利于项目实现及合同履约的得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、安装、调试方法或方案有多项欠缺的，不利于项目实现及合同履约的得1分；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5</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、未提供不得分。</w:t>
            </w:r>
          </w:p>
        </w:tc>
        <w:tc>
          <w:tcPr>
            <w:tcW w:w="857" w:type="dxa"/>
            <w:shd w:val="clear" w:color="auto" w:fill="auto"/>
            <w:vAlign w:val="center"/>
          </w:tcPr>
          <w:p w14:paraId="09B1010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0-4</w:t>
            </w:r>
          </w:p>
        </w:tc>
        <w:tc>
          <w:tcPr>
            <w:tcW w:w="1018" w:type="dxa"/>
            <w:shd w:val="clear" w:color="auto" w:fill="auto"/>
            <w:vAlign w:val="center"/>
          </w:tcPr>
          <w:p w14:paraId="5B8A943F">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46331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1" w:hRule="atLeast"/>
          <w:jc w:val="center"/>
        </w:trPr>
        <w:tc>
          <w:tcPr>
            <w:tcW w:w="701" w:type="dxa"/>
            <w:shd w:val="clear" w:color="auto" w:fill="auto"/>
            <w:vAlign w:val="center"/>
          </w:tcPr>
          <w:p w14:paraId="7B28C4C9">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6</w:t>
            </w:r>
          </w:p>
        </w:tc>
        <w:tc>
          <w:tcPr>
            <w:tcW w:w="1012" w:type="dxa"/>
            <w:shd w:val="clear" w:color="auto" w:fill="auto"/>
            <w:vAlign w:val="center"/>
          </w:tcPr>
          <w:p w14:paraId="1547B44A">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售后服务方案</w:t>
            </w:r>
          </w:p>
        </w:tc>
        <w:tc>
          <w:tcPr>
            <w:tcW w:w="6489" w:type="dxa"/>
            <w:shd w:val="clear" w:color="auto" w:fill="auto"/>
            <w:vAlign w:val="center"/>
          </w:tcPr>
          <w:p w14:paraId="2895A089">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根据投标人的售后服务方案（包括服务内容、服务承诺、服务方式、售后维护机构和人员以及较强的专业技术队伍，能提供快速的售后服务、应急服务等）的合理性、可行性由评委进行综合打分。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1、服务内容、服务承诺、服务方式、售后维护机构和人员以及较强的专业技术队伍、应急服务完善、合理可行、针对性强得4分；</w:t>
            </w:r>
          </w:p>
          <w:p w14:paraId="691BBD7C">
            <w:pPr>
              <w:keepNext w:val="0"/>
              <w:keepLines w:val="0"/>
              <w:widowControl/>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2、服务内容、服务承诺、服务方式、售后维护机构和人员、应急服务等有1项欠缺的，针对性</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较</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弱的得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、服务内容、服务承诺、服务方式、售后维护机构和人员、应急服务等有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项欠缺的，针对性弱的得2分；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、服务内容、服务承诺、服务方式、售后维护机构和人员、应急服务等有多项欠缺的，针对性差的得1分；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5</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、未提供不得分。</w:t>
            </w:r>
          </w:p>
        </w:tc>
        <w:tc>
          <w:tcPr>
            <w:tcW w:w="857" w:type="dxa"/>
            <w:shd w:val="clear" w:color="auto" w:fill="auto"/>
            <w:vAlign w:val="center"/>
          </w:tcPr>
          <w:p w14:paraId="77698E4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0-4</w:t>
            </w:r>
          </w:p>
        </w:tc>
        <w:tc>
          <w:tcPr>
            <w:tcW w:w="1018" w:type="dxa"/>
            <w:shd w:val="clear" w:color="auto" w:fill="auto"/>
            <w:vAlign w:val="center"/>
          </w:tcPr>
          <w:p w14:paraId="1F565345">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35180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 w:hRule="atLeast"/>
          <w:jc w:val="center"/>
        </w:trPr>
        <w:tc>
          <w:tcPr>
            <w:tcW w:w="701" w:type="dxa"/>
            <w:shd w:val="clear" w:color="auto" w:fill="auto"/>
            <w:vAlign w:val="center"/>
          </w:tcPr>
          <w:p w14:paraId="4DB6FF33">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7</w:t>
            </w:r>
          </w:p>
        </w:tc>
        <w:tc>
          <w:tcPr>
            <w:tcW w:w="1012" w:type="dxa"/>
            <w:shd w:val="clear" w:color="auto" w:fill="auto"/>
            <w:vAlign w:val="center"/>
          </w:tcPr>
          <w:p w14:paraId="0AFFE13D">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项目重点与难点分析</w:t>
            </w:r>
          </w:p>
        </w:tc>
        <w:tc>
          <w:tcPr>
            <w:tcW w:w="6489" w:type="dxa"/>
            <w:shd w:val="clear" w:color="auto" w:fill="auto"/>
            <w:vAlign w:val="center"/>
          </w:tcPr>
          <w:p w14:paraId="03842BF7">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根据投标人提供的重点难点理解和分析要点，服务方向是否明确，以及实施难点分析是否到位由评委进行综合打分。 </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1、方案内容详细全面，合理科学且有针对性的得4分；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2、方案内容欠全面，有1项欠缺的，针对性</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较</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弱的得</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分；</w:t>
            </w:r>
          </w:p>
          <w:p w14:paraId="0D58F03A">
            <w:pPr>
              <w:keepNext w:val="0"/>
              <w:keepLines w:val="0"/>
              <w:widowControl/>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、方案内容欠全面，有</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项欠缺的，针对性弱的得2分；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、方案内容不全面，有多项欠缺的，针对性差的得1分；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5</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、未提供不得分。</w:t>
            </w:r>
          </w:p>
        </w:tc>
        <w:tc>
          <w:tcPr>
            <w:tcW w:w="857" w:type="dxa"/>
            <w:shd w:val="clear" w:color="auto" w:fill="auto"/>
            <w:vAlign w:val="center"/>
          </w:tcPr>
          <w:p w14:paraId="3EF5BD1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0-4</w:t>
            </w:r>
          </w:p>
        </w:tc>
        <w:tc>
          <w:tcPr>
            <w:tcW w:w="1018" w:type="dxa"/>
            <w:shd w:val="clear" w:color="auto" w:fill="auto"/>
            <w:vAlign w:val="center"/>
          </w:tcPr>
          <w:p w14:paraId="388A3CB0">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08B42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7A399C27">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8</w:t>
            </w:r>
          </w:p>
        </w:tc>
        <w:tc>
          <w:tcPr>
            <w:tcW w:w="1012" w:type="dxa"/>
            <w:shd w:val="clear" w:color="auto" w:fill="auto"/>
            <w:vAlign w:val="center"/>
          </w:tcPr>
          <w:p w14:paraId="41EE546F">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质保期</w:t>
            </w:r>
          </w:p>
        </w:tc>
        <w:tc>
          <w:tcPr>
            <w:tcW w:w="6489" w:type="dxa"/>
            <w:shd w:val="clear" w:color="auto" w:fill="auto"/>
            <w:vAlign w:val="center"/>
          </w:tcPr>
          <w:p w14:paraId="6335EE81">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提供本项目投标产品质保期， 质保期优于招标文件规定的，每延长一年得0.5分，最高1分。</w:t>
            </w:r>
          </w:p>
        </w:tc>
        <w:tc>
          <w:tcPr>
            <w:tcW w:w="857" w:type="dxa"/>
            <w:shd w:val="clear" w:color="auto" w:fill="auto"/>
            <w:vAlign w:val="center"/>
          </w:tcPr>
          <w:p w14:paraId="7DA3B666">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0-1</w:t>
            </w:r>
          </w:p>
        </w:tc>
        <w:tc>
          <w:tcPr>
            <w:tcW w:w="1018" w:type="dxa"/>
            <w:shd w:val="clear" w:color="auto" w:fill="auto"/>
            <w:vAlign w:val="center"/>
          </w:tcPr>
          <w:p w14:paraId="06B99612">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客观分</w:t>
            </w:r>
          </w:p>
        </w:tc>
      </w:tr>
      <w:tr w14:paraId="2B40F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1" w:hRule="atLeast"/>
          <w:jc w:val="center"/>
        </w:trPr>
        <w:tc>
          <w:tcPr>
            <w:tcW w:w="701" w:type="dxa"/>
            <w:shd w:val="clear" w:color="auto" w:fill="auto"/>
            <w:vAlign w:val="center"/>
          </w:tcPr>
          <w:p w14:paraId="563AEC4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9</w:t>
            </w:r>
          </w:p>
        </w:tc>
        <w:tc>
          <w:tcPr>
            <w:tcW w:w="1012" w:type="dxa"/>
            <w:shd w:val="clear" w:color="auto" w:fill="auto"/>
            <w:vAlign w:val="center"/>
          </w:tcPr>
          <w:p w14:paraId="5B57B28C">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培训计划方案</w:t>
            </w:r>
          </w:p>
        </w:tc>
        <w:tc>
          <w:tcPr>
            <w:tcW w:w="6489" w:type="dxa"/>
            <w:shd w:val="clear" w:color="auto" w:fill="auto"/>
            <w:vAlign w:val="center"/>
          </w:tcPr>
          <w:p w14:paraId="45ED3B5E">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根据投标人提供的培训计划方案（包括培训流程、培训方式、培训对象、培训内容、培训日程等）的合理性、完整性、可行性由评委进行综合评分。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1、培训计划方案全面、合理、可操作性强的得3分；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2、培训计划方案欠全面、有1项欠缺的得2分；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3、培训计划方案不全面、有多项欠缺的得1分；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4、不提供不得分。</w:t>
            </w:r>
          </w:p>
        </w:tc>
        <w:tc>
          <w:tcPr>
            <w:tcW w:w="857" w:type="dxa"/>
            <w:shd w:val="clear" w:color="auto" w:fill="auto"/>
            <w:vAlign w:val="center"/>
          </w:tcPr>
          <w:p w14:paraId="2040B0E4">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0-3</w:t>
            </w:r>
          </w:p>
        </w:tc>
        <w:tc>
          <w:tcPr>
            <w:tcW w:w="1018" w:type="dxa"/>
            <w:shd w:val="clear" w:color="auto" w:fill="auto"/>
            <w:vAlign w:val="center"/>
          </w:tcPr>
          <w:p w14:paraId="4B4687C0">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7C435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 w:hRule="atLeast"/>
          <w:jc w:val="center"/>
        </w:trPr>
        <w:tc>
          <w:tcPr>
            <w:tcW w:w="701" w:type="dxa"/>
            <w:shd w:val="clear" w:color="auto" w:fill="auto"/>
            <w:vAlign w:val="center"/>
          </w:tcPr>
          <w:p w14:paraId="6CDDFF48">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10</w:t>
            </w:r>
          </w:p>
        </w:tc>
        <w:tc>
          <w:tcPr>
            <w:tcW w:w="1012" w:type="dxa"/>
            <w:shd w:val="clear" w:color="auto" w:fill="auto"/>
            <w:vAlign w:val="center"/>
          </w:tcPr>
          <w:p w14:paraId="17478863">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确保供应货物质量的措施</w:t>
            </w:r>
          </w:p>
        </w:tc>
        <w:tc>
          <w:tcPr>
            <w:tcW w:w="6489" w:type="dxa"/>
            <w:shd w:val="clear" w:color="auto" w:fill="auto"/>
            <w:vAlign w:val="center"/>
          </w:tcPr>
          <w:p w14:paraId="77368184">
            <w:pPr>
              <w:keepNext w:val="0"/>
              <w:keepLines w:val="0"/>
              <w:widowControl/>
              <w:suppressLineNumbers w:val="0"/>
              <w:ind w:firstLine="480" w:firstLineChars="20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根据确保投标产品的质量保证措施方案进行评分，方案全面完整、科学合理由评委进行综合打分。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1、确保供应货物质量的措施方案全面、合理、可操作性强的得3分；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2、确保供应货物质量的措施方案欠全面、有1项欠缺的得2分；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3、确保供应货物质量的措施方案不全面、有多项欠缺的得1分；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4、未提供不得分。</w:t>
            </w:r>
          </w:p>
        </w:tc>
        <w:tc>
          <w:tcPr>
            <w:tcW w:w="857" w:type="dxa"/>
            <w:shd w:val="clear" w:color="auto" w:fill="auto"/>
            <w:vAlign w:val="center"/>
          </w:tcPr>
          <w:p w14:paraId="2FF2F441">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0-3</w:t>
            </w:r>
          </w:p>
        </w:tc>
        <w:tc>
          <w:tcPr>
            <w:tcW w:w="1018" w:type="dxa"/>
            <w:shd w:val="clear" w:color="auto" w:fill="auto"/>
            <w:vAlign w:val="center"/>
          </w:tcPr>
          <w:p w14:paraId="4F511BFE">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47DFC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5A852E7D">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11</w:t>
            </w:r>
          </w:p>
        </w:tc>
        <w:tc>
          <w:tcPr>
            <w:tcW w:w="1012" w:type="dxa"/>
            <w:shd w:val="clear" w:color="auto" w:fill="auto"/>
            <w:vAlign w:val="center"/>
          </w:tcPr>
          <w:p w14:paraId="7F008341">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样品质量评价</w:t>
            </w:r>
          </w:p>
        </w:tc>
        <w:tc>
          <w:tcPr>
            <w:tcW w:w="6489" w:type="dxa"/>
            <w:shd w:val="clear" w:color="auto" w:fill="auto"/>
            <w:vAlign w:val="center"/>
          </w:tcPr>
          <w:p w14:paraId="09B07778">
            <w:pPr>
              <w:keepNext w:val="0"/>
              <w:keepLines w:val="0"/>
              <w:widowControl/>
              <w:suppressLineNumbers w:val="0"/>
              <w:ind w:firstLine="480" w:firstLineChars="20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根据投标人所提供标项二序号</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-2学生</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实验桌</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张</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）样品的实用性、外观、生产工艺等进行评分。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制作要求</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（①</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连接件结合应牢固,外表结合处缝隙不大于0.2mm；②拼贴应严密、平整；③不允许有脱胶、明显透胶、鼓泡、凹陷、压痕；④表面无划伤、麻点、裂痕、崩角和刃口；⑤各种配件结合处应无崩茬或松动；⑥不得有少件、漏钉、透钉；</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⑦</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安装、扎实牢固；</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3A2D47D6">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）以上内容全部满足的得3分；</w:t>
            </w:r>
          </w:p>
          <w:p w14:paraId="2A2C2A55">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）以上内容有2项及以下缺陷的得2分；</w:t>
            </w:r>
          </w:p>
          <w:p w14:paraId="13B69FE2">
            <w:pPr>
              <w:keepNext w:val="0"/>
              <w:keepLines w:val="0"/>
              <w:widowControl/>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）以上内容有3项及以上缺陷的得1分；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2.</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涂饰要求</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包括</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①整件产品和配套产品色泽应相似；②正视面（包括面板）涂层应平整光滑、清晰；③其他部位表面涂层手感应光滑，无明显粒子、涨边和不平整，涂膜实干后允许有木孔沉陷；④涂层不得有皱皮、发粘和漏漆现象。应无明显加工痕迹、划痕、白点、鼓泡、油臼、流挂、缩孔、刷毛、积粉和杂渣；⑤表面平整度、光泽度、防虫、防腐处理；⑥环保标准（有无甲醛异味）</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7BC2F3F0">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）以上内容全部满足的得3分；</w:t>
            </w:r>
          </w:p>
          <w:p w14:paraId="354BEFD3">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）以上内容有2项及以下缺陷的得2分；</w:t>
            </w:r>
          </w:p>
          <w:p w14:paraId="1F0AC787">
            <w:pPr>
              <w:keepNext w:val="0"/>
              <w:keepLines w:val="0"/>
              <w:widowControl/>
              <w:numPr>
                <w:ilvl w:val="0"/>
                <w:numId w:val="0"/>
              </w:numPr>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）以上内容有3项及以上缺陷的得1分；</w:t>
            </w: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br w:type="textWrapping"/>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3.</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根据</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样品</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的</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功能要求是否符合招标文件功能要求，包括功能配置、物理性能、人体工程结构造型等方面的成熟性、舒适性、安全性、可维护性</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5914ACF1">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、物理性能</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好</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符合</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，舒适安全的得3分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057B9611">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符合招标文件需求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、物理性能</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一般</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有2项及以下欠缺得的得2分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6BE4CF2A">
            <w:pPr>
              <w:pStyle w:val="3"/>
              <w:ind w:left="0" w:leftChars="0" w:firstLine="0" w:firstLineChars="0"/>
              <w:rPr>
                <w:rFonts w:hint="eastAsia"/>
                <w:color w:val="000000" w:themeColor="text1"/>
                <w:lang w:val="en-US" w:eastAsia="zh-CN"/>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功能配置</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不符合招标文件需求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不符合</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人体工程结构造型</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，有3项及以上欠缺</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的得1分；</w:t>
            </w:r>
          </w:p>
          <w:p w14:paraId="24267255">
            <w:pPr>
              <w:keepNext w:val="0"/>
              <w:keepLines w:val="0"/>
              <w:widowControl/>
              <w:numPr>
                <w:ilvl w:val="0"/>
                <w:numId w:val="0"/>
              </w:numPr>
              <w:suppressLineNumbers w:val="0"/>
              <w:jc w:val="left"/>
              <w:textAlignment w:val="cente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4.</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外观式样：根据投标人提供的产品样品，是否响应招标文件要求，包括式样、外观的整体效果</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等</w:t>
            </w: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由评委进行综合打分。</w:t>
            </w:r>
          </w:p>
          <w:p w14:paraId="06FADEFA">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1</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整体效果优越的得3分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7491B604">
            <w:pPr>
              <w:keepNext w:val="0"/>
              <w:keepLines w:val="0"/>
              <w:widowControl/>
              <w:numPr>
                <w:ilvl w:val="0"/>
                <w:numId w:val="0"/>
              </w:numPr>
              <w:suppressLineNumbers w:val="0"/>
              <w:jc w:val="left"/>
              <w:textAlignment w:val="center"/>
              <w:rPr>
                <w:rFonts w:hint="eastAsia" w:ascii="宋体" w:hAnsi="宋体" w:cs="宋体"/>
                <w:i w:val="0"/>
                <w:iCs w:val="0"/>
                <w:color w:val="000000" w:themeColor="text1"/>
                <w:kern w:val="0"/>
                <w:sz w:val="24"/>
                <w:szCs w:val="24"/>
                <w:lang w:val="en-US" w:eastAsia="zh-CN" w:bidi="ar"/>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2</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整体效果有2项及以下欠缺的得2分</w:t>
            </w:r>
            <w:r>
              <w:rPr>
                <w:rFonts w:hint="eastAsia" w:ascii="宋体" w:hAnsi="宋体" w:cs="宋体"/>
                <w:b w:val="0"/>
                <w:bCs w:val="0"/>
                <w:i w:val="0"/>
                <w:iCs w:val="0"/>
                <w:color w:val="000000" w:themeColor="text1"/>
                <w:kern w:val="0"/>
                <w:sz w:val="24"/>
                <w:szCs w:val="24"/>
                <w:lang w:val="en-US" w:eastAsia="zh-CN" w:bidi="ar"/>
                <w14:textFill>
                  <w14:solidFill>
                    <w14:schemeClr w14:val="tx1"/>
                  </w14:solidFill>
                </w14:textFill>
              </w:rPr>
              <w:t>；</w:t>
            </w:r>
          </w:p>
          <w:p w14:paraId="1F68EDC3">
            <w:pPr>
              <w:pStyle w:val="3"/>
              <w:ind w:left="0" w:leftChars="0" w:firstLine="0" w:firstLineChars="0"/>
              <w:rPr>
                <w:rFonts w:hint="eastAsia"/>
                <w:color w:val="000000" w:themeColor="text1"/>
                <w:lang w:val="en-US" w:eastAsia="zh-CN"/>
                <w14:textFill>
                  <w14:solidFill>
                    <w14:schemeClr w14:val="tx1"/>
                  </w14:solidFill>
                </w14:textFill>
              </w:rPr>
            </w:pPr>
            <w:r>
              <w:rPr>
                <w:rFonts w:hint="eastAsia" w:ascii="宋体" w:hAnsi="宋体" w:cs="宋体"/>
                <w:i w:val="0"/>
                <w:iCs w:val="0"/>
                <w:color w:val="000000" w:themeColor="text1"/>
                <w:kern w:val="0"/>
                <w:sz w:val="24"/>
                <w:szCs w:val="24"/>
                <w:lang w:val="en-US" w:eastAsia="zh-CN" w:bidi="ar"/>
                <w14:textFill>
                  <w14:solidFill>
                    <w14:schemeClr w14:val="tx1"/>
                  </w14:solidFill>
                </w14:textFill>
              </w:rPr>
              <w:t>（</w:t>
            </w:r>
            <w:r>
              <w:rPr>
                <w:rFonts w:hint="eastAsia" w:ascii="宋体" w:hAnsi="宋体" w:eastAsia="宋体" w:cs="宋体"/>
                <w:i w:val="0"/>
                <w:iCs w:val="0"/>
                <w:color w:val="000000" w:themeColor="text1"/>
                <w:kern w:val="0"/>
                <w:sz w:val="24"/>
                <w:szCs w:val="24"/>
                <w:lang w:val="en-US" w:eastAsia="zh-CN" w:bidi="ar"/>
                <w14:textFill>
                  <w14:solidFill>
                    <w14:schemeClr w14:val="tx1"/>
                  </w14:solidFill>
                </w14:textFill>
              </w:rPr>
              <w:t>3</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）样品</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外观满足招标文件需求</w:t>
            </w:r>
            <w:r>
              <w:rPr>
                <w:rFonts w:hint="eastAsia" w:ascii="宋体" w:hAnsi="宋体" w:eastAsia="宋体" w:cs="宋体"/>
                <w:b w:val="0"/>
                <w:bCs w:val="0"/>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val="0"/>
                <w:bCs w:val="0"/>
                <w:i w:val="0"/>
                <w:iCs w:val="0"/>
                <w:color w:val="000000" w:themeColor="text1"/>
                <w:kern w:val="0"/>
                <w:sz w:val="24"/>
                <w:szCs w:val="24"/>
                <w:u w:val="none"/>
                <w:lang w:val="en-US" w:eastAsia="zh-CN" w:bidi="ar"/>
                <w14:textFill>
                  <w14:solidFill>
                    <w14:schemeClr w14:val="tx1"/>
                  </w14:solidFill>
                </w14:textFill>
              </w:rPr>
              <w:t>整体效果有3项及以上欠缺</w:t>
            </w:r>
            <w:r>
              <w:rPr>
                <w:rFonts w:hint="eastAsia" w:ascii="宋体" w:hAnsi="宋体" w:cs="宋体"/>
                <w:i w:val="0"/>
                <w:iCs w:val="0"/>
                <w:color w:val="000000" w:themeColor="text1"/>
                <w:kern w:val="0"/>
                <w:sz w:val="24"/>
                <w:szCs w:val="24"/>
                <w:lang w:val="en-US" w:eastAsia="zh-CN" w:bidi="ar"/>
                <w14:textFill>
                  <w14:solidFill>
                    <w14:schemeClr w14:val="tx1"/>
                  </w14:solidFill>
                </w14:textFill>
              </w:rPr>
              <w:t>的得1分；</w:t>
            </w:r>
          </w:p>
          <w:p w14:paraId="36F2FFDD">
            <w:pPr>
              <w:keepNext w:val="0"/>
              <w:keepLines w:val="0"/>
              <w:widowControl/>
              <w:numPr>
                <w:ilvl w:val="0"/>
                <w:numId w:val="0"/>
              </w:numPr>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注：样品提供不全或样品技术参数明显不符合招标文件要求的则样品分为0分。</w:t>
            </w:r>
          </w:p>
        </w:tc>
        <w:tc>
          <w:tcPr>
            <w:tcW w:w="857" w:type="dxa"/>
            <w:shd w:val="clear" w:color="auto" w:fill="auto"/>
            <w:vAlign w:val="center"/>
          </w:tcPr>
          <w:p w14:paraId="0281D233">
            <w:pPr>
              <w:keepNext w:val="0"/>
              <w:keepLines w:val="0"/>
              <w:widowControl/>
              <w:suppressLineNumbers w:val="0"/>
              <w:jc w:val="center"/>
              <w:textAlignment w:val="center"/>
              <w:rPr>
                <w:rFonts w:hint="default" w:ascii="宋体" w:hAnsi="宋体" w:eastAsia="宋体" w:cs="宋体"/>
                <w:i w:val="0"/>
                <w:iCs w:val="0"/>
                <w:color w:val="000000" w:themeColor="text1"/>
                <w:sz w:val="24"/>
                <w:szCs w:val="24"/>
                <w:u w:val="none"/>
                <w:lang w:val="en-US"/>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12</w:t>
            </w:r>
          </w:p>
        </w:tc>
        <w:tc>
          <w:tcPr>
            <w:tcW w:w="1018" w:type="dxa"/>
            <w:shd w:val="clear" w:color="auto" w:fill="auto"/>
            <w:vAlign w:val="center"/>
          </w:tcPr>
          <w:p w14:paraId="738F2E0B">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r w14:paraId="7BA58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701" w:type="dxa"/>
            <w:shd w:val="clear" w:color="auto" w:fill="auto"/>
            <w:vAlign w:val="center"/>
          </w:tcPr>
          <w:p w14:paraId="617B40AB">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12</w:t>
            </w:r>
          </w:p>
        </w:tc>
        <w:tc>
          <w:tcPr>
            <w:tcW w:w="1012" w:type="dxa"/>
            <w:shd w:val="clear" w:color="auto" w:fill="auto"/>
            <w:vAlign w:val="center"/>
          </w:tcPr>
          <w:p w14:paraId="3FBE96BB">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演示</w:t>
            </w:r>
          </w:p>
        </w:tc>
        <w:tc>
          <w:tcPr>
            <w:tcW w:w="6489" w:type="dxa"/>
            <w:shd w:val="clear" w:color="auto" w:fill="auto"/>
            <w:vAlign w:val="center"/>
          </w:tcPr>
          <w:p w14:paraId="522E8E46">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评委根据投标人提供的演示功能是否完整、流程是否符合文件要求等进行打分，</w:t>
            </w:r>
            <w:r>
              <w:rPr>
                <w:rFonts w:hint="eastAsia" w:ascii="宋体" w:hAnsi="宋体" w:cs="宋体"/>
                <w:color w:val="000000" w:themeColor="text1"/>
                <w:sz w:val="24"/>
                <w:szCs w:val="24"/>
                <w:highlight w:val="none"/>
                <w:lang w:val="en-US" w:eastAsia="zh-CN"/>
                <w14:textFill>
                  <w14:solidFill>
                    <w14:schemeClr w14:val="tx1"/>
                  </w14:solidFill>
                </w14:textFill>
              </w:rPr>
              <w:t>演示</w:t>
            </w:r>
            <w:r>
              <w:rPr>
                <w:rFonts w:hint="eastAsia" w:ascii="宋体" w:hAnsi="宋体" w:eastAsia="宋体" w:cs="宋体"/>
                <w:color w:val="000000" w:themeColor="text1"/>
                <w:sz w:val="24"/>
                <w:szCs w:val="24"/>
                <w:highlight w:val="none"/>
                <w:lang w:val="en-US" w:eastAsia="zh-CN"/>
                <w14:textFill>
                  <w14:solidFill>
                    <w14:schemeClr w14:val="tx1"/>
                  </w14:solidFill>
                </w14:textFill>
              </w:rPr>
              <w:t>视频时间控制在15分钟内，没有演示不得分。</w:t>
            </w:r>
          </w:p>
          <w:p w14:paraId="408F791C">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center"/>
              <w:rPr>
                <w:rFonts w:hint="eastAsia"/>
                <w:color w:val="000000" w:themeColor="text1"/>
                <w:lang w:val="en-US" w:eastAsia="zh-CN"/>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要求参与演示设备为所投品牌型号，视频内有展示品牌及型号画面，否则该条演示不得分；演示内容如下：</w:t>
            </w:r>
          </w:p>
          <w:p w14:paraId="6F00753A">
            <w:pPr>
              <w:keepNext w:val="0"/>
              <w:keepLines w:val="0"/>
              <w:widowControl/>
              <w:suppressLineNumbers w:val="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color w:val="000000" w:themeColor="text1"/>
                <w:kern w:val="0"/>
                <w:sz w:val="24"/>
                <w:szCs w:val="24"/>
                <w:u w:val="none"/>
                <w:lang w:val="en-US" w:eastAsia="zh-CN" w:bidi="ar"/>
                <w14:textFill>
                  <w14:solidFill>
                    <w14:schemeClr w14:val="tx1"/>
                  </w14:solidFill>
                </w14:textFill>
              </w:rPr>
              <w:t>标项</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二</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w:t>
            </w:r>
            <w:r>
              <w:rPr>
                <w:rFonts w:hint="eastAsia" w:ascii="宋体" w:hAnsi="宋体" w:cs="宋体"/>
                <w:b/>
                <w:bCs/>
                <w:i w:val="0"/>
                <w:iCs w:val="0"/>
                <w:color w:val="000000" w:themeColor="text1"/>
                <w:kern w:val="0"/>
                <w:sz w:val="24"/>
                <w:szCs w:val="24"/>
                <w:u w:val="none"/>
                <w:lang w:val="en-US" w:eastAsia="zh-CN" w:bidi="ar"/>
                <w14:textFill>
                  <w14:solidFill>
                    <w14:schemeClr w14:val="tx1"/>
                  </w14:solidFill>
                </w14:textFill>
              </w:rPr>
              <w:t>序号1-10</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科学材料系统演示（0-</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6</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分）：</w:t>
            </w:r>
          </w:p>
          <w:p w14:paraId="19CDDEBE">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科学材料系统内置声音、气压、心率、GPS、温度、湿度、加速度、光照、声音、UVI紫外线等不少于10类传感器</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w:t>
            </w:r>
          </w:p>
          <w:p w14:paraId="547A19C9">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66FECD4C">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2CCEE9BA">
            <w:pPr>
              <w:keepNext w:val="0"/>
              <w:keepLines w:val="0"/>
              <w:widowControl/>
              <w:numPr>
                <w:ilvl w:val="0"/>
                <w:numId w:val="0"/>
              </w:numPr>
              <w:suppressLineNumbers w:val="0"/>
              <w:ind w:left="210" w:leftChars="0" w:hanging="210"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p w14:paraId="5A561844">
            <w:pPr>
              <w:keepNext w:val="0"/>
              <w:keepLines w:val="0"/>
              <w:widowControl/>
              <w:numPr>
                <w:ilvl w:val="0"/>
                <w:numId w:val="0"/>
              </w:numPr>
              <w:suppressLineNumbers w:val="0"/>
              <w:ind w:left="241" w:leftChars="0" w:hanging="241" w:hangingChars="100"/>
              <w:jc w:val="left"/>
              <w:textAlignment w:val="cente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2.科学材料系统内置的温度传感器、湿度传感器、心率传感器同时可以数据采集，可实时显示3类传感器整体采集过程</w:t>
            </w:r>
            <w:r>
              <w:rPr>
                <w:rFonts w:hint="eastAsia" w:ascii="宋体" w:hAnsi="宋体" w:cs="宋体"/>
                <w:b/>
                <w:bCs/>
                <w:i w:val="0"/>
                <w:iCs w:val="0"/>
                <w:strike w:val="0"/>
                <w:dstrike w:val="0"/>
                <w:color w:val="000000" w:themeColor="text1"/>
                <w:kern w:val="0"/>
                <w:sz w:val="24"/>
                <w:szCs w:val="24"/>
                <w:u w:val="none"/>
                <w:lang w:val="en-US" w:eastAsia="zh-CN" w:bidi="ar"/>
                <w14:textFill>
                  <w14:solidFill>
                    <w14:schemeClr w14:val="tx1"/>
                  </w14:solidFill>
                </w14:textFill>
              </w:rPr>
              <w:t>。</w:t>
            </w:r>
          </w:p>
          <w:p w14:paraId="21EB7D57">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5CC582A0">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7C420234">
            <w:pPr>
              <w:keepNext w:val="0"/>
              <w:keepLines w:val="0"/>
              <w:widowControl/>
              <w:numPr>
                <w:ilvl w:val="0"/>
                <w:numId w:val="0"/>
              </w:numPr>
              <w:suppressLineNumbers w:val="0"/>
              <w:ind w:left="210" w:leftChars="0" w:hanging="210"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p w14:paraId="5B21C5A3">
            <w:pPr>
              <w:keepNext w:val="0"/>
              <w:keepLines w:val="0"/>
              <w:widowControl/>
              <w:numPr>
                <w:ilvl w:val="0"/>
                <w:numId w:val="0"/>
              </w:numPr>
              <w:suppressLineNumbers w:val="0"/>
              <w:ind w:left="241" w:leftChars="0" w:hanging="241" w:hangingChars="100"/>
              <w:jc w:val="left"/>
              <w:textAlignment w:val="center"/>
              <w:rPr>
                <w:rFonts w:hint="eastAsia" w:ascii="宋体" w:hAnsi="宋体" w:eastAsia="宋体" w:cs="宋体"/>
                <w:b/>
                <w:bCs/>
                <w:i w:val="0"/>
                <w:iCs w:val="0"/>
                <w:strike w:val="0"/>
                <w:dstrike w:val="0"/>
                <w:color w:val="000000" w:themeColor="text1"/>
                <w:kern w:val="0"/>
                <w:sz w:val="24"/>
                <w:szCs w:val="24"/>
                <w:u w:val="none"/>
                <w:lang w:val="zh-CN" w:eastAsia="zh-CN" w:bidi="ar"/>
                <w14:textFill>
                  <w14:solidFill>
                    <w14:schemeClr w14:val="tx1"/>
                  </w14:solidFill>
                </w14:textFill>
              </w:rPr>
            </w:pP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3.科学材料数据同时采集时，可通过图形与列表等不少于3种呈现方式展现收集数据的情况及采集结果</w:t>
            </w:r>
            <w:r>
              <w:rPr>
                <w:rFonts w:hint="eastAsia" w:ascii="宋体" w:hAnsi="宋体" w:eastAsia="宋体" w:cs="宋体"/>
                <w:b/>
                <w:bCs/>
                <w:i w:val="0"/>
                <w:iCs w:val="0"/>
                <w:strike w:val="0"/>
                <w:dstrike w:val="0"/>
                <w:color w:val="000000" w:themeColor="text1"/>
                <w:kern w:val="0"/>
                <w:sz w:val="24"/>
                <w:szCs w:val="24"/>
                <w:u w:val="none"/>
                <w:lang w:val="zh-CN" w:eastAsia="zh-CN" w:bidi="ar"/>
                <w14:textFill>
                  <w14:solidFill>
                    <w14:schemeClr w14:val="tx1"/>
                  </w14:solidFill>
                </w14:textFill>
              </w:rPr>
              <w:t>。</w:t>
            </w:r>
          </w:p>
          <w:p w14:paraId="3523CE78">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功能演示完全满足得2分；</w:t>
            </w:r>
          </w:p>
          <w:p w14:paraId="7C2FC538">
            <w:pPr>
              <w:keepNext w:val="0"/>
              <w:keepLines w:val="0"/>
              <w:widowControl/>
              <w:numPr>
                <w:ilvl w:val="0"/>
                <w:numId w:val="0"/>
              </w:numPr>
              <w:suppressLineNumbers w:val="0"/>
              <w:jc w:val="both"/>
              <w:textAlignment w:val="top"/>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功能演示部分满足得1分；</w:t>
            </w:r>
          </w:p>
          <w:p w14:paraId="7883E547">
            <w:pPr>
              <w:keepNext w:val="0"/>
              <w:keepLines w:val="0"/>
              <w:widowControl/>
              <w:suppressLineNumbers w:val="0"/>
              <w:jc w:val="left"/>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宋体" w:hAnsi="宋体" w:eastAsia="宋体" w:cs="宋体"/>
                <w:b/>
                <w:bCs/>
                <w:i w:val="0"/>
                <w:iCs w:val="0"/>
                <w:strike w:val="0"/>
                <w:dstrike w:val="0"/>
                <w:color w:val="000000" w:themeColor="text1"/>
                <w:kern w:val="0"/>
                <w:sz w:val="24"/>
                <w:szCs w:val="24"/>
                <w:u w:val="none"/>
                <w:lang w:val="en-US" w:eastAsia="zh-CN" w:bidi="ar"/>
                <w14:textFill>
                  <w14:solidFill>
                    <w14:schemeClr w14:val="tx1"/>
                  </w14:solidFill>
                </w14:textFill>
              </w:rPr>
              <w:t>功能演示不满足不得分；</w:t>
            </w:r>
          </w:p>
        </w:tc>
        <w:tc>
          <w:tcPr>
            <w:tcW w:w="857" w:type="dxa"/>
            <w:shd w:val="clear" w:color="auto" w:fill="auto"/>
            <w:vAlign w:val="center"/>
          </w:tcPr>
          <w:p w14:paraId="66C84510">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0-</w:t>
            </w: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6</w:t>
            </w:r>
          </w:p>
        </w:tc>
        <w:tc>
          <w:tcPr>
            <w:tcW w:w="1018" w:type="dxa"/>
            <w:shd w:val="clear" w:color="auto" w:fill="auto"/>
            <w:vAlign w:val="center"/>
          </w:tcPr>
          <w:p w14:paraId="7CEC9B16">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主观分</w:t>
            </w:r>
          </w:p>
        </w:tc>
      </w:tr>
    </w:tbl>
    <w:p w14:paraId="0F8B7A51">
      <w:pPr>
        <w:pStyle w:val="7"/>
        <w:rPr>
          <w:rFonts w:hint="eastAsia"/>
        </w:rPr>
      </w:pPr>
    </w:p>
    <w:p w14:paraId="53C4DA21">
      <w:pPr>
        <w:spacing w:line="360" w:lineRule="auto"/>
        <w:rPr>
          <w:rFonts w:ascii="宋体" w:hAnsi="宋体" w:cs="宋体"/>
          <w:b/>
          <w:color w:val="000000" w:themeColor="text1"/>
          <w:sz w:val="24"/>
          <w:highlight w:val="none"/>
          <w14:textFill>
            <w14:solidFill>
              <w14:schemeClr w14:val="tx1"/>
            </w14:solidFill>
          </w14:textFill>
        </w:rPr>
      </w:pPr>
      <w:bookmarkStart w:id="181" w:name="_Toc335664301"/>
      <w:bookmarkStart w:id="182" w:name="_Toc494555896"/>
      <w:bookmarkStart w:id="183" w:name="_Toc493956082"/>
      <w:r>
        <w:rPr>
          <w:rFonts w:hint="eastAsia" w:ascii="宋体" w:hAnsi="宋体" w:cs="宋体"/>
          <w:b/>
          <w:color w:val="000000" w:themeColor="text1"/>
          <w:sz w:val="24"/>
          <w:highlight w:val="none"/>
          <w14:textFill>
            <w14:solidFill>
              <w14:schemeClr w14:val="tx1"/>
            </w14:solidFill>
          </w14:textFill>
        </w:rPr>
        <w:t>5.2.报价分值</w:t>
      </w:r>
      <w:r>
        <w:rPr>
          <w:rFonts w:hint="eastAsia" w:ascii="宋体" w:hAnsi="宋体" w:cs="宋体"/>
          <w:b/>
          <w:color w:val="000000" w:themeColor="text1"/>
          <w:sz w:val="24"/>
          <w:highlight w:val="none"/>
          <w:lang w:val="en-US" w:eastAsia="zh-CN"/>
          <w14:textFill>
            <w14:solidFill>
              <w14:schemeClr w14:val="tx1"/>
            </w14:solidFill>
          </w14:textFill>
        </w:rPr>
        <w:t>30</w:t>
      </w:r>
      <w:r>
        <w:rPr>
          <w:rFonts w:hint="eastAsia" w:ascii="宋体" w:hAnsi="宋体" w:cs="宋体"/>
          <w:b/>
          <w:color w:val="000000" w:themeColor="text1"/>
          <w:sz w:val="24"/>
          <w:highlight w:val="none"/>
          <w14:textFill>
            <w14:solidFill>
              <w14:schemeClr w14:val="tx1"/>
            </w14:solidFill>
          </w14:textFill>
        </w:rPr>
        <w:t>分：</w:t>
      </w:r>
      <w:bookmarkStart w:id="184" w:name="EB217c00f118724f6bb5745c5cec252819"/>
    </w:p>
    <w:bookmarkEnd w:id="184"/>
    <w:p w14:paraId="551D35DB">
      <w:pPr>
        <w:spacing w:line="360" w:lineRule="auto"/>
        <w:ind w:firstLine="480" w:firstLineChars="200"/>
        <w:outlineLvl w:val="2"/>
        <w:rPr>
          <w:rFonts w:hint="eastAsia" w:ascii="宋体" w:hAnsi="宋体" w:eastAsia="宋体" w:cs="宋体"/>
          <w:color w:val="000000" w:themeColor="text1"/>
          <w:sz w:val="24"/>
          <w:highlight w:val="none"/>
          <w14:textFill>
            <w14:solidFill>
              <w14:schemeClr w14:val="tx1"/>
            </w14:solidFill>
          </w14:textFill>
        </w:rPr>
      </w:pPr>
      <w:bookmarkStart w:id="185" w:name="_Toc23610"/>
      <w:r>
        <w:rPr>
          <w:rFonts w:hint="eastAsia" w:ascii="宋体" w:hAnsi="宋体" w:eastAsia="宋体" w:cs="宋体"/>
          <w:color w:val="000000" w:themeColor="text1"/>
          <w:sz w:val="24"/>
          <w:highlight w:val="none"/>
          <w:lang w:val="en-US" w:eastAsia="zh-CN"/>
          <w14:textFill>
            <w14:solidFill>
              <w14:schemeClr w14:val="tx1"/>
            </w14:solidFill>
          </w14:textFill>
        </w:rPr>
        <w:t>1.</w:t>
      </w:r>
      <w:r>
        <w:rPr>
          <w:rFonts w:hint="eastAsia" w:ascii="宋体" w:hAnsi="宋体" w:eastAsia="宋体" w:cs="宋体"/>
          <w:color w:val="000000" w:themeColor="text1"/>
          <w:sz w:val="24"/>
          <w:highlight w:val="none"/>
          <w14:textFill>
            <w14:solidFill>
              <w14:schemeClr w14:val="tx1"/>
            </w14:solidFill>
          </w14:textFill>
        </w:rPr>
        <w:t>评标基准价=投标报价中的最低报价；</w:t>
      </w:r>
    </w:p>
    <w:p w14:paraId="7B375AD1">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2.</w:t>
      </w:r>
      <w:r>
        <w:rPr>
          <w:rFonts w:hint="eastAsia" w:ascii="宋体" w:hAnsi="宋体" w:eastAsia="宋体" w:cs="宋体"/>
          <w:color w:val="000000" w:themeColor="text1"/>
          <w:sz w:val="24"/>
          <w:highlight w:val="none"/>
          <w14:textFill>
            <w14:solidFill>
              <w14:schemeClr w14:val="tx1"/>
            </w14:solidFill>
          </w14:textFill>
        </w:rPr>
        <w:t>投标报价等于评标基准价的得</w:t>
      </w:r>
      <w:r>
        <w:rPr>
          <w:rFonts w:hint="eastAsia" w:ascii="宋体" w:hAnsi="宋体" w:cs="宋体"/>
          <w:color w:val="000000" w:themeColor="text1"/>
          <w:sz w:val="24"/>
          <w:highlight w:val="none"/>
          <w:lang w:val="en-US" w:eastAsia="zh-CN"/>
          <w14:textFill>
            <w14:solidFill>
              <w14:schemeClr w14:val="tx1"/>
            </w14:solidFill>
          </w14:textFill>
        </w:rPr>
        <w:t>30</w:t>
      </w:r>
      <w:r>
        <w:rPr>
          <w:rFonts w:hint="eastAsia" w:ascii="宋体" w:hAnsi="宋体" w:eastAsia="宋体" w:cs="宋体"/>
          <w:color w:val="000000" w:themeColor="text1"/>
          <w:sz w:val="24"/>
          <w:highlight w:val="none"/>
          <w14:textFill>
            <w14:solidFill>
              <w14:schemeClr w14:val="tx1"/>
            </w14:solidFill>
          </w14:textFill>
        </w:rPr>
        <w:t>分，其他投标人的报价得分按下列公式计算：</w:t>
      </w:r>
    </w:p>
    <w:p w14:paraId="670849A4">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3.</w:t>
      </w:r>
      <w:r>
        <w:rPr>
          <w:rFonts w:hint="eastAsia" w:ascii="宋体" w:hAnsi="宋体" w:eastAsia="宋体" w:cs="宋体"/>
          <w:color w:val="000000" w:themeColor="text1"/>
          <w:sz w:val="24"/>
          <w:highlight w:val="none"/>
          <w14:textFill>
            <w14:solidFill>
              <w14:schemeClr w14:val="tx1"/>
            </w14:solidFill>
          </w14:textFill>
        </w:rPr>
        <w:t xml:space="preserve">投标报价得分=（评定基准价/投标报价）×报价权重×100。 </w:t>
      </w:r>
    </w:p>
    <w:p w14:paraId="253783F0">
      <w:pPr>
        <w:spacing w:line="360" w:lineRule="auto"/>
        <w:ind w:firstLine="480" w:firstLineChars="200"/>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满足招标文件要求且报价最低的为评审基准价，其余投标人报价与该基准价对比，计算出报价评分值（小数点后按四舍五入保留2位）：</w:t>
      </w:r>
    </w:p>
    <w:p w14:paraId="3539E685">
      <w:pPr>
        <w:spacing w:line="360" w:lineRule="auto"/>
        <w:rPr>
          <w:rFonts w:hint="eastAsia" w:ascii="宋体" w:hAnsi="宋体" w:eastAsia="宋体" w:cs="宋体"/>
          <w:b/>
          <w:color w:val="000000" w:themeColor="text1"/>
          <w:sz w:val="24"/>
          <w:highlight w:val="none"/>
          <w14:textFill>
            <w14:solidFill>
              <w14:schemeClr w14:val="tx1"/>
            </w14:solidFill>
          </w14:textFill>
        </w:rPr>
      </w:pPr>
      <w:r>
        <w:rPr>
          <w:rFonts w:hint="eastAsia" w:ascii="宋体" w:hAnsi="宋体" w:eastAsia="宋体" w:cs="宋体"/>
          <w:b/>
          <w:color w:val="000000" w:themeColor="text1"/>
          <w:sz w:val="24"/>
          <w:highlight w:val="none"/>
          <w14:textFill>
            <w14:solidFill>
              <w14:schemeClr w14:val="tx1"/>
            </w14:solidFill>
          </w14:textFill>
        </w:rPr>
        <w:t>六   评审纪律和要求</w:t>
      </w:r>
      <w:bookmarkEnd w:id="181"/>
      <w:bookmarkEnd w:id="182"/>
      <w:bookmarkEnd w:id="183"/>
      <w:bookmarkEnd w:id="185"/>
    </w:p>
    <w:p w14:paraId="5C1674C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 评审专家必须公平、公正评审，遵纪守法，客观、</w:t>
      </w:r>
      <w:r>
        <w:rPr>
          <w:rFonts w:hint="eastAsia" w:ascii="宋体" w:hAnsi="宋体" w:cs="宋体"/>
          <w:iCs/>
          <w:color w:val="000000" w:themeColor="text1"/>
          <w:spacing w:val="20"/>
          <w:sz w:val="24"/>
          <w:highlight w:val="none"/>
          <w14:textFill>
            <w14:solidFill>
              <w14:schemeClr w14:val="tx1"/>
            </w14:solidFill>
          </w14:textFill>
        </w:rPr>
        <w:t>廉洁</w:t>
      </w:r>
      <w:r>
        <w:rPr>
          <w:rFonts w:hint="eastAsia" w:ascii="宋体" w:hAnsi="宋体" w:cs="宋体"/>
          <w:color w:val="000000" w:themeColor="text1"/>
          <w:sz w:val="24"/>
          <w:highlight w:val="none"/>
          <w14:textFill>
            <w14:solidFill>
              <w14:schemeClr w14:val="tx1"/>
            </w14:solidFill>
          </w14:textFill>
        </w:rPr>
        <w:t>地履行职责。</w:t>
      </w:r>
    </w:p>
    <w:p w14:paraId="4E6B984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6.2 评审专家在评审开始前，应关闭并上交随身携带的各种通信工具。</w:t>
      </w:r>
    </w:p>
    <w:p w14:paraId="3641AA8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6.3 评审专家在评审过程中，未经许可不得中途离开评审现场，不得迟到早退。</w:t>
      </w:r>
    </w:p>
    <w:p w14:paraId="36701CB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6.4 评审专家和工作人员不得透露评审过程中的讨论情况和评审结果。</w:t>
      </w:r>
    </w:p>
    <w:p w14:paraId="30DAE160">
      <w:pPr>
        <w:spacing w:line="360" w:lineRule="auto"/>
        <w:ind w:firstLine="48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6.5 评审时，评审专家须按招标文件规定的程序、条件和标准，对投标人投标文件的合规性、完整性和有效性进行审查、比较和评估，其中对投标人的资格条件、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14:paraId="33BEB26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6.6 采购人、采购代理机构不得向评审委员会的评审专家作倾向性、误导性的解释或者说明。</w:t>
      </w:r>
    </w:p>
    <w:p w14:paraId="4A56A6B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6.7 采购代理机构应当为评审专家提供必要的评审条件和相应的评审工作底稿，并严格按规定程序组织评审专家有步骤地进行项目评审，对各评审专家的评审情况和评审意见进行合理性和合规性审查，对明显畸高、畸低的重大差异评审情况（其总评分偏离平均分30%以上），提醒相关评审专家进行复核或书面说明理由。</w:t>
      </w:r>
    </w:p>
    <w:p w14:paraId="5B78A78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6.8 评审专家在评审过程中不得将自己的观点强加给其他评审专家，评审专家应自主发表见解，对评审意见承担个人责任。</w:t>
      </w:r>
    </w:p>
    <w:p w14:paraId="22575EB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6.9 评审结束后，评审委员会应向采购代理机构提交项目评审报告。评审报告是采购人确定中标人的合法依据，评审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14:paraId="1D71E58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6.10 评审专家应当独立、客观、公正地提出评审意见，不得带有倾向性，不得影响其他评审专家评审，并在评审报告上签字；如对评审报告有异议的，可在报告上签署不同意见，并说明理由，否则将视为同意。</w:t>
      </w:r>
    </w:p>
    <w:p w14:paraId="42DCCF9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6.11 评审专家应当遵守评审工作纪律，不得泄露评审文件、评审情况和评审中获悉的商业秘密。</w:t>
      </w:r>
    </w:p>
    <w:p w14:paraId="47C8850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评审委员会在评审过程中发现投标人有行贿、提供虚假材料或者串通等违法行为的，应当及时向财政部门报告。</w:t>
      </w:r>
    </w:p>
    <w:p w14:paraId="299EF90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6.12 招标文件内容违反国家有关强制性规定的，评审委员会应当停止评审并向采购代理机构说明情况。</w:t>
      </w:r>
    </w:p>
    <w:p w14:paraId="42793338">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6.13 评审专家应当配合采购代理机构答复投标人提出的质疑。</w:t>
      </w:r>
    </w:p>
    <w:p w14:paraId="4170F40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6.14 评审专家应当配合财政部门的投诉处理工作。</w:t>
      </w:r>
    </w:p>
    <w:p w14:paraId="78F850BF">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6.15评审专家有如下行为之一的，责令改正，给予警告，可以并处一千元以下的罚款：</w:t>
      </w:r>
    </w:p>
    <w:p w14:paraId="4282D073">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6.15.1 明知应当回避而未主动回避的；</w:t>
      </w:r>
    </w:p>
    <w:p w14:paraId="7629206B">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6.15.2 在知道自己为评审专家身份后至评审结束前的时段内私下接触投标人的；</w:t>
      </w:r>
    </w:p>
    <w:p w14:paraId="03A877FD">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6.15.3 在评审过程中擅离职守，影响评审程序正常进行的；</w:t>
      </w:r>
    </w:p>
    <w:p w14:paraId="56B09FE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6.15.4 在评审过程有明显不合理或者不正当倾向性的；</w:t>
      </w:r>
    </w:p>
    <w:p w14:paraId="58258C42">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6.15.5 未按招标文件规定的评审方法和标准进行评审的。</w:t>
      </w:r>
    </w:p>
    <w:p w14:paraId="6CA1F394">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6.15.6 上述6.15.1至6.15.5行为影响中标结果的，中标结果无效。</w:t>
      </w:r>
    </w:p>
    <w:p w14:paraId="1A7BB08E">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6.16 采购代理机构可对各评审专家的专业技术水平和职业道德素质等情况进行评价，并可将评价意见在评审结束后2个工作日内反馈给财政部门，财政部门以此作为对评审专家的考核管理依据。</w:t>
      </w:r>
    </w:p>
    <w:p w14:paraId="6B6C3B16">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6.17 政府采购评审专家未按照招标文件规定的评审程序、评审方法和评审标准进行独立评审或者泄露评审文件、评审情况的，由财政部门给予警告，并处2000元以上2万元以下的罚款；影响中标、成交结果的，处2万元以上5万元以下的罚款，禁止其参加政府采购评审活动。</w:t>
      </w:r>
    </w:p>
    <w:p w14:paraId="43AE4CA5">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政府采购评审专家与投标人存在利害关系未回避的，处2万元以上5万元以下的罚款，禁止其参加政府采购评审活动。</w:t>
      </w:r>
    </w:p>
    <w:p w14:paraId="2F992107">
      <w:pPr>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政府采购评审专家收受采购人、采购代理机构、投标人贿赂或者获取其他不正当利益，构成犯罪的，依法追究刑事责任；尚不构成犯罪的，处2万元以上5万元以下的罚款，禁止其参加政府采购评审活动。</w:t>
      </w:r>
    </w:p>
    <w:p w14:paraId="3D7C89DC">
      <w:pPr>
        <w:spacing w:line="360" w:lineRule="auto"/>
        <w:ind w:firstLine="480" w:firstLineChars="200"/>
        <w:rPr>
          <w:rFonts w:ascii="宋体" w:hAnsi="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政府采购评审专家有上述违法行为的，其评审意见无效，不得获取评审费；有违法所得的，没收违法所得；给他人造成损失的，依法承担民事责任。</w:t>
      </w:r>
    </w:p>
    <w:p w14:paraId="09571896">
      <w:pPr>
        <w:pStyle w:val="36"/>
        <w:rPr>
          <w:rFonts w:ascii="宋体" w:hAnsi="宋体" w:eastAsia="宋体" w:cs="宋体"/>
          <w:color w:val="000000" w:themeColor="text1"/>
          <w:highlight w:val="none"/>
          <w14:textFill>
            <w14:solidFill>
              <w14:schemeClr w14:val="tx1"/>
            </w14:solidFill>
          </w14:textFill>
        </w:rPr>
      </w:pPr>
    </w:p>
    <w:sectPr>
      <w:headerReference r:id="rId9" w:type="default"/>
      <w:footerReference r:id="rId10" w:type="default"/>
      <w:pgSz w:w="11906" w:h="16838"/>
      <w:pgMar w:top="1440" w:right="1440" w:bottom="1440" w:left="1440" w:header="851" w:footer="850" w:gutter="0"/>
      <w:pgNumType w:fmt="decimal"/>
      <w:cols w:space="0" w:num="1"/>
      <w:rtlGutter w:val="0"/>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田剑丰" w:date="2025-05-21T16:53:20Z" w:initials="">
    <w:p w14:paraId="67B72735">
      <w:pPr>
        <w:pStyle w:val="6"/>
        <w:rPr>
          <w:rFonts w:hint="default" w:eastAsia="宋体"/>
          <w:lang w:val="en-US" w:eastAsia="zh-CN"/>
        </w:rPr>
      </w:pPr>
      <w:r>
        <w:rPr>
          <w:rFonts w:hint="eastAsia"/>
          <w:lang w:val="en-US" w:eastAsia="zh-CN"/>
        </w:rPr>
        <w:t>音乐教室不能用铝方通，要用多孔板吊顶</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7B72735"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font>
  <w:font w:name="微软雅黑">
    <w:panose1 w:val="020B0503020204020204"/>
    <w:charset w:val="86"/>
    <w:family w:val="swiss"/>
    <w:pitch w:val="default"/>
    <w:sig w:usb0="80000287" w:usb1="280F3C52" w:usb2="00000016" w:usb3="00000000" w:csb0="0004001F" w:csb1="00000000"/>
  </w:font>
  <w:font w:name="华文细黑">
    <w:altName w:val="微软雅黑"/>
    <w:panose1 w:val="02010600040101010101"/>
    <w:charset w:val="86"/>
    <w:family w:val="auto"/>
    <w:pitch w:val="default"/>
    <w:sig w:usb0="00000000" w:usb1="00000000" w:usb2="00000000" w:usb3="00000000" w:csb0="0004009F" w:csb1="DFD70000"/>
  </w:font>
  <w:font w:name="Tahoma">
    <w:panose1 w:val="020B0604030504040204"/>
    <w:charset w:val="00"/>
    <w:family w:val="swiss"/>
    <w:pitch w:val="default"/>
    <w:sig w:usb0="E1002EFF" w:usb1="C000605B" w:usb2="00000029" w:usb3="00000000" w:csb0="200101FF" w:csb1="20280000"/>
  </w:font>
  <w:font w:name="Helvetica">
    <w:panose1 w:val="020B0504020202030204"/>
    <w:charset w:val="00"/>
    <w:family w:val="swiss"/>
    <w:pitch w:val="default"/>
    <w:sig w:usb0="00000007" w:usb1="00000000" w:usb2="00000000" w:usb3="00000000" w:csb0="00000093"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Segoe UI">
    <w:panose1 w:val="020B0502040204020203"/>
    <w:charset w:val="00"/>
    <w:family w:val="auto"/>
    <w:pitch w:val="default"/>
    <w:sig w:usb0="E10022FF" w:usb1="C000E47F" w:usb2="00000029" w:usb3="00000000" w:csb0="200001DF" w:csb1="2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FA7A5">
    <w:pPr>
      <w:pStyle w:val="14"/>
      <w:tabs>
        <w:tab w:val="left" w:pos="3836"/>
        <w:tab w:val="clear" w:pos="4153"/>
      </w:tabs>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A77B02">
    <w:pPr>
      <w:pStyle w:val="14"/>
      <w:tabs>
        <w:tab w:val="left" w:pos="3836"/>
        <w:tab w:val="clear" w:pos="4153"/>
      </w:tabs>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1F0EAF">
                          <w:pPr>
                            <w:pStyle w:val="14"/>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11F0EAF">
                    <w:pPr>
                      <w:pStyle w:val="14"/>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75F223">
    <w:pPr>
      <w:pStyle w:val="7"/>
      <w:spacing w:line="14" w:lineRule="auto"/>
      <w:rPr>
        <w:sz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C136E2">
                          <w:pPr>
                            <w:pStyle w:val="14"/>
                          </w:pPr>
                          <w:r>
                            <w:t xml:space="preserve">第 </w:t>
                          </w:r>
                          <w:r>
                            <w:fldChar w:fldCharType="begin"/>
                          </w:r>
                          <w:r>
                            <w:instrText xml:space="preserve"> PAGE  \* MERGEFORMAT </w:instrText>
                          </w:r>
                          <w:r>
                            <w:fldChar w:fldCharType="separate"/>
                          </w:r>
                          <w:r>
                            <w:t>65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FC136E2">
                    <w:pPr>
                      <w:pStyle w:val="14"/>
                    </w:pPr>
                    <w:r>
                      <w:t xml:space="preserve">第 </w:t>
                    </w:r>
                    <w:r>
                      <w:fldChar w:fldCharType="begin"/>
                    </w:r>
                    <w:r>
                      <w:instrText xml:space="preserve"> PAGE  \* MERGEFORMAT </w:instrText>
                    </w:r>
                    <w:r>
                      <w:fldChar w:fldCharType="separate"/>
                    </w:r>
                    <w:r>
                      <w:t>65</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98F404">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523462">
                          <w:pPr>
                            <w:pStyle w:val="14"/>
                          </w:pPr>
                          <w:r>
                            <w:t xml:space="preserve">第 </w:t>
                          </w:r>
                          <w:r>
                            <w:fldChar w:fldCharType="begin"/>
                          </w:r>
                          <w:r>
                            <w:instrText xml:space="preserve"> PAGE  \* MERGEFORMAT </w:instrText>
                          </w:r>
                          <w:r>
                            <w:fldChar w:fldCharType="separate"/>
                          </w:r>
                          <w:r>
                            <w:t>67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53523462">
                    <w:pPr>
                      <w:pStyle w:val="14"/>
                    </w:pPr>
                    <w:r>
                      <w:t xml:space="preserve">第 </w:t>
                    </w:r>
                    <w:r>
                      <w:fldChar w:fldCharType="begin"/>
                    </w:r>
                    <w:r>
                      <w:instrText xml:space="preserve"> PAGE  \* MERGEFORMAT </w:instrText>
                    </w:r>
                    <w:r>
                      <w:fldChar w:fldCharType="separate"/>
                    </w:r>
                    <w:r>
                      <w:t>67</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04924">
    <w:pPr>
      <w:pStyle w:val="16"/>
      <w:pBdr>
        <w:bottom w:val="none" w:color="auto" w:sz="0" w:space="1"/>
      </w:pBdr>
      <w:jc w:val="both"/>
    </w:pPr>
  </w:p>
  <w:p w14:paraId="5C1EA97D">
    <w:pPr>
      <w:pStyle w:val="16"/>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F17CD3">
    <w:pPr>
      <w:pStyle w:val="16"/>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B21DB0"/>
    <w:multiLevelType w:val="singleLevel"/>
    <w:tmpl w:val="84B21DB0"/>
    <w:lvl w:ilvl="0" w:tentative="0">
      <w:start w:val="1"/>
      <w:numFmt w:val="decimal"/>
      <w:suff w:val="nothing"/>
      <w:lvlText w:val="（%1）"/>
      <w:lvlJc w:val="left"/>
    </w:lvl>
  </w:abstractNum>
  <w:abstractNum w:abstractNumId="1">
    <w:nsid w:val="950CF2C7"/>
    <w:multiLevelType w:val="singleLevel"/>
    <w:tmpl w:val="950CF2C7"/>
    <w:lvl w:ilvl="0" w:tentative="0">
      <w:start w:val="4"/>
      <w:numFmt w:val="decimal"/>
      <w:suff w:val="nothing"/>
      <w:lvlText w:val="%1、"/>
      <w:lvlJc w:val="left"/>
    </w:lvl>
  </w:abstractNum>
  <w:abstractNum w:abstractNumId="2">
    <w:nsid w:val="975A2BAA"/>
    <w:multiLevelType w:val="multilevel"/>
    <w:tmpl w:val="975A2BAA"/>
    <w:lvl w:ilvl="0" w:tentative="0">
      <w:start w:val="1"/>
      <w:numFmt w:val="decimal"/>
      <w:suff w:val="nothing"/>
      <w:lvlText w:val="%1、"/>
      <w:lvlJc w:val="left"/>
      <w:pPr>
        <w:tabs>
          <w:tab w:val="left" w:pos="0"/>
        </w:tabs>
        <w:ind w:left="3828" w:firstLine="0"/>
      </w:pPr>
      <w:rPr>
        <w:rFonts w:hint="default" w:ascii="宋体" w:hAnsi="宋体" w:eastAsia="宋体" w:cs="Times New Roman"/>
        <w:b/>
        <w:i w:val="0"/>
        <w:caps w:val="0"/>
        <w:strike w:val="0"/>
        <w:dstrike w:val="0"/>
        <w:snapToGrid w:val="0"/>
        <w:vanish w:val="0"/>
        <w:spacing w:val="0"/>
        <w:w w:val="100"/>
        <w:kern w:val="0"/>
        <w:position w:val="0"/>
        <w:sz w:val="24"/>
        <w:vertAlign w:val="baseline"/>
      </w:rPr>
    </w:lvl>
    <w:lvl w:ilvl="1" w:tentative="0">
      <w:start w:val="1"/>
      <w:numFmt w:val="decimal"/>
      <w:pStyle w:val="136"/>
      <w:isLgl/>
      <w:suff w:val="space"/>
      <w:lvlText w:val="%1.%2"/>
      <w:lvlJc w:val="left"/>
      <w:pPr>
        <w:ind w:left="0" w:firstLine="0"/>
      </w:pPr>
      <w:rPr>
        <w:rFonts w:hint="eastAsia"/>
        <w:b/>
        <w:i w:val="0"/>
      </w:rPr>
    </w:lvl>
    <w:lvl w:ilvl="2" w:tentative="0">
      <w:start w:val="1"/>
      <w:numFmt w:val="decimal"/>
      <w:pStyle w:val="135"/>
      <w:isLgl/>
      <w:suff w:val="space"/>
      <w:lvlText w:val="%1.%2.%3"/>
      <w:lvlJc w:val="left"/>
      <w:pPr>
        <w:ind w:left="0" w:firstLine="0"/>
      </w:pPr>
      <w:rPr>
        <w:rFonts w:hint="eastAsia"/>
        <w:b/>
        <w:i w:val="0"/>
      </w:rPr>
    </w:lvl>
    <w:lvl w:ilvl="3" w:tentative="0">
      <w:start w:val="1"/>
      <w:numFmt w:val="decimal"/>
      <w:isLgl/>
      <w:lvlText w:val="%1.%2.%3.%4"/>
      <w:lvlJc w:val="left"/>
      <w:pPr>
        <w:tabs>
          <w:tab w:val="left" w:pos="0"/>
        </w:tabs>
        <w:ind w:left="0" w:firstLine="0"/>
      </w:pPr>
      <w:rPr>
        <w:rFonts w:hint="default"/>
      </w:rPr>
    </w:lvl>
    <w:lvl w:ilvl="4" w:tentative="0">
      <w:start w:val="1"/>
      <w:numFmt w:val="decimal"/>
      <w:isLgl/>
      <w:lvlText w:val="%1.%2.%3.%4.%5"/>
      <w:lvlJc w:val="left"/>
      <w:pPr>
        <w:tabs>
          <w:tab w:val="left" w:pos="0"/>
        </w:tabs>
        <w:ind w:left="0" w:firstLine="0"/>
      </w:pPr>
      <w:rPr>
        <w:rFonts w:hint="default"/>
      </w:rPr>
    </w:lvl>
    <w:lvl w:ilvl="5" w:tentative="0">
      <w:start w:val="1"/>
      <w:numFmt w:val="decimal"/>
      <w:isLgl/>
      <w:lvlText w:val="%1.%2.%3.%4.%5.%6"/>
      <w:lvlJc w:val="left"/>
      <w:pPr>
        <w:tabs>
          <w:tab w:val="left" w:pos="0"/>
        </w:tabs>
        <w:ind w:left="0" w:firstLine="0"/>
      </w:pPr>
      <w:rPr>
        <w:rFonts w:hint="default"/>
      </w:rPr>
    </w:lvl>
    <w:lvl w:ilvl="6" w:tentative="0">
      <w:start w:val="1"/>
      <w:numFmt w:val="decimal"/>
      <w:isLgl/>
      <w:lvlText w:val="%1.%2.%3.%4.%5.%6.%7"/>
      <w:lvlJc w:val="left"/>
      <w:pPr>
        <w:tabs>
          <w:tab w:val="left" w:pos="0"/>
        </w:tabs>
        <w:ind w:left="0" w:firstLine="0"/>
      </w:pPr>
      <w:rPr>
        <w:rFonts w:hint="default"/>
      </w:rPr>
    </w:lvl>
    <w:lvl w:ilvl="7" w:tentative="0">
      <w:start w:val="1"/>
      <w:numFmt w:val="decimal"/>
      <w:isLgl/>
      <w:lvlText w:val="%1.%2.%3.%4.%5.%6.%7.%8"/>
      <w:lvlJc w:val="left"/>
      <w:pPr>
        <w:tabs>
          <w:tab w:val="left" w:pos="0"/>
        </w:tabs>
        <w:ind w:left="0" w:firstLine="0"/>
      </w:pPr>
      <w:rPr>
        <w:rFonts w:hint="default"/>
      </w:rPr>
    </w:lvl>
    <w:lvl w:ilvl="8" w:tentative="0">
      <w:start w:val="1"/>
      <w:numFmt w:val="decimal"/>
      <w:isLgl/>
      <w:lvlText w:val="%1.%2.%3.%4.%5.%6.%7.%8.%9"/>
      <w:lvlJc w:val="left"/>
      <w:pPr>
        <w:tabs>
          <w:tab w:val="left" w:pos="0"/>
        </w:tabs>
        <w:ind w:left="0" w:firstLine="0"/>
      </w:pPr>
      <w:rPr>
        <w:rFonts w:hint="default"/>
      </w:rPr>
    </w:lvl>
  </w:abstractNum>
  <w:abstractNum w:abstractNumId="3">
    <w:nsid w:val="AFAFC9B4"/>
    <w:multiLevelType w:val="singleLevel"/>
    <w:tmpl w:val="AFAFC9B4"/>
    <w:lvl w:ilvl="0" w:tentative="0">
      <w:start w:val="1"/>
      <w:numFmt w:val="decimal"/>
      <w:lvlText w:val="%1."/>
      <w:lvlJc w:val="left"/>
      <w:pPr>
        <w:tabs>
          <w:tab w:val="left" w:pos="312"/>
        </w:tabs>
      </w:pPr>
    </w:lvl>
  </w:abstractNum>
  <w:abstractNum w:abstractNumId="4">
    <w:nsid w:val="D7DACE87"/>
    <w:multiLevelType w:val="singleLevel"/>
    <w:tmpl w:val="D7DACE87"/>
    <w:lvl w:ilvl="0" w:tentative="0">
      <w:start w:val="1"/>
      <w:numFmt w:val="decimal"/>
      <w:suff w:val="nothing"/>
      <w:lvlText w:val="%1、"/>
      <w:lvlJc w:val="left"/>
    </w:lvl>
  </w:abstractNum>
  <w:abstractNum w:abstractNumId="5">
    <w:nsid w:val="069A0385"/>
    <w:multiLevelType w:val="singleLevel"/>
    <w:tmpl w:val="069A0385"/>
    <w:lvl w:ilvl="0" w:tentative="0">
      <w:start w:val="1"/>
      <w:numFmt w:val="decimal"/>
      <w:lvlText w:val="%1."/>
      <w:lvlJc w:val="left"/>
      <w:pPr>
        <w:tabs>
          <w:tab w:val="left" w:pos="312"/>
        </w:tabs>
      </w:pPr>
    </w:lvl>
  </w:abstractNum>
  <w:abstractNum w:abstractNumId="6">
    <w:nsid w:val="09AA8E50"/>
    <w:multiLevelType w:val="singleLevel"/>
    <w:tmpl w:val="09AA8E50"/>
    <w:lvl w:ilvl="0" w:tentative="0">
      <w:start w:val="1"/>
      <w:numFmt w:val="decimal"/>
      <w:suff w:val="nothing"/>
      <w:lvlText w:val="%1、"/>
      <w:lvlJc w:val="left"/>
    </w:lvl>
  </w:abstractNum>
  <w:abstractNum w:abstractNumId="7">
    <w:nsid w:val="1A24FD8A"/>
    <w:multiLevelType w:val="singleLevel"/>
    <w:tmpl w:val="1A24FD8A"/>
    <w:lvl w:ilvl="0" w:tentative="0">
      <w:start w:val="2"/>
      <w:numFmt w:val="chineseCounting"/>
      <w:suff w:val="nothing"/>
      <w:lvlText w:val="%1、"/>
      <w:lvlJc w:val="left"/>
      <w:rPr>
        <w:rFonts w:hint="eastAsia"/>
      </w:rPr>
    </w:lvl>
  </w:abstractNum>
  <w:abstractNum w:abstractNumId="8">
    <w:nsid w:val="7B321F40"/>
    <w:multiLevelType w:val="singleLevel"/>
    <w:tmpl w:val="7B321F40"/>
    <w:lvl w:ilvl="0" w:tentative="0">
      <w:start w:val="1"/>
      <w:numFmt w:val="decimal"/>
      <w:suff w:val="nothing"/>
      <w:lvlText w:val="%1、"/>
      <w:lvlJc w:val="left"/>
    </w:lvl>
  </w:abstractNum>
  <w:num w:numId="1">
    <w:abstractNumId w:val="2"/>
  </w:num>
  <w:num w:numId="2">
    <w:abstractNumId w:val="0"/>
  </w:num>
  <w:num w:numId="3">
    <w:abstractNumId w:val="1"/>
  </w:num>
  <w:num w:numId="4">
    <w:abstractNumId w:val="7"/>
  </w:num>
  <w:num w:numId="5">
    <w:abstractNumId w:val="8"/>
  </w:num>
  <w:num w:numId="6">
    <w:abstractNumId w:val="6"/>
  </w:num>
  <w:num w:numId="7">
    <w:abstractNumId w:val="5"/>
  </w:num>
  <w:num w:numId="8">
    <w:abstractNumId w:val="3"/>
  </w:num>
  <w:num w:numId="9">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田剑丰">
    <w15:presenceInfo w15:providerId="WPS Office" w15:userId="28892366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revisionView w:markup="0"/>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ljMWQ4ZmY5ZGIzNmM2Y2E5ZTNiODkzNWRkMjA4MjgifQ=="/>
  </w:docVars>
  <w:rsids>
    <w:rsidRoot w:val="00172A27"/>
    <w:rsid w:val="0014658C"/>
    <w:rsid w:val="00172A27"/>
    <w:rsid w:val="001A4D3C"/>
    <w:rsid w:val="001F02E5"/>
    <w:rsid w:val="00267877"/>
    <w:rsid w:val="002C1A78"/>
    <w:rsid w:val="003B6343"/>
    <w:rsid w:val="003B6E2E"/>
    <w:rsid w:val="004A4F7D"/>
    <w:rsid w:val="004E0E17"/>
    <w:rsid w:val="005C5FB7"/>
    <w:rsid w:val="005D2854"/>
    <w:rsid w:val="006D286B"/>
    <w:rsid w:val="00712769"/>
    <w:rsid w:val="00721B93"/>
    <w:rsid w:val="00906786"/>
    <w:rsid w:val="00933398"/>
    <w:rsid w:val="00A91EA4"/>
    <w:rsid w:val="00B05016"/>
    <w:rsid w:val="00C92C6B"/>
    <w:rsid w:val="00D8493D"/>
    <w:rsid w:val="00E33012"/>
    <w:rsid w:val="00E36778"/>
    <w:rsid w:val="00EB24BC"/>
    <w:rsid w:val="016D0EAA"/>
    <w:rsid w:val="01764A52"/>
    <w:rsid w:val="01EB5579"/>
    <w:rsid w:val="022F2C26"/>
    <w:rsid w:val="024B63AD"/>
    <w:rsid w:val="02724997"/>
    <w:rsid w:val="02897931"/>
    <w:rsid w:val="028C10EB"/>
    <w:rsid w:val="02E042DD"/>
    <w:rsid w:val="02E17401"/>
    <w:rsid w:val="03046193"/>
    <w:rsid w:val="03063E06"/>
    <w:rsid w:val="03222494"/>
    <w:rsid w:val="03393105"/>
    <w:rsid w:val="03905945"/>
    <w:rsid w:val="03974B25"/>
    <w:rsid w:val="03A9566E"/>
    <w:rsid w:val="03AB179F"/>
    <w:rsid w:val="03B51EBC"/>
    <w:rsid w:val="03F3644D"/>
    <w:rsid w:val="040770F3"/>
    <w:rsid w:val="040D4D2A"/>
    <w:rsid w:val="04117BDE"/>
    <w:rsid w:val="041D0429"/>
    <w:rsid w:val="041F0D11"/>
    <w:rsid w:val="042506E3"/>
    <w:rsid w:val="047A36B0"/>
    <w:rsid w:val="04AC2ECF"/>
    <w:rsid w:val="05044B12"/>
    <w:rsid w:val="050F07EE"/>
    <w:rsid w:val="053238B0"/>
    <w:rsid w:val="0541376E"/>
    <w:rsid w:val="0542197B"/>
    <w:rsid w:val="05467D77"/>
    <w:rsid w:val="05485AD4"/>
    <w:rsid w:val="054E687D"/>
    <w:rsid w:val="05915426"/>
    <w:rsid w:val="05935D1D"/>
    <w:rsid w:val="05AC4D3B"/>
    <w:rsid w:val="05B52FF1"/>
    <w:rsid w:val="05E01F5E"/>
    <w:rsid w:val="05F41E69"/>
    <w:rsid w:val="0613352B"/>
    <w:rsid w:val="066D777B"/>
    <w:rsid w:val="06A42F8B"/>
    <w:rsid w:val="06B03B3A"/>
    <w:rsid w:val="06C91D6F"/>
    <w:rsid w:val="070036FD"/>
    <w:rsid w:val="07395C5C"/>
    <w:rsid w:val="074B7B2B"/>
    <w:rsid w:val="074E7817"/>
    <w:rsid w:val="07993228"/>
    <w:rsid w:val="07B6220C"/>
    <w:rsid w:val="07C9201E"/>
    <w:rsid w:val="07C949B8"/>
    <w:rsid w:val="07F47604"/>
    <w:rsid w:val="0846220E"/>
    <w:rsid w:val="085926D0"/>
    <w:rsid w:val="08632F5F"/>
    <w:rsid w:val="086F1381"/>
    <w:rsid w:val="08843074"/>
    <w:rsid w:val="08B225CD"/>
    <w:rsid w:val="08BC0A60"/>
    <w:rsid w:val="090F72CE"/>
    <w:rsid w:val="09482B93"/>
    <w:rsid w:val="096B7CBF"/>
    <w:rsid w:val="099010F5"/>
    <w:rsid w:val="09AB67AB"/>
    <w:rsid w:val="09CB5BBC"/>
    <w:rsid w:val="09FF03C8"/>
    <w:rsid w:val="0A4C58FC"/>
    <w:rsid w:val="0A58650F"/>
    <w:rsid w:val="0A774519"/>
    <w:rsid w:val="0A8F3F52"/>
    <w:rsid w:val="0AD83203"/>
    <w:rsid w:val="0AF71F8B"/>
    <w:rsid w:val="0B06544F"/>
    <w:rsid w:val="0B1571D5"/>
    <w:rsid w:val="0B510739"/>
    <w:rsid w:val="0B857656"/>
    <w:rsid w:val="0B8A5162"/>
    <w:rsid w:val="0BCE14E0"/>
    <w:rsid w:val="0BD43C6E"/>
    <w:rsid w:val="0C460F23"/>
    <w:rsid w:val="0C4C20FB"/>
    <w:rsid w:val="0C6558FB"/>
    <w:rsid w:val="0CBA5A78"/>
    <w:rsid w:val="0CE335F9"/>
    <w:rsid w:val="0D244747"/>
    <w:rsid w:val="0D363A05"/>
    <w:rsid w:val="0D747519"/>
    <w:rsid w:val="0D8E470D"/>
    <w:rsid w:val="0DB15F6D"/>
    <w:rsid w:val="0DB41372"/>
    <w:rsid w:val="0E261344"/>
    <w:rsid w:val="0E3270CE"/>
    <w:rsid w:val="0E491511"/>
    <w:rsid w:val="0E7A12E5"/>
    <w:rsid w:val="0E84178A"/>
    <w:rsid w:val="0E932937"/>
    <w:rsid w:val="0EA55D13"/>
    <w:rsid w:val="0EEF76D1"/>
    <w:rsid w:val="0F3A26DF"/>
    <w:rsid w:val="0F4378A5"/>
    <w:rsid w:val="0F7D25CB"/>
    <w:rsid w:val="0F7E7393"/>
    <w:rsid w:val="0F8F3BFE"/>
    <w:rsid w:val="0F9852C0"/>
    <w:rsid w:val="0FBA31FE"/>
    <w:rsid w:val="0FD07503"/>
    <w:rsid w:val="0FE95EB3"/>
    <w:rsid w:val="10233B99"/>
    <w:rsid w:val="10280789"/>
    <w:rsid w:val="10345380"/>
    <w:rsid w:val="103C5FE2"/>
    <w:rsid w:val="10A41B4F"/>
    <w:rsid w:val="10BD157B"/>
    <w:rsid w:val="10D1009C"/>
    <w:rsid w:val="10D62C55"/>
    <w:rsid w:val="10E4718F"/>
    <w:rsid w:val="10F800ED"/>
    <w:rsid w:val="10FC608E"/>
    <w:rsid w:val="1113155C"/>
    <w:rsid w:val="11B91861"/>
    <w:rsid w:val="11C078C1"/>
    <w:rsid w:val="12046EFB"/>
    <w:rsid w:val="122B3718"/>
    <w:rsid w:val="122E0AB9"/>
    <w:rsid w:val="124A1526"/>
    <w:rsid w:val="12705F2F"/>
    <w:rsid w:val="12862692"/>
    <w:rsid w:val="128A1884"/>
    <w:rsid w:val="13BA7068"/>
    <w:rsid w:val="13BD5C40"/>
    <w:rsid w:val="13BE3E71"/>
    <w:rsid w:val="13E92C40"/>
    <w:rsid w:val="1404150D"/>
    <w:rsid w:val="14176C38"/>
    <w:rsid w:val="141F00F5"/>
    <w:rsid w:val="147B23C2"/>
    <w:rsid w:val="149071D2"/>
    <w:rsid w:val="14992136"/>
    <w:rsid w:val="149E793A"/>
    <w:rsid w:val="14A92287"/>
    <w:rsid w:val="14BC3B96"/>
    <w:rsid w:val="14FC218C"/>
    <w:rsid w:val="15516BA1"/>
    <w:rsid w:val="157658E8"/>
    <w:rsid w:val="15766302"/>
    <w:rsid w:val="15780ACA"/>
    <w:rsid w:val="15873509"/>
    <w:rsid w:val="15A72E39"/>
    <w:rsid w:val="15AA3FD7"/>
    <w:rsid w:val="15AD7024"/>
    <w:rsid w:val="16186ACE"/>
    <w:rsid w:val="161B13E4"/>
    <w:rsid w:val="162E556A"/>
    <w:rsid w:val="162F7AA5"/>
    <w:rsid w:val="16302619"/>
    <w:rsid w:val="163B32AA"/>
    <w:rsid w:val="164263B4"/>
    <w:rsid w:val="16466B98"/>
    <w:rsid w:val="167A536A"/>
    <w:rsid w:val="167B5B8D"/>
    <w:rsid w:val="1683496B"/>
    <w:rsid w:val="16B47F9B"/>
    <w:rsid w:val="16BD0666"/>
    <w:rsid w:val="16F067C0"/>
    <w:rsid w:val="173236C6"/>
    <w:rsid w:val="174425FB"/>
    <w:rsid w:val="174A3651"/>
    <w:rsid w:val="1773448D"/>
    <w:rsid w:val="179254F0"/>
    <w:rsid w:val="17C2315E"/>
    <w:rsid w:val="18595B81"/>
    <w:rsid w:val="18770A9F"/>
    <w:rsid w:val="189270E7"/>
    <w:rsid w:val="18B232E6"/>
    <w:rsid w:val="18B544FF"/>
    <w:rsid w:val="18DE13E4"/>
    <w:rsid w:val="19151AC7"/>
    <w:rsid w:val="191D5F2E"/>
    <w:rsid w:val="19276313"/>
    <w:rsid w:val="194128BC"/>
    <w:rsid w:val="19885D92"/>
    <w:rsid w:val="199E025C"/>
    <w:rsid w:val="19AB0D99"/>
    <w:rsid w:val="19B861A9"/>
    <w:rsid w:val="1A043D0F"/>
    <w:rsid w:val="1A4B50AA"/>
    <w:rsid w:val="1A6130B1"/>
    <w:rsid w:val="1A7A4EC0"/>
    <w:rsid w:val="1ABD5EAB"/>
    <w:rsid w:val="1AD30E37"/>
    <w:rsid w:val="1AD85520"/>
    <w:rsid w:val="1AE30F1C"/>
    <w:rsid w:val="1B2213A0"/>
    <w:rsid w:val="1B727E84"/>
    <w:rsid w:val="1B957EDE"/>
    <w:rsid w:val="1BA6220F"/>
    <w:rsid w:val="1BE70C00"/>
    <w:rsid w:val="1BF173F3"/>
    <w:rsid w:val="1C4B0959"/>
    <w:rsid w:val="1C683BF4"/>
    <w:rsid w:val="1CAC0220"/>
    <w:rsid w:val="1CDC19F9"/>
    <w:rsid w:val="1CF62BF1"/>
    <w:rsid w:val="1D0F6092"/>
    <w:rsid w:val="1D171EF9"/>
    <w:rsid w:val="1D500C19"/>
    <w:rsid w:val="1D5133A9"/>
    <w:rsid w:val="1D6B6159"/>
    <w:rsid w:val="1D9B5F40"/>
    <w:rsid w:val="1DA11B98"/>
    <w:rsid w:val="1DAB4E53"/>
    <w:rsid w:val="1DB33640"/>
    <w:rsid w:val="1DF31E95"/>
    <w:rsid w:val="1E0A3AC5"/>
    <w:rsid w:val="1E437AD2"/>
    <w:rsid w:val="1E562914"/>
    <w:rsid w:val="1E723DCB"/>
    <w:rsid w:val="1E760AF4"/>
    <w:rsid w:val="1EBB720E"/>
    <w:rsid w:val="1EC7171D"/>
    <w:rsid w:val="1EF022D3"/>
    <w:rsid w:val="1EF459C9"/>
    <w:rsid w:val="1F79024A"/>
    <w:rsid w:val="1F8F4381"/>
    <w:rsid w:val="1FD91577"/>
    <w:rsid w:val="200A51EE"/>
    <w:rsid w:val="201E3957"/>
    <w:rsid w:val="20206087"/>
    <w:rsid w:val="203D2EA6"/>
    <w:rsid w:val="209029D8"/>
    <w:rsid w:val="20B22DCF"/>
    <w:rsid w:val="20D50C2E"/>
    <w:rsid w:val="20DE6949"/>
    <w:rsid w:val="20F84A0D"/>
    <w:rsid w:val="211E6D66"/>
    <w:rsid w:val="211E74DE"/>
    <w:rsid w:val="211F25A7"/>
    <w:rsid w:val="21224D81"/>
    <w:rsid w:val="212B724B"/>
    <w:rsid w:val="21336F8E"/>
    <w:rsid w:val="2141407C"/>
    <w:rsid w:val="215C607F"/>
    <w:rsid w:val="21741C60"/>
    <w:rsid w:val="218815F3"/>
    <w:rsid w:val="21B75C14"/>
    <w:rsid w:val="21D56090"/>
    <w:rsid w:val="22084068"/>
    <w:rsid w:val="221A4B12"/>
    <w:rsid w:val="2225131A"/>
    <w:rsid w:val="224654D8"/>
    <w:rsid w:val="224F0E81"/>
    <w:rsid w:val="2265761B"/>
    <w:rsid w:val="22751D75"/>
    <w:rsid w:val="228E4FC7"/>
    <w:rsid w:val="22AE64C9"/>
    <w:rsid w:val="22BB7089"/>
    <w:rsid w:val="22FA4BFB"/>
    <w:rsid w:val="22FE0FD0"/>
    <w:rsid w:val="233D5DD6"/>
    <w:rsid w:val="234C1E36"/>
    <w:rsid w:val="235073EC"/>
    <w:rsid w:val="2351577F"/>
    <w:rsid w:val="235268D1"/>
    <w:rsid w:val="23580F2E"/>
    <w:rsid w:val="23B067A6"/>
    <w:rsid w:val="23EF29AE"/>
    <w:rsid w:val="24776F57"/>
    <w:rsid w:val="247C7EAE"/>
    <w:rsid w:val="247D3A55"/>
    <w:rsid w:val="24BA21D1"/>
    <w:rsid w:val="24CA4589"/>
    <w:rsid w:val="24E8234A"/>
    <w:rsid w:val="24FE0600"/>
    <w:rsid w:val="25375190"/>
    <w:rsid w:val="255319AC"/>
    <w:rsid w:val="256C2A6E"/>
    <w:rsid w:val="25873D4C"/>
    <w:rsid w:val="258B1BE0"/>
    <w:rsid w:val="258D46B0"/>
    <w:rsid w:val="25F972D3"/>
    <w:rsid w:val="26210F30"/>
    <w:rsid w:val="262A4ECE"/>
    <w:rsid w:val="26325A66"/>
    <w:rsid w:val="26404E35"/>
    <w:rsid w:val="26442768"/>
    <w:rsid w:val="2658763F"/>
    <w:rsid w:val="269D5B1D"/>
    <w:rsid w:val="26BE18E6"/>
    <w:rsid w:val="27161F43"/>
    <w:rsid w:val="272D447F"/>
    <w:rsid w:val="273C3E88"/>
    <w:rsid w:val="278A18D2"/>
    <w:rsid w:val="27FA3C0E"/>
    <w:rsid w:val="27FF7BCA"/>
    <w:rsid w:val="280900B0"/>
    <w:rsid w:val="2821014A"/>
    <w:rsid w:val="288342CD"/>
    <w:rsid w:val="289D107F"/>
    <w:rsid w:val="28A57972"/>
    <w:rsid w:val="28B058CA"/>
    <w:rsid w:val="28BA1D43"/>
    <w:rsid w:val="28CE5F50"/>
    <w:rsid w:val="28EB02E8"/>
    <w:rsid w:val="29286CCD"/>
    <w:rsid w:val="294237A4"/>
    <w:rsid w:val="295B1445"/>
    <w:rsid w:val="29B242F6"/>
    <w:rsid w:val="29B6331C"/>
    <w:rsid w:val="2A354715"/>
    <w:rsid w:val="2A3D2834"/>
    <w:rsid w:val="2AAC4C35"/>
    <w:rsid w:val="2AC10ADC"/>
    <w:rsid w:val="2ACA7212"/>
    <w:rsid w:val="2ACF0873"/>
    <w:rsid w:val="2ADA0744"/>
    <w:rsid w:val="2B1441A7"/>
    <w:rsid w:val="2B6F47FF"/>
    <w:rsid w:val="2BAA498E"/>
    <w:rsid w:val="2BE06C60"/>
    <w:rsid w:val="2BE85576"/>
    <w:rsid w:val="2C5D68DF"/>
    <w:rsid w:val="2C797AC3"/>
    <w:rsid w:val="2C8835CB"/>
    <w:rsid w:val="2C9516D3"/>
    <w:rsid w:val="2CA248AA"/>
    <w:rsid w:val="2CD020EF"/>
    <w:rsid w:val="2CFB5D3D"/>
    <w:rsid w:val="2D3B1791"/>
    <w:rsid w:val="2D7A0381"/>
    <w:rsid w:val="2DA41A22"/>
    <w:rsid w:val="2DD937C1"/>
    <w:rsid w:val="2DE71514"/>
    <w:rsid w:val="2DF77671"/>
    <w:rsid w:val="2E2C0556"/>
    <w:rsid w:val="2E575E3A"/>
    <w:rsid w:val="2E6A32E4"/>
    <w:rsid w:val="2E746C44"/>
    <w:rsid w:val="2E7E01C3"/>
    <w:rsid w:val="2E9C2C53"/>
    <w:rsid w:val="2EA12E63"/>
    <w:rsid w:val="2EE67D35"/>
    <w:rsid w:val="2EEE486C"/>
    <w:rsid w:val="2EF02962"/>
    <w:rsid w:val="2EF873DD"/>
    <w:rsid w:val="2F027AF9"/>
    <w:rsid w:val="2F070E72"/>
    <w:rsid w:val="2FB912BC"/>
    <w:rsid w:val="2FBA6E32"/>
    <w:rsid w:val="2FE46DA6"/>
    <w:rsid w:val="30101167"/>
    <w:rsid w:val="301343BA"/>
    <w:rsid w:val="30156509"/>
    <w:rsid w:val="305F1B4D"/>
    <w:rsid w:val="30851764"/>
    <w:rsid w:val="30D20571"/>
    <w:rsid w:val="30E12F2E"/>
    <w:rsid w:val="30F050BA"/>
    <w:rsid w:val="31330378"/>
    <w:rsid w:val="317B29B7"/>
    <w:rsid w:val="31A41A56"/>
    <w:rsid w:val="31A63CF2"/>
    <w:rsid w:val="31DF0DFF"/>
    <w:rsid w:val="31F1548D"/>
    <w:rsid w:val="32355D6E"/>
    <w:rsid w:val="323C3A1F"/>
    <w:rsid w:val="32416789"/>
    <w:rsid w:val="324533B4"/>
    <w:rsid w:val="32537A1E"/>
    <w:rsid w:val="32555022"/>
    <w:rsid w:val="328A6A0C"/>
    <w:rsid w:val="328C2084"/>
    <w:rsid w:val="32A7617F"/>
    <w:rsid w:val="32D337F9"/>
    <w:rsid w:val="3307027A"/>
    <w:rsid w:val="33163CB5"/>
    <w:rsid w:val="331C0422"/>
    <w:rsid w:val="33294C03"/>
    <w:rsid w:val="332B4269"/>
    <w:rsid w:val="333B3D69"/>
    <w:rsid w:val="335A65FC"/>
    <w:rsid w:val="33B10912"/>
    <w:rsid w:val="33B87A8E"/>
    <w:rsid w:val="340E5BF8"/>
    <w:rsid w:val="343C450B"/>
    <w:rsid w:val="34D36666"/>
    <w:rsid w:val="34F52A80"/>
    <w:rsid w:val="3503127C"/>
    <w:rsid w:val="350E3B42"/>
    <w:rsid w:val="35106C8E"/>
    <w:rsid w:val="351119D2"/>
    <w:rsid w:val="353A4937"/>
    <w:rsid w:val="353E103A"/>
    <w:rsid w:val="35527208"/>
    <w:rsid w:val="35A70D5A"/>
    <w:rsid w:val="36221DBF"/>
    <w:rsid w:val="364D3465"/>
    <w:rsid w:val="367301C4"/>
    <w:rsid w:val="36D00F89"/>
    <w:rsid w:val="37686ABF"/>
    <w:rsid w:val="377C1E86"/>
    <w:rsid w:val="37DC1563"/>
    <w:rsid w:val="37F45271"/>
    <w:rsid w:val="37F57DF2"/>
    <w:rsid w:val="384735C5"/>
    <w:rsid w:val="384F258A"/>
    <w:rsid w:val="38B16CBE"/>
    <w:rsid w:val="38FD0155"/>
    <w:rsid w:val="390600CD"/>
    <w:rsid w:val="390A287E"/>
    <w:rsid w:val="39200C06"/>
    <w:rsid w:val="3976413E"/>
    <w:rsid w:val="398C396F"/>
    <w:rsid w:val="39A14A8C"/>
    <w:rsid w:val="39E33D74"/>
    <w:rsid w:val="39F87D5C"/>
    <w:rsid w:val="3A0A06DD"/>
    <w:rsid w:val="3A2E433E"/>
    <w:rsid w:val="3A8075E8"/>
    <w:rsid w:val="3A861CC2"/>
    <w:rsid w:val="3A8B0E3D"/>
    <w:rsid w:val="3A900B55"/>
    <w:rsid w:val="3A976388"/>
    <w:rsid w:val="3A9F5C6C"/>
    <w:rsid w:val="3AE1405F"/>
    <w:rsid w:val="3AFE43ED"/>
    <w:rsid w:val="3B1867C8"/>
    <w:rsid w:val="3B6238FE"/>
    <w:rsid w:val="3B7431B5"/>
    <w:rsid w:val="3B7633AB"/>
    <w:rsid w:val="3B7856A1"/>
    <w:rsid w:val="3BA81567"/>
    <w:rsid w:val="3BBB3C66"/>
    <w:rsid w:val="3BC61723"/>
    <w:rsid w:val="3BE1180F"/>
    <w:rsid w:val="3BF16211"/>
    <w:rsid w:val="3C461E13"/>
    <w:rsid w:val="3C6165D6"/>
    <w:rsid w:val="3CBD2F46"/>
    <w:rsid w:val="3CBD5566"/>
    <w:rsid w:val="3CBE31DE"/>
    <w:rsid w:val="3CBF12B5"/>
    <w:rsid w:val="3CD2663F"/>
    <w:rsid w:val="3CDD4175"/>
    <w:rsid w:val="3CF767B5"/>
    <w:rsid w:val="3D4178D1"/>
    <w:rsid w:val="3D620826"/>
    <w:rsid w:val="3D801945"/>
    <w:rsid w:val="3DB80AEF"/>
    <w:rsid w:val="3DBA4E66"/>
    <w:rsid w:val="3E1B7080"/>
    <w:rsid w:val="3E1C2E2C"/>
    <w:rsid w:val="3E3C0D70"/>
    <w:rsid w:val="3E3F0267"/>
    <w:rsid w:val="3E555A65"/>
    <w:rsid w:val="3E597D6C"/>
    <w:rsid w:val="3E864D20"/>
    <w:rsid w:val="3EC62D97"/>
    <w:rsid w:val="3EDD59A7"/>
    <w:rsid w:val="3F0118B9"/>
    <w:rsid w:val="3F38167B"/>
    <w:rsid w:val="3F39767D"/>
    <w:rsid w:val="3F493AB1"/>
    <w:rsid w:val="3F71792A"/>
    <w:rsid w:val="3F8A4DF2"/>
    <w:rsid w:val="3F8E2A19"/>
    <w:rsid w:val="3F901730"/>
    <w:rsid w:val="3FA4227B"/>
    <w:rsid w:val="4016460A"/>
    <w:rsid w:val="401C3DA2"/>
    <w:rsid w:val="4021065B"/>
    <w:rsid w:val="404228F2"/>
    <w:rsid w:val="40490124"/>
    <w:rsid w:val="406960D0"/>
    <w:rsid w:val="407B4F1E"/>
    <w:rsid w:val="409F3816"/>
    <w:rsid w:val="40F030CF"/>
    <w:rsid w:val="419E65CF"/>
    <w:rsid w:val="41AA11C0"/>
    <w:rsid w:val="41B859B2"/>
    <w:rsid w:val="41F929CD"/>
    <w:rsid w:val="42051F5E"/>
    <w:rsid w:val="427B7AFE"/>
    <w:rsid w:val="429C724E"/>
    <w:rsid w:val="42A75956"/>
    <w:rsid w:val="42C85063"/>
    <w:rsid w:val="43003087"/>
    <w:rsid w:val="433504EC"/>
    <w:rsid w:val="433C7ACC"/>
    <w:rsid w:val="435560A3"/>
    <w:rsid w:val="4374370A"/>
    <w:rsid w:val="43BA72C3"/>
    <w:rsid w:val="43BB7C60"/>
    <w:rsid w:val="43D9217C"/>
    <w:rsid w:val="43E50164"/>
    <w:rsid w:val="441417C6"/>
    <w:rsid w:val="444421EF"/>
    <w:rsid w:val="44671D2E"/>
    <w:rsid w:val="449F2A80"/>
    <w:rsid w:val="44BC0935"/>
    <w:rsid w:val="44CB2A89"/>
    <w:rsid w:val="44D858AE"/>
    <w:rsid w:val="44EF1179"/>
    <w:rsid w:val="456F110E"/>
    <w:rsid w:val="458A3B55"/>
    <w:rsid w:val="459C3512"/>
    <w:rsid w:val="45EB289C"/>
    <w:rsid w:val="46581B31"/>
    <w:rsid w:val="467C2E05"/>
    <w:rsid w:val="4681708D"/>
    <w:rsid w:val="4691185D"/>
    <w:rsid w:val="473E5BD3"/>
    <w:rsid w:val="475C0707"/>
    <w:rsid w:val="476301A6"/>
    <w:rsid w:val="476B1DC2"/>
    <w:rsid w:val="4797089B"/>
    <w:rsid w:val="479C71EE"/>
    <w:rsid w:val="47AD6981"/>
    <w:rsid w:val="47FF5A60"/>
    <w:rsid w:val="485055CC"/>
    <w:rsid w:val="48DB17B0"/>
    <w:rsid w:val="48ED630F"/>
    <w:rsid w:val="491D5CAA"/>
    <w:rsid w:val="4938475C"/>
    <w:rsid w:val="49A45995"/>
    <w:rsid w:val="49F96717"/>
    <w:rsid w:val="4A08695A"/>
    <w:rsid w:val="4A751303"/>
    <w:rsid w:val="4A9A2B71"/>
    <w:rsid w:val="4A9F72BE"/>
    <w:rsid w:val="4ACB784D"/>
    <w:rsid w:val="4B8509AD"/>
    <w:rsid w:val="4BB94701"/>
    <w:rsid w:val="4BE7226F"/>
    <w:rsid w:val="4C1415E6"/>
    <w:rsid w:val="4C3C40AA"/>
    <w:rsid w:val="4CA45D71"/>
    <w:rsid w:val="4CB0193B"/>
    <w:rsid w:val="4D106251"/>
    <w:rsid w:val="4D1C4C63"/>
    <w:rsid w:val="4D2A07C4"/>
    <w:rsid w:val="4D526DBA"/>
    <w:rsid w:val="4D6055F8"/>
    <w:rsid w:val="4D611E71"/>
    <w:rsid w:val="4D654D87"/>
    <w:rsid w:val="4D805701"/>
    <w:rsid w:val="4D8120EF"/>
    <w:rsid w:val="4D926C66"/>
    <w:rsid w:val="4D9E2E8C"/>
    <w:rsid w:val="4DC21C05"/>
    <w:rsid w:val="4DC45D61"/>
    <w:rsid w:val="4DC67854"/>
    <w:rsid w:val="4DDB52B6"/>
    <w:rsid w:val="4DFB5750"/>
    <w:rsid w:val="4E06484C"/>
    <w:rsid w:val="4E6B14BD"/>
    <w:rsid w:val="4E70082B"/>
    <w:rsid w:val="4E8046EB"/>
    <w:rsid w:val="4E844A51"/>
    <w:rsid w:val="4E8639E6"/>
    <w:rsid w:val="4F016EB3"/>
    <w:rsid w:val="4F203FCA"/>
    <w:rsid w:val="4F3654C6"/>
    <w:rsid w:val="4F385108"/>
    <w:rsid w:val="4F4323BD"/>
    <w:rsid w:val="4F560E36"/>
    <w:rsid w:val="4F5D1E0D"/>
    <w:rsid w:val="4FAD3C3C"/>
    <w:rsid w:val="4FB1493B"/>
    <w:rsid w:val="4FC346FE"/>
    <w:rsid w:val="4FCC168E"/>
    <w:rsid w:val="4FD17771"/>
    <w:rsid w:val="500A00FA"/>
    <w:rsid w:val="501429D6"/>
    <w:rsid w:val="505D661C"/>
    <w:rsid w:val="50706600"/>
    <w:rsid w:val="50805ED4"/>
    <w:rsid w:val="509773A7"/>
    <w:rsid w:val="50AF796D"/>
    <w:rsid w:val="50C6038C"/>
    <w:rsid w:val="510449E0"/>
    <w:rsid w:val="515517B2"/>
    <w:rsid w:val="517174DB"/>
    <w:rsid w:val="51C336DA"/>
    <w:rsid w:val="51EC3A38"/>
    <w:rsid w:val="520D5BFF"/>
    <w:rsid w:val="522C5E87"/>
    <w:rsid w:val="52313617"/>
    <w:rsid w:val="528E1C15"/>
    <w:rsid w:val="529161DE"/>
    <w:rsid w:val="52B94C95"/>
    <w:rsid w:val="52FC33B5"/>
    <w:rsid w:val="53443366"/>
    <w:rsid w:val="53595144"/>
    <w:rsid w:val="53692325"/>
    <w:rsid w:val="53C75190"/>
    <w:rsid w:val="53F3051A"/>
    <w:rsid w:val="53F543A3"/>
    <w:rsid w:val="54145A91"/>
    <w:rsid w:val="5416087B"/>
    <w:rsid w:val="54293B80"/>
    <w:rsid w:val="542D593B"/>
    <w:rsid w:val="54A00C6B"/>
    <w:rsid w:val="54E27213"/>
    <w:rsid w:val="55203C63"/>
    <w:rsid w:val="55283D2B"/>
    <w:rsid w:val="553E7BE1"/>
    <w:rsid w:val="554D5B69"/>
    <w:rsid w:val="555E2E07"/>
    <w:rsid w:val="55684751"/>
    <w:rsid w:val="557D234A"/>
    <w:rsid w:val="55D65B5E"/>
    <w:rsid w:val="55E53FF3"/>
    <w:rsid w:val="56311EEC"/>
    <w:rsid w:val="5651145D"/>
    <w:rsid w:val="565E4C16"/>
    <w:rsid w:val="566A4C99"/>
    <w:rsid w:val="568451E8"/>
    <w:rsid w:val="56917487"/>
    <w:rsid w:val="56C65968"/>
    <w:rsid w:val="56CA2358"/>
    <w:rsid w:val="56E30055"/>
    <w:rsid w:val="56ED5073"/>
    <w:rsid w:val="56F279EC"/>
    <w:rsid w:val="5714172F"/>
    <w:rsid w:val="572877DB"/>
    <w:rsid w:val="57471CB6"/>
    <w:rsid w:val="574C73A9"/>
    <w:rsid w:val="5761241C"/>
    <w:rsid w:val="576E0D02"/>
    <w:rsid w:val="57B009A0"/>
    <w:rsid w:val="57B1258E"/>
    <w:rsid w:val="57CB5D5A"/>
    <w:rsid w:val="57E30C41"/>
    <w:rsid w:val="57ED150F"/>
    <w:rsid w:val="58160494"/>
    <w:rsid w:val="58480464"/>
    <w:rsid w:val="58711DA6"/>
    <w:rsid w:val="58B32CFF"/>
    <w:rsid w:val="58B84B4A"/>
    <w:rsid w:val="58D66907"/>
    <w:rsid w:val="58EC0277"/>
    <w:rsid w:val="590316FF"/>
    <w:rsid w:val="59183F9B"/>
    <w:rsid w:val="591E67CE"/>
    <w:rsid w:val="59305CC5"/>
    <w:rsid w:val="59360ECA"/>
    <w:rsid w:val="598C1496"/>
    <w:rsid w:val="59926473"/>
    <w:rsid w:val="59C4775F"/>
    <w:rsid w:val="59F55B79"/>
    <w:rsid w:val="5A6E50F7"/>
    <w:rsid w:val="5AA6761F"/>
    <w:rsid w:val="5AFF7905"/>
    <w:rsid w:val="5B084825"/>
    <w:rsid w:val="5B631C42"/>
    <w:rsid w:val="5B955B74"/>
    <w:rsid w:val="5B956153"/>
    <w:rsid w:val="5BCB5E61"/>
    <w:rsid w:val="5C1F20BF"/>
    <w:rsid w:val="5C327567"/>
    <w:rsid w:val="5C493A11"/>
    <w:rsid w:val="5C6B15E9"/>
    <w:rsid w:val="5CA70CCA"/>
    <w:rsid w:val="5CC523C4"/>
    <w:rsid w:val="5CD01559"/>
    <w:rsid w:val="5CEA600A"/>
    <w:rsid w:val="5CEB7876"/>
    <w:rsid w:val="5CF54B1C"/>
    <w:rsid w:val="5D4468F9"/>
    <w:rsid w:val="5D5418FE"/>
    <w:rsid w:val="5D566E45"/>
    <w:rsid w:val="5D641CA2"/>
    <w:rsid w:val="5DA01DD5"/>
    <w:rsid w:val="5DC4375B"/>
    <w:rsid w:val="5DF9112D"/>
    <w:rsid w:val="5E0947A2"/>
    <w:rsid w:val="5E19056E"/>
    <w:rsid w:val="5E36363E"/>
    <w:rsid w:val="5E954808"/>
    <w:rsid w:val="5EB47819"/>
    <w:rsid w:val="5F286A4D"/>
    <w:rsid w:val="5F4B03E2"/>
    <w:rsid w:val="5F576703"/>
    <w:rsid w:val="5F585526"/>
    <w:rsid w:val="5F703333"/>
    <w:rsid w:val="5F7D2BD7"/>
    <w:rsid w:val="5F8D1984"/>
    <w:rsid w:val="5FF015E1"/>
    <w:rsid w:val="60665E63"/>
    <w:rsid w:val="609A65F6"/>
    <w:rsid w:val="60B103E5"/>
    <w:rsid w:val="60CD36E9"/>
    <w:rsid w:val="60F4748F"/>
    <w:rsid w:val="60F92651"/>
    <w:rsid w:val="611B2826"/>
    <w:rsid w:val="615C40D5"/>
    <w:rsid w:val="615C7739"/>
    <w:rsid w:val="617536ED"/>
    <w:rsid w:val="61852ADA"/>
    <w:rsid w:val="61AE106F"/>
    <w:rsid w:val="61B054B5"/>
    <w:rsid w:val="61CF2C15"/>
    <w:rsid w:val="622A51F0"/>
    <w:rsid w:val="62325914"/>
    <w:rsid w:val="62397BA1"/>
    <w:rsid w:val="623E51B7"/>
    <w:rsid w:val="6261228B"/>
    <w:rsid w:val="6269349E"/>
    <w:rsid w:val="626C32D2"/>
    <w:rsid w:val="627E6A7F"/>
    <w:rsid w:val="628841B8"/>
    <w:rsid w:val="629B74F7"/>
    <w:rsid w:val="62C1074B"/>
    <w:rsid w:val="62FE4897"/>
    <w:rsid w:val="63016A5A"/>
    <w:rsid w:val="631C586D"/>
    <w:rsid w:val="6341732B"/>
    <w:rsid w:val="63460F0A"/>
    <w:rsid w:val="63617466"/>
    <w:rsid w:val="636C0A8D"/>
    <w:rsid w:val="63872C1F"/>
    <w:rsid w:val="639E4473"/>
    <w:rsid w:val="63AE3C76"/>
    <w:rsid w:val="63B405DA"/>
    <w:rsid w:val="63B70D7D"/>
    <w:rsid w:val="63CB42E2"/>
    <w:rsid w:val="63CF1424"/>
    <w:rsid w:val="640607C6"/>
    <w:rsid w:val="64065A07"/>
    <w:rsid w:val="645C7B76"/>
    <w:rsid w:val="645E0CBF"/>
    <w:rsid w:val="647E6B50"/>
    <w:rsid w:val="64B81251"/>
    <w:rsid w:val="64CF5A89"/>
    <w:rsid w:val="65261B3D"/>
    <w:rsid w:val="6532658B"/>
    <w:rsid w:val="65337E1C"/>
    <w:rsid w:val="654C7BEB"/>
    <w:rsid w:val="6584009F"/>
    <w:rsid w:val="65D75F2A"/>
    <w:rsid w:val="6640736E"/>
    <w:rsid w:val="66AB3362"/>
    <w:rsid w:val="66C543F1"/>
    <w:rsid w:val="67010066"/>
    <w:rsid w:val="67430D50"/>
    <w:rsid w:val="674332D8"/>
    <w:rsid w:val="6744501E"/>
    <w:rsid w:val="67572291"/>
    <w:rsid w:val="67A02BC1"/>
    <w:rsid w:val="67C0446D"/>
    <w:rsid w:val="67C24670"/>
    <w:rsid w:val="68012F0F"/>
    <w:rsid w:val="68336E40"/>
    <w:rsid w:val="687A27CC"/>
    <w:rsid w:val="68DA57C7"/>
    <w:rsid w:val="68EF44E9"/>
    <w:rsid w:val="68FC4769"/>
    <w:rsid w:val="691E3ACF"/>
    <w:rsid w:val="692D0546"/>
    <w:rsid w:val="69424C47"/>
    <w:rsid w:val="69614434"/>
    <w:rsid w:val="69856900"/>
    <w:rsid w:val="69AD1E55"/>
    <w:rsid w:val="69CF4AB1"/>
    <w:rsid w:val="69EE74C3"/>
    <w:rsid w:val="6A086843"/>
    <w:rsid w:val="6A0D22AD"/>
    <w:rsid w:val="6A1C4030"/>
    <w:rsid w:val="6A403FAE"/>
    <w:rsid w:val="6A4746A0"/>
    <w:rsid w:val="6A527606"/>
    <w:rsid w:val="6A657064"/>
    <w:rsid w:val="6A7259FE"/>
    <w:rsid w:val="6ADA35A3"/>
    <w:rsid w:val="6B2917FD"/>
    <w:rsid w:val="6B4D3A7A"/>
    <w:rsid w:val="6B6C1AF0"/>
    <w:rsid w:val="6BB34D7C"/>
    <w:rsid w:val="6BD56C5B"/>
    <w:rsid w:val="6BDA1B01"/>
    <w:rsid w:val="6C0807E8"/>
    <w:rsid w:val="6C147CCC"/>
    <w:rsid w:val="6C8F56DD"/>
    <w:rsid w:val="6D070402"/>
    <w:rsid w:val="6D075ADD"/>
    <w:rsid w:val="6D0C07E6"/>
    <w:rsid w:val="6D5118E8"/>
    <w:rsid w:val="6D526965"/>
    <w:rsid w:val="6D8200C7"/>
    <w:rsid w:val="6D8B167C"/>
    <w:rsid w:val="6D986A55"/>
    <w:rsid w:val="6D9E6722"/>
    <w:rsid w:val="6DA32C10"/>
    <w:rsid w:val="6DAB2C8A"/>
    <w:rsid w:val="6DAF7546"/>
    <w:rsid w:val="6DD3778F"/>
    <w:rsid w:val="6DE9247B"/>
    <w:rsid w:val="6DFF3A4C"/>
    <w:rsid w:val="6E051EFD"/>
    <w:rsid w:val="6E0C7BC4"/>
    <w:rsid w:val="6E0F63FE"/>
    <w:rsid w:val="6E4075F6"/>
    <w:rsid w:val="6E641B01"/>
    <w:rsid w:val="6E706934"/>
    <w:rsid w:val="6EB1360D"/>
    <w:rsid w:val="6F0A3C88"/>
    <w:rsid w:val="6F151965"/>
    <w:rsid w:val="6F2F024F"/>
    <w:rsid w:val="6F6515F7"/>
    <w:rsid w:val="6F871259"/>
    <w:rsid w:val="6F975F07"/>
    <w:rsid w:val="6F9A3F5E"/>
    <w:rsid w:val="6FAF3250"/>
    <w:rsid w:val="6FB60E67"/>
    <w:rsid w:val="6FCE7C36"/>
    <w:rsid w:val="70140E66"/>
    <w:rsid w:val="704C0A9F"/>
    <w:rsid w:val="70596D1C"/>
    <w:rsid w:val="70735A4B"/>
    <w:rsid w:val="708244C1"/>
    <w:rsid w:val="70A25CD9"/>
    <w:rsid w:val="70AF02D5"/>
    <w:rsid w:val="70D773FF"/>
    <w:rsid w:val="70EE0855"/>
    <w:rsid w:val="715017E0"/>
    <w:rsid w:val="71603B41"/>
    <w:rsid w:val="722D759C"/>
    <w:rsid w:val="724334B1"/>
    <w:rsid w:val="727062C8"/>
    <w:rsid w:val="729A3D44"/>
    <w:rsid w:val="72F777E7"/>
    <w:rsid w:val="732551F6"/>
    <w:rsid w:val="7331000D"/>
    <w:rsid w:val="73B32F2C"/>
    <w:rsid w:val="73D8089E"/>
    <w:rsid w:val="740E32F6"/>
    <w:rsid w:val="74105669"/>
    <w:rsid w:val="7435511E"/>
    <w:rsid w:val="7435737E"/>
    <w:rsid w:val="743F0B85"/>
    <w:rsid w:val="745F397D"/>
    <w:rsid w:val="7481070F"/>
    <w:rsid w:val="74A25132"/>
    <w:rsid w:val="74E10D62"/>
    <w:rsid w:val="7530517A"/>
    <w:rsid w:val="7563554E"/>
    <w:rsid w:val="75842A89"/>
    <w:rsid w:val="75B34E3A"/>
    <w:rsid w:val="76005A2E"/>
    <w:rsid w:val="7619559D"/>
    <w:rsid w:val="76723E5C"/>
    <w:rsid w:val="7673645B"/>
    <w:rsid w:val="76944F4E"/>
    <w:rsid w:val="769D2054"/>
    <w:rsid w:val="769D585C"/>
    <w:rsid w:val="772F4DF8"/>
    <w:rsid w:val="773B37D6"/>
    <w:rsid w:val="773D7013"/>
    <w:rsid w:val="77B30442"/>
    <w:rsid w:val="77B92815"/>
    <w:rsid w:val="77E11A54"/>
    <w:rsid w:val="77EB5BDE"/>
    <w:rsid w:val="77EF6E59"/>
    <w:rsid w:val="77FD5013"/>
    <w:rsid w:val="78104FAE"/>
    <w:rsid w:val="78185285"/>
    <w:rsid w:val="78290CE6"/>
    <w:rsid w:val="785C1A9B"/>
    <w:rsid w:val="7860333A"/>
    <w:rsid w:val="78623556"/>
    <w:rsid w:val="788C05D2"/>
    <w:rsid w:val="78957FFD"/>
    <w:rsid w:val="789F7973"/>
    <w:rsid w:val="78B54629"/>
    <w:rsid w:val="78C064CE"/>
    <w:rsid w:val="78CC6C21"/>
    <w:rsid w:val="78E7663D"/>
    <w:rsid w:val="78F743F5"/>
    <w:rsid w:val="791F69AF"/>
    <w:rsid w:val="79AD2739"/>
    <w:rsid w:val="79D230AD"/>
    <w:rsid w:val="7A0D0FEA"/>
    <w:rsid w:val="7A4746D9"/>
    <w:rsid w:val="7AA5257E"/>
    <w:rsid w:val="7AC22487"/>
    <w:rsid w:val="7ACA0268"/>
    <w:rsid w:val="7ADC073C"/>
    <w:rsid w:val="7ADE6C32"/>
    <w:rsid w:val="7AFF61ED"/>
    <w:rsid w:val="7B46521F"/>
    <w:rsid w:val="7B5212AA"/>
    <w:rsid w:val="7B575736"/>
    <w:rsid w:val="7B6179A5"/>
    <w:rsid w:val="7B6A44CF"/>
    <w:rsid w:val="7B85220B"/>
    <w:rsid w:val="7B852B6D"/>
    <w:rsid w:val="7BE1201B"/>
    <w:rsid w:val="7BE35CBC"/>
    <w:rsid w:val="7C0478E4"/>
    <w:rsid w:val="7C495B25"/>
    <w:rsid w:val="7C514068"/>
    <w:rsid w:val="7C830D91"/>
    <w:rsid w:val="7C9B336A"/>
    <w:rsid w:val="7C9D1034"/>
    <w:rsid w:val="7CC64CC6"/>
    <w:rsid w:val="7CCA32A1"/>
    <w:rsid w:val="7D083C19"/>
    <w:rsid w:val="7D0E48E7"/>
    <w:rsid w:val="7D1B5B99"/>
    <w:rsid w:val="7D272678"/>
    <w:rsid w:val="7D3A7600"/>
    <w:rsid w:val="7D537F48"/>
    <w:rsid w:val="7D551A71"/>
    <w:rsid w:val="7D910387"/>
    <w:rsid w:val="7D95502D"/>
    <w:rsid w:val="7DAB14EA"/>
    <w:rsid w:val="7DB02570"/>
    <w:rsid w:val="7DB0572E"/>
    <w:rsid w:val="7DD23BB4"/>
    <w:rsid w:val="7DE40569"/>
    <w:rsid w:val="7DE875CB"/>
    <w:rsid w:val="7DF804B8"/>
    <w:rsid w:val="7E014D45"/>
    <w:rsid w:val="7E1404F1"/>
    <w:rsid w:val="7E171EEC"/>
    <w:rsid w:val="7E3037AE"/>
    <w:rsid w:val="7E3639BF"/>
    <w:rsid w:val="7E606457"/>
    <w:rsid w:val="7E871B42"/>
    <w:rsid w:val="7EAA745B"/>
    <w:rsid w:val="7EBE6941"/>
    <w:rsid w:val="7EF317E1"/>
    <w:rsid w:val="7EFE38AC"/>
    <w:rsid w:val="7F1B2123"/>
    <w:rsid w:val="7F430F9C"/>
    <w:rsid w:val="7F43783F"/>
    <w:rsid w:val="7F44541A"/>
    <w:rsid w:val="7F572FBC"/>
    <w:rsid w:val="7F89385B"/>
    <w:rsid w:val="7FA50141"/>
    <w:rsid w:val="7FC760FD"/>
    <w:rsid w:val="7FF255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nhideWhenUsed="0" w:uiPriority="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3"/>
    <w:autoRedefine/>
    <w:qFormat/>
    <w:uiPriority w:val="0"/>
    <w:pPr>
      <w:keepNext/>
      <w:autoSpaceDE w:val="0"/>
      <w:autoSpaceDN w:val="0"/>
      <w:spacing w:line="360" w:lineRule="auto"/>
      <w:jc w:val="center"/>
      <w:textAlignment w:val="bottom"/>
      <w:outlineLvl w:val="0"/>
    </w:pPr>
    <w:rPr>
      <w:rFonts w:ascii="仿宋_GB2312" w:eastAsia="仿宋_GB2312"/>
      <w:b/>
      <w:sz w:val="44"/>
    </w:rPr>
  </w:style>
  <w:style w:type="paragraph" w:styleId="4">
    <w:name w:val="heading 2"/>
    <w:basedOn w:val="1"/>
    <w:next w:val="1"/>
    <w:autoRedefine/>
    <w:qFormat/>
    <w:uiPriority w:val="0"/>
    <w:pPr>
      <w:keepNext/>
      <w:adjustRightInd w:val="0"/>
      <w:snapToGrid w:val="0"/>
      <w:spacing w:before="120" w:after="120" w:line="360" w:lineRule="auto"/>
      <w:jc w:val="center"/>
      <w:textAlignment w:val="baseline"/>
      <w:outlineLvl w:val="1"/>
    </w:pPr>
    <w:rPr>
      <w:rFonts w:ascii="仿宋_GB2312" w:eastAsia="仿宋_GB2312"/>
      <w:b/>
      <w:kern w:val="0"/>
      <w:sz w:val="36"/>
      <w:szCs w:val="20"/>
    </w:rPr>
  </w:style>
  <w:style w:type="paragraph" w:styleId="5">
    <w:name w:val="heading 3"/>
    <w:basedOn w:val="1"/>
    <w:next w:val="3"/>
    <w:autoRedefine/>
    <w:qFormat/>
    <w:uiPriority w:val="0"/>
    <w:pPr>
      <w:keepNext/>
      <w:keepLines/>
      <w:spacing w:before="260" w:after="260" w:line="360" w:lineRule="auto"/>
      <w:ind w:firstLine="602" w:firstLineChars="200"/>
      <w:outlineLvl w:val="2"/>
    </w:pPr>
    <w:rPr>
      <w:rFonts w:ascii="仿宋_GB2312" w:eastAsia="仿宋_GB2312"/>
      <w:b/>
      <w:bCs/>
      <w:sz w:val="30"/>
      <w:szCs w:val="20"/>
    </w:rPr>
  </w:style>
  <w:style w:type="character" w:default="1" w:styleId="30">
    <w:name w:val="Default Paragraph Font"/>
    <w:autoRedefine/>
    <w:semiHidden/>
    <w:unhideWhenUsed/>
    <w:qFormat/>
    <w:uiPriority w:val="1"/>
  </w:style>
  <w:style w:type="table" w:default="1" w:styleId="28">
    <w:name w:val="Normal Table"/>
    <w:autoRedefine/>
    <w:semiHidden/>
    <w:unhideWhenUsed/>
    <w:qFormat/>
    <w:uiPriority w:val="99"/>
    <w:tblPr>
      <w:tblCellMar>
        <w:top w:w="0" w:type="dxa"/>
        <w:left w:w="108" w:type="dxa"/>
        <w:bottom w:w="0" w:type="dxa"/>
        <w:right w:w="108" w:type="dxa"/>
      </w:tblCellMar>
    </w:tblPr>
  </w:style>
  <w:style w:type="paragraph" w:styleId="3">
    <w:name w:val="Normal Indent"/>
    <w:basedOn w:val="1"/>
    <w:next w:val="1"/>
    <w:autoRedefine/>
    <w:qFormat/>
    <w:uiPriority w:val="0"/>
    <w:pPr>
      <w:ind w:firstLine="420"/>
    </w:pPr>
    <w:rPr>
      <w:szCs w:val="20"/>
    </w:rPr>
  </w:style>
  <w:style w:type="paragraph" w:styleId="6">
    <w:name w:val="annotation text"/>
    <w:basedOn w:val="1"/>
    <w:qFormat/>
    <w:uiPriority w:val="0"/>
    <w:pPr>
      <w:jc w:val="left"/>
    </w:pPr>
  </w:style>
  <w:style w:type="paragraph" w:styleId="7">
    <w:name w:val="Body Text"/>
    <w:basedOn w:val="1"/>
    <w:link w:val="112"/>
    <w:autoRedefine/>
    <w:qFormat/>
    <w:uiPriority w:val="0"/>
    <w:pPr>
      <w:tabs>
        <w:tab w:val="left" w:pos="208"/>
      </w:tabs>
      <w:spacing w:line="432" w:lineRule="auto"/>
    </w:pPr>
    <w:rPr>
      <w:rFonts w:ascii="仿宋_GB2312" w:eastAsia="仿宋_GB2312"/>
      <w:sz w:val="28"/>
    </w:rPr>
  </w:style>
  <w:style w:type="paragraph" w:styleId="8">
    <w:name w:val="Body Text Indent"/>
    <w:basedOn w:val="1"/>
    <w:next w:val="1"/>
    <w:autoRedefine/>
    <w:qFormat/>
    <w:uiPriority w:val="0"/>
    <w:pPr>
      <w:ind w:firstLine="540"/>
    </w:pPr>
    <w:rPr>
      <w:sz w:val="28"/>
      <w:szCs w:val="20"/>
    </w:rPr>
  </w:style>
  <w:style w:type="paragraph" w:styleId="9">
    <w:name w:val="Block Text"/>
    <w:basedOn w:val="1"/>
    <w:semiHidden/>
    <w:qFormat/>
    <w:uiPriority w:val="0"/>
    <w:pPr>
      <w:spacing w:after="120"/>
      <w:ind w:left="1440" w:leftChars="700" w:right="1440" w:rightChars="700"/>
    </w:pPr>
  </w:style>
  <w:style w:type="paragraph" w:styleId="10">
    <w:name w:val="toc 3"/>
    <w:basedOn w:val="1"/>
    <w:next w:val="1"/>
    <w:qFormat/>
    <w:uiPriority w:val="39"/>
    <w:pPr>
      <w:tabs>
        <w:tab w:val="right" w:leader="dot" w:pos="9060"/>
      </w:tabs>
      <w:ind w:left="750" w:leftChars="300" w:hanging="120" w:hangingChars="50"/>
    </w:pPr>
    <w:rPr>
      <w:rFonts w:ascii="仿宋_GB2312" w:eastAsia="仿宋_GB2312"/>
      <w:sz w:val="24"/>
      <w:szCs w:val="36"/>
    </w:rPr>
  </w:style>
  <w:style w:type="paragraph" w:styleId="11">
    <w:name w:val="Plain Text"/>
    <w:basedOn w:val="1"/>
    <w:next w:val="1"/>
    <w:autoRedefine/>
    <w:qFormat/>
    <w:uiPriority w:val="0"/>
    <w:rPr>
      <w:rFonts w:ascii="宋体" w:hAnsi="Courier New" w:eastAsiaTheme="minorEastAsia"/>
    </w:rPr>
  </w:style>
  <w:style w:type="paragraph" w:styleId="12">
    <w:name w:val="Date"/>
    <w:basedOn w:val="1"/>
    <w:next w:val="1"/>
    <w:autoRedefine/>
    <w:qFormat/>
    <w:uiPriority w:val="0"/>
    <w:pPr>
      <w:adjustRightInd w:val="0"/>
      <w:spacing w:line="312" w:lineRule="atLeast"/>
    </w:pPr>
    <w:rPr>
      <w:rFonts w:ascii="仿宋_GB2312" w:eastAsia="仿宋_GB2312"/>
      <w:kern w:val="0"/>
      <w:sz w:val="28"/>
      <w:szCs w:val="20"/>
    </w:rPr>
  </w:style>
  <w:style w:type="paragraph" w:styleId="13">
    <w:name w:val="Body Text Indent 2"/>
    <w:basedOn w:val="1"/>
    <w:autoRedefine/>
    <w:qFormat/>
    <w:uiPriority w:val="0"/>
    <w:pPr>
      <w:snapToGrid w:val="0"/>
      <w:spacing w:line="400" w:lineRule="exact"/>
      <w:ind w:firstLine="480"/>
    </w:pPr>
    <w:rPr>
      <w:rFonts w:eastAsia="仿宋_GB2312"/>
      <w:sz w:val="24"/>
    </w:rPr>
  </w:style>
  <w:style w:type="paragraph" w:styleId="14">
    <w:name w:val="footer"/>
    <w:basedOn w:val="1"/>
    <w:link w:val="128"/>
    <w:autoRedefine/>
    <w:qFormat/>
    <w:uiPriority w:val="0"/>
    <w:pPr>
      <w:tabs>
        <w:tab w:val="center" w:pos="4153"/>
        <w:tab w:val="right" w:pos="8306"/>
      </w:tabs>
      <w:snapToGrid w:val="0"/>
      <w:jc w:val="left"/>
    </w:pPr>
    <w:rPr>
      <w:sz w:val="18"/>
      <w:szCs w:val="18"/>
    </w:rPr>
  </w:style>
  <w:style w:type="paragraph" w:styleId="15">
    <w:name w:val="envelope return"/>
    <w:basedOn w:val="1"/>
    <w:autoRedefine/>
    <w:qFormat/>
    <w:uiPriority w:val="99"/>
    <w:pPr>
      <w:snapToGrid w:val="0"/>
    </w:pPr>
    <w:rPr>
      <w:rFonts w:ascii="Arial" w:hAnsi="Arial" w:cs="Arial"/>
    </w:rPr>
  </w:style>
  <w:style w:type="paragraph" w:styleId="16">
    <w:name w:val="header"/>
    <w:basedOn w:val="1"/>
    <w:link w:val="127"/>
    <w:autoRedefine/>
    <w:qFormat/>
    <w:uiPriority w:val="0"/>
    <w:pPr>
      <w:pBdr>
        <w:bottom w:val="single" w:color="auto" w:sz="6" w:space="1"/>
      </w:pBdr>
      <w:tabs>
        <w:tab w:val="center" w:pos="4153"/>
        <w:tab w:val="right" w:pos="8306"/>
      </w:tabs>
      <w:adjustRightInd w:val="0"/>
      <w:spacing w:line="240" w:lineRule="atLeast"/>
      <w:jc w:val="center"/>
    </w:pPr>
    <w:rPr>
      <w:kern w:val="0"/>
      <w:sz w:val="18"/>
      <w:szCs w:val="20"/>
    </w:rPr>
  </w:style>
  <w:style w:type="paragraph" w:styleId="17">
    <w:name w:val="toc 1"/>
    <w:basedOn w:val="1"/>
    <w:next w:val="1"/>
    <w:autoRedefine/>
    <w:qFormat/>
    <w:uiPriority w:val="39"/>
    <w:pPr>
      <w:tabs>
        <w:tab w:val="left" w:pos="1470"/>
        <w:tab w:val="right" w:leader="dot" w:pos="9016"/>
      </w:tabs>
      <w:ind w:firstLine="480"/>
    </w:pPr>
    <w:rPr>
      <w:rFonts w:ascii="宋体" w:hAnsi="宋体" w:eastAsia="仿宋_GB2312"/>
      <w:b/>
      <w:sz w:val="30"/>
      <w:szCs w:val="30"/>
    </w:rPr>
  </w:style>
  <w:style w:type="paragraph" w:styleId="18">
    <w:name w:val="List"/>
    <w:basedOn w:val="1"/>
    <w:autoRedefine/>
    <w:qFormat/>
    <w:uiPriority w:val="0"/>
    <w:pPr>
      <w:ind w:left="200" w:hanging="200" w:hangingChars="200"/>
    </w:pPr>
  </w:style>
  <w:style w:type="paragraph" w:styleId="19">
    <w:name w:val="footnote text"/>
    <w:basedOn w:val="1"/>
    <w:autoRedefine/>
    <w:qFormat/>
    <w:uiPriority w:val="0"/>
    <w:pPr>
      <w:snapToGrid w:val="0"/>
      <w:jc w:val="left"/>
    </w:pPr>
    <w:rPr>
      <w:sz w:val="18"/>
    </w:rPr>
  </w:style>
  <w:style w:type="paragraph" w:styleId="20">
    <w:name w:val="toc 6"/>
    <w:basedOn w:val="1"/>
    <w:next w:val="1"/>
    <w:autoRedefine/>
    <w:qFormat/>
    <w:uiPriority w:val="0"/>
    <w:pPr>
      <w:ind w:left="2100" w:leftChars="1000"/>
    </w:pPr>
    <w:rPr>
      <w:rFonts w:ascii="Calibri" w:hAnsi="Calibri"/>
      <w:szCs w:val="22"/>
    </w:rPr>
  </w:style>
  <w:style w:type="paragraph" w:styleId="21">
    <w:name w:val="index 7"/>
    <w:basedOn w:val="1"/>
    <w:next w:val="1"/>
    <w:autoRedefine/>
    <w:semiHidden/>
    <w:qFormat/>
    <w:uiPriority w:val="0"/>
    <w:pPr>
      <w:ind w:left="1200" w:leftChars="1200"/>
    </w:pPr>
  </w:style>
  <w:style w:type="paragraph" w:styleId="22">
    <w:name w:val="toc 2"/>
    <w:basedOn w:val="1"/>
    <w:next w:val="1"/>
    <w:autoRedefine/>
    <w:qFormat/>
    <w:uiPriority w:val="39"/>
    <w:pPr>
      <w:tabs>
        <w:tab w:val="right" w:leader="dot" w:pos="9060"/>
      </w:tabs>
      <w:ind w:left="525" w:leftChars="250"/>
      <w:jc w:val="center"/>
    </w:pPr>
    <w:rPr>
      <w:rFonts w:ascii="宋体" w:hAnsi="宋体" w:eastAsia="仿宋_GB2312"/>
      <w:b/>
      <w:bCs/>
      <w:sz w:val="30"/>
      <w:szCs w:val="30"/>
    </w:rPr>
  </w:style>
  <w:style w:type="paragraph" w:styleId="23">
    <w:name w:val="toc 9"/>
    <w:basedOn w:val="1"/>
    <w:next w:val="1"/>
    <w:qFormat/>
    <w:uiPriority w:val="0"/>
    <w:pPr>
      <w:ind w:left="3360" w:leftChars="1600"/>
    </w:pPr>
  </w:style>
  <w:style w:type="paragraph" w:styleId="24">
    <w:name w:val="Normal (Web)"/>
    <w:basedOn w:val="1"/>
    <w:autoRedefine/>
    <w:qFormat/>
    <w:uiPriority w:val="0"/>
    <w:pPr>
      <w:widowControl/>
      <w:jc w:val="left"/>
    </w:pPr>
    <w:rPr>
      <w:rFonts w:ascii="宋体" w:hAnsi="宋体"/>
      <w:kern w:val="0"/>
      <w:sz w:val="24"/>
    </w:rPr>
  </w:style>
  <w:style w:type="paragraph" w:styleId="25">
    <w:name w:val="Title"/>
    <w:basedOn w:val="1"/>
    <w:next w:val="1"/>
    <w:autoRedefine/>
    <w:qFormat/>
    <w:uiPriority w:val="10"/>
    <w:pPr>
      <w:widowControl/>
      <w:overflowPunct w:val="0"/>
      <w:autoSpaceDE w:val="0"/>
      <w:autoSpaceDN w:val="0"/>
      <w:adjustRightInd w:val="0"/>
      <w:spacing w:line="420" w:lineRule="exact"/>
      <w:jc w:val="center"/>
      <w:textAlignment w:val="baseline"/>
    </w:pPr>
    <w:rPr>
      <w:rFonts w:eastAsia="黑体"/>
      <w:b/>
      <w:kern w:val="0"/>
      <w:sz w:val="28"/>
      <w:szCs w:val="20"/>
      <w:lang w:val="en-GB"/>
    </w:rPr>
  </w:style>
  <w:style w:type="paragraph" w:styleId="26">
    <w:name w:val="Body Text First Indent"/>
    <w:basedOn w:val="7"/>
    <w:next w:val="1"/>
    <w:autoRedefine/>
    <w:qFormat/>
    <w:uiPriority w:val="0"/>
    <w:pPr>
      <w:spacing w:after="120" w:line="240" w:lineRule="auto"/>
      <w:ind w:firstLine="420"/>
    </w:pPr>
    <w:rPr>
      <w:lang w:val="zh-CN"/>
    </w:rPr>
  </w:style>
  <w:style w:type="paragraph" w:styleId="27">
    <w:name w:val="Body Text First Indent 2"/>
    <w:basedOn w:val="8"/>
    <w:next w:val="1"/>
    <w:autoRedefine/>
    <w:qFormat/>
    <w:uiPriority w:val="0"/>
    <w:pPr>
      <w:tabs>
        <w:tab w:val="left" w:pos="900"/>
      </w:tabs>
      <w:autoSpaceDE w:val="0"/>
      <w:autoSpaceDN w:val="0"/>
      <w:adjustRightInd w:val="0"/>
      <w:spacing w:line="540" w:lineRule="exact"/>
      <w:ind w:firstLine="420"/>
    </w:pPr>
    <w:rPr>
      <w:rFonts w:ascii="仿宋_GB2312" w:eastAsia="仿宋_GB2312"/>
      <w:szCs w:val="28"/>
      <w:lang w:val="zh-CN"/>
    </w:rPr>
  </w:style>
  <w:style w:type="table" w:styleId="29">
    <w:name w:val="Table Grid"/>
    <w:basedOn w:val="2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page number"/>
    <w:autoRedefine/>
    <w:qFormat/>
    <w:uiPriority w:val="99"/>
  </w:style>
  <w:style w:type="character" w:styleId="32">
    <w:name w:val="Hyperlink"/>
    <w:autoRedefine/>
    <w:qFormat/>
    <w:uiPriority w:val="99"/>
    <w:rPr>
      <w:color w:val="000000"/>
      <w:u w:val="none"/>
    </w:rPr>
  </w:style>
  <w:style w:type="character" w:styleId="33">
    <w:name w:val="footnote reference"/>
    <w:basedOn w:val="30"/>
    <w:autoRedefine/>
    <w:qFormat/>
    <w:uiPriority w:val="0"/>
    <w:rPr>
      <w:vertAlign w:val="superscript"/>
    </w:rPr>
  </w:style>
  <w:style w:type="paragraph" w:styleId="34">
    <w:name w:val="List Paragraph"/>
    <w:basedOn w:val="1"/>
    <w:autoRedefine/>
    <w:qFormat/>
    <w:uiPriority w:val="34"/>
    <w:pPr>
      <w:ind w:firstLine="420" w:firstLineChars="200"/>
    </w:pPr>
    <w:rPr>
      <w:rFonts w:ascii="Verdana" w:hAnsi="Verdana" w:eastAsia="微软雅黑"/>
    </w:rPr>
  </w:style>
  <w:style w:type="paragraph" w:customStyle="1" w:styleId="35">
    <w:name w:val="样式 正文文本缩进 + 首行缩进:  2 字符 行距: 1.5 倍行距"/>
    <w:basedOn w:val="8"/>
    <w:autoRedefine/>
    <w:qFormat/>
    <w:uiPriority w:val="0"/>
    <w:pPr>
      <w:spacing w:before="156" w:after="120"/>
      <w:ind w:firstLine="645"/>
    </w:pPr>
    <w:rPr>
      <w:rFonts w:ascii="Calibri" w:hAnsi="Calibri" w:cs="宋体"/>
      <w:kern w:val="0"/>
    </w:rPr>
  </w:style>
  <w:style w:type="paragraph" w:customStyle="1" w:styleId="36">
    <w:name w:val="Default"/>
    <w:autoRedefine/>
    <w:qFormat/>
    <w:uiPriority w:val="0"/>
    <w:pPr>
      <w:widowControl w:val="0"/>
      <w:autoSpaceDE w:val="0"/>
      <w:autoSpaceDN w:val="0"/>
      <w:adjustRightInd w:val="0"/>
    </w:pPr>
    <w:rPr>
      <w:rFonts w:ascii="华文细黑" w:hAnsi="Times New Roman" w:eastAsia="华文细黑" w:cs="华文细黑"/>
      <w:color w:val="000000"/>
      <w:sz w:val="24"/>
      <w:szCs w:val="24"/>
      <w:lang w:val="en-US" w:eastAsia="zh-CN" w:bidi="ar-SA"/>
    </w:rPr>
  </w:style>
  <w:style w:type="paragraph" w:customStyle="1" w:styleId="37">
    <w:name w:val="Other|1"/>
    <w:basedOn w:val="1"/>
    <w:autoRedefine/>
    <w:qFormat/>
    <w:uiPriority w:val="0"/>
    <w:rPr>
      <w:rFonts w:ascii="宋体" w:hAnsi="宋体" w:cs="宋体"/>
      <w:sz w:val="22"/>
      <w:szCs w:val="22"/>
      <w:lang w:val="zh-TW" w:eastAsia="zh-TW" w:bidi="zh-TW"/>
    </w:rPr>
  </w:style>
  <w:style w:type="paragraph" w:customStyle="1" w:styleId="38">
    <w:name w:val="WPSOffice手动目录 1"/>
    <w:autoRedefine/>
    <w:qFormat/>
    <w:uiPriority w:val="0"/>
    <w:rPr>
      <w:rFonts w:ascii="Times New Roman" w:hAnsi="Times New Roman" w:eastAsia="宋体" w:cs="Times New Roman"/>
      <w:lang w:val="en-US" w:eastAsia="zh-CN" w:bidi="ar-SA"/>
    </w:rPr>
  </w:style>
  <w:style w:type="paragraph" w:customStyle="1" w:styleId="39">
    <w:name w:val="Char"/>
    <w:basedOn w:val="1"/>
    <w:autoRedefine/>
    <w:qFormat/>
    <w:uiPriority w:val="0"/>
    <w:rPr>
      <w:rFonts w:ascii="Tahoma" w:hAnsi="Tahoma"/>
      <w:sz w:val="24"/>
      <w:szCs w:val="20"/>
    </w:rPr>
  </w:style>
  <w:style w:type="paragraph" w:customStyle="1" w:styleId="40">
    <w:name w:val="章正文"/>
    <w:basedOn w:val="1"/>
    <w:autoRedefine/>
    <w:qFormat/>
    <w:uiPriority w:val="99"/>
    <w:pPr>
      <w:spacing w:beforeLines="50" w:after="120" w:line="300" w:lineRule="auto"/>
      <w:ind w:firstLine="480"/>
    </w:pPr>
    <w:rPr>
      <w:rFonts w:ascii="Helvetica" w:hAnsi="Helvetica"/>
      <w:kern w:val="0"/>
      <w:sz w:val="24"/>
    </w:rPr>
  </w:style>
  <w:style w:type="paragraph" w:customStyle="1" w:styleId="41">
    <w:name w:val="纯文本_3"/>
    <w:basedOn w:val="42"/>
    <w:autoRedefine/>
    <w:qFormat/>
    <w:uiPriority w:val="0"/>
    <w:rPr>
      <w:rFonts w:ascii="宋体" w:hAnsi="Courier New"/>
      <w:szCs w:val="20"/>
    </w:rPr>
  </w:style>
  <w:style w:type="paragraph" w:customStyle="1" w:styleId="42">
    <w:name w:val="正文_5"/>
    <w:basedOn w:val="43"/>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正文_2_3"/>
    <w:next w:val="44"/>
    <w:qFormat/>
    <w:uiPriority w:val="1"/>
    <w:pPr>
      <w:jc w:val="both"/>
    </w:pPr>
    <w:rPr>
      <w:rFonts w:ascii="Times New Roman" w:hAnsi="Times New Roman" w:eastAsia="宋体" w:cs="Times New Roman"/>
      <w:sz w:val="21"/>
      <w:szCs w:val="21"/>
      <w:lang w:val="en-US" w:eastAsia="zh-CN" w:bidi="ar-SA"/>
    </w:rPr>
  </w:style>
  <w:style w:type="paragraph" w:customStyle="1" w:styleId="44">
    <w:name w:val="标题 1_2_0"/>
    <w:basedOn w:val="45"/>
    <w:next w:val="43"/>
    <w:qFormat/>
    <w:uiPriority w:val="7"/>
    <w:pPr>
      <w:keepNext/>
      <w:keepLines/>
      <w:outlineLvl w:val="0"/>
    </w:pPr>
    <w:rPr>
      <w:b/>
      <w:sz w:val="32"/>
      <w:szCs w:val="32"/>
    </w:rPr>
  </w:style>
  <w:style w:type="paragraph" w:customStyle="1" w:styleId="45">
    <w:name w:val="正文_4_1"/>
    <w:basedOn w:val="46"/>
    <w:next w:val="44"/>
    <w:qFormat/>
    <w:uiPriority w:val="1"/>
    <w:pPr>
      <w:jc w:val="both"/>
    </w:pPr>
    <w:rPr>
      <w:rFonts w:ascii="Times New Roman" w:hAnsi="Times New Roman" w:eastAsia="宋体" w:cs="Times New Roman"/>
      <w:kern w:val="0"/>
      <w:sz w:val="21"/>
      <w:szCs w:val="21"/>
      <w:lang w:val="en-US" w:eastAsia="zh-CN" w:bidi="ar-SA"/>
    </w:rPr>
  </w:style>
  <w:style w:type="paragraph" w:customStyle="1" w:styleId="46">
    <w:name w:val="正文_3_0_1"/>
    <w:basedOn w:val="47"/>
    <w:qFormat/>
    <w:uiPriority w:val="1"/>
    <w:pPr>
      <w:jc w:val="both"/>
    </w:pPr>
    <w:rPr>
      <w:sz w:val="21"/>
      <w:szCs w:val="21"/>
    </w:rPr>
  </w:style>
  <w:style w:type="paragraph" w:customStyle="1" w:styleId="47">
    <w:name w:val="Normal_1_2"/>
    <w:next w:val="48"/>
    <w:qFormat/>
    <w:uiPriority w:val="0"/>
    <w:rPr>
      <w:rFonts w:ascii="Times New Roman" w:hAnsi="Times New Roman" w:eastAsia="Times New Roman" w:cs="Times New Roman"/>
      <w:sz w:val="24"/>
      <w:szCs w:val="24"/>
      <w:lang w:val="en-US" w:eastAsia="zh-CN" w:bidi="ar-SA"/>
    </w:rPr>
  </w:style>
  <w:style w:type="paragraph" w:customStyle="1" w:styleId="48">
    <w:name w:val="正文_3"/>
    <w:next w:val="49"/>
    <w:qFormat/>
    <w:uiPriority w:val="1"/>
    <w:pPr>
      <w:jc w:val="both"/>
    </w:pPr>
    <w:rPr>
      <w:rFonts w:ascii="Times New Roman" w:hAnsi="Times New Roman" w:eastAsia="宋体" w:cs="Times New Roman"/>
      <w:sz w:val="21"/>
      <w:szCs w:val="21"/>
      <w:lang w:val="en-US" w:eastAsia="zh-CN" w:bidi="ar-SA"/>
    </w:rPr>
  </w:style>
  <w:style w:type="paragraph" w:customStyle="1" w:styleId="49">
    <w:name w:val="标题 1_1"/>
    <w:basedOn w:val="50"/>
    <w:next w:val="48"/>
    <w:qFormat/>
    <w:uiPriority w:val="7"/>
    <w:pPr>
      <w:keepNext/>
      <w:keepLines/>
      <w:outlineLvl w:val="0"/>
    </w:pPr>
    <w:rPr>
      <w:b/>
      <w:sz w:val="32"/>
      <w:szCs w:val="32"/>
    </w:rPr>
  </w:style>
  <w:style w:type="paragraph" w:customStyle="1" w:styleId="50">
    <w:name w:val="正文_3_3"/>
    <w:next w:val="42"/>
    <w:qFormat/>
    <w:uiPriority w:val="1"/>
    <w:pPr>
      <w:jc w:val="both"/>
    </w:pPr>
    <w:rPr>
      <w:rFonts w:ascii="Times New Roman" w:hAnsi="Times New Roman" w:eastAsia="宋体" w:cs="Times New Roman"/>
      <w:sz w:val="21"/>
      <w:szCs w:val="21"/>
      <w:lang w:val="en-US" w:eastAsia="zh-CN" w:bidi="ar-SA"/>
    </w:rPr>
  </w:style>
  <w:style w:type="paragraph" w:customStyle="1" w:styleId="51">
    <w:name w:val="标题 2_2"/>
    <w:basedOn w:val="52"/>
    <w:next w:val="42"/>
    <w:qFormat/>
    <w:uiPriority w:val="8"/>
    <w:pPr>
      <w:keepNext/>
      <w:keepLines/>
      <w:outlineLvl w:val="1"/>
    </w:pPr>
    <w:rPr>
      <w:rFonts w:ascii="Arial" w:hAnsi="Arial" w:eastAsia="Arial"/>
      <w:b/>
      <w:sz w:val="24"/>
      <w:szCs w:val="24"/>
    </w:rPr>
  </w:style>
  <w:style w:type="paragraph" w:customStyle="1" w:styleId="52">
    <w:name w:val="正文_3_2"/>
    <w:next w:val="53"/>
    <w:qFormat/>
    <w:uiPriority w:val="1"/>
    <w:pPr>
      <w:jc w:val="both"/>
    </w:pPr>
    <w:rPr>
      <w:rFonts w:ascii="Times New Roman" w:hAnsi="Times New Roman" w:eastAsia="宋体" w:cs="Times New Roman"/>
      <w:sz w:val="21"/>
      <w:szCs w:val="21"/>
      <w:lang w:val="en-US" w:eastAsia="zh-CN" w:bidi="ar-SA"/>
    </w:rPr>
  </w:style>
  <w:style w:type="paragraph" w:customStyle="1" w:styleId="53">
    <w:name w:val="标题 1_1_1"/>
    <w:basedOn w:val="54"/>
    <w:next w:val="77"/>
    <w:qFormat/>
    <w:uiPriority w:val="7"/>
    <w:pPr>
      <w:keepNext/>
      <w:keepLines/>
      <w:outlineLvl w:val="0"/>
    </w:pPr>
    <w:rPr>
      <w:b/>
      <w:sz w:val="32"/>
      <w:szCs w:val="32"/>
    </w:rPr>
  </w:style>
  <w:style w:type="paragraph" w:customStyle="1" w:styleId="54">
    <w:name w:val="正文_3_3_1"/>
    <w:next w:val="55"/>
    <w:qFormat/>
    <w:uiPriority w:val="1"/>
    <w:pPr>
      <w:jc w:val="both"/>
    </w:pPr>
    <w:rPr>
      <w:rFonts w:ascii="Times New Roman" w:hAnsi="Times New Roman" w:eastAsia="宋体" w:cs="Times New Roman"/>
      <w:sz w:val="21"/>
      <w:szCs w:val="21"/>
      <w:lang w:val="en-US" w:eastAsia="zh-CN" w:bidi="ar-SA"/>
    </w:rPr>
  </w:style>
  <w:style w:type="paragraph" w:customStyle="1" w:styleId="55">
    <w:name w:val="正文_5_1"/>
    <w:basedOn w:val="56"/>
    <w:next w:val="74"/>
    <w:qFormat/>
    <w:uiPriority w:val="1"/>
    <w:pPr>
      <w:jc w:val="both"/>
    </w:pPr>
    <w:rPr>
      <w:rFonts w:ascii="Times New Roman" w:hAnsi="Times New Roman"/>
      <w:sz w:val="21"/>
      <w:szCs w:val="21"/>
      <w:lang w:val="en-US" w:eastAsia="zh-CN" w:bidi="ar-SA"/>
    </w:rPr>
  </w:style>
  <w:style w:type="paragraph" w:customStyle="1" w:styleId="56">
    <w:name w:val="正文_2_3_1"/>
    <w:next w:val="57"/>
    <w:qFormat/>
    <w:uiPriority w:val="1"/>
    <w:pPr>
      <w:jc w:val="both"/>
    </w:pPr>
    <w:rPr>
      <w:rFonts w:ascii="Times New Roman" w:hAnsi="Times New Roman" w:eastAsia="宋体" w:cs="Times New Roman"/>
      <w:sz w:val="21"/>
      <w:szCs w:val="21"/>
      <w:lang w:val="en-US" w:eastAsia="zh-CN" w:bidi="ar-SA"/>
    </w:rPr>
  </w:style>
  <w:style w:type="paragraph" w:customStyle="1" w:styleId="57">
    <w:name w:val="标题 1_2_0_0_1"/>
    <w:basedOn w:val="58"/>
    <w:next w:val="56"/>
    <w:qFormat/>
    <w:uiPriority w:val="7"/>
    <w:pPr>
      <w:keepNext/>
      <w:keepLines/>
      <w:outlineLvl w:val="0"/>
    </w:pPr>
    <w:rPr>
      <w:b/>
      <w:sz w:val="32"/>
      <w:szCs w:val="32"/>
    </w:rPr>
  </w:style>
  <w:style w:type="paragraph" w:customStyle="1" w:styleId="58">
    <w:name w:val="正文_4_1_0_1"/>
    <w:basedOn w:val="59"/>
    <w:next w:val="57"/>
    <w:qFormat/>
    <w:uiPriority w:val="0"/>
    <w:pPr>
      <w:widowControl w:val="0"/>
      <w:jc w:val="both"/>
    </w:pPr>
    <w:rPr>
      <w:rFonts w:ascii="Calibri" w:hAnsi="Calibri"/>
      <w:kern w:val="2"/>
      <w:sz w:val="21"/>
      <w:szCs w:val="22"/>
      <w:lang w:val="en-US" w:eastAsia="zh-CN" w:bidi="ar-SA"/>
    </w:rPr>
  </w:style>
  <w:style w:type="paragraph" w:customStyle="1" w:styleId="59">
    <w:name w:val="正文_3_0_1_0_1"/>
    <w:basedOn w:val="60"/>
    <w:next w:val="70"/>
    <w:qFormat/>
    <w:uiPriority w:val="1"/>
    <w:pPr>
      <w:jc w:val="both"/>
    </w:pPr>
    <w:rPr>
      <w:sz w:val="21"/>
      <w:szCs w:val="21"/>
      <w:lang w:val="en-US" w:eastAsia="zh-CN" w:bidi="ar-SA"/>
    </w:rPr>
  </w:style>
  <w:style w:type="paragraph" w:customStyle="1" w:styleId="60">
    <w:name w:val="Normal_1_2_1"/>
    <w:next w:val="61"/>
    <w:qFormat/>
    <w:uiPriority w:val="0"/>
    <w:rPr>
      <w:rFonts w:ascii="Times New Roman" w:hAnsi="Times New Roman" w:eastAsia="Times New Roman" w:cs="Times New Roman"/>
      <w:sz w:val="24"/>
      <w:szCs w:val="24"/>
      <w:lang w:val="en-US" w:eastAsia="zh-CN" w:bidi="ar-SA"/>
    </w:rPr>
  </w:style>
  <w:style w:type="paragraph" w:customStyle="1" w:styleId="61">
    <w:name w:val="正文_3_2_1_1"/>
    <w:next w:val="62"/>
    <w:qFormat/>
    <w:uiPriority w:val="1"/>
    <w:pPr>
      <w:jc w:val="both"/>
    </w:pPr>
    <w:rPr>
      <w:rFonts w:ascii="Times New Roman" w:hAnsi="Times New Roman" w:eastAsia="宋体" w:cs="Times New Roman"/>
      <w:sz w:val="21"/>
      <w:szCs w:val="21"/>
      <w:lang w:val="en-US" w:eastAsia="zh-CN" w:bidi="ar-SA"/>
    </w:rPr>
  </w:style>
  <w:style w:type="paragraph" w:customStyle="1" w:styleId="62">
    <w:name w:val="正文首行缩进 2_1_0_1_1"/>
    <w:basedOn w:val="63"/>
    <w:qFormat/>
    <w:uiPriority w:val="0"/>
    <w:pPr>
      <w:spacing w:after="120"/>
      <w:ind w:left="200" w:leftChars="200" w:firstLine="420" w:firstLineChars="200"/>
    </w:pPr>
    <w:rPr>
      <w:sz w:val="21"/>
    </w:rPr>
  </w:style>
  <w:style w:type="paragraph" w:customStyle="1" w:styleId="63">
    <w:name w:val="正文文本缩进_2_0_1_1"/>
    <w:basedOn w:val="64"/>
    <w:next w:val="61"/>
    <w:qFormat/>
    <w:uiPriority w:val="0"/>
    <w:pPr>
      <w:ind w:left="420"/>
    </w:pPr>
    <w:rPr>
      <w:sz w:val="20"/>
      <w:szCs w:val="20"/>
    </w:rPr>
  </w:style>
  <w:style w:type="paragraph" w:customStyle="1" w:styleId="64">
    <w:name w:val="正文_4_0_0_1_1"/>
    <w:basedOn w:val="65"/>
    <w:next w:val="62"/>
    <w:qFormat/>
    <w:uiPriority w:val="1"/>
  </w:style>
  <w:style w:type="paragraph" w:customStyle="1" w:styleId="65">
    <w:name w:val="正文_3_1_1_1"/>
    <w:next w:val="66"/>
    <w:qFormat/>
    <w:uiPriority w:val="1"/>
    <w:pPr>
      <w:jc w:val="both"/>
    </w:pPr>
    <w:rPr>
      <w:rFonts w:ascii="Times New Roman" w:hAnsi="Times New Roman" w:eastAsia="宋体" w:cs="Times New Roman"/>
      <w:sz w:val="21"/>
      <w:szCs w:val="21"/>
      <w:lang w:val="en-US" w:eastAsia="zh-CN" w:bidi="ar-SA"/>
    </w:rPr>
  </w:style>
  <w:style w:type="paragraph" w:customStyle="1" w:styleId="66">
    <w:name w:val="正文首行缩进 2_0_0_1_1"/>
    <w:basedOn w:val="67"/>
    <w:qFormat/>
    <w:uiPriority w:val="0"/>
    <w:pPr>
      <w:spacing w:after="120"/>
      <w:ind w:left="200" w:leftChars="200" w:firstLine="420" w:firstLineChars="200"/>
    </w:pPr>
    <w:rPr>
      <w:sz w:val="21"/>
    </w:rPr>
  </w:style>
  <w:style w:type="paragraph" w:customStyle="1" w:styleId="67">
    <w:name w:val="正文文本缩进_0_0_1_1"/>
    <w:basedOn w:val="68"/>
    <w:next w:val="69"/>
    <w:qFormat/>
    <w:uiPriority w:val="0"/>
    <w:pPr>
      <w:ind w:left="420"/>
    </w:pPr>
    <w:rPr>
      <w:sz w:val="20"/>
      <w:szCs w:val="20"/>
    </w:rPr>
  </w:style>
  <w:style w:type="paragraph" w:customStyle="1" w:styleId="68">
    <w:name w:val="正文_10_1_1"/>
    <w:next w:val="66"/>
    <w:qFormat/>
    <w:uiPriority w:val="1"/>
    <w:pPr>
      <w:jc w:val="both"/>
    </w:pPr>
    <w:rPr>
      <w:rFonts w:ascii="Times New Roman" w:hAnsi="Times New Roman" w:eastAsia="宋体" w:cs="Times New Roman"/>
      <w:sz w:val="21"/>
      <w:szCs w:val="21"/>
      <w:lang w:val="en-US" w:eastAsia="zh-CN" w:bidi="ar-SA"/>
    </w:rPr>
  </w:style>
  <w:style w:type="paragraph" w:customStyle="1" w:styleId="69">
    <w:name w:val="正文_13_1_1"/>
    <w:next w:val="66"/>
    <w:qFormat/>
    <w:uiPriority w:val="1"/>
    <w:pPr>
      <w:jc w:val="both"/>
    </w:pPr>
    <w:rPr>
      <w:rFonts w:ascii="Times New Roman" w:hAnsi="Times New Roman" w:eastAsia="宋体" w:cs="Times New Roman"/>
      <w:sz w:val="21"/>
      <w:szCs w:val="21"/>
      <w:lang w:val="en-US" w:eastAsia="zh-CN" w:bidi="ar-SA"/>
    </w:rPr>
  </w:style>
  <w:style w:type="paragraph" w:customStyle="1" w:styleId="70">
    <w:name w:val="正文首行缩进 2_1_0_0_0_1"/>
    <w:basedOn w:val="71"/>
    <w:qFormat/>
    <w:uiPriority w:val="0"/>
    <w:pPr>
      <w:spacing w:after="120"/>
      <w:ind w:left="200" w:leftChars="200" w:firstLine="420" w:firstLineChars="200"/>
    </w:pPr>
    <w:rPr>
      <w:sz w:val="21"/>
    </w:rPr>
  </w:style>
  <w:style w:type="paragraph" w:customStyle="1" w:styleId="71">
    <w:name w:val="正文文本缩进_2_0_0_0_1"/>
    <w:basedOn w:val="72"/>
    <w:next w:val="73"/>
    <w:qFormat/>
    <w:uiPriority w:val="0"/>
    <w:pPr>
      <w:ind w:left="420"/>
    </w:pPr>
    <w:rPr>
      <w:sz w:val="20"/>
      <w:szCs w:val="20"/>
    </w:rPr>
  </w:style>
  <w:style w:type="paragraph" w:customStyle="1" w:styleId="72">
    <w:name w:val="正文_4_0_0_0_0_1"/>
    <w:next w:val="70"/>
    <w:qFormat/>
    <w:uiPriority w:val="1"/>
    <w:pPr>
      <w:jc w:val="both"/>
    </w:pPr>
    <w:rPr>
      <w:rFonts w:ascii="Times New Roman" w:hAnsi="Times New Roman" w:eastAsia="宋体" w:cs="Times New Roman"/>
      <w:sz w:val="21"/>
      <w:szCs w:val="21"/>
      <w:lang w:val="en-US" w:eastAsia="zh-CN" w:bidi="ar-SA"/>
    </w:rPr>
  </w:style>
  <w:style w:type="paragraph" w:customStyle="1" w:styleId="73">
    <w:name w:val="正文_3_0_2_0_1"/>
    <w:next w:val="70"/>
    <w:qFormat/>
    <w:uiPriority w:val="1"/>
    <w:pPr>
      <w:jc w:val="both"/>
    </w:pPr>
    <w:rPr>
      <w:rFonts w:ascii="Times New Roman" w:hAnsi="Times New Roman" w:eastAsia="宋体" w:cs="Times New Roman"/>
      <w:sz w:val="21"/>
      <w:szCs w:val="21"/>
      <w:lang w:val="en-US" w:eastAsia="zh-CN" w:bidi="ar-SA"/>
    </w:rPr>
  </w:style>
  <w:style w:type="paragraph" w:customStyle="1" w:styleId="74">
    <w:name w:val="正文首行缩进 2_2_1"/>
    <w:basedOn w:val="75"/>
    <w:unhideWhenUsed/>
    <w:qFormat/>
    <w:uiPriority w:val="0"/>
    <w:pPr>
      <w:spacing w:after="120"/>
      <w:ind w:left="200" w:leftChars="200" w:firstLine="420" w:firstLineChars="200"/>
    </w:pPr>
    <w:rPr>
      <w:sz w:val="21"/>
      <w:szCs w:val="21"/>
    </w:rPr>
  </w:style>
  <w:style w:type="paragraph" w:customStyle="1" w:styleId="75">
    <w:name w:val="正文文本缩进_3_1"/>
    <w:basedOn w:val="76"/>
    <w:next w:val="55"/>
    <w:qFormat/>
    <w:uiPriority w:val="0"/>
    <w:pPr>
      <w:ind w:left="420"/>
    </w:pPr>
    <w:rPr>
      <w:sz w:val="20"/>
      <w:szCs w:val="20"/>
    </w:rPr>
  </w:style>
  <w:style w:type="paragraph" w:customStyle="1" w:styleId="76">
    <w:name w:val="正文_8_1"/>
    <w:next w:val="74"/>
    <w:qFormat/>
    <w:uiPriority w:val="1"/>
    <w:pPr>
      <w:jc w:val="both"/>
    </w:pPr>
    <w:rPr>
      <w:rFonts w:ascii="Times New Roman" w:hAnsi="Times New Roman" w:eastAsia="宋体" w:cs="Times New Roman"/>
      <w:sz w:val="21"/>
      <w:szCs w:val="21"/>
      <w:lang w:val="en-US" w:eastAsia="zh-CN" w:bidi="ar-SA"/>
    </w:rPr>
  </w:style>
  <w:style w:type="paragraph" w:customStyle="1" w:styleId="77">
    <w:name w:val="正文_3_2_2"/>
    <w:next w:val="53"/>
    <w:qFormat/>
    <w:uiPriority w:val="1"/>
    <w:pPr>
      <w:jc w:val="both"/>
    </w:pPr>
    <w:rPr>
      <w:rFonts w:ascii="Times New Roman" w:hAnsi="Times New Roman" w:eastAsia="宋体" w:cs="Times New Roman"/>
      <w:sz w:val="21"/>
      <w:szCs w:val="21"/>
      <w:lang w:val="en-US" w:eastAsia="zh-CN" w:bidi="ar-SA"/>
    </w:rPr>
  </w:style>
  <w:style w:type="paragraph" w:customStyle="1" w:styleId="78">
    <w:name w:val="普通(网站)_0"/>
    <w:basedOn w:val="79"/>
    <w:autoRedefine/>
    <w:unhideWhenUsed/>
    <w:qFormat/>
    <w:uiPriority w:val="0"/>
    <w:pPr>
      <w:widowControl/>
      <w:spacing w:before="100" w:beforeAutospacing="1" w:after="100" w:afterAutospacing="1"/>
      <w:jc w:val="left"/>
    </w:pPr>
    <w:rPr>
      <w:rFonts w:ascii="宋体" w:hAnsi="宋体"/>
      <w:kern w:val="0"/>
      <w:sz w:val="24"/>
      <w:szCs w:val="22"/>
    </w:rPr>
  </w:style>
  <w:style w:type="paragraph" w:customStyle="1" w:styleId="79">
    <w:name w:val="正文_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0">
    <w:name w:val="正文缩进1"/>
    <w:basedOn w:val="1"/>
    <w:autoRedefine/>
    <w:qFormat/>
    <w:uiPriority w:val="0"/>
    <w:pPr>
      <w:spacing w:line="300" w:lineRule="auto"/>
      <w:ind w:firstLine="425"/>
    </w:pPr>
    <w:rPr>
      <w:szCs w:val="20"/>
    </w:rPr>
  </w:style>
  <w:style w:type="paragraph" w:customStyle="1" w:styleId="81">
    <w:name w:val="索引 11"/>
    <w:basedOn w:val="1"/>
    <w:next w:val="1"/>
    <w:autoRedefine/>
    <w:qFormat/>
    <w:uiPriority w:val="0"/>
    <w:pPr>
      <w:spacing w:line="360" w:lineRule="auto"/>
    </w:pPr>
    <w:rPr>
      <w:rFonts w:ascii="仿宋_GB2312" w:eastAsia="仿宋_GB2312"/>
      <w:sz w:val="24"/>
      <w:szCs w:val="20"/>
    </w:rPr>
  </w:style>
  <w:style w:type="character" w:customStyle="1" w:styleId="82">
    <w:name w:val="ca-11"/>
    <w:autoRedefine/>
    <w:qFormat/>
    <w:uiPriority w:val="99"/>
    <w:rPr>
      <w:rFonts w:ascii="仿宋_GB2312" w:eastAsia="仿宋_GB2312" w:cs="Times New Roman"/>
      <w:sz w:val="28"/>
      <w:szCs w:val="28"/>
    </w:rPr>
  </w:style>
  <w:style w:type="paragraph" w:customStyle="1" w:styleId="83">
    <w:name w:val="pa-2"/>
    <w:basedOn w:val="1"/>
    <w:autoRedefine/>
    <w:qFormat/>
    <w:uiPriority w:val="99"/>
    <w:pPr>
      <w:widowControl/>
      <w:spacing w:line="360" w:lineRule="atLeast"/>
      <w:ind w:firstLine="560"/>
      <w:jc w:val="left"/>
    </w:pPr>
    <w:rPr>
      <w:rFonts w:ascii="宋体" w:hAnsi="宋体" w:cs="宋体"/>
      <w:kern w:val="0"/>
      <w:sz w:val="24"/>
    </w:rPr>
  </w:style>
  <w:style w:type="character" w:customStyle="1" w:styleId="84">
    <w:name w:val="ca-31"/>
    <w:autoRedefine/>
    <w:qFormat/>
    <w:uiPriority w:val="99"/>
    <w:rPr>
      <w:rFonts w:ascii="仿宋_GB2312" w:eastAsia="仿宋_GB2312" w:cs="Times New Roman"/>
      <w:b/>
      <w:bCs/>
      <w:spacing w:val="-20"/>
      <w:sz w:val="28"/>
      <w:szCs w:val="28"/>
    </w:rPr>
  </w:style>
  <w:style w:type="paragraph" w:customStyle="1" w:styleId="85">
    <w:name w:val="pa-4"/>
    <w:basedOn w:val="1"/>
    <w:autoRedefine/>
    <w:qFormat/>
    <w:uiPriority w:val="99"/>
    <w:pPr>
      <w:widowControl/>
      <w:spacing w:line="360" w:lineRule="atLeast"/>
      <w:jc w:val="left"/>
    </w:pPr>
    <w:rPr>
      <w:rFonts w:ascii="宋体" w:hAnsi="宋体" w:cs="宋体"/>
      <w:kern w:val="0"/>
      <w:sz w:val="24"/>
    </w:rPr>
  </w:style>
  <w:style w:type="paragraph" w:customStyle="1" w:styleId="86">
    <w:name w:val="pa-5"/>
    <w:basedOn w:val="1"/>
    <w:autoRedefine/>
    <w:qFormat/>
    <w:uiPriority w:val="99"/>
    <w:pPr>
      <w:widowControl/>
      <w:spacing w:line="360" w:lineRule="atLeast"/>
      <w:ind w:firstLine="560"/>
      <w:jc w:val="left"/>
    </w:pPr>
    <w:rPr>
      <w:rFonts w:ascii="宋体" w:hAnsi="宋体" w:cs="宋体"/>
      <w:kern w:val="0"/>
      <w:sz w:val="24"/>
    </w:rPr>
  </w:style>
  <w:style w:type="paragraph" w:customStyle="1" w:styleId="87">
    <w:name w:val="正文_1_0"/>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8">
    <w:name w:val="纯文本_0_0"/>
    <w:basedOn w:val="87"/>
    <w:autoRedefine/>
    <w:qFormat/>
    <w:uiPriority w:val="0"/>
    <w:rPr>
      <w:rFonts w:ascii="宋体" w:hAnsi="Courier New"/>
      <w:szCs w:val="21"/>
    </w:rPr>
  </w:style>
  <w:style w:type="paragraph" w:customStyle="1" w:styleId="89">
    <w:name w:val="纯文本_0"/>
    <w:basedOn w:val="1"/>
    <w:autoRedefine/>
    <w:unhideWhenUsed/>
    <w:qFormat/>
    <w:uiPriority w:val="0"/>
    <w:rPr>
      <w:rFonts w:ascii="宋体" w:hAnsi="Courier New"/>
      <w:kern w:val="0"/>
      <w:sz w:val="20"/>
      <w:szCs w:val="20"/>
    </w:rPr>
  </w:style>
  <w:style w:type="paragraph" w:customStyle="1" w:styleId="90">
    <w:name w:val="纯文本_1"/>
    <w:basedOn w:val="1"/>
    <w:autoRedefine/>
    <w:qFormat/>
    <w:uiPriority w:val="0"/>
    <w:rPr>
      <w:rFonts w:ascii="宋体" w:hAnsi="Courier New"/>
      <w:szCs w:val="20"/>
    </w:rPr>
  </w:style>
  <w:style w:type="paragraph" w:customStyle="1" w:styleId="91">
    <w:name w:val="正文_2_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2">
    <w:name w:val="正文_8_0"/>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3">
    <w:name w:val="纯文本_5_0"/>
    <w:basedOn w:val="1"/>
    <w:autoRedefine/>
    <w:qFormat/>
    <w:uiPriority w:val="0"/>
    <w:rPr>
      <w:rFonts w:ascii="宋体" w:hAnsi="Courier New"/>
      <w:szCs w:val="20"/>
    </w:rPr>
  </w:style>
  <w:style w:type="paragraph" w:customStyle="1" w:styleId="94">
    <w:name w:val="正文_15_0"/>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5">
    <w:name w:val="正文_8"/>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6">
    <w:name w:val="正文_21"/>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97">
    <w:name w:val="正文_4"/>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8">
    <w:name w:val="Char_0"/>
    <w:basedOn w:val="79"/>
    <w:autoRedefine/>
    <w:qFormat/>
    <w:uiPriority w:val="0"/>
    <w:rPr>
      <w:rFonts w:ascii="Tahoma" w:hAnsi="Tahoma"/>
      <w:sz w:val="24"/>
      <w:szCs w:val="20"/>
    </w:rPr>
  </w:style>
  <w:style w:type="paragraph" w:customStyle="1" w:styleId="99">
    <w:name w:val="列出段落1"/>
    <w:basedOn w:val="1"/>
    <w:autoRedefine/>
    <w:qFormat/>
    <w:uiPriority w:val="34"/>
    <w:pPr>
      <w:ind w:firstLine="420" w:firstLineChars="200"/>
    </w:pPr>
    <w:rPr>
      <w:rFonts w:ascii="Calibri" w:hAnsi="Calibri"/>
      <w:szCs w:val="22"/>
    </w:rPr>
  </w:style>
  <w:style w:type="paragraph" w:customStyle="1" w:styleId="100">
    <w:name w:val="正文_8_0_0"/>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101">
    <w:name w:val="正文_10_0"/>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102">
    <w:name w:val="普通文字"/>
    <w:basedOn w:val="1"/>
    <w:next w:val="1"/>
    <w:autoRedefine/>
    <w:qFormat/>
    <w:uiPriority w:val="0"/>
    <w:rPr>
      <w:rFonts w:ascii="宋体"/>
    </w:rPr>
  </w:style>
  <w:style w:type="paragraph" w:customStyle="1" w:styleId="103">
    <w:name w:val="Table Paragraph"/>
    <w:basedOn w:val="1"/>
    <w:autoRedefine/>
    <w:unhideWhenUsed/>
    <w:qFormat/>
    <w:uiPriority w:val="1"/>
    <w:pPr>
      <w:spacing w:before="120"/>
      <w:jc w:val="center"/>
    </w:pPr>
    <w:rPr>
      <w:rFonts w:hint="eastAsia"/>
      <w:sz w:val="24"/>
    </w:rPr>
  </w:style>
  <w:style w:type="character" w:customStyle="1" w:styleId="104">
    <w:name w:val="标题 1 Char1"/>
    <w:autoRedefine/>
    <w:qFormat/>
    <w:uiPriority w:val="0"/>
    <w:rPr>
      <w:rFonts w:ascii="Times New Roman" w:hAnsi="Times New Roman" w:eastAsia="宋体" w:cs="Times New Roman"/>
      <w:b/>
      <w:bCs/>
      <w:kern w:val="44"/>
      <w:sz w:val="32"/>
      <w:lang w:val="en-US" w:eastAsia="zh-CN" w:bidi="ar-SA"/>
    </w:rPr>
  </w:style>
  <w:style w:type="paragraph" w:customStyle="1" w:styleId="105">
    <w:name w:val="正文_17"/>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06">
    <w:name w:val="正文_13_0"/>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07">
    <w:name w:val="表格文字"/>
    <w:basedOn w:val="108"/>
    <w:next w:val="7"/>
    <w:autoRedefine/>
    <w:qFormat/>
    <w:uiPriority w:val="0"/>
    <w:pPr>
      <w:adjustRightInd w:val="0"/>
      <w:spacing w:line="420" w:lineRule="atLeast"/>
      <w:textAlignment w:val="baseline"/>
    </w:pPr>
  </w:style>
  <w:style w:type="paragraph" w:customStyle="1" w:styleId="108">
    <w:name w:val="表格"/>
    <w:basedOn w:val="1"/>
    <w:autoRedefine/>
    <w:qFormat/>
    <w:uiPriority w:val="99"/>
    <w:pPr>
      <w:snapToGrid w:val="0"/>
      <w:ind w:firstLine="42" w:firstLineChars="21"/>
    </w:pPr>
    <w:rPr>
      <w:rFonts w:ascii="宋体" w:hAnsi="宋体"/>
      <w:kern w:val="0"/>
      <w:sz w:val="20"/>
      <w:szCs w:val="20"/>
    </w:rPr>
  </w:style>
  <w:style w:type="paragraph" w:customStyle="1" w:styleId="109">
    <w:name w:val="_Style 3"/>
    <w:basedOn w:val="1"/>
    <w:autoRedefine/>
    <w:qFormat/>
    <w:uiPriority w:val="34"/>
    <w:pPr>
      <w:ind w:firstLine="420" w:firstLineChars="200"/>
    </w:pPr>
    <w:rPr>
      <w:rFonts w:eastAsia="仿宋_GB2312"/>
      <w:sz w:val="28"/>
    </w:rPr>
  </w:style>
  <w:style w:type="paragraph" w:customStyle="1" w:styleId="110">
    <w:name w:val="Table Text"/>
    <w:basedOn w:val="1"/>
    <w:autoRedefine/>
    <w:semiHidden/>
    <w:qFormat/>
    <w:uiPriority w:val="0"/>
    <w:rPr>
      <w:rFonts w:ascii="宋体" w:hAnsi="宋体" w:cs="宋体"/>
      <w:sz w:val="20"/>
      <w:szCs w:val="20"/>
      <w:lang w:eastAsia="en-US"/>
    </w:rPr>
  </w:style>
  <w:style w:type="table" w:customStyle="1" w:styleId="111">
    <w:name w:val="Table Normal"/>
    <w:autoRedefine/>
    <w:semiHidden/>
    <w:unhideWhenUsed/>
    <w:qFormat/>
    <w:uiPriority w:val="0"/>
    <w:tblPr>
      <w:tblCellMar>
        <w:top w:w="0" w:type="dxa"/>
        <w:left w:w="0" w:type="dxa"/>
        <w:bottom w:w="0" w:type="dxa"/>
        <w:right w:w="0" w:type="dxa"/>
      </w:tblCellMar>
    </w:tblPr>
  </w:style>
  <w:style w:type="character" w:customStyle="1" w:styleId="112">
    <w:name w:val="正文文本 字符"/>
    <w:basedOn w:val="30"/>
    <w:link w:val="7"/>
    <w:autoRedefine/>
    <w:qFormat/>
    <w:uiPriority w:val="0"/>
    <w:rPr>
      <w:rFonts w:hint="default" w:ascii="Times New Roman" w:hAnsi="Times New Roman" w:eastAsia="宋体" w:cs="Times New Roman"/>
      <w:kern w:val="2"/>
      <w:sz w:val="21"/>
      <w:szCs w:val="24"/>
    </w:rPr>
  </w:style>
  <w:style w:type="character" w:customStyle="1" w:styleId="113">
    <w:name w:val="正文文本首行缩进 字符"/>
    <w:basedOn w:val="112"/>
    <w:autoRedefine/>
    <w:qFormat/>
    <w:uiPriority w:val="0"/>
    <w:rPr>
      <w:rFonts w:hint="default" w:ascii="Times New Roman" w:hAnsi="Times New Roman" w:eastAsia="宋体" w:cs="Times New Roman"/>
      <w:kern w:val="2"/>
      <w:sz w:val="21"/>
      <w:szCs w:val="24"/>
    </w:rPr>
  </w:style>
  <w:style w:type="character" w:customStyle="1" w:styleId="114">
    <w:name w:val="font111"/>
    <w:basedOn w:val="30"/>
    <w:autoRedefine/>
    <w:qFormat/>
    <w:uiPriority w:val="0"/>
    <w:rPr>
      <w:rFonts w:hint="eastAsia" w:ascii="宋体" w:hAnsi="宋体" w:eastAsia="宋体" w:cs="宋体"/>
      <w:color w:val="000000"/>
      <w:sz w:val="20"/>
      <w:szCs w:val="20"/>
      <w:u w:val="none"/>
    </w:rPr>
  </w:style>
  <w:style w:type="character" w:customStyle="1" w:styleId="115">
    <w:name w:val="font91"/>
    <w:basedOn w:val="30"/>
    <w:autoRedefine/>
    <w:qFormat/>
    <w:uiPriority w:val="0"/>
    <w:rPr>
      <w:rFonts w:hint="eastAsia" w:ascii="宋体" w:hAnsi="宋体" w:eastAsia="宋体" w:cs="宋体"/>
      <w:color w:val="000000"/>
      <w:sz w:val="20"/>
      <w:szCs w:val="20"/>
      <w:u w:val="none"/>
      <w:vertAlign w:val="superscript"/>
    </w:rPr>
  </w:style>
  <w:style w:type="character" w:customStyle="1" w:styleId="116">
    <w:name w:val="font41"/>
    <w:basedOn w:val="30"/>
    <w:autoRedefine/>
    <w:qFormat/>
    <w:uiPriority w:val="0"/>
    <w:rPr>
      <w:rFonts w:hint="eastAsia" w:ascii="宋体" w:hAnsi="宋体" w:eastAsia="宋体" w:cs="宋体"/>
      <w:color w:val="000000"/>
      <w:sz w:val="20"/>
      <w:szCs w:val="20"/>
      <w:u w:val="none"/>
    </w:rPr>
  </w:style>
  <w:style w:type="character" w:customStyle="1" w:styleId="117">
    <w:name w:val="font112"/>
    <w:basedOn w:val="30"/>
    <w:autoRedefine/>
    <w:qFormat/>
    <w:uiPriority w:val="0"/>
    <w:rPr>
      <w:rFonts w:hint="eastAsia" w:ascii="宋体" w:hAnsi="宋体" w:eastAsia="宋体" w:cs="宋体"/>
      <w:color w:val="000000"/>
      <w:sz w:val="20"/>
      <w:szCs w:val="20"/>
      <w:u w:val="none"/>
      <w:vertAlign w:val="superscript"/>
    </w:rPr>
  </w:style>
  <w:style w:type="paragraph" w:customStyle="1" w:styleId="118">
    <w:name w:val="目录 54"/>
    <w:next w:val="1"/>
    <w:autoRedefine/>
    <w:qFormat/>
    <w:uiPriority w:val="0"/>
    <w:pPr>
      <w:wordWrap w:val="0"/>
      <w:ind w:left="1275"/>
      <w:jc w:val="both"/>
    </w:pPr>
    <w:rPr>
      <w:rFonts w:ascii="Times New Roman" w:hAnsi="Times New Roman" w:eastAsia="宋体" w:cs="Times New Roman"/>
      <w:sz w:val="21"/>
      <w:lang w:val="en-US" w:eastAsia="zh-CN" w:bidi="ar-SA"/>
    </w:rPr>
  </w:style>
  <w:style w:type="paragraph" w:customStyle="1" w:styleId="119">
    <w:name w:val="首行缩进"/>
    <w:basedOn w:val="1"/>
    <w:autoRedefine/>
    <w:qFormat/>
    <w:uiPriority w:val="0"/>
    <w:pPr>
      <w:ind w:firstLine="480" w:firstLineChars="200"/>
    </w:pPr>
    <w:rPr>
      <w:szCs w:val="20"/>
      <w:lang w:val="zh-CN"/>
    </w:rPr>
  </w:style>
  <w:style w:type="character" w:customStyle="1" w:styleId="120">
    <w:name w:val="NormalCharacter"/>
    <w:autoRedefine/>
    <w:qFormat/>
    <w:uiPriority w:val="0"/>
    <w:rPr>
      <w:rFonts w:ascii="Calibri" w:hAnsi="Calibri" w:eastAsia="宋体" w:cs="Times New Roman"/>
      <w:kern w:val="2"/>
      <w:sz w:val="21"/>
      <w:szCs w:val="24"/>
      <w:lang w:val="en-US" w:eastAsia="zh-CN" w:bidi="ar-SA"/>
    </w:rPr>
  </w:style>
  <w:style w:type="character" w:customStyle="1" w:styleId="121">
    <w:name w:val="font61"/>
    <w:basedOn w:val="30"/>
    <w:autoRedefine/>
    <w:qFormat/>
    <w:uiPriority w:val="0"/>
    <w:rPr>
      <w:rFonts w:ascii="宋体" w:hAnsi="宋体" w:eastAsia="宋体" w:cs="宋体"/>
      <w:color w:val="000000"/>
      <w:sz w:val="20"/>
      <w:szCs w:val="20"/>
      <w:u w:val="none"/>
    </w:rPr>
  </w:style>
  <w:style w:type="character" w:customStyle="1" w:styleId="122">
    <w:name w:val="font81"/>
    <w:basedOn w:val="30"/>
    <w:autoRedefine/>
    <w:qFormat/>
    <w:uiPriority w:val="0"/>
    <w:rPr>
      <w:rFonts w:ascii="宋体" w:hAnsi="宋体" w:eastAsia="宋体" w:cs="宋体"/>
      <w:color w:val="000000"/>
      <w:sz w:val="20"/>
      <w:szCs w:val="20"/>
      <w:u w:val="none"/>
      <w:vertAlign w:val="superscript"/>
    </w:rPr>
  </w:style>
  <w:style w:type="character" w:customStyle="1" w:styleId="123">
    <w:name w:val="font21"/>
    <w:basedOn w:val="30"/>
    <w:autoRedefine/>
    <w:qFormat/>
    <w:uiPriority w:val="0"/>
    <w:rPr>
      <w:rFonts w:hint="eastAsia" w:ascii="宋体" w:hAnsi="宋体" w:eastAsia="宋体" w:cs="宋体"/>
      <w:color w:val="000000"/>
      <w:sz w:val="20"/>
      <w:szCs w:val="20"/>
      <w:u w:val="none"/>
    </w:rPr>
  </w:style>
  <w:style w:type="character" w:customStyle="1" w:styleId="124">
    <w:name w:val="font11"/>
    <w:basedOn w:val="30"/>
    <w:autoRedefine/>
    <w:qFormat/>
    <w:uiPriority w:val="0"/>
    <w:rPr>
      <w:rFonts w:hint="eastAsia" w:ascii="宋体" w:hAnsi="宋体" w:eastAsia="宋体" w:cs="宋体"/>
      <w:color w:val="000000"/>
      <w:sz w:val="20"/>
      <w:szCs w:val="20"/>
      <w:u w:val="none"/>
    </w:rPr>
  </w:style>
  <w:style w:type="character" w:customStyle="1" w:styleId="125">
    <w:name w:val="font51"/>
    <w:basedOn w:val="30"/>
    <w:autoRedefine/>
    <w:qFormat/>
    <w:uiPriority w:val="0"/>
    <w:rPr>
      <w:rFonts w:ascii="宋体" w:hAnsi="宋体" w:eastAsia="宋体" w:cs="宋体"/>
      <w:color w:val="000000"/>
      <w:sz w:val="20"/>
      <w:szCs w:val="20"/>
      <w:u w:val="none"/>
    </w:rPr>
  </w:style>
  <w:style w:type="character" w:customStyle="1" w:styleId="126">
    <w:name w:val="font31"/>
    <w:basedOn w:val="30"/>
    <w:autoRedefine/>
    <w:qFormat/>
    <w:uiPriority w:val="0"/>
    <w:rPr>
      <w:rFonts w:hint="eastAsia" w:ascii="宋体" w:hAnsi="宋体" w:eastAsia="宋体" w:cs="宋体"/>
      <w:b/>
      <w:bCs/>
      <w:color w:val="000000"/>
      <w:sz w:val="20"/>
      <w:szCs w:val="20"/>
      <w:u w:val="none"/>
    </w:rPr>
  </w:style>
  <w:style w:type="character" w:customStyle="1" w:styleId="127">
    <w:name w:val="页眉 字符"/>
    <w:basedOn w:val="30"/>
    <w:link w:val="16"/>
    <w:autoRedefine/>
    <w:qFormat/>
    <w:uiPriority w:val="0"/>
    <w:rPr>
      <w:sz w:val="18"/>
    </w:rPr>
  </w:style>
  <w:style w:type="character" w:customStyle="1" w:styleId="128">
    <w:name w:val="页脚 字符"/>
    <w:basedOn w:val="30"/>
    <w:link w:val="14"/>
    <w:autoRedefine/>
    <w:qFormat/>
    <w:uiPriority w:val="0"/>
    <w:rPr>
      <w:kern w:val="2"/>
      <w:sz w:val="18"/>
      <w:szCs w:val="18"/>
    </w:rPr>
  </w:style>
  <w:style w:type="paragraph" w:customStyle="1" w:styleId="129">
    <w:name w:val="BodyText"/>
    <w:basedOn w:val="1"/>
    <w:autoRedefine/>
    <w:qFormat/>
    <w:uiPriority w:val="0"/>
    <w:pPr>
      <w:spacing w:line="360" w:lineRule="auto"/>
    </w:pPr>
    <w:rPr>
      <w:rFonts w:ascii="宋体"/>
      <w:sz w:val="24"/>
      <w:szCs w:val="21"/>
      <w:lang w:val="zh-CN"/>
    </w:rPr>
  </w:style>
  <w:style w:type="paragraph" w:customStyle="1" w:styleId="130">
    <w:name w:val="p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31">
    <w:name w:val="正文00"/>
    <w:autoRedefine/>
    <w:unhideWhenUsed/>
    <w:qFormat/>
    <w:uiPriority w:val="0"/>
    <w:pPr>
      <w:widowControl w:val="0"/>
      <w:autoSpaceDE w:val="0"/>
      <w:autoSpaceDN w:val="0"/>
      <w:adjustRightInd w:val="0"/>
    </w:pPr>
    <w:rPr>
      <w:rFonts w:asciiTheme="minorEastAsia" w:hAnsiTheme="minorEastAsia" w:eastAsiaTheme="minorEastAsia" w:cstheme="minorEastAsia"/>
      <w:sz w:val="22"/>
      <w:szCs w:val="22"/>
      <w:lang w:val="en-US" w:eastAsia="zh-CN" w:bidi="ar-SA"/>
    </w:rPr>
  </w:style>
  <w:style w:type="paragraph" w:customStyle="1" w:styleId="132">
    <w:name w:val="正文首行缩进1"/>
    <w:basedOn w:val="7"/>
    <w:qFormat/>
    <w:uiPriority w:val="0"/>
    <w:pPr>
      <w:autoSpaceDN w:val="0"/>
      <w:adjustRightInd w:val="0"/>
      <w:ind w:firstLine="420" w:firstLineChars="100"/>
      <w:jc w:val="left"/>
    </w:pPr>
    <w:rPr>
      <w:kern w:val="0"/>
      <w:sz w:val="20"/>
      <w:szCs w:val="20"/>
    </w:rPr>
  </w:style>
  <w:style w:type="paragraph" w:customStyle="1" w:styleId="133">
    <w:name w:val="列出段落2"/>
    <w:basedOn w:val="1"/>
    <w:semiHidden/>
    <w:qFormat/>
    <w:uiPriority w:val="0"/>
    <w:pPr>
      <w:ind w:firstLine="420" w:firstLineChars="200"/>
    </w:pPr>
  </w:style>
  <w:style w:type="paragraph" w:customStyle="1" w:styleId="134">
    <w:name w:val="列表段落1"/>
    <w:basedOn w:val="1"/>
    <w:next w:val="1"/>
    <w:qFormat/>
    <w:uiPriority w:val="0"/>
    <w:pPr>
      <w:autoSpaceDE w:val="0"/>
      <w:ind w:firstLine="420"/>
    </w:pPr>
    <w:rPr>
      <w:sz w:val="28"/>
      <w:szCs w:val="28"/>
    </w:rPr>
  </w:style>
  <w:style w:type="paragraph" w:customStyle="1" w:styleId="135">
    <w:name w:val="三级标题"/>
    <w:basedOn w:val="136"/>
    <w:next w:val="1"/>
    <w:qFormat/>
    <w:uiPriority w:val="0"/>
    <w:pPr>
      <w:numPr>
        <w:ilvl w:val="2"/>
      </w:numPr>
      <w:spacing w:before="360" w:after="240"/>
      <w:outlineLvl w:val="2"/>
    </w:pPr>
  </w:style>
  <w:style w:type="paragraph" w:customStyle="1" w:styleId="136">
    <w:name w:val="二级标题"/>
    <w:basedOn w:val="1"/>
    <w:next w:val="1"/>
    <w:qFormat/>
    <w:uiPriority w:val="0"/>
    <w:pPr>
      <w:numPr>
        <w:ilvl w:val="1"/>
        <w:numId w:val="1"/>
      </w:numPr>
    </w:pPr>
    <w:rPr>
      <w:rFonts w:asciiTheme="minorHAnsi" w:hAnsiTheme="minorHAnsi" w:eastAsiaTheme="minorEastAsia" w:cstheme="minorBidi"/>
      <w:szCs w:val="22"/>
    </w:rPr>
  </w:style>
  <w:style w:type="paragraph" w:customStyle="1" w:styleId="137">
    <w:name w:val="正文首行缩进 21"/>
    <w:basedOn w:val="8"/>
    <w:next w:val="1"/>
    <w:qFormat/>
    <w:uiPriority w:val="0"/>
    <w:pPr>
      <w:autoSpaceDE w:val="0"/>
      <w:spacing w:after="0" w:line="240" w:lineRule="atLeast"/>
      <w:ind w:left="0" w:leftChars="0" w:firstLine="420"/>
    </w:pPr>
    <w:rPr>
      <w:rFonts w:ascii="宋体"/>
      <w:sz w:val="18"/>
      <w:szCs w:val="18"/>
    </w:rPr>
  </w:style>
  <w:style w:type="paragraph" w:customStyle="1" w:styleId="138">
    <w:name w:val="样式1"/>
    <w:basedOn w:val="1"/>
    <w:qFormat/>
    <w:uiPriority w:val="0"/>
    <w:pPr>
      <w:spacing w:line="360" w:lineRule="auto"/>
    </w:pPr>
    <w:rPr>
      <w:rFonts w:ascii="Times New Roman" w:hAnsi="Times New Roman"/>
      <w:sz w:val="24"/>
    </w:rPr>
  </w:style>
  <w:style w:type="paragraph" w:customStyle="1" w:styleId="139">
    <w:name w:val="正文_3_2_0"/>
    <w:next w:val="140"/>
    <w:qFormat/>
    <w:uiPriority w:val="1"/>
    <w:pPr>
      <w:jc w:val="both"/>
    </w:pPr>
    <w:rPr>
      <w:rFonts w:ascii="Times New Roman" w:hAnsi="Times New Roman" w:eastAsia="宋体" w:cs="Times New Roman"/>
      <w:sz w:val="21"/>
      <w:szCs w:val="21"/>
      <w:lang w:val="en-US" w:eastAsia="zh-CN" w:bidi="ar-SA"/>
    </w:rPr>
  </w:style>
  <w:style w:type="paragraph" w:customStyle="1" w:styleId="140">
    <w:name w:val="正文首行缩进 2_1_0_0"/>
    <w:basedOn w:val="141"/>
    <w:qFormat/>
    <w:uiPriority w:val="0"/>
    <w:pPr>
      <w:spacing w:after="120"/>
      <w:ind w:left="200" w:leftChars="200" w:firstLine="420" w:firstLineChars="200"/>
    </w:pPr>
    <w:rPr>
      <w:sz w:val="21"/>
    </w:rPr>
  </w:style>
  <w:style w:type="paragraph" w:customStyle="1" w:styleId="141">
    <w:name w:val="正文文本缩进_2_0_0"/>
    <w:basedOn w:val="142"/>
    <w:next w:val="148"/>
    <w:qFormat/>
    <w:uiPriority w:val="0"/>
    <w:pPr>
      <w:ind w:left="420"/>
    </w:pPr>
    <w:rPr>
      <w:sz w:val="20"/>
      <w:szCs w:val="20"/>
    </w:rPr>
  </w:style>
  <w:style w:type="paragraph" w:customStyle="1" w:styleId="142">
    <w:name w:val="正文_4_0_0_0"/>
    <w:basedOn w:val="143"/>
    <w:next w:val="140"/>
    <w:qFormat/>
    <w:uiPriority w:val="1"/>
  </w:style>
  <w:style w:type="paragraph" w:customStyle="1" w:styleId="143">
    <w:name w:val="正文_3_1_1_0"/>
    <w:next w:val="144"/>
    <w:qFormat/>
    <w:uiPriority w:val="1"/>
    <w:pPr>
      <w:jc w:val="both"/>
    </w:pPr>
    <w:rPr>
      <w:rFonts w:ascii="Times New Roman" w:hAnsi="Times New Roman" w:eastAsia="宋体" w:cs="Times New Roman"/>
      <w:sz w:val="21"/>
      <w:szCs w:val="21"/>
      <w:lang w:val="en-US" w:eastAsia="zh-CN" w:bidi="ar-SA"/>
    </w:rPr>
  </w:style>
  <w:style w:type="paragraph" w:customStyle="1" w:styleId="144">
    <w:name w:val="正文首行缩进 2_0_0_1_0"/>
    <w:basedOn w:val="145"/>
    <w:qFormat/>
    <w:uiPriority w:val="0"/>
    <w:pPr>
      <w:spacing w:after="120"/>
      <w:ind w:left="200" w:leftChars="200" w:firstLine="420" w:firstLineChars="200"/>
    </w:pPr>
    <w:rPr>
      <w:sz w:val="21"/>
    </w:rPr>
  </w:style>
  <w:style w:type="paragraph" w:customStyle="1" w:styleId="145">
    <w:name w:val="正文文本缩进_1_0_1_0"/>
    <w:basedOn w:val="146"/>
    <w:next w:val="143"/>
    <w:qFormat/>
    <w:uiPriority w:val="0"/>
    <w:pPr>
      <w:ind w:left="420"/>
    </w:pPr>
    <w:rPr>
      <w:sz w:val="20"/>
      <w:szCs w:val="20"/>
    </w:rPr>
  </w:style>
  <w:style w:type="paragraph" w:customStyle="1" w:styleId="146">
    <w:name w:val="正文_1_2_1_0"/>
    <w:next w:val="147"/>
    <w:qFormat/>
    <w:uiPriority w:val="1"/>
    <w:pPr>
      <w:jc w:val="both"/>
    </w:pPr>
    <w:rPr>
      <w:rFonts w:ascii="Times New Roman" w:hAnsi="Times New Roman" w:eastAsia="宋体" w:cs="Times New Roman"/>
      <w:sz w:val="21"/>
      <w:szCs w:val="21"/>
      <w:lang w:val="en-US" w:eastAsia="zh-CN" w:bidi="ar-SA"/>
    </w:rPr>
  </w:style>
  <w:style w:type="paragraph" w:customStyle="1" w:styleId="147">
    <w:name w:val="正文首行缩进 2_0_0_2_0"/>
    <w:basedOn w:val="145"/>
    <w:qFormat/>
    <w:uiPriority w:val="0"/>
    <w:pPr>
      <w:spacing w:after="120"/>
      <w:ind w:left="200" w:leftChars="200" w:firstLine="420" w:firstLineChars="200"/>
    </w:pPr>
    <w:rPr>
      <w:sz w:val="21"/>
    </w:rPr>
  </w:style>
  <w:style w:type="paragraph" w:customStyle="1" w:styleId="148">
    <w:name w:val="正文_3_0_2"/>
    <w:basedOn w:val="149"/>
    <w:next w:val="140"/>
    <w:qFormat/>
    <w:uiPriority w:val="1"/>
    <w:pPr>
      <w:jc w:val="both"/>
    </w:pPr>
    <w:rPr>
      <w:rFonts w:ascii="Times New Roman" w:hAnsi="Times New Roman" w:eastAsia="宋体" w:cs="Times New Roman"/>
      <w:sz w:val="21"/>
      <w:szCs w:val="21"/>
      <w:lang w:val="en-US" w:eastAsia="zh-CN" w:bidi="ar-SA"/>
    </w:rPr>
  </w:style>
  <w:style w:type="paragraph" w:customStyle="1" w:styleId="149">
    <w:name w:val="Normal_1_0"/>
    <w:next w:val="150"/>
    <w:qFormat/>
    <w:uiPriority w:val="1"/>
    <w:pPr>
      <w:jc w:val="both"/>
    </w:pPr>
    <w:rPr>
      <w:rFonts w:ascii="Times New Roman" w:hAnsi="Times New Roman" w:eastAsia="宋体" w:cs="Times New Roman"/>
      <w:szCs w:val="21"/>
      <w:lang w:val="en-US" w:eastAsia="zh-CN" w:bidi="ar-SA"/>
    </w:rPr>
  </w:style>
  <w:style w:type="paragraph" w:customStyle="1" w:styleId="150">
    <w:name w:val="Normal_2_0"/>
    <w:qFormat/>
    <w:uiPriority w:val="0"/>
    <w:rPr>
      <w:rFonts w:ascii="Times New Roman" w:hAnsi="Times New Roman" w:eastAsia="Times New Roman" w:cs="Times New Roman"/>
      <w:sz w:val="24"/>
      <w:szCs w:val="24"/>
      <w:lang w:bidi="ar-SA"/>
    </w:rPr>
  </w:style>
  <w:style w:type="paragraph" w:customStyle="1" w:styleId="151">
    <w:name w:val="正文1"/>
    <w:basedOn w:val="10"/>
    <w:next w:val="1"/>
    <w:qFormat/>
    <w:uiPriority w:val="0"/>
    <w:pPr>
      <w:adjustRightInd w:val="0"/>
      <w:spacing w:line="360" w:lineRule="atLeast"/>
      <w:jc w:val="left"/>
      <w:textAlignment w:val="baseline"/>
    </w:pPr>
    <w:rPr>
      <w:rFonts w:ascii="宋体"/>
      <w:kern w:val="0"/>
      <w:sz w:val="24"/>
      <w:szCs w:val="20"/>
    </w:rPr>
  </w:style>
  <w:style w:type="paragraph" w:customStyle="1" w:styleId="152">
    <w:name w:val="Fließtext"/>
    <w:basedOn w:val="1"/>
    <w:qFormat/>
    <w:uiPriority w:val="0"/>
    <w:pPr>
      <w:overflowPunct w:val="0"/>
      <w:autoSpaceDE w:val="0"/>
      <w:autoSpaceDN w:val="0"/>
      <w:adjustRightInd w:val="0"/>
      <w:textAlignment w:val="baseline"/>
    </w:pPr>
    <w:rPr>
      <w:rFonts w:ascii="仿宋" w:hAnsi="仿宋" w:cs="宋体"/>
      <w:kern w:val="28"/>
      <w:szCs w:val="20"/>
    </w:rPr>
  </w:style>
  <w:style w:type="character" w:customStyle="1" w:styleId="153">
    <w:name w:val="font71"/>
    <w:basedOn w:val="30"/>
    <w:qFormat/>
    <w:uiPriority w:val="0"/>
    <w:rPr>
      <w:rFonts w:hint="eastAsia" w:ascii="楷体" w:hAnsi="楷体" w:eastAsia="楷体" w:cs="楷体"/>
      <w:b/>
      <w:bCs/>
      <w:color w:val="FF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header" Target="head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jpe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microsoft.com/office/2011/relationships/commentsExtended" Target="commentsExtended.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comments" Target="comment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2" Type="http://schemas.microsoft.com/office/2011/relationships/people" Target="people.xml"/><Relationship Id="rId141" Type="http://schemas.openxmlformats.org/officeDocument/2006/relationships/fontTable" Target="fontTable.xml"/><Relationship Id="rId140" Type="http://schemas.openxmlformats.org/officeDocument/2006/relationships/numbering" Target="numbering.xml"/><Relationship Id="rId14" Type="http://schemas.openxmlformats.org/officeDocument/2006/relationships/image" Target="media/image3.png"/><Relationship Id="rId139" Type="http://schemas.openxmlformats.org/officeDocument/2006/relationships/customXml" Target="../customXml/item1.xml"/><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pn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161</Pages>
  <Words>64521</Words>
  <Characters>73902</Characters>
  <Lines>408</Lines>
  <Paragraphs>115</Paragraphs>
  <TotalTime>17</TotalTime>
  <ScaleCrop>false</ScaleCrop>
  <LinksUpToDate>false</LinksUpToDate>
  <CharactersWithSpaces>78049</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2024-04-14T04:45:00Z</dcterms:created>
  <dc:creator>浙江忠朗</dc:creator>
  <cp:lastModifiedBy>秀儿</cp:lastModifiedBy>
  <cp:lastPrinted>2025-05-16T00:20:00Z</cp:lastPrinted>
  <dcterms:modified xsi:type="dcterms:W3CDTF">2025-06-25T09:24:57Z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10935F5E3193492B9D4553CE57E3AC87_13</vt:lpwstr>
  </property>
  <property fmtid="{D5CDD505-2E9C-101B-9397-08002B2CF9AE}" pid="4" name="KSOTemplateDocerSaveRecord">
    <vt:lpwstr>eyJoZGlkIjoiYTljMWQ4ZmY5ZGIzNmM2Y2E5ZTNiODkzNWRkMjA4MjgiLCJ1c2VySWQiOiIxMTM1Njc2MzI5In0=</vt:lpwstr>
  </property>
</Properties>
</file>