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67EB5">
      <w:pPr>
        <w:spacing w:before="67"/>
        <w:ind w:right="1232"/>
        <w:jc w:val="both"/>
        <w:rPr>
          <w:rFonts w:hint="eastAsia" w:ascii="宋体" w:hAnsi="宋体" w:eastAsia="宋体" w:cs="宋体"/>
          <w:color w:val="auto"/>
          <w:kern w:val="2"/>
          <w:sz w:val="30"/>
          <w:szCs w:val="30"/>
          <w:highlight w:val="none"/>
          <w:lang w:val="en-US" w:eastAsia="zh-CN" w:bidi="ar-SA"/>
        </w:rPr>
      </w:pPr>
      <w:r>
        <w:rPr>
          <w:rFonts w:hint="eastAsia" w:ascii="宋体" w:hAnsi="宋体" w:eastAsia="宋体" w:cs="宋体"/>
          <w:color w:val="auto"/>
          <w:kern w:val="2"/>
          <w:sz w:val="30"/>
          <w:szCs w:val="30"/>
          <w:highlight w:val="none"/>
          <w:lang w:val="en-US" w:eastAsia="zh-CN" w:bidi="ar-SA"/>
        </w:rPr>
        <w:t>附件二 （二）</w:t>
      </w:r>
    </w:p>
    <w:p w14:paraId="6DBC6939">
      <w:pPr>
        <w:spacing w:before="67"/>
        <w:ind w:left="1217" w:right="1232"/>
        <w:jc w:val="center"/>
        <w:rPr>
          <w:rFonts w:hint="eastAsia" w:ascii="宋体" w:hAnsi="宋体" w:eastAsia="宋体" w:cs="宋体"/>
          <w:color w:val="auto"/>
          <w:sz w:val="24"/>
          <w:szCs w:val="24"/>
          <w:highlight w:val="none"/>
          <w:lang w:val="en-US" w:eastAsia="zh-CN" w:bidi="zh-CN"/>
        </w:rPr>
      </w:pPr>
      <w:bookmarkStart w:id="0" w:name="_GoBack"/>
      <w:r>
        <w:rPr>
          <w:rFonts w:hint="eastAsia" w:ascii="宋体" w:hAnsi="宋体" w:eastAsia="宋体" w:cs="宋体"/>
          <w:b/>
          <w:bCs/>
          <w:color w:val="auto"/>
          <w:kern w:val="2"/>
          <w:sz w:val="36"/>
          <w:szCs w:val="36"/>
          <w:highlight w:val="none"/>
          <w:lang w:val="en-US" w:eastAsia="zh-CN" w:bidi="ar-SA"/>
        </w:rPr>
        <w:t>投标报价明细表</w:t>
      </w:r>
      <w:bookmarkEnd w:id="0"/>
    </w:p>
    <w:p w14:paraId="5BB8417C">
      <w:pPr>
        <w:spacing w:line="360" w:lineRule="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项目名称：苍南县灵溪镇第三小学塑胶操场修建工程</w:t>
      </w:r>
    </w:p>
    <w:p w14:paraId="30106703">
      <w:pPr>
        <w:spacing w:line="360" w:lineRule="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项目编号：                                     （价格单位： 元人民币）</w:t>
      </w:r>
    </w:p>
    <w:tbl>
      <w:tblPr>
        <w:tblStyle w:val="6"/>
        <w:tblW w:w="10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
      <w:tblGrid>
        <w:gridCol w:w="457"/>
        <w:gridCol w:w="781"/>
        <w:gridCol w:w="5934"/>
        <w:gridCol w:w="696"/>
        <w:gridCol w:w="623"/>
        <w:gridCol w:w="600"/>
        <w:gridCol w:w="573"/>
        <w:gridCol w:w="573"/>
      </w:tblGrid>
      <w:tr w14:paraId="35063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642" w:hRule="atLeast"/>
          <w:jc w:val="center"/>
        </w:trPr>
        <w:tc>
          <w:tcPr>
            <w:tcW w:w="457" w:type="dxa"/>
            <w:shd w:val="clear" w:color="auto" w:fill="FFFFFF"/>
            <w:noWrap w:val="0"/>
            <w:vAlign w:val="center"/>
          </w:tcPr>
          <w:p w14:paraId="1F5F7656">
            <w:pPr>
              <w:widowControl/>
              <w:spacing w:after="0" w:line="320" w:lineRule="exact"/>
              <w:jc w:val="center"/>
              <w:rPr>
                <w:rFonts w:hint="eastAsia" w:ascii="宋体" w:hAnsi="宋体" w:eastAsia="宋体" w:cs="宋体"/>
                <w:b/>
                <w:bCs/>
                <w:color w:val="auto"/>
                <w:kern w:val="0"/>
                <w:sz w:val="20"/>
                <w:szCs w:val="20"/>
                <w:highlight w:val="none"/>
                <w:lang w:val="en-US" w:eastAsia="zh-CN"/>
              </w:rPr>
            </w:pPr>
            <w:r>
              <w:rPr>
                <w:rFonts w:hint="eastAsia" w:ascii="宋体" w:hAnsi="宋体" w:eastAsia="宋体" w:cs="宋体"/>
                <w:b/>
                <w:bCs/>
                <w:color w:val="auto"/>
                <w:kern w:val="0"/>
                <w:sz w:val="20"/>
                <w:szCs w:val="20"/>
                <w:highlight w:val="none"/>
                <w:lang w:val="en-US" w:eastAsia="zh-CN"/>
              </w:rPr>
              <w:t>序号</w:t>
            </w:r>
          </w:p>
        </w:tc>
        <w:tc>
          <w:tcPr>
            <w:tcW w:w="781" w:type="dxa"/>
            <w:shd w:val="clear" w:color="auto" w:fill="FFFFFF"/>
            <w:noWrap w:val="0"/>
            <w:vAlign w:val="center"/>
          </w:tcPr>
          <w:p w14:paraId="60EB6070">
            <w:pPr>
              <w:widowControl/>
              <w:spacing w:after="0" w:line="320" w:lineRule="exact"/>
              <w:jc w:val="center"/>
              <w:rPr>
                <w:rFonts w:hint="eastAsia" w:ascii="宋体" w:hAnsi="宋体" w:eastAsia="宋体" w:cs="宋体"/>
                <w:b/>
                <w:bCs/>
                <w:color w:val="auto"/>
                <w:kern w:val="0"/>
                <w:sz w:val="20"/>
                <w:szCs w:val="20"/>
                <w:highlight w:val="none"/>
                <w:lang w:val="en-US" w:eastAsia="zh-CN"/>
              </w:rPr>
            </w:pPr>
            <w:r>
              <w:rPr>
                <w:rFonts w:hint="eastAsia" w:ascii="宋体" w:hAnsi="宋体" w:eastAsia="宋体" w:cs="宋体"/>
                <w:b/>
                <w:bCs/>
                <w:color w:val="auto"/>
                <w:kern w:val="0"/>
                <w:sz w:val="20"/>
                <w:szCs w:val="20"/>
                <w:highlight w:val="none"/>
                <w:lang w:val="en-US" w:eastAsia="zh-CN"/>
              </w:rPr>
              <w:t>项目</w:t>
            </w:r>
          </w:p>
          <w:p w14:paraId="66935AC6">
            <w:pPr>
              <w:widowControl/>
              <w:spacing w:after="0" w:line="320" w:lineRule="exact"/>
              <w:jc w:val="center"/>
              <w:rPr>
                <w:rFonts w:hint="eastAsia" w:ascii="宋体" w:hAnsi="宋体" w:eastAsia="宋体" w:cs="宋体"/>
                <w:b/>
                <w:bCs/>
                <w:color w:val="auto"/>
                <w:kern w:val="0"/>
                <w:sz w:val="20"/>
                <w:szCs w:val="20"/>
                <w:highlight w:val="none"/>
                <w:lang w:val="en-US" w:eastAsia="zh-CN"/>
              </w:rPr>
            </w:pPr>
            <w:r>
              <w:rPr>
                <w:rFonts w:hint="eastAsia" w:ascii="宋体" w:hAnsi="宋体" w:eastAsia="宋体" w:cs="宋体"/>
                <w:b/>
                <w:bCs/>
                <w:color w:val="auto"/>
                <w:kern w:val="0"/>
                <w:sz w:val="20"/>
                <w:szCs w:val="20"/>
                <w:highlight w:val="none"/>
                <w:lang w:val="en-US" w:eastAsia="zh-CN"/>
              </w:rPr>
              <w:t>名称</w:t>
            </w:r>
          </w:p>
        </w:tc>
        <w:tc>
          <w:tcPr>
            <w:tcW w:w="5934" w:type="dxa"/>
            <w:shd w:val="clear" w:color="auto" w:fill="FFFFFF"/>
            <w:noWrap w:val="0"/>
            <w:vAlign w:val="center"/>
          </w:tcPr>
          <w:p w14:paraId="0B22B7D2">
            <w:pPr>
              <w:widowControl/>
              <w:spacing w:after="0" w:line="320" w:lineRule="exact"/>
              <w:jc w:val="center"/>
              <w:rPr>
                <w:rFonts w:hint="eastAsia" w:ascii="宋体" w:hAnsi="宋体" w:eastAsia="宋体" w:cs="宋体"/>
                <w:b/>
                <w:bCs/>
                <w:color w:val="auto"/>
                <w:kern w:val="0"/>
                <w:sz w:val="20"/>
                <w:szCs w:val="20"/>
                <w:highlight w:val="none"/>
                <w:lang w:val="en-US" w:eastAsia="zh-CN"/>
              </w:rPr>
            </w:pPr>
            <w:r>
              <w:rPr>
                <w:rFonts w:hint="eastAsia" w:ascii="宋体" w:hAnsi="宋体" w:eastAsia="宋体" w:cs="宋体"/>
                <w:b/>
                <w:bCs/>
                <w:color w:val="auto"/>
                <w:kern w:val="0"/>
                <w:sz w:val="20"/>
                <w:szCs w:val="20"/>
                <w:highlight w:val="none"/>
                <w:lang w:val="en-US" w:eastAsia="zh-CN"/>
              </w:rPr>
              <w:t>项目特征</w:t>
            </w:r>
          </w:p>
        </w:tc>
        <w:tc>
          <w:tcPr>
            <w:tcW w:w="696" w:type="dxa"/>
            <w:shd w:val="clear" w:color="auto" w:fill="FFFFFF"/>
            <w:noWrap w:val="0"/>
            <w:vAlign w:val="center"/>
          </w:tcPr>
          <w:p w14:paraId="40876418">
            <w:pPr>
              <w:widowControl/>
              <w:spacing w:after="0" w:line="320" w:lineRule="exact"/>
              <w:jc w:val="center"/>
              <w:rPr>
                <w:rFonts w:hint="eastAsia" w:ascii="宋体" w:hAnsi="宋体" w:eastAsia="宋体" w:cs="宋体"/>
                <w:b/>
                <w:bCs/>
                <w:color w:val="auto"/>
                <w:kern w:val="0"/>
                <w:sz w:val="20"/>
                <w:szCs w:val="20"/>
                <w:highlight w:val="none"/>
                <w:lang w:val="en-US" w:eastAsia="zh-CN"/>
              </w:rPr>
            </w:pPr>
            <w:r>
              <w:rPr>
                <w:rFonts w:hint="eastAsia" w:ascii="宋体" w:hAnsi="宋体" w:eastAsia="宋体" w:cs="宋体"/>
                <w:b/>
                <w:bCs/>
                <w:color w:val="auto"/>
                <w:kern w:val="0"/>
                <w:sz w:val="20"/>
                <w:szCs w:val="20"/>
                <w:highlight w:val="none"/>
                <w:lang w:val="en-US" w:eastAsia="zh-CN"/>
              </w:rPr>
              <w:t>计量</w:t>
            </w:r>
          </w:p>
          <w:p w14:paraId="3E818F15">
            <w:pPr>
              <w:widowControl/>
              <w:spacing w:after="0" w:line="320" w:lineRule="exact"/>
              <w:jc w:val="center"/>
              <w:rPr>
                <w:rFonts w:hint="eastAsia" w:ascii="宋体" w:hAnsi="宋体" w:eastAsia="宋体" w:cs="宋体"/>
                <w:b/>
                <w:bCs/>
                <w:color w:val="auto"/>
                <w:kern w:val="0"/>
                <w:sz w:val="20"/>
                <w:szCs w:val="20"/>
                <w:highlight w:val="none"/>
                <w:lang w:val="en-US" w:eastAsia="zh-CN"/>
              </w:rPr>
            </w:pPr>
            <w:r>
              <w:rPr>
                <w:rFonts w:hint="eastAsia" w:ascii="宋体" w:hAnsi="宋体" w:eastAsia="宋体" w:cs="宋体"/>
                <w:b/>
                <w:bCs/>
                <w:color w:val="auto"/>
                <w:kern w:val="0"/>
                <w:sz w:val="20"/>
                <w:szCs w:val="20"/>
                <w:highlight w:val="none"/>
                <w:lang w:val="en-US" w:eastAsia="zh-CN"/>
              </w:rPr>
              <w:t>单位</w:t>
            </w:r>
          </w:p>
        </w:tc>
        <w:tc>
          <w:tcPr>
            <w:tcW w:w="623" w:type="dxa"/>
            <w:shd w:val="clear" w:color="auto" w:fill="FFFFFF"/>
            <w:noWrap w:val="0"/>
            <w:vAlign w:val="center"/>
          </w:tcPr>
          <w:p w14:paraId="16D42F80">
            <w:pPr>
              <w:widowControl/>
              <w:spacing w:after="0" w:line="320" w:lineRule="exact"/>
              <w:jc w:val="center"/>
              <w:rPr>
                <w:rFonts w:hint="eastAsia" w:ascii="宋体" w:hAnsi="宋体" w:eastAsia="宋体" w:cs="宋体"/>
                <w:b/>
                <w:bCs/>
                <w:color w:val="auto"/>
                <w:kern w:val="0"/>
                <w:sz w:val="20"/>
                <w:szCs w:val="20"/>
                <w:highlight w:val="none"/>
                <w:lang w:val="en-US" w:eastAsia="zh-CN"/>
              </w:rPr>
            </w:pPr>
            <w:r>
              <w:rPr>
                <w:rFonts w:hint="eastAsia" w:ascii="宋体" w:hAnsi="宋体" w:eastAsia="宋体" w:cs="宋体"/>
                <w:b/>
                <w:bCs/>
                <w:color w:val="auto"/>
                <w:kern w:val="0"/>
                <w:sz w:val="20"/>
                <w:szCs w:val="20"/>
                <w:highlight w:val="none"/>
                <w:lang w:val="en-US" w:eastAsia="zh-CN"/>
              </w:rPr>
              <w:t>工程量</w:t>
            </w:r>
          </w:p>
        </w:tc>
        <w:tc>
          <w:tcPr>
            <w:tcW w:w="600" w:type="dxa"/>
            <w:shd w:val="clear" w:color="auto" w:fill="FFFFFF"/>
            <w:noWrap w:val="0"/>
            <w:vAlign w:val="center"/>
          </w:tcPr>
          <w:p w14:paraId="7ED50575">
            <w:pPr>
              <w:widowControl/>
              <w:spacing w:after="0" w:line="320" w:lineRule="exact"/>
              <w:jc w:val="center"/>
              <w:rPr>
                <w:rFonts w:hint="default" w:ascii="宋体" w:hAnsi="宋体" w:eastAsia="宋体" w:cs="宋体"/>
                <w:b/>
                <w:bCs/>
                <w:color w:val="auto"/>
                <w:kern w:val="0"/>
                <w:sz w:val="20"/>
                <w:szCs w:val="20"/>
                <w:highlight w:val="none"/>
                <w:lang w:val="en-US" w:eastAsia="zh-CN"/>
              </w:rPr>
            </w:pPr>
            <w:r>
              <w:rPr>
                <w:rFonts w:hint="eastAsia" w:ascii="宋体" w:hAnsi="宋体" w:cs="宋体"/>
                <w:b/>
                <w:bCs/>
                <w:color w:val="auto"/>
                <w:kern w:val="0"/>
                <w:sz w:val="20"/>
                <w:szCs w:val="20"/>
                <w:highlight w:val="none"/>
                <w:lang w:val="en-US" w:eastAsia="zh-CN"/>
              </w:rPr>
              <w:t>单价</w:t>
            </w:r>
          </w:p>
        </w:tc>
        <w:tc>
          <w:tcPr>
            <w:tcW w:w="573" w:type="dxa"/>
            <w:shd w:val="clear" w:color="auto" w:fill="FFFFFF"/>
            <w:noWrap w:val="0"/>
            <w:vAlign w:val="center"/>
          </w:tcPr>
          <w:p w14:paraId="0786AEB5">
            <w:pPr>
              <w:widowControl/>
              <w:spacing w:after="0" w:line="320" w:lineRule="exact"/>
              <w:jc w:val="center"/>
              <w:rPr>
                <w:rFonts w:hint="default" w:ascii="宋体" w:hAnsi="宋体" w:eastAsia="宋体" w:cs="宋体"/>
                <w:b/>
                <w:bCs/>
                <w:color w:val="auto"/>
                <w:kern w:val="0"/>
                <w:sz w:val="20"/>
                <w:szCs w:val="20"/>
                <w:highlight w:val="none"/>
                <w:lang w:val="en-US" w:eastAsia="zh-CN"/>
              </w:rPr>
            </w:pPr>
            <w:r>
              <w:rPr>
                <w:rFonts w:hint="eastAsia" w:ascii="宋体" w:hAnsi="宋体" w:cs="宋体"/>
                <w:b/>
                <w:bCs/>
                <w:color w:val="auto"/>
                <w:kern w:val="0"/>
                <w:sz w:val="20"/>
                <w:szCs w:val="20"/>
                <w:highlight w:val="none"/>
                <w:lang w:val="en-US" w:eastAsia="zh-CN"/>
              </w:rPr>
              <w:t>总价</w:t>
            </w:r>
          </w:p>
        </w:tc>
        <w:tc>
          <w:tcPr>
            <w:tcW w:w="573" w:type="dxa"/>
            <w:shd w:val="clear" w:color="auto" w:fill="FFFFFF"/>
            <w:noWrap w:val="0"/>
            <w:vAlign w:val="center"/>
          </w:tcPr>
          <w:p w14:paraId="54D88EBF">
            <w:pPr>
              <w:widowControl/>
              <w:spacing w:after="0" w:line="320" w:lineRule="exact"/>
              <w:jc w:val="center"/>
              <w:rPr>
                <w:rFonts w:hint="default" w:ascii="宋体" w:hAnsi="宋体" w:cs="宋体"/>
                <w:b/>
                <w:bCs/>
                <w:color w:val="auto"/>
                <w:kern w:val="0"/>
                <w:sz w:val="20"/>
                <w:szCs w:val="20"/>
                <w:highlight w:val="none"/>
                <w:lang w:val="en-US" w:eastAsia="zh-CN"/>
              </w:rPr>
            </w:pPr>
            <w:r>
              <w:rPr>
                <w:rFonts w:hint="eastAsia" w:ascii="宋体" w:hAnsi="宋体" w:cs="宋体"/>
                <w:b/>
                <w:bCs/>
                <w:color w:val="auto"/>
                <w:kern w:val="0"/>
                <w:sz w:val="20"/>
                <w:szCs w:val="20"/>
                <w:highlight w:val="none"/>
                <w:lang w:val="en-US" w:eastAsia="zh-CN"/>
              </w:rPr>
              <w:t>备注</w:t>
            </w:r>
          </w:p>
        </w:tc>
      </w:tr>
      <w:tr w14:paraId="44D05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628" w:hRule="atLeast"/>
          <w:jc w:val="center"/>
        </w:trPr>
        <w:tc>
          <w:tcPr>
            <w:tcW w:w="457" w:type="dxa"/>
            <w:shd w:val="clear" w:color="auto" w:fill="FFFFFF"/>
            <w:noWrap w:val="0"/>
            <w:vAlign w:val="center"/>
          </w:tcPr>
          <w:p w14:paraId="0973A557">
            <w:pPr>
              <w:widowControl/>
              <w:spacing w:line="300" w:lineRule="exact"/>
              <w:jc w:val="left"/>
              <w:textAlignment w:val="center"/>
              <w:rPr>
                <w:rFonts w:hint="eastAsia" w:ascii="宋体" w:hAnsi="宋体" w:eastAsia="宋体" w:cs="宋体"/>
                <w:color w:val="auto"/>
                <w:kern w:val="0"/>
                <w:sz w:val="20"/>
                <w:szCs w:val="20"/>
                <w:highlight w:val="none"/>
                <w:lang w:eastAsia="zh-CN" w:bidi="ar"/>
              </w:rPr>
            </w:pPr>
          </w:p>
        </w:tc>
        <w:tc>
          <w:tcPr>
            <w:tcW w:w="781" w:type="dxa"/>
            <w:shd w:val="clear" w:color="auto" w:fill="FFFFFF"/>
            <w:noWrap w:val="0"/>
            <w:vAlign w:val="center"/>
          </w:tcPr>
          <w:p w14:paraId="6B040B10">
            <w:pPr>
              <w:widowControl/>
              <w:spacing w:line="240" w:lineRule="auto"/>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塑胶跑道新建</w:t>
            </w:r>
          </w:p>
        </w:tc>
        <w:tc>
          <w:tcPr>
            <w:tcW w:w="5934" w:type="dxa"/>
            <w:shd w:val="clear" w:color="auto" w:fill="FFFFFF"/>
            <w:noWrap w:val="0"/>
            <w:vAlign w:val="center"/>
          </w:tcPr>
          <w:p w14:paraId="2DF285B1">
            <w:pPr>
              <w:widowControl/>
              <w:spacing w:line="240" w:lineRule="auto"/>
              <w:jc w:val="left"/>
              <w:textAlignment w:val="center"/>
              <w:rPr>
                <w:rFonts w:hint="eastAsia" w:ascii="宋体" w:hAnsi="宋体" w:eastAsia="宋体" w:cs="宋体"/>
                <w:color w:val="auto"/>
                <w:kern w:val="0"/>
                <w:sz w:val="20"/>
                <w:szCs w:val="20"/>
                <w:highlight w:val="none"/>
                <w:lang w:eastAsia="zh-CN" w:bidi="ar"/>
              </w:rPr>
            </w:pPr>
          </w:p>
        </w:tc>
        <w:tc>
          <w:tcPr>
            <w:tcW w:w="696" w:type="dxa"/>
            <w:shd w:val="clear" w:color="auto" w:fill="FFFFFF"/>
            <w:noWrap w:val="0"/>
            <w:vAlign w:val="center"/>
          </w:tcPr>
          <w:p w14:paraId="733E4A99">
            <w:pPr>
              <w:jc w:val="center"/>
              <w:rPr>
                <w:rFonts w:hint="eastAsia" w:ascii="宋体" w:hAnsi="宋体" w:eastAsia="宋体" w:cs="宋体"/>
                <w:color w:val="auto"/>
                <w:kern w:val="0"/>
                <w:sz w:val="20"/>
                <w:szCs w:val="20"/>
                <w:highlight w:val="none"/>
                <w:lang w:eastAsia="zh-CN" w:bidi="ar"/>
              </w:rPr>
            </w:pPr>
          </w:p>
        </w:tc>
        <w:tc>
          <w:tcPr>
            <w:tcW w:w="623" w:type="dxa"/>
            <w:shd w:val="clear" w:color="auto" w:fill="FFFFFF"/>
            <w:noWrap w:val="0"/>
            <w:vAlign w:val="center"/>
          </w:tcPr>
          <w:p w14:paraId="1C265EC3">
            <w:pPr>
              <w:jc w:val="right"/>
              <w:rPr>
                <w:rFonts w:hint="eastAsia" w:ascii="宋体" w:hAnsi="宋体" w:eastAsia="宋体" w:cs="宋体"/>
                <w:color w:val="auto"/>
                <w:kern w:val="0"/>
                <w:sz w:val="20"/>
                <w:szCs w:val="20"/>
                <w:highlight w:val="none"/>
                <w:lang w:val="en-US" w:eastAsia="zh-CN" w:bidi="ar"/>
              </w:rPr>
            </w:pPr>
          </w:p>
        </w:tc>
        <w:tc>
          <w:tcPr>
            <w:tcW w:w="600" w:type="dxa"/>
            <w:shd w:val="clear" w:color="auto" w:fill="FFFFFF"/>
            <w:noWrap w:val="0"/>
            <w:vAlign w:val="center"/>
          </w:tcPr>
          <w:p w14:paraId="379B1DFD">
            <w:pPr>
              <w:jc w:val="right"/>
              <w:rPr>
                <w:rFonts w:hint="eastAsia" w:ascii="宋体" w:hAnsi="宋体" w:eastAsia="宋体" w:cs="宋体"/>
                <w:color w:val="auto"/>
                <w:kern w:val="0"/>
                <w:sz w:val="20"/>
                <w:szCs w:val="20"/>
                <w:highlight w:val="none"/>
                <w:lang w:val="en-US" w:eastAsia="zh-CN" w:bidi="ar"/>
              </w:rPr>
            </w:pPr>
          </w:p>
        </w:tc>
        <w:tc>
          <w:tcPr>
            <w:tcW w:w="573" w:type="dxa"/>
            <w:shd w:val="clear" w:color="auto" w:fill="FFFFFF"/>
            <w:noWrap w:val="0"/>
            <w:vAlign w:val="center"/>
          </w:tcPr>
          <w:p w14:paraId="770042E3">
            <w:pPr>
              <w:jc w:val="right"/>
              <w:rPr>
                <w:rFonts w:hint="eastAsia" w:ascii="宋体" w:hAnsi="宋体" w:eastAsia="宋体" w:cs="宋体"/>
                <w:color w:val="auto"/>
                <w:kern w:val="0"/>
                <w:sz w:val="20"/>
                <w:szCs w:val="20"/>
                <w:highlight w:val="none"/>
                <w:lang w:val="en-US" w:eastAsia="zh-CN" w:bidi="ar"/>
              </w:rPr>
            </w:pPr>
          </w:p>
        </w:tc>
        <w:tc>
          <w:tcPr>
            <w:tcW w:w="573" w:type="dxa"/>
            <w:shd w:val="clear" w:color="auto" w:fill="FFFFFF"/>
            <w:noWrap w:val="0"/>
            <w:vAlign w:val="center"/>
          </w:tcPr>
          <w:p w14:paraId="6026CD74">
            <w:pPr>
              <w:jc w:val="right"/>
              <w:rPr>
                <w:rFonts w:hint="eastAsia" w:ascii="宋体" w:hAnsi="宋体" w:eastAsia="宋体" w:cs="宋体"/>
                <w:color w:val="auto"/>
                <w:kern w:val="0"/>
                <w:sz w:val="20"/>
                <w:szCs w:val="20"/>
                <w:highlight w:val="none"/>
                <w:lang w:val="en-US" w:eastAsia="zh-CN" w:bidi="ar"/>
              </w:rPr>
            </w:pPr>
          </w:p>
        </w:tc>
      </w:tr>
      <w:tr w14:paraId="2E23F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1620" w:hRule="atLeast"/>
          <w:jc w:val="center"/>
        </w:trPr>
        <w:tc>
          <w:tcPr>
            <w:tcW w:w="457" w:type="dxa"/>
            <w:shd w:val="clear" w:color="auto" w:fill="FFFFFF"/>
            <w:noWrap w:val="0"/>
            <w:vAlign w:val="center"/>
          </w:tcPr>
          <w:p w14:paraId="301B0BD0">
            <w:pPr>
              <w:widowControl/>
              <w:spacing w:line="300" w:lineRule="exact"/>
              <w:jc w:val="center"/>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1</w:t>
            </w:r>
          </w:p>
        </w:tc>
        <w:tc>
          <w:tcPr>
            <w:tcW w:w="781" w:type="dxa"/>
            <w:shd w:val="clear" w:color="auto" w:fill="FFFFFF"/>
            <w:noWrap w:val="0"/>
            <w:vAlign w:val="center"/>
          </w:tcPr>
          <w:p w14:paraId="5409D048">
            <w:pPr>
              <w:widowControl/>
              <w:spacing w:line="240" w:lineRule="auto"/>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拆除路面</w:t>
            </w:r>
          </w:p>
        </w:tc>
        <w:tc>
          <w:tcPr>
            <w:tcW w:w="5934" w:type="dxa"/>
            <w:shd w:val="clear" w:color="auto" w:fill="FFFFFF"/>
            <w:noWrap w:val="0"/>
            <w:vAlign w:val="center"/>
          </w:tcPr>
          <w:p w14:paraId="637CAE26">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1、拆除原有塑胶面层（含基层处理），拆除厚度、拆除方式由施工方自行考虑</w:t>
            </w:r>
          </w:p>
          <w:p w14:paraId="34481102">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2、因施工方缘由造成原有无需拆除场地被破坏，该部分费用由施工方自行承担</w:t>
            </w:r>
          </w:p>
          <w:p w14:paraId="78B0C232">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3、弃碴外运运距及消纳施工单位自行考虑</w:t>
            </w:r>
          </w:p>
          <w:p w14:paraId="2DEB7E17">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4、基层处理完成后需学校及相关单位验收合格后方可进行下一施工环节</w:t>
            </w:r>
          </w:p>
        </w:tc>
        <w:tc>
          <w:tcPr>
            <w:tcW w:w="696" w:type="dxa"/>
            <w:shd w:val="clear" w:color="auto" w:fill="FFFFFF"/>
            <w:noWrap w:val="0"/>
            <w:vAlign w:val="center"/>
          </w:tcPr>
          <w:p w14:paraId="01022E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m2</w:t>
            </w:r>
          </w:p>
        </w:tc>
        <w:tc>
          <w:tcPr>
            <w:tcW w:w="623" w:type="dxa"/>
            <w:shd w:val="clear" w:color="auto" w:fill="FFFFFF"/>
            <w:noWrap w:val="0"/>
            <w:vAlign w:val="center"/>
          </w:tcPr>
          <w:p w14:paraId="2C1F1E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5033</w:t>
            </w:r>
          </w:p>
        </w:tc>
        <w:tc>
          <w:tcPr>
            <w:tcW w:w="600" w:type="dxa"/>
            <w:shd w:val="clear" w:color="auto" w:fill="FFFFFF"/>
            <w:noWrap w:val="0"/>
            <w:vAlign w:val="center"/>
          </w:tcPr>
          <w:p w14:paraId="074057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3" w:type="dxa"/>
            <w:shd w:val="clear" w:color="auto" w:fill="FFFFFF"/>
            <w:noWrap w:val="0"/>
            <w:vAlign w:val="center"/>
          </w:tcPr>
          <w:p w14:paraId="38945C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3" w:type="dxa"/>
            <w:shd w:val="clear" w:color="auto" w:fill="FFFFFF"/>
            <w:noWrap w:val="0"/>
            <w:vAlign w:val="center"/>
          </w:tcPr>
          <w:p w14:paraId="2AB5A8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6157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1399" w:hRule="atLeast"/>
          <w:jc w:val="center"/>
        </w:trPr>
        <w:tc>
          <w:tcPr>
            <w:tcW w:w="457" w:type="dxa"/>
            <w:shd w:val="clear" w:color="auto" w:fill="FFFFFF"/>
            <w:noWrap w:val="0"/>
            <w:vAlign w:val="center"/>
          </w:tcPr>
          <w:p w14:paraId="3B3FF864">
            <w:pPr>
              <w:widowControl/>
              <w:spacing w:line="300" w:lineRule="exact"/>
              <w:jc w:val="center"/>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2</w:t>
            </w:r>
          </w:p>
        </w:tc>
        <w:tc>
          <w:tcPr>
            <w:tcW w:w="781" w:type="dxa"/>
            <w:shd w:val="clear" w:color="auto" w:fill="FFFFFF"/>
            <w:noWrap w:val="0"/>
            <w:vAlign w:val="center"/>
          </w:tcPr>
          <w:p w14:paraId="07D4157E">
            <w:pPr>
              <w:widowControl/>
              <w:spacing w:line="240" w:lineRule="auto"/>
              <w:jc w:val="left"/>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拆除路面</w:t>
            </w:r>
          </w:p>
        </w:tc>
        <w:tc>
          <w:tcPr>
            <w:tcW w:w="5934" w:type="dxa"/>
            <w:shd w:val="clear" w:color="auto" w:fill="FFFFFF"/>
            <w:noWrap w:val="0"/>
            <w:vAlign w:val="center"/>
          </w:tcPr>
          <w:p w14:paraId="3DA115B5">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1、拆除原150mm厚混凝土基层，拆除方式由施工方自行考虑</w:t>
            </w:r>
          </w:p>
          <w:p w14:paraId="6E803640">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2、因施工方缘由造成原有无需拆除场地被破坏，该部分费用由施工方自行承担</w:t>
            </w:r>
          </w:p>
          <w:p w14:paraId="773AAB3A">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3、弃碴外运运距及消纳施工单位自行考虑</w:t>
            </w:r>
          </w:p>
          <w:p w14:paraId="676457C6">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4、基层处理完成后需学校及相关单位验收合格后方可进行下一施工环节</w:t>
            </w:r>
          </w:p>
        </w:tc>
        <w:tc>
          <w:tcPr>
            <w:tcW w:w="696" w:type="dxa"/>
            <w:shd w:val="clear" w:color="auto" w:fill="FFFFFF"/>
            <w:noWrap w:val="0"/>
            <w:vAlign w:val="center"/>
          </w:tcPr>
          <w:p w14:paraId="56BDA3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623" w:type="dxa"/>
            <w:shd w:val="clear" w:color="auto" w:fill="FFFFFF"/>
            <w:noWrap w:val="0"/>
            <w:vAlign w:val="center"/>
          </w:tcPr>
          <w:p w14:paraId="057782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535.5</w:t>
            </w:r>
          </w:p>
        </w:tc>
        <w:tc>
          <w:tcPr>
            <w:tcW w:w="600" w:type="dxa"/>
            <w:shd w:val="clear" w:color="auto" w:fill="FFFFFF"/>
            <w:noWrap w:val="0"/>
            <w:vAlign w:val="center"/>
          </w:tcPr>
          <w:p w14:paraId="7B2E73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3" w:type="dxa"/>
            <w:shd w:val="clear" w:color="auto" w:fill="FFFFFF"/>
            <w:noWrap w:val="0"/>
            <w:vAlign w:val="center"/>
          </w:tcPr>
          <w:p w14:paraId="283FFA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3" w:type="dxa"/>
            <w:shd w:val="clear" w:color="auto" w:fill="FFFFFF"/>
            <w:noWrap w:val="0"/>
            <w:vAlign w:val="center"/>
          </w:tcPr>
          <w:p w14:paraId="7D2CA6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2F81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959" w:hRule="atLeast"/>
          <w:jc w:val="center"/>
        </w:trPr>
        <w:tc>
          <w:tcPr>
            <w:tcW w:w="457" w:type="dxa"/>
            <w:shd w:val="clear" w:color="auto" w:fill="FFFFFF"/>
            <w:noWrap w:val="0"/>
            <w:vAlign w:val="center"/>
          </w:tcPr>
          <w:p w14:paraId="33F96CC6">
            <w:pPr>
              <w:widowControl/>
              <w:spacing w:line="300" w:lineRule="exact"/>
              <w:jc w:val="center"/>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3</w:t>
            </w:r>
          </w:p>
        </w:tc>
        <w:tc>
          <w:tcPr>
            <w:tcW w:w="781" w:type="dxa"/>
            <w:shd w:val="clear" w:color="auto" w:fill="FFFFFF"/>
            <w:noWrap w:val="0"/>
            <w:vAlign w:val="center"/>
          </w:tcPr>
          <w:p w14:paraId="709C463F">
            <w:pPr>
              <w:widowControl/>
              <w:spacing w:line="240" w:lineRule="auto"/>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现状人造草面层拆除</w:t>
            </w:r>
          </w:p>
        </w:tc>
        <w:tc>
          <w:tcPr>
            <w:tcW w:w="5934" w:type="dxa"/>
            <w:shd w:val="clear" w:color="auto" w:fill="FFFFFF"/>
            <w:noWrap w:val="0"/>
            <w:vAlign w:val="center"/>
          </w:tcPr>
          <w:p w14:paraId="3DAD5E66">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原足球场人造草面层拆除</w:t>
            </w:r>
          </w:p>
          <w:p w14:paraId="04F67708">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1、弃碴外运运距及消纳施工单位自行考虑</w:t>
            </w:r>
          </w:p>
          <w:p w14:paraId="36D6994C">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2、基层处理完成后需学校及相关单位验收合格后方可进行下一施工环节</w:t>
            </w:r>
          </w:p>
        </w:tc>
        <w:tc>
          <w:tcPr>
            <w:tcW w:w="696" w:type="dxa"/>
            <w:shd w:val="clear" w:color="auto" w:fill="FFFFFF"/>
            <w:noWrap w:val="0"/>
            <w:vAlign w:val="center"/>
          </w:tcPr>
          <w:p w14:paraId="6868B7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m2</w:t>
            </w:r>
          </w:p>
        </w:tc>
        <w:tc>
          <w:tcPr>
            <w:tcW w:w="623" w:type="dxa"/>
            <w:shd w:val="clear" w:color="auto" w:fill="FFFFFF"/>
            <w:noWrap w:val="0"/>
            <w:vAlign w:val="center"/>
          </w:tcPr>
          <w:p w14:paraId="7B0CDA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1050</w:t>
            </w:r>
          </w:p>
        </w:tc>
        <w:tc>
          <w:tcPr>
            <w:tcW w:w="600" w:type="dxa"/>
            <w:shd w:val="clear" w:color="auto" w:fill="FFFFFF"/>
            <w:noWrap w:val="0"/>
            <w:vAlign w:val="center"/>
          </w:tcPr>
          <w:p w14:paraId="3184DC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3" w:type="dxa"/>
            <w:shd w:val="clear" w:color="auto" w:fill="FFFFFF"/>
            <w:noWrap w:val="0"/>
            <w:vAlign w:val="center"/>
          </w:tcPr>
          <w:p w14:paraId="675F4B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3" w:type="dxa"/>
            <w:shd w:val="clear" w:color="auto" w:fill="FFFFFF"/>
            <w:noWrap w:val="0"/>
            <w:vAlign w:val="center"/>
          </w:tcPr>
          <w:p w14:paraId="1565FE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0AB3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1620" w:hRule="atLeast"/>
          <w:jc w:val="center"/>
        </w:trPr>
        <w:tc>
          <w:tcPr>
            <w:tcW w:w="457" w:type="dxa"/>
            <w:shd w:val="clear" w:color="auto" w:fill="FFFFFF"/>
            <w:noWrap w:val="0"/>
            <w:vAlign w:val="center"/>
          </w:tcPr>
          <w:p w14:paraId="1EF06DE5">
            <w:pPr>
              <w:widowControl/>
              <w:spacing w:line="300" w:lineRule="exact"/>
              <w:jc w:val="center"/>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4</w:t>
            </w:r>
          </w:p>
        </w:tc>
        <w:tc>
          <w:tcPr>
            <w:tcW w:w="781" w:type="dxa"/>
            <w:shd w:val="clear" w:color="auto" w:fill="FFFFFF"/>
            <w:noWrap w:val="0"/>
            <w:vAlign w:val="center"/>
          </w:tcPr>
          <w:p w14:paraId="0D40290B">
            <w:pPr>
              <w:widowControl/>
              <w:spacing w:line="240" w:lineRule="auto"/>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现状树池拆除</w:t>
            </w:r>
          </w:p>
        </w:tc>
        <w:tc>
          <w:tcPr>
            <w:tcW w:w="5934" w:type="dxa"/>
            <w:shd w:val="clear" w:color="auto" w:fill="FFFFFF"/>
            <w:noWrap w:val="0"/>
            <w:vAlign w:val="center"/>
          </w:tcPr>
          <w:p w14:paraId="2DD3C15A">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现状树池拆除</w:t>
            </w:r>
          </w:p>
          <w:p w14:paraId="6786077F">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1、6座木制树池直径1800mm，高400mm，含种植土及树木</w:t>
            </w:r>
          </w:p>
          <w:p w14:paraId="504B2F8C">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2、因施工方缘由造成原有无需拆除场地被破坏，该部分费用由施工方自行承担</w:t>
            </w:r>
          </w:p>
          <w:p w14:paraId="63C38635">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3、弃碴外运运距及消纳施工单位自行考虑</w:t>
            </w:r>
          </w:p>
          <w:p w14:paraId="436503D5">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4、基层处理完成后需学校及相关单位验收合格后方可进行下一施工环节</w:t>
            </w:r>
          </w:p>
        </w:tc>
        <w:tc>
          <w:tcPr>
            <w:tcW w:w="696" w:type="dxa"/>
            <w:shd w:val="clear" w:color="auto" w:fill="FFFFFF"/>
            <w:noWrap w:val="0"/>
            <w:vAlign w:val="center"/>
          </w:tcPr>
          <w:p w14:paraId="38FC1B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623" w:type="dxa"/>
            <w:shd w:val="clear" w:color="auto" w:fill="FFFFFF"/>
            <w:noWrap w:val="0"/>
            <w:vAlign w:val="center"/>
          </w:tcPr>
          <w:p w14:paraId="64E20E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600" w:type="dxa"/>
            <w:shd w:val="clear" w:color="auto" w:fill="FFFFFF"/>
            <w:noWrap w:val="0"/>
            <w:vAlign w:val="center"/>
          </w:tcPr>
          <w:p w14:paraId="538707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3" w:type="dxa"/>
            <w:shd w:val="clear" w:color="auto" w:fill="FFFFFF"/>
            <w:noWrap w:val="0"/>
            <w:vAlign w:val="center"/>
          </w:tcPr>
          <w:p w14:paraId="74DADB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3" w:type="dxa"/>
            <w:shd w:val="clear" w:color="auto" w:fill="FFFFFF"/>
            <w:noWrap w:val="0"/>
            <w:vAlign w:val="center"/>
          </w:tcPr>
          <w:p w14:paraId="5F5ED6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87A2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1840" w:hRule="atLeast"/>
          <w:jc w:val="center"/>
        </w:trPr>
        <w:tc>
          <w:tcPr>
            <w:tcW w:w="457" w:type="dxa"/>
            <w:shd w:val="clear" w:color="auto" w:fill="FFFFFF"/>
            <w:noWrap w:val="0"/>
            <w:vAlign w:val="center"/>
          </w:tcPr>
          <w:p w14:paraId="6D0C2939">
            <w:pPr>
              <w:widowControl/>
              <w:spacing w:line="300" w:lineRule="exact"/>
              <w:jc w:val="center"/>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5</w:t>
            </w:r>
          </w:p>
        </w:tc>
        <w:tc>
          <w:tcPr>
            <w:tcW w:w="781" w:type="dxa"/>
            <w:shd w:val="clear" w:color="auto" w:fill="FFFFFF"/>
            <w:noWrap w:val="0"/>
            <w:vAlign w:val="center"/>
          </w:tcPr>
          <w:p w14:paraId="6313ACB2">
            <w:pPr>
              <w:widowControl/>
              <w:spacing w:line="240" w:lineRule="auto"/>
              <w:jc w:val="left"/>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塑胶面层</w:t>
            </w:r>
          </w:p>
        </w:tc>
        <w:tc>
          <w:tcPr>
            <w:tcW w:w="5934" w:type="dxa"/>
            <w:shd w:val="clear" w:color="auto" w:fill="FFFFFF"/>
            <w:noWrap w:val="0"/>
            <w:vAlign w:val="center"/>
          </w:tcPr>
          <w:p w14:paraId="7CE8288F">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1、名称：预制型跑道卷材面层（颜色由业主指定）</w:t>
            </w:r>
          </w:p>
          <w:p w14:paraId="363EE045">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2、厚度：13mm</w:t>
            </w:r>
          </w:p>
          <w:p w14:paraId="6FB6F45D">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3、采用无毒可回收材料，符合国家相关法律规定</w:t>
            </w:r>
          </w:p>
          <w:p w14:paraId="714ADB80">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4、含清扫路基、整修侧平石、测温、摊铺、接茬、找平、点补、撒垫料、碾压、清理、胶水、表面喷涂料、画线、分割等所有符合环保要求的施工内容；</w:t>
            </w:r>
          </w:p>
          <w:p w14:paraId="56912D8E">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5、符合新国标GB36246-2018相关检测标准要求。</w:t>
            </w:r>
          </w:p>
          <w:p w14:paraId="1FE13E39">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6、具体做法详见设计图纸</w:t>
            </w:r>
          </w:p>
        </w:tc>
        <w:tc>
          <w:tcPr>
            <w:tcW w:w="696" w:type="dxa"/>
            <w:shd w:val="clear" w:color="auto" w:fill="FFFFFF"/>
            <w:noWrap w:val="0"/>
            <w:vAlign w:val="center"/>
          </w:tcPr>
          <w:p w14:paraId="26FEF1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m2</w:t>
            </w:r>
          </w:p>
        </w:tc>
        <w:tc>
          <w:tcPr>
            <w:tcW w:w="623" w:type="dxa"/>
            <w:shd w:val="clear" w:color="auto" w:fill="FFFFFF"/>
            <w:noWrap w:val="0"/>
            <w:vAlign w:val="center"/>
          </w:tcPr>
          <w:p w14:paraId="192C38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1984</w:t>
            </w:r>
          </w:p>
        </w:tc>
        <w:tc>
          <w:tcPr>
            <w:tcW w:w="600" w:type="dxa"/>
            <w:shd w:val="clear" w:color="auto" w:fill="FFFFFF"/>
            <w:noWrap w:val="0"/>
            <w:vAlign w:val="center"/>
          </w:tcPr>
          <w:p w14:paraId="64C8D3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3" w:type="dxa"/>
            <w:shd w:val="clear" w:color="auto" w:fill="FFFFFF"/>
            <w:noWrap w:val="0"/>
            <w:vAlign w:val="center"/>
          </w:tcPr>
          <w:p w14:paraId="67C632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3" w:type="dxa"/>
            <w:shd w:val="clear" w:color="auto" w:fill="FFFFFF"/>
            <w:noWrap w:val="0"/>
            <w:vAlign w:val="center"/>
          </w:tcPr>
          <w:p w14:paraId="0DE05A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C4EE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1840" w:hRule="atLeast"/>
          <w:jc w:val="center"/>
        </w:trPr>
        <w:tc>
          <w:tcPr>
            <w:tcW w:w="457" w:type="dxa"/>
            <w:shd w:val="clear" w:color="auto" w:fill="FFFFFF"/>
            <w:noWrap w:val="0"/>
            <w:vAlign w:val="center"/>
          </w:tcPr>
          <w:p w14:paraId="39E01CE4">
            <w:pPr>
              <w:widowControl/>
              <w:spacing w:line="300" w:lineRule="exact"/>
              <w:jc w:val="center"/>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6</w:t>
            </w:r>
          </w:p>
        </w:tc>
        <w:tc>
          <w:tcPr>
            <w:tcW w:w="781" w:type="dxa"/>
            <w:shd w:val="clear" w:color="auto" w:fill="FFFFFF"/>
            <w:noWrap w:val="0"/>
            <w:vAlign w:val="center"/>
          </w:tcPr>
          <w:p w14:paraId="380B70F8">
            <w:pPr>
              <w:widowControl/>
              <w:spacing w:line="240" w:lineRule="auto"/>
              <w:jc w:val="left"/>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塑胶面层</w:t>
            </w:r>
          </w:p>
        </w:tc>
        <w:tc>
          <w:tcPr>
            <w:tcW w:w="5934" w:type="dxa"/>
            <w:shd w:val="clear" w:color="auto" w:fill="FFFFFF"/>
            <w:noWrap w:val="0"/>
            <w:vAlign w:val="center"/>
          </w:tcPr>
          <w:p w14:paraId="75C73B5A">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1、名称：预制型跑道卷材面层（颜色由业主指定）</w:t>
            </w:r>
          </w:p>
          <w:p w14:paraId="6FB828D9">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2、厚度：8mm</w:t>
            </w:r>
          </w:p>
          <w:p w14:paraId="5EE690AB">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3、采用无毒可回收材料，符合国家相关法律规定</w:t>
            </w:r>
          </w:p>
          <w:p w14:paraId="39E04006">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4、含清扫路基、整修侧平石、测温、摊铺、接茬、找平、点补、撒垫料、碾压、清理、胶水、表面喷涂料、画线、分割等所有符合环保要求的施工内容；</w:t>
            </w:r>
          </w:p>
          <w:p w14:paraId="5D9F95FC">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5、符合新国标GB36246-2018相关检测标准要求。</w:t>
            </w:r>
          </w:p>
          <w:p w14:paraId="474A9463">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6、具体做法详见设计图纸</w:t>
            </w:r>
          </w:p>
        </w:tc>
        <w:tc>
          <w:tcPr>
            <w:tcW w:w="696" w:type="dxa"/>
            <w:shd w:val="clear" w:color="auto" w:fill="FFFFFF"/>
            <w:noWrap w:val="0"/>
            <w:vAlign w:val="center"/>
          </w:tcPr>
          <w:p w14:paraId="49A6E9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m2</w:t>
            </w:r>
          </w:p>
        </w:tc>
        <w:tc>
          <w:tcPr>
            <w:tcW w:w="623" w:type="dxa"/>
            <w:shd w:val="clear" w:color="auto" w:fill="FFFFFF"/>
            <w:noWrap w:val="0"/>
            <w:vAlign w:val="center"/>
          </w:tcPr>
          <w:p w14:paraId="736233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1626</w:t>
            </w:r>
          </w:p>
        </w:tc>
        <w:tc>
          <w:tcPr>
            <w:tcW w:w="600" w:type="dxa"/>
            <w:shd w:val="clear" w:color="auto" w:fill="FFFFFF"/>
            <w:noWrap w:val="0"/>
            <w:vAlign w:val="center"/>
          </w:tcPr>
          <w:p w14:paraId="23A6AC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3" w:type="dxa"/>
            <w:shd w:val="clear" w:color="auto" w:fill="FFFFFF"/>
            <w:noWrap w:val="0"/>
            <w:vAlign w:val="center"/>
          </w:tcPr>
          <w:p w14:paraId="485228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3" w:type="dxa"/>
            <w:shd w:val="clear" w:color="auto" w:fill="FFFFFF"/>
            <w:noWrap w:val="0"/>
            <w:vAlign w:val="center"/>
          </w:tcPr>
          <w:p w14:paraId="7B483C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D022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903" w:hRule="atLeast"/>
          <w:jc w:val="center"/>
        </w:trPr>
        <w:tc>
          <w:tcPr>
            <w:tcW w:w="457" w:type="dxa"/>
            <w:shd w:val="clear" w:color="auto" w:fill="FFFFFF"/>
            <w:noWrap w:val="0"/>
            <w:vAlign w:val="center"/>
          </w:tcPr>
          <w:p w14:paraId="587DBCBE">
            <w:pPr>
              <w:widowControl/>
              <w:spacing w:line="300" w:lineRule="exact"/>
              <w:jc w:val="center"/>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7</w:t>
            </w:r>
          </w:p>
        </w:tc>
        <w:tc>
          <w:tcPr>
            <w:tcW w:w="781" w:type="dxa"/>
            <w:shd w:val="clear" w:color="auto" w:fill="FFFFFF"/>
            <w:noWrap w:val="0"/>
            <w:vAlign w:val="center"/>
          </w:tcPr>
          <w:p w14:paraId="58FB99E1">
            <w:pPr>
              <w:widowControl/>
              <w:spacing w:line="240" w:lineRule="auto"/>
              <w:jc w:val="left"/>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混凝土基层修复</w:t>
            </w:r>
          </w:p>
        </w:tc>
        <w:tc>
          <w:tcPr>
            <w:tcW w:w="5934" w:type="dxa"/>
            <w:shd w:val="clear" w:color="auto" w:fill="FFFFFF"/>
            <w:noWrap w:val="0"/>
            <w:vAlign w:val="center"/>
          </w:tcPr>
          <w:p w14:paraId="1F7B8475">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1、100厚C25砼基层</w:t>
            </w:r>
          </w:p>
          <w:p w14:paraId="272B1FDA">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2、50厚级配碎石调平层</w:t>
            </w:r>
          </w:p>
        </w:tc>
        <w:tc>
          <w:tcPr>
            <w:tcW w:w="696" w:type="dxa"/>
            <w:shd w:val="clear" w:color="auto" w:fill="FFFFFF"/>
            <w:noWrap w:val="0"/>
            <w:vAlign w:val="center"/>
          </w:tcPr>
          <w:p w14:paraId="5284FE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623" w:type="dxa"/>
            <w:shd w:val="clear" w:color="auto" w:fill="FFFFFF"/>
            <w:noWrap w:val="0"/>
            <w:vAlign w:val="center"/>
          </w:tcPr>
          <w:p w14:paraId="118B92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535.5</w:t>
            </w:r>
          </w:p>
        </w:tc>
        <w:tc>
          <w:tcPr>
            <w:tcW w:w="600" w:type="dxa"/>
            <w:shd w:val="clear" w:color="auto" w:fill="FFFFFF"/>
            <w:noWrap w:val="0"/>
            <w:vAlign w:val="center"/>
          </w:tcPr>
          <w:p w14:paraId="46AC1E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3" w:type="dxa"/>
            <w:shd w:val="clear" w:color="auto" w:fill="FFFFFF"/>
            <w:noWrap w:val="0"/>
            <w:vAlign w:val="center"/>
          </w:tcPr>
          <w:p w14:paraId="47F85F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3" w:type="dxa"/>
            <w:shd w:val="clear" w:color="auto" w:fill="FFFFFF"/>
            <w:noWrap w:val="0"/>
            <w:vAlign w:val="center"/>
          </w:tcPr>
          <w:p w14:paraId="18EAEA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9261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2246" w:hRule="atLeast"/>
          <w:jc w:val="center"/>
        </w:trPr>
        <w:tc>
          <w:tcPr>
            <w:tcW w:w="457" w:type="dxa"/>
            <w:shd w:val="clear" w:color="auto" w:fill="FFFFFF"/>
            <w:noWrap w:val="0"/>
            <w:vAlign w:val="center"/>
          </w:tcPr>
          <w:p w14:paraId="4AB097AF">
            <w:pPr>
              <w:widowControl/>
              <w:spacing w:line="300" w:lineRule="exact"/>
              <w:jc w:val="center"/>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8</w:t>
            </w:r>
          </w:p>
        </w:tc>
        <w:tc>
          <w:tcPr>
            <w:tcW w:w="781" w:type="dxa"/>
            <w:shd w:val="clear" w:color="auto" w:fill="FFFFFF"/>
            <w:noWrap w:val="0"/>
            <w:vAlign w:val="center"/>
          </w:tcPr>
          <w:p w14:paraId="140FC674">
            <w:pPr>
              <w:widowControl/>
              <w:spacing w:line="240" w:lineRule="auto"/>
              <w:jc w:val="left"/>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修复塑胶场地</w:t>
            </w:r>
          </w:p>
        </w:tc>
        <w:tc>
          <w:tcPr>
            <w:tcW w:w="5934" w:type="dxa"/>
            <w:shd w:val="clear" w:color="auto" w:fill="FFFFFF"/>
            <w:noWrap w:val="0"/>
            <w:vAlign w:val="center"/>
          </w:tcPr>
          <w:p w14:paraId="1AB49BB4">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1、名称：预制型跑道卷材面层（颜色由业主指定）</w:t>
            </w:r>
          </w:p>
          <w:p w14:paraId="2FFD7641">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2、厚度：8mm</w:t>
            </w:r>
          </w:p>
          <w:p w14:paraId="42228E97">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3、100厚C25砼基层</w:t>
            </w:r>
          </w:p>
          <w:p w14:paraId="4C8202C5">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4、50厚级配碎石调平层</w:t>
            </w:r>
          </w:p>
          <w:p w14:paraId="4D053800">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4、采用无毒可回收材料，符合国家相关法律规定</w:t>
            </w:r>
          </w:p>
          <w:p w14:paraId="691F2DE7">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5、含清扫路基、整修侧平石、测温、摊铺、接茬、找平、点补、撒垫料、碾压、清理、胶水、表面喷涂料、画线、分割等所有符合环保要求的施工内容；</w:t>
            </w:r>
          </w:p>
          <w:p w14:paraId="69F2F802">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6、符合新国标GB36246-2018相关检测标准要求。</w:t>
            </w:r>
          </w:p>
          <w:p w14:paraId="21812815">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7、具体做法详见设计图纸</w:t>
            </w:r>
          </w:p>
        </w:tc>
        <w:tc>
          <w:tcPr>
            <w:tcW w:w="696" w:type="dxa"/>
            <w:shd w:val="clear" w:color="auto" w:fill="FFFFFF"/>
            <w:noWrap w:val="0"/>
            <w:vAlign w:val="center"/>
          </w:tcPr>
          <w:p w14:paraId="743EB4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m2</w:t>
            </w:r>
          </w:p>
        </w:tc>
        <w:tc>
          <w:tcPr>
            <w:tcW w:w="623" w:type="dxa"/>
            <w:shd w:val="clear" w:color="auto" w:fill="FFFFFF"/>
            <w:noWrap w:val="0"/>
            <w:vAlign w:val="center"/>
          </w:tcPr>
          <w:p w14:paraId="791BCD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200</w:t>
            </w:r>
          </w:p>
        </w:tc>
        <w:tc>
          <w:tcPr>
            <w:tcW w:w="600" w:type="dxa"/>
            <w:shd w:val="clear" w:color="auto" w:fill="FFFFFF"/>
            <w:noWrap w:val="0"/>
            <w:vAlign w:val="center"/>
          </w:tcPr>
          <w:p w14:paraId="3AB644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3" w:type="dxa"/>
            <w:shd w:val="clear" w:color="auto" w:fill="FFFFFF"/>
            <w:noWrap w:val="0"/>
            <w:vAlign w:val="center"/>
          </w:tcPr>
          <w:p w14:paraId="52796D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3" w:type="dxa"/>
            <w:shd w:val="clear" w:color="auto" w:fill="FFFFFF"/>
            <w:noWrap w:val="0"/>
            <w:vAlign w:val="center"/>
          </w:tcPr>
          <w:p w14:paraId="34A326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4194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1399" w:hRule="atLeast"/>
          <w:jc w:val="center"/>
        </w:trPr>
        <w:tc>
          <w:tcPr>
            <w:tcW w:w="457" w:type="dxa"/>
            <w:shd w:val="clear" w:color="auto" w:fill="FFFFFF"/>
            <w:noWrap w:val="0"/>
            <w:vAlign w:val="center"/>
          </w:tcPr>
          <w:p w14:paraId="5B6857BE">
            <w:pPr>
              <w:widowControl/>
              <w:spacing w:line="300" w:lineRule="exact"/>
              <w:jc w:val="center"/>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9</w:t>
            </w:r>
          </w:p>
        </w:tc>
        <w:tc>
          <w:tcPr>
            <w:tcW w:w="781" w:type="dxa"/>
            <w:shd w:val="clear" w:color="auto" w:fill="FFFFFF"/>
            <w:noWrap w:val="0"/>
            <w:vAlign w:val="center"/>
          </w:tcPr>
          <w:p w14:paraId="79A25400">
            <w:pPr>
              <w:widowControl/>
              <w:spacing w:line="240" w:lineRule="auto"/>
              <w:jc w:val="left"/>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预制型球场</w:t>
            </w:r>
          </w:p>
        </w:tc>
        <w:tc>
          <w:tcPr>
            <w:tcW w:w="5934" w:type="dxa"/>
            <w:shd w:val="clear" w:color="auto" w:fill="FFFFFF"/>
            <w:noWrap w:val="0"/>
            <w:vAlign w:val="center"/>
          </w:tcPr>
          <w:p w14:paraId="1312B34E">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1、名称：8mm预制型球场卷材面层（颜色由业主指定）</w:t>
            </w:r>
          </w:p>
          <w:p w14:paraId="799ED12F">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2、厚度：8mm</w:t>
            </w:r>
          </w:p>
          <w:p w14:paraId="1EF3EBFE">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3、含检测和处理基础层、刮涂粘接剂及粘结卷材、修理卷材之间的接缝、画线(TENNISLIHE进口标漆)等施工内容；</w:t>
            </w:r>
          </w:p>
          <w:p w14:paraId="06D61DDD">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4、符合新国标GB36246-2018相关检测标准要求。</w:t>
            </w:r>
          </w:p>
          <w:p w14:paraId="18CA8E6C">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5、具体做法详见设计图纸</w:t>
            </w:r>
          </w:p>
        </w:tc>
        <w:tc>
          <w:tcPr>
            <w:tcW w:w="696" w:type="dxa"/>
            <w:shd w:val="clear" w:color="auto" w:fill="FFFFFF"/>
            <w:noWrap w:val="0"/>
            <w:vAlign w:val="center"/>
          </w:tcPr>
          <w:p w14:paraId="3B720E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m2</w:t>
            </w:r>
          </w:p>
        </w:tc>
        <w:tc>
          <w:tcPr>
            <w:tcW w:w="623" w:type="dxa"/>
            <w:shd w:val="clear" w:color="auto" w:fill="FFFFFF"/>
            <w:noWrap w:val="0"/>
            <w:vAlign w:val="center"/>
          </w:tcPr>
          <w:p w14:paraId="5111F9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1223</w:t>
            </w:r>
          </w:p>
        </w:tc>
        <w:tc>
          <w:tcPr>
            <w:tcW w:w="600" w:type="dxa"/>
            <w:shd w:val="clear" w:color="auto" w:fill="FFFFFF"/>
            <w:noWrap w:val="0"/>
            <w:vAlign w:val="center"/>
          </w:tcPr>
          <w:p w14:paraId="1F455B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3" w:type="dxa"/>
            <w:shd w:val="clear" w:color="auto" w:fill="FFFFFF"/>
            <w:noWrap w:val="0"/>
            <w:vAlign w:val="center"/>
          </w:tcPr>
          <w:p w14:paraId="663F6E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3" w:type="dxa"/>
            <w:shd w:val="clear" w:color="auto" w:fill="FFFFFF"/>
            <w:noWrap w:val="0"/>
            <w:vAlign w:val="center"/>
          </w:tcPr>
          <w:p w14:paraId="24E148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DC75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3603" w:hRule="atLeast"/>
          <w:jc w:val="center"/>
        </w:trPr>
        <w:tc>
          <w:tcPr>
            <w:tcW w:w="457" w:type="dxa"/>
            <w:shd w:val="clear" w:color="auto" w:fill="FFFFFF"/>
            <w:noWrap w:val="0"/>
            <w:vAlign w:val="center"/>
          </w:tcPr>
          <w:p w14:paraId="161D10E8">
            <w:pPr>
              <w:widowControl/>
              <w:spacing w:line="300" w:lineRule="exact"/>
              <w:jc w:val="center"/>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10</w:t>
            </w:r>
          </w:p>
        </w:tc>
        <w:tc>
          <w:tcPr>
            <w:tcW w:w="781" w:type="dxa"/>
            <w:shd w:val="clear" w:color="auto" w:fill="FFFFFF"/>
            <w:noWrap w:val="0"/>
            <w:vAlign w:val="center"/>
          </w:tcPr>
          <w:p w14:paraId="33298782">
            <w:pPr>
              <w:widowControl/>
              <w:spacing w:line="240" w:lineRule="auto"/>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人造草球场</w:t>
            </w:r>
          </w:p>
        </w:tc>
        <w:tc>
          <w:tcPr>
            <w:tcW w:w="5934" w:type="dxa"/>
            <w:shd w:val="clear" w:color="auto" w:fill="FFFFFF"/>
            <w:noWrap w:val="0"/>
            <w:vAlign w:val="center"/>
          </w:tcPr>
          <w:p w14:paraId="2105341F">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新做足球场人造草面层</w:t>
            </w:r>
          </w:p>
          <w:p w14:paraId="10544915">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1、场地清理；</w:t>
            </w:r>
          </w:p>
          <w:p w14:paraId="0CBC798D">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2、草坪铺设（仿真草坪PP曲丝材质，草高30mm,密度≥21000簇/m2，须符合环保要求）；</w:t>
            </w:r>
          </w:p>
          <w:p w14:paraId="5DBE0B90">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3、弹性垫层铺设：采用XPE减震垫。厚度10mm，并搭配TPE环保填充颗粒25kg/㎡</w:t>
            </w:r>
          </w:p>
          <w:p w14:paraId="760969AB">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4、接缝处理在接缝处铺设20-30cm宽接缝布，均匀涂刷专用胶水（用量300-500g/㎡），加压粘合并确保平整无缝隙，复杂区域（如角球区）可切割成小块拼接，避免缝隙过大；</w:t>
            </w:r>
          </w:p>
          <w:p w14:paraId="3F445490">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5、标线植入使用白色草丝或专用涂料标出边界线、禁区等功能线，切割后嵌入接缝布并粘合固定；</w:t>
            </w:r>
          </w:p>
          <w:p w14:paraId="66441984">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6、填充辅料分层填充石英砂至草高的2/3处（约20-25mm），用梳草机梳理使砂粒均匀下沉，保护草根并增强稳定性。填充环保橡胶颗粒至低于草尖5-10mm，增强缓冲性能并延长草坪寿命。</w:t>
            </w:r>
          </w:p>
          <w:p w14:paraId="30CD6BA3">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7、含制作、运输、安装、标线等一切费用</w:t>
            </w:r>
          </w:p>
          <w:p w14:paraId="75B27A0C">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8、施工符合设计要求及相关验收规范</w:t>
            </w:r>
          </w:p>
        </w:tc>
        <w:tc>
          <w:tcPr>
            <w:tcW w:w="696" w:type="dxa"/>
            <w:shd w:val="clear" w:color="auto" w:fill="FFFFFF"/>
            <w:noWrap w:val="0"/>
            <w:vAlign w:val="center"/>
          </w:tcPr>
          <w:p w14:paraId="260431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m2</w:t>
            </w:r>
          </w:p>
        </w:tc>
        <w:tc>
          <w:tcPr>
            <w:tcW w:w="623" w:type="dxa"/>
            <w:shd w:val="clear" w:color="auto" w:fill="FFFFFF"/>
            <w:noWrap w:val="0"/>
            <w:vAlign w:val="center"/>
          </w:tcPr>
          <w:p w14:paraId="4DC73C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1050</w:t>
            </w:r>
          </w:p>
        </w:tc>
        <w:tc>
          <w:tcPr>
            <w:tcW w:w="600" w:type="dxa"/>
            <w:shd w:val="clear" w:color="auto" w:fill="FFFFFF"/>
            <w:noWrap w:val="0"/>
            <w:vAlign w:val="center"/>
          </w:tcPr>
          <w:p w14:paraId="13EB20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3" w:type="dxa"/>
            <w:shd w:val="clear" w:color="auto" w:fill="FFFFFF"/>
            <w:noWrap w:val="0"/>
            <w:vAlign w:val="center"/>
          </w:tcPr>
          <w:p w14:paraId="6891BE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3" w:type="dxa"/>
            <w:shd w:val="clear" w:color="auto" w:fill="FFFFFF"/>
            <w:noWrap w:val="0"/>
            <w:vAlign w:val="center"/>
          </w:tcPr>
          <w:p w14:paraId="6EB44B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F691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1399" w:hRule="atLeast"/>
          <w:jc w:val="center"/>
        </w:trPr>
        <w:tc>
          <w:tcPr>
            <w:tcW w:w="457" w:type="dxa"/>
            <w:shd w:val="clear" w:color="auto" w:fill="FFFFFF"/>
            <w:noWrap w:val="0"/>
            <w:vAlign w:val="center"/>
          </w:tcPr>
          <w:p w14:paraId="01F0A387">
            <w:pPr>
              <w:widowControl/>
              <w:spacing w:line="300" w:lineRule="exact"/>
              <w:jc w:val="center"/>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11</w:t>
            </w:r>
          </w:p>
        </w:tc>
        <w:tc>
          <w:tcPr>
            <w:tcW w:w="781" w:type="dxa"/>
            <w:shd w:val="clear" w:color="auto" w:fill="FFFFFF"/>
            <w:noWrap w:val="0"/>
            <w:vAlign w:val="center"/>
          </w:tcPr>
          <w:p w14:paraId="5CB27A93">
            <w:pPr>
              <w:widowControl/>
              <w:spacing w:line="240" w:lineRule="auto"/>
              <w:jc w:val="left"/>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排水沟、截水沟</w:t>
            </w:r>
          </w:p>
        </w:tc>
        <w:tc>
          <w:tcPr>
            <w:tcW w:w="5934" w:type="dxa"/>
            <w:shd w:val="clear" w:color="auto" w:fill="FFFFFF"/>
            <w:noWrap w:val="0"/>
            <w:vAlign w:val="center"/>
          </w:tcPr>
          <w:p w14:paraId="0421CB47">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1、490*280*30混凝土排水篦子；</w:t>
            </w:r>
          </w:p>
          <w:p w14:paraId="5458F8CE">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2、15厚1：2.5水泥砂浆（掺3%防水剂）；</w:t>
            </w:r>
          </w:p>
          <w:p w14:paraId="5873A7BB">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3、150厚C20砼</w:t>
            </w:r>
          </w:p>
          <w:p w14:paraId="5CFB825F">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4、100厚C15砼垫层</w:t>
            </w:r>
          </w:p>
          <w:p w14:paraId="141DC23C">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5、含土方开挖、回填、模板费用，不考虑土方外运</w:t>
            </w:r>
          </w:p>
          <w:p w14:paraId="19ADE459">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p>
        </w:tc>
        <w:tc>
          <w:tcPr>
            <w:tcW w:w="696" w:type="dxa"/>
            <w:shd w:val="clear" w:color="auto" w:fill="FFFFFF"/>
            <w:noWrap w:val="0"/>
            <w:vAlign w:val="center"/>
          </w:tcPr>
          <w:p w14:paraId="249759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623" w:type="dxa"/>
            <w:shd w:val="clear" w:color="auto" w:fill="FFFFFF"/>
            <w:noWrap w:val="0"/>
            <w:vAlign w:val="center"/>
          </w:tcPr>
          <w:p w14:paraId="36ABE7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150</w:t>
            </w:r>
          </w:p>
        </w:tc>
        <w:tc>
          <w:tcPr>
            <w:tcW w:w="600" w:type="dxa"/>
            <w:shd w:val="clear" w:color="auto" w:fill="FFFFFF"/>
            <w:noWrap w:val="0"/>
            <w:vAlign w:val="center"/>
          </w:tcPr>
          <w:p w14:paraId="26EFE6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3" w:type="dxa"/>
            <w:shd w:val="clear" w:color="auto" w:fill="FFFFFF"/>
            <w:noWrap w:val="0"/>
            <w:vAlign w:val="center"/>
          </w:tcPr>
          <w:p w14:paraId="24BA4E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3" w:type="dxa"/>
            <w:shd w:val="clear" w:color="auto" w:fill="FFFFFF"/>
            <w:noWrap w:val="0"/>
            <w:vAlign w:val="center"/>
          </w:tcPr>
          <w:p w14:paraId="124C72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B156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628" w:hRule="atLeast"/>
          <w:jc w:val="center"/>
        </w:trPr>
        <w:tc>
          <w:tcPr>
            <w:tcW w:w="457" w:type="dxa"/>
            <w:shd w:val="clear" w:color="auto" w:fill="FFFFFF"/>
            <w:noWrap w:val="0"/>
            <w:vAlign w:val="center"/>
          </w:tcPr>
          <w:p w14:paraId="733D1D03">
            <w:pPr>
              <w:widowControl/>
              <w:spacing w:line="300" w:lineRule="exact"/>
              <w:jc w:val="center"/>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12</w:t>
            </w:r>
          </w:p>
        </w:tc>
        <w:tc>
          <w:tcPr>
            <w:tcW w:w="781" w:type="dxa"/>
            <w:shd w:val="clear" w:color="auto" w:fill="FFFFFF"/>
            <w:noWrap w:val="0"/>
            <w:vAlign w:val="center"/>
          </w:tcPr>
          <w:p w14:paraId="06EB00B2">
            <w:pPr>
              <w:widowControl/>
              <w:spacing w:line="240" w:lineRule="auto"/>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排水沟疏通</w:t>
            </w:r>
          </w:p>
        </w:tc>
        <w:tc>
          <w:tcPr>
            <w:tcW w:w="5934" w:type="dxa"/>
            <w:shd w:val="clear" w:color="auto" w:fill="FFFFFF"/>
            <w:noWrap w:val="0"/>
            <w:vAlign w:val="center"/>
          </w:tcPr>
          <w:p w14:paraId="43398A5A">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排水沟疏通及清理</w:t>
            </w:r>
          </w:p>
        </w:tc>
        <w:tc>
          <w:tcPr>
            <w:tcW w:w="696" w:type="dxa"/>
            <w:shd w:val="clear" w:color="auto" w:fill="FFFFFF"/>
            <w:noWrap w:val="0"/>
            <w:vAlign w:val="center"/>
          </w:tcPr>
          <w:p w14:paraId="69FF17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623" w:type="dxa"/>
            <w:shd w:val="clear" w:color="auto" w:fill="FFFFFF"/>
            <w:noWrap w:val="0"/>
            <w:vAlign w:val="center"/>
          </w:tcPr>
          <w:p w14:paraId="5C809A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230</w:t>
            </w:r>
          </w:p>
        </w:tc>
        <w:tc>
          <w:tcPr>
            <w:tcW w:w="600" w:type="dxa"/>
            <w:shd w:val="clear" w:color="auto" w:fill="FFFFFF"/>
            <w:noWrap w:val="0"/>
            <w:vAlign w:val="center"/>
          </w:tcPr>
          <w:p w14:paraId="305ADC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3" w:type="dxa"/>
            <w:shd w:val="clear" w:color="auto" w:fill="FFFFFF"/>
            <w:noWrap w:val="0"/>
            <w:vAlign w:val="center"/>
          </w:tcPr>
          <w:p w14:paraId="3A825D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3" w:type="dxa"/>
            <w:shd w:val="clear" w:color="auto" w:fill="FFFFFF"/>
            <w:noWrap w:val="0"/>
            <w:vAlign w:val="center"/>
          </w:tcPr>
          <w:p w14:paraId="60F245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1C10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1178" w:hRule="atLeast"/>
          <w:jc w:val="center"/>
        </w:trPr>
        <w:tc>
          <w:tcPr>
            <w:tcW w:w="457" w:type="dxa"/>
            <w:shd w:val="clear" w:color="auto" w:fill="FFFFFF"/>
            <w:noWrap w:val="0"/>
            <w:vAlign w:val="center"/>
          </w:tcPr>
          <w:p w14:paraId="0D63C5D0">
            <w:pPr>
              <w:widowControl/>
              <w:spacing w:line="300" w:lineRule="exact"/>
              <w:jc w:val="center"/>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13</w:t>
            </w:r>
          </w:p>
        </w:tc>
        <w:tc>
          <w:tcPr>
            <w:tcW w:w="781" w:type="dxa"/>
            <w:shd w:val="clear" w:color="auto" w:fill="FFFFFF"/>
            <w:noWrap w:val="0"/>
            <w:vAlign w:val="center"/>
          </w:tcPr>
          <w:p w14:paraId="36AEAE7F">
            <w:pPr>
              <w:widowControl/>
              <w:spacing w:line="240" w:lineRule="auto"/>
              <w:jc w:val="left"/>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足球场地水沟回填硬化</w:t>
            </w:r>
          </w:p>
        </w:tc>
        <w:tc>
          <w:tcPr>
            <w:tcW w:w="5934" w:type="dxa"/>
            <w:shd w:val="clear" w:color="auto" w:fill="FFFFFF"/>
            <w:noWrap w:val="0"/>
            <w:vAlign w:val="center"/>
          </w:tcPr>
          <w:p w14:paraId="3CB26189">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1、150厚c20砼</w:t>
            </w:r>
          </w:p>
          <w:p w14:paraId="4195C090">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2、100厚碎石垫层</w:t>
            </w:r>
          </w:p>
          <w:p w14:paraId="37B7F1A9">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3、150厚塘渣回填</w:t>
            </w:r>
          </w:p>
        </w:tc>
        <w:tc>
          <w:tcPr>
            <w:tcW w:w="696" w:type="dxa"/>
            <w:shd w:val="clear" w:color="auto" w:fill="FFFFFF"/>
            <w:noWrap w:val="0"/>
            <w:vAlign w:val="center"/>
          </w:tcPr>
          <w:p w14:paraId="3B6215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623" w:type="dxa"/>
            <w:shd w:val="clear" w:color="auto" w:fill="FFFFFF"/>
            <w:noWrap w:val="0"/>
            <w:vAlign w:val="center"/>
          </w:tcPr>
          <w:p w14:paraId="5DB92D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10.15</w:t>
            </w:r>
          </w:p>
        </w:tc>
        <w:tc>
          <w:tcPr>
            <w:tcW w:w="600" w:type="dxa"/>
            <w:shd w:val="clear" w:color="auto" w:fill="FFFFFF"/>
            <w:noWrap w:val="0"/>
            <w:vAlign w:val="center"/>
          </w:tcPr>
          <w:p w14:paraId="0B439D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3" w:type="dxa"/>
            <w:shd w:val="clear" w:color="auto" w:fill="FFFFFF"/>
            <w:noWrap w:val="0"/>
            <w:vAlign w:val="center"/>
          </w:tcPr>
          <w:p w14:paraId="571F7B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3" w:type="dxa"/>
            <w:shd w:val="clear" w:color="auto" w:fill="FFFFFF"/>
            <w:noWrap w:val="0"/>
            <w:vAlign w:val="center"/>
          </w:tcPr>
          <w:p w14:paraId="488926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9245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1180" w:hRule="atLeast"/>
          <w:jc w:val="center"/>
        </w:trPr>
        <w:tc>
          <w:tcPr>
            <w:tcW w:w="457" w:type="dxa"/>
            <w:shd w:val="clear" w:color="auto" w:fill="FFFFFF"/>
            <w:noWrap w:val="0"/>
            <w:vAlign w:val="center"/>
          </w:tcPr>
          <w:p w14:paraId="0A10CB23">
            <w:pPr>
              <w:widowControl/>
              <w:spacing w:line="300" w:lineRule="exact"/>
              <w:jc w:val="center"/>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14</w:t>
            </w:r>
          </w:p>
        </w:tc>
        <w:tc>
          <w:tcPr>
            <w:tcW w:w="781" w:type="dxa"/>
            <w:shd w:val="clear" w:color="auto" w:fill="FFFFFF"/>
            <w:noWrap w:val="0"/>
            <w:vAlign w:val="center"/>
          </w:tcPr>
          <w:p w14:paraId="15CE2525">
            <w:pPr>
              <w:widowControl/>
              <w:spacing w:line="240" w:lineRule="auto"/>
              <w:jc w:val="left"/>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篮球架</w:t>
            </w:r>
          </w:p>
        </w:tc>
        <w:tc>
          <w:tcPr>
            <w:tcW w:w="5934" w:type="dxa"/>
            <w:shd w:val="clear" w:color="auto" w:fill="FFFFFF"/>
            <w:noWrap w:val="0"/>
            <w:vAlign w:val="center"/>
          </w:tcPr>
          <w:p w14:paraId="5179F292">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透明钢化玻璃篮球架</w:t>
            </w:r>
          </w:p>
          <w:p w14:paraId="35132452">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1.标准固定式单臂篮球架GDJ-1AB成品采购</w:t>
            </w:r>
          </w:p>
          <w:p w14:paraId="11D06453">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2.含制作、安装、配件、基座等工艺</w:t>
            </w:r>
          </w:p>
          <w:p w14:paraId="0BC8D382">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3.器材具体样式、规格、型号、材质需与业主确认后方可进场、需提供器材相关合格证等</w:t>
            </w:r>
          </w:p>
        </w:tc>
        <w:tc>
          <w:tcPr>
            <w:tcW w:w="696" w:type="dxa"/>
            <w:shd w:val="clear" w:color="auto" w:fill="FFFFFF"/>
            <w:noWrap w:val="0"/>
            <w:vAlign w:val="center"/>
          </w:tcPr>
          <w:p w14:paraId="590D2B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623" w:type="dxa"/>
            <w:shd w:val="clear" w:color="auto" w:fill="FFFFFF"/>
            <w:noWrap w:val="0"/>
            <w:vAlign w:val="center"/>
          </w:tcPr>
          <w:p w14:paraId="75522A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600" w:type="dxa"/>
            <w:shd w:val="clear" w:color="auto" w:fill="FFFFFF"/>
            <w:noWrap w:val="0"/>
            <w:vAlign w:val="center"/>
          </w:tcPr>
          <w:p w14:paraId="6C4AE2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3" w:type="dxa"/>
            <w:shd w:val="clear" w:color="auto" w:fill="FFFFFF"/>
            <w:noWrap w:val="0"/>
            <w:vAlign w:val="center"/>
          </w:tcPr>
          <w:p w14:paraId="41475D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3" w:type="dxa"/>
            <w:shd w:val="clear" w:color="auto" w:fill="FFFFFF"/>
            <w:noWrap w:val="0"/>
            <w:vAlign w:val="center"/>
          </w:tcPr>
          <w:p w14:paraId="73B731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1121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1180" w:hRule="atLeast"/>
          <w:jc w:val="center"/>
        </w:trPr>
        <w:tc>
          <w:tcPr>
            <w:tcW w:w="457" w:type="dxa"/>
            <w:shd w:val="clear" w:color="auto" w:fill="FFFFFF"/>
            <w:noWrap w:val="0"/>
            <w:vAlign w:val="center"/>
          </w:tcPr>
          <w:p w14:paraId="02B734C8">
            <w:pPr>
              <w:widowControl/>
              <w:spacing w:line="300" w:lineRule="exact"/>
              <w:jc w:val="center"/>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15</w:t>
            </w:r>
          </w:p>
        </w:tc>
        <w:tc>
          <w:tcPr>
            <w:tcW w:w="781" w:type="dxa"/>
            <w:shd w:val="clear" w:color="auto" w:fill="FFFFFF"/>
            <w:noWrap w:val="0"/>
            <w:vAlign w:val="center"/>
          </w:tcPr>
          <w:p w14:paraId="7E9C4CA5">
            <w:pPr>
              <w:widowControl/>
              <w:spacing w:line="240" w:lineRule="auto"/>
              <w:jc w:val="left"/>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篮球架</w:t>
            </w:r>
          </w:p>
        </w:tc>
        <w:tc>
          <w:tcPr>
            <w:tcW w:w="5934" w:type="dxa"/>
            <w:shd w:val="clear" w:color="auto" w:fill="FFFFFF"/>
            <w:noWrap w:val="0"/>
            <w:vAlign w:val="center"/>
          </w:tcPr>
          <w:p w14:paraId="3D50F13C">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透明钢化玻璃篮球架</w:t>
            </w:r>
          </w:p>
          <w:p w14:paraId="124D77B7">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1.小学生标准固定式单臂篮球架成品采购</w:t>
            </w:r>
          </w:p>
          <w:p w14:paraId="7F4603A3">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2.含制作、安装、配件、基座等工艺</w:t>
            </w:r>
          </w:p>
          <w:p w14:paraId="29A9B8BA">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3.器材具体样式、规格、型号、材质需与业主确认后方可进场、需提供器材相关合格证等</w:t>
            </w:r>
          </w:p>
        </w:tc>
        <w:tc>
          <w:tcPr>
            <w:tcW w:w="696" w:type="dxa"/>
            <w:shd w:val="clear" w:color="auto" w:fill="FFFFFF"/>
            <w:noWrap w:val="0"/>
            <w:vAlign w:val="center"/>
          </w:tcPr>
          <w:p w14:paraId="661B2D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623" w:type="dxa"/>
            <w:shd w:val="clear" w:color="auto" w:fill="FFFFFF"/>
            <w:noWrap w:val="0"/>
            <w:vAlign w:val="center"/>
          </w:tcPr>
          <w:p w14:paraId="30A44B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600" w:type="dxa"/>
            <w:shd w:val="clear" w:color="auto" w:fill="FFFFFF"/>
            <w:noWrap w:val="0"/>
            <w:vAlign w:val="center"/>
          </w:tcPr>
          <w:p w14:paraId="0D6567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3" w:type="dxa"/>
            <w:shd w:val="clear" w:color="auto" w:fill="FFFFFF"/>
            <w:noWrap w:val="0"/>
            <w:vAlign w:val="center"/>
          </w:tcPr>
          <w:p w14:paraId="527025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3" w:type="dxa"/>
            <w:shd w:val="clear" w:color="auto" w:fill="FFFFFF"/>
            <w:noWrap w:val="0"/>
            <w:vAlign w:val="center"/>
          </w:tcPr>
          <w:p w14:paraId="167388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FD5D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922" w:hRule="atLeast"/>
          <w:jc w:val="center"/>
        </w:trPr>
        <w:tc>
          <w:tcPr>
            <w:tcW w:w="457" w:type="dxa"/>
            <w:shd w:val="clear" w:color="auto" w:fill="FFFFFF"/>
            <w:noWrap w:val="0"/>
            <w:vAlign w:val="center"/>
          </w:tcPr>
          <w:p w14:paraId="36360DDF">
            <w:pPr>
              <w:widowControl/>
              <w:spacing w:line="300" w:lineRule="exact"/>
              <w:jc w:val="center"/>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16</w:t>
            </w:r>
          </w:p>
        </w:tc>
        <w:tc>
          <w:tcPr>
            <w:tcW w:w="781" w:type="dxa"/>
            <w:shd w:val="clear" w:color="auto" w:fill="FFFFFF"/>
            <w:noWrap w:val="0"/>
            <w:vAlign w:val="center"/>
          </w:tcPr>
          <w:p w14:paraId="384E7784">
            <w:pPr>
              <w:widowControl/>
              <w:spacing w:line="240" w:lineRule="auto"/>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足球架</w:t>
            </w:r>
          </w:p>
        </w:tc>
        <w:tc>
          <w:tcPr>
            <w:tcW w:w="5934" w:type="dxa"/>
            <w:shd w:val="clear" w:color="auto" w:fill="FFFFFF"/>
            <w:noWrap w:val="0"/>
            <w:vAlign w:val="center"/>
          </w:tcPr>
          <w:p w14:paraId="5554FB0F">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1.五人制标准足球架ZQM-3A成品采购</w:t>
            </w:r>
          </w:p>
          <w:p w14:paraId="5078F7D2">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2.含安装、配件、基座等工艺</w:t>
            </w:r>
          </w:p>
          <w:p w14:paraId="3CF606D7">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3.器材具体样式、规格、型号、材质需与业主确认后方可进场、需提供器材相关合格证等</w:t>
            </w:r>
          </w:p>
        </w:tc>
        <w:tc>
          <w:tcPr>
            <w:tcW w:w="696" w:type="dxa"/>
            <w:shd w:val="clear" w:color="auto" w:fill="FFFFFF"/>
            <w:noWrap w:val="0"/>
            <w:vAlign w:val="center"/>
          </w:tcPr>
          <w:p w14:paraId="1C0AF9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623" w:type="dxa"/>
            <w:shd w:val="clear" w:color="auto" w:fill="FFFFFF"/>
            <w:noWrap w:val="0"/>
            <w:vAlign w:val="center"/>
          </w:tcPr>
          <w:p w14:paraId="59CA5C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600" w:type="dxa"/>
            <w:shd w:val="clear" w:color="auto" w:fill="FFFFFF"/>
            <w:noWrap w:val="0"/>
            <w:vAlign w:val="center"/>
          </w:tcPr>
          <w:p w14:paraId="1613AA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3" w:type="dxa"/>
            <w:shd w:val="clear" w:color="auto" w:fill="FFFFFF"/>
            <w:noWrap w:val="0"/>
            <w:vAlign w:val="center"/>
          </w:tcPr>
          <w:p w14:paraId="7FE545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3" w:type="dxa"/>
            <w:shd w:val="clear" w:color="auto" w:fill="FFFFFF"/>
            <w:noWrap w:val="0"/>
            <w:vAlign w:val="center"/>
          </w:tcPr>
          <w:p w14:paraId="0F38BD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A8DD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1178" w:hRule="atLeast"/>
          <w:jc w:val="center"/>
        </w:trPr>
        <w:tc>
          <w:tcPr>
            <w:tcW w:w="457" w:type="dxa"/>
            <w:shd w:val="clear" w:color="auto" w:fill="FFFFFF"/>
            <w:noWrap w:val="0"/>
            <w:vAlign w:val="center"/>
          </w:tcPr>
          <w:p w14:paraId="13E23046">
            <w:pPr>
              <w:widowControl/>
              <w:spacing w:line="300" w:lineRule="exact"/>
              <w:jc w:val="center"/>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17</w:t>
            </w:r>
          </w:p>
        </w:tc>
        <w:tc>
          <w:tcPr>
            <w:tcW w:w="781" w:type="dxa"/>
            <w:shd w:val="clear" w:color="auto" w:fill="FFFFFF"/>
            <w:noWrap w:val="0"/>
            <w:vAlign w:val="center"/>
          </w:tcPr>
          <w:p w14:paraId="3A90559F">
            <w:pPr>
              <w:widowControl/>
              <w:spacing w:line="240" w:lineRule="auto"/>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大型机械设备进出场及安拆</w:t>
            </w:r>
          </w:p>
        </w:tc>
        <w:tc>
          <w:tcPr>
            <w:tcW w:w="5934" w:type="dxa"/>
            <w:shd w:val="clear" w:color="auto" w:fill="FFFFFF"/>
            <w:noWrap w:val="0"/>
            <w:vAlign w:val="center"/>
          </w:tcPr>
          <w:p w14:paraId="69BD8D15">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1.履带式挖掘机</w:t>
            </w:r>
          </w:p>
          <w:p w14:paraId="728BACAD">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2.摊铺机</w:t>
            </w:r>
          </w:p>
        </w:tc>
        <w:tc>
          <w:tcPr>
            <w:tcW w:w="696" w:type="dxa"/>
            <w:shd w:val="clear" w:color="auto" w:fill="FFFFFF"/>
            <w:noWrap w:val="0"/>
            <w:vAlign w:val="center"/>
          </w:tcPr>
          <w:p w14:paraId="5B9EB4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台·次</w:t>
            </w:r>
          </w:p>
        </w:tc>
        <w:tc>
          <w:tcPr>
            <w:tcW w:w="623" w:type="dxa"/>
            <w:shd w:val="clear" w:color="auto" w:fill="FFFFFF"/>
            <w:noWrap w:val="0"/>
            <w:vAlign w:val="center"/>
          </w:tcPr>
          <w:p w14:paraId="6F5411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600" w:type="dxa"/>
            <w:shd w:val="clear" w:color="auto" w:fill="FFFFFF"/>
            <w:noWrap w:val="0"/>
            <w:vAlign w:val="center"/>
          </w:tcPr>
          <w:p w14:paraId="735F16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3" w:type="dxa"/>
            <w:shd w:val="clear" w:color="auto" w:fill="FFFFFF"/>
            <w:noWrap w:val="0"/>
            <w:vAlign w:val="center"/>
          </w:tcPr>
          <w:p w14:paraId="77CD4C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3" w:type="dxa"/>
            <w:shd w:val="clear" w:color="auto" w:fill="FFFFFF"/>
            <w:noWrap w:val="0"/>
            <w:vAlign w:val="center"/>
          </w:tcPr>
          <w:p w14:paraId="5D9216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9C51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628"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09FE88">
            <w:pPr>
              <w:widowControl/>
              <w:jc w:val="center"/>
              <w:textAlignment w:val="center"/>
              <w:rPr>
                <w:rFonts w:hint="eastAsia" w:ascii="宋体" w:hAnsi="宋体" w:eastAsia="宋体" w:cs="宋体"/>
                <w:color w:val="auto"/>
                <w:kern w:val="0"/>
                <w:sz w:val="20"/>
                <w:szCs w:val="20"/>
                <w:highlight w:val="none"/>
                <w:lang w:bidi="ar"/>
              </w:rPr>
            </w:pPr>
          </w:p>
        </w:tc>
        <w:tc>
          <w:tcPr>
            <w:tcW w:w="78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E81C2F0">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其他说明</w:t>
            </w:r>
          </w:p>
        </w:tc>
        <w:tc>
          <w:tcPr>
            <w:tcW w:w="59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C47D9D">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sz w:val="20"/>
                <w:szCs w:val="20"/>
                <w:highlight w:val="none"/>
              </w:rPr>
            </w:pPr>
          </w:p>
        </w:tc>
        <w:tc>
          <w:tcPr>
            <w:tcW w:w="6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A120552">
            <w:pPr>
              <w:widowControl/>
              <w:jc w:val="center"/>
              <w:textAlignment w:val="center"/>
              <w:rPr>
                <w:rFonts w:hint="eastAsia" w:ascii="宋体" w:hAnsi="宋体" w:eastAsia="宋体" w:cs="宋体"/>
                <w:color w:val="auto"/>
                <w:kern w:val="0"/>
                <w:sz w:val="20"/>
                <w:szCs w:val="20"/>
                <w:highlight w:val="none"/>
              </w:rPr>
            </w:pPr>
          </w:p>
        </w:tc>
        <w:tc>
          <w:tcPr>
            <w:tcW w:w="6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5D30A78">
            <w:pPr>
              <w:widowControl/>
              <w:jc w:val="center"/>
              <w:textAlignment w:val="center"/>
              <w:rPr>
                <w:rFonts w:hint="eastAsia" w:ascii="宋体" w:hAnsi="宋体" w:eastAsia="宋体" w:cs="宋体"/>
                <w:color w:val="auto"/>
                <w:kern w:val="0"/>
                <w:sz w:val="20"/>
                <w:szCs w:val="20"/>
                <w:highlight w:val="none"/>
              </w:rPr>
            </w:pP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468A2F9">
            <w:pPr>
              <w:widowControl/>
              <w:jc w:val="center"/>
              <w:textAlignment w:val="center"/>
              <w:rPr>
                <w:rFonts w:hint="eastAsia" w:ascii="宋体" w:hAnsi="宋体" w:eastAsia="宋体" w:cs="宋体"/>
                <w:color w:val="auto"/>
                <w:kern w:val="0"/>
                <w:sz w:val="20"/>
                <w:szCs w:val="20"/>
                <w:highlight w:val="none"/>
              </w:rPr>
            </w:pPr>
          </w:p>
        </w:tc>
        <w:tc>
          <w:tcPr>
            <w:tcW w:w="5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B447116">
            <w:pPr>
              <w:widowControl/>
              <w:jc w:val="center"/>
              <w:textAlignment w:val="center"/>
              <w:rPr>
                <w:rFonts w:hint="eastAsia" w:ascii="宋体" w:hAnsi="宋体" w:eastAsia="宋体" w:cs="宋体"/>
                <w:color w:val="auto"/>
                <w:kern w:val="0"/>
                <w:sz w:val="20"/>
                <w:szCs w:val="20"/>
                <w:highlight w:val="none"/>
              </w:rPr>
            </w:pPr>
          </w:p>
        </w:tc>
        <w:tc>
          <w:tcPr>
            <w:tcW w:w="5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0B0EDDF">
            <w:pPr>
              <w:widowControl/>
              <w:jc w:val="center"/>
              <w:textAlignment w:val="center"/>
              <w:rPr>
                <w:rFonts w:hint="eastAsia" w:ascii="宋体" w:hAnsi="宋体" w:eastAsia="宋体" w:cs="宋体"/>
                <w:color w:val="auto"/>
                <w:kern w:val="0"/>
                <w:sz w:val="20"/>
                <w:szCs w:val="20"/>
                <w:highlight w:val="none"/>
              </w:rPr>
            </w:pPr>
          </w:p>
        </w:tc>
      </w:tr>
      <w:tr w14:paraId="59B92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872"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CF51A6">
            <w:pPr>
              <w:spacing w:line="300" w:lineRule="exact"/>
              <w:jc w:val="center"/>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sz w:val="20"/>
                <w:szCs w:val="20"/>
                <w:highlight w:val="none"/>
                <w:lang w:val="en-US" w:eastAsia="zh-CN"/>
              </w:rPr>
              <w:t>14</w:t>
            </w:r>
          </w:p>
        </w:tc>
        <w:tc>
          <w:tcPr>
            <w:tcW w:w="78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0B92DF7">
            <w:pPr>
              <w:widowControl/>
              <w:spacing w:line="300" w:lineRule="exact"/>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材料成品质量检测费</w:t>
            </w:r>
          </w:p>
        </w:tc>
        <w:tc>
          <w:tcPr>
            <w:tcW w:w="59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38C3296">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bidi="ar"/>
              </w:rPr>
              <w:t>原材料及材料成品质量检测费（详见招标文件），施工单位自行根据施工面积报价，该费用一次性包干，结算不再调整。</w:t>
            </w:r>
          </w:p>
        </w:tc>
        <w:tc>
          <w:tcPr>
            <w:tcW w:w="6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1AA4C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6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368E9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1ED9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DA32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D58C7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09C0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872"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D6870BF">
            <w:pPr>
              <w:spacing w:line="300" w:lineRule="exact"/>
              <w:jc w:val="center"/>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sz w:val="20"/>
                <w:szCs w:val="20"/>
                <w:highlight w:val="none"/>
                <w:lang w:val="en-US" w:eastAsia="zh-CN"/>
              </w:rPr>
              <w:t>15</w:t>
            </w:r>
          </w:p>
        </w:tc>
        <w:tc>
          <w:tcPr>
            <w:tcW w:w="78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3E7A635">
            <w:pPr>
              <w:widowControl/>
              <w:spacing w:line="300" w:lineRule="exact"/>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施工技术措施费</w:t>
            </w:r>
          </w:p>
        </w:tc>
        <w:tc>
          <w:tcPr>
            <w:tcW w:w="59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3F1F200">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bidi="ar"/>
              </w:rPr>
              <w:t>施工技术措施费（基础及垫层等模板、现场建筑物保费、现场设施移动费、大型机械设备进出场及安拆、安全维护等）</w:t>
            </w:r>
          </w:p>
        </w:tc>
        <w:tc>
          <w:tcPr>
            <w:tcW w:w="6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F69AA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6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6A968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6639C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AC37F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53E11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A042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1143"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8CC4809">
            <w:pPr>
              <w:spacing w:line="300" w:lineRule="exact"/>
              <w:jc w:val="center"/>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sz w:val="20"/>
                <w:szCs w:val="20"/>
                <w:highlight w:val="none"/>
                <w:lang w:val="en-US" w:eastAsia="zh-CN"/>
              </w:rPr>
              <w:t>16</w:t>
            </w:r>
          </w:p>
        </w:tc>
        <w:tc>
          <w:tcPr>
            <w:tcW w:w="78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4E4CC9">
            <w:pPr>
              <w:widowControl/>
              <w:spacing w:line="300" w:lineRule="exact"/>
              <w:jc w:val="center"/>
              <w:textAlignment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bidi="ar"/>
              </w:rPr>
              <w:t>其他施工技术措施费</w:t>
            </w:r>
          </w:p>
        </w:tc>
        <w:tc>
          <w:tcPr>
            <w:tcW w:w="59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B53E768">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bidi="ar"/>
              </w:rPr>
              <w:t>为完成本工程所需要的其他项目</w:t>
            </w:r>
            <w:r>
              <w:rPr>
                <w:rFonts w:hint="eastAsia" w:ascii="宋体" w:hAnsi="宋体" w:eastAsia="宋体" w:cs="宋体"/>
                <w:color w:val="auto"/>
                <w:kern w:val="0"/>
                <w:sz w:val="20"/>
                <w:szCs w:val="20"/>
                <w:highlight w:val="none"/>
                <w:lang w:eastAsia="zh-CN" w:bidi="ar"/>
              </w:rPr>
              <w:t>：现场垃圾外运，消纳，不需要的苗木移除，其余垃圾清理，原有排水沟破损排水沟盖板进行更换，水沟内部部分砌体破损脱落修复，运动场及篮球场区边上榕树根伸长到塑胶面层部分需进行修剪处理，局部混凝土基础进行修复等一切措施费</w:t>
            </w:r>
          </w:p>
        </w:tc>
        <w:tc>
          <w:tcPr>
            <w:tcW w:w="6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BB64F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i w:val="0"/>
                <w:iCs w:val="0"/>
                <w:color w:val="auto"/>
                <w:kern w:val="0"/>
                <w:sz w:val="20"/>
                <w:szCs w:val="20"/>
                <w:highlight w:val="none"/>
                <w:u w:val="none"/>
                <w:lang w:val="en-US" w:eastAsia="zh-CN" w:bidi="ar"/>
              </w:rPr>
              <w:t>项</w:t>
            </w:r>
          </w:p>
        </w:tc>
        <w:tc>
          <w:tcPr>
            <w:tcW w:w="6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E7663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9DE92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BEF36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222F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F39B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519"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344AFA4">
            <w:pPr>
              <w:spacing w:line="300" w:lineRule="exact"/>
              <w:jc w:val="center"/>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sz w:val="20"/>
                <w:szCs w:val="20"/>
                <w:highlight w:val="none"/>
                <w:lang w:val="en-US" w:eastAsia="zh-CN"/>
              </w:rPr>
              <w:t>17</w:t>
            </w:r>
          </w:p>
        </w:tc>
        <w:tc>
          <w:tcPr>
            <w:tcW w:w="78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A2AD887">
            <w:pPr>
              <w:widowControl/>
              <w:spacing w:line="300" w:lineRule="exact"/>
              <w:jc w:val="center"/>
              <w:textAlignment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bidi="ar"/>
              </w:rPr>
              <w:t>规费</w:t>
            </w:r>
          </w:p>
        </w:tc>
        <w:tc>
          <w:tcPr>
            <w:tcW w:w="59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9C3475D">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bidi="ar"/>
              </w:rPr>
              <w:t>含安全文明施工费、社会保险费、住房公积金、工程排污费、建设项目工伤保险费等</w:t>
            </w:r>
          </w:p>
        </w:tc>
        <w:tc>
          <w:tcPr>
            <w:tcW w:w="6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85652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i w:val="0"/>
                <w:iCs w:val="0"/>
                <w:color w:val="auto"/>
                <w:kern w:val="0"/>
                <w:sz w:val="20"/>
                <w:szCs w:val="20"/>
                <w:highlight w:val="none"/>
                <w:u w:val="none"/>
                <w:lang w:val="en-US" w:eastAsia="zh-CN" w:bidi="ar"/>
              </w:rPr>
              <w:t>项</w:t>
            </w:r>
          </w:p>
        </w:tc>
        <w:tc>
          <w:tcPr>
            <w:tcW w:w="6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0E571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94FDC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6EE42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69F63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B46D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616"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706733E">
            <w:pPr>
              <w:spacing w:line="300" w:lineRule="exact"/>
              <w:jc w:val="center"/>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sz w:val="20"/>
                <w:szCs w:val="20"/>
                <w:highlight w:val="none"/>
                <w:lang w:val="en-US" w:eastAsia="zh-CN"/>
              </w:rPr>
              <w:t>18</w:t>
            </w:r>
          </w:p>
        </w:tc>
        <w:tc>
          <w:tcPr>
            <w:tcW w:w="78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202E420">
            <w:pPr>
              <w:widowControl/>
              <w:spacing w:line="300" w:lineRule="exact"/>
              <w:jc w:val="center"/>
              <w:textAlignment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bidi="ar"/>
              </w:rPr>
              <w:t>其他费用</w:t>
            </w:r>
          </w:p>
        </w:tc>
        <w:tc>
          <w:tcPr>
            <w:tcW w:w="59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A2FBCA">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bidi="ar"/>
              </w:rPr>
              <w:t>税金等其他未包含费用</w:t>
            </w:r>
          </w:p>
        </w:tc>
        <w:tc>
          <w:tcPr>
            <w:tcW w:w="6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0B9A6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i w:val="0"/>
                <w:iCs w:val="0"/>
                <w:color w:val="auto"/>
                <w:kern w:val="0"/>
                <w:sz w:val="20"/>
                <w:szCs w:val="20"/>
                <w:highlight w:val="none"/>
                <w:u w:val="none"/>
                <w:lang w:val="en-US" w:eastAsia="zh-CN" w:bidi="ar"/>
              </w:rPr>
              <w:t>项</w:t>
            </w:r>
          </w:p>
        </w:tc>
        <w:tc>
          <w:tcPr>
            <w:tcW w:w="6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4D188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6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6B86D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7766F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002BF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C982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625" w:hRule="atLeast"/>
          <w:jc w:val="center"/>
        </w:trPr>
        <w:tc>
          <w:tcPr>
            <w:tcW w:w="8491"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14:paraId="6AC2F7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合计</w:t>
            </w:r>
          </w:p>
        </w:tc>
        <w:tc>
          <w:tcPr>
            <w:tcW w:w="1173"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4FFB1F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元</w:t>
            </w:r>
          </w:p>
        </w:tc>
        <w:tc>
          <w:tcPr>
            <w:tcW w:w="5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D230B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i w:val="0"/>
                <w:iCs w:val="0"/>
                <w:color w:val="auto"/>
                <w:kern w:val="0"/>
                <w:sz w:val="20"/>
                <w:szCs w:val="20"/>
                <w:highlight w:val="none"/>
                <w:u w:val="none"/>
                <w:lang w:val="en-US" w:eastAsia="zh-CN" w:bidi="ar"/>
              </w:rPr>
            </w:pPr>
          </w:p>
        </w:tc>
      </w:tr>
    </w:tbl>
    <w:p w14:paraId="3E613C1C">
      <w:pPr>
        <w:pStyle w:val="4"/>
        <w:adjustRightInd w:val="0"/>
        <w:snapToGrid w:val="0"/>
        <w:spacing w:line="460" w:lineRule="atLeas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注：1.此表总价应与“开标一览表”中投标总价相一致。</w:t>
      </w:r>
    </w:p>
    <w:p w14:paraId="04F7D960">
      <w:pPr>
        <w:pStyle w:val="4"/>
        <w:numPr>
          <w:ilvl w:val="0"/>
          <w:numId w:val="0"/>
        </w:numPr>
        <w:adjustRightInd w:val="0"/>
        <w:snapToGrid w:val="0"/>
        <w:spacing w:line="460" w:lineRule="atLeast"/>
        <w:ind w:firstLine="482" w:firstLineChars="200"/>
        <w:rPr>
          <w:rFonts w:hint="eastAsia" w:ascii="宋体" w:hAnsi="宋体" w:eastAsia="宋体" w:cs="宋体"/>
          <w:color w:val="auto"/>
          <w:sz w:val="24"/>
          <w:szCs w:val="24"/>
          <w:highlight w:val="none"/>
          <w:lang w:val="en-US" w:eastAsia="zh-CN" w:bidi="zh-CN"/>
        </w:rPr>
      </w:pPr>
      <w:r>
        <w:rPr>
          <w:rFonts w:hint="eastAsia" w:hAnsi="宋体" w:cs="宋体"/>
          <w:b/>
          <w:bCs/>
          <w:color w:val="auto"/>
          <w:sz w:val="24"/>
          <w:szCs w:val="24"/>
          <w:highlight w:val="none"/>
          <w:lang w:val="en-US" w:eastAsia="zh-CN" w:bidi="zh-CN"/>
        </w:rPr>
        <w:t>2</w:t>
      </w:r>
      <w:r>
        <w:rPr>
          <w:rFonts w:hint="eastAsia" w:ascii="宋体" w:hAnsi="宋体" w:eastAsia="宋体" w:cs="宋体"/>
          <w:b/>
          <w:bCs/>
          <w:color w:val="auto"/>
          <w:sz w:val="24"/>
          <w:szCs w:val="24"/>
          <w:highlight w:val="none"/>
          <w:lang w:val="en-US" w:eastAsia="zh-CN" w:bidi="zh-CN"/>
        </w:rPr>
        <w:t>.表格可以延续，“投标报价明细表”为多页的，每页均需加盖投标人公章。</w:t>
      </w:r>
    </w:p>
    <w:p w14:paraId="4CF67C49">
      <w:pPr>
        <w:pStyle w:val="4"/>
        <w:numPr>
          <w:ilvl w:val="0"/>
          <w:numId w:val="0"/>
        </w:numPr>
        <w:adjustRightInd w:val="0"/>
        <w:snapToGrid w:val="0"/>
        <w:spacing w:line="460" w:lineRule="atLeast"/>
        <w:ind w:firstLine="482" w:firstLineChars="200"/>
        <w:rPr>
          <w:rFonts w:hint="eastAsia" w:ascii="宋体" w:hAnsi="宋体" w:eastAsia="宋体" w:cs="宋体"/>
          <w:color w:val="auto"/>
          <w:sz w:val="24"/>
          <w:szCs w:val="24"/>
          <w:highlight w:val="none"/>
          <w:lang w:val="en-US" w:eastAsia="zh-CN" w:bidi="zh-CN"/>
        </w:rPr>
      </w:pPr>
      <w:r>
        <w:rPr>
          <w:rFonts w:hint="eastAsia" w:hAnsi="宋体" w:cs="宋体"/>
          <w:b/>
          <w:bCs/>
          <w:color w:val="auto"/>
          <w:sz w:val="24"/>
          <w:szCs w:val="24"/>
          <w:highlight w:val="none"/>
          <w:lang w:val="en-US" w:eastAsia="zh-CN" w:bidi="zh-CN"/>
        </w:rPr>
        <w:t>3</w:t>
      </w:r>
      <w:r>
        <w:rPr>
          <w:rFonts w:hint="eastAsia" w:ascii="宋体" w:hAnsi="宋体" w:eastAsia="宋体" w:cs="宋体"/>
          <w:b/>
          <w:bCs/>
          <w:color w:val="auto"/>
          <w:sz w:val="24"/>
          <w:szCs w:val="24"/>
          <w:highlight w:val="none"/>
          <w:lang w:val="en-US" w:eastAsia="zh-CN" w:bidi="zh-CN"/>
        </w:rPr>
        <w:t>.</w:t>
      </w:r>
      <w:r>
        <w:rPr>
          <w:rFonts w:hint="eastAsia" w:ascii="宋体" w:hAnsi="宋体" w:eastAsia="宋体" w:cs="宋体"/>
          <w:color w:val="auto"/>
          <w:spacing w:val="-6"/>
          <w:sz w:val="24"/>
          <w:szCs w:val="24"/>
          <w:highlight w:val="none"/>
          <w:lang w:val="en-US"/>
        </w:rPr>
        <w:t>▲</w:t>
      </w:r>
      <w:r>
        <w:rPr>
          <w:rFonts w:hint="eastAsia" w:ascii="宋体" w:hAnsi="宋体" w:eastAsia="宋体" w:cs="宋体"/>
          <w:b/>
          <w:bCs/>
          <w:color w:val="auto"/>
          <w:sz w:val="24"/>
          <w:szCs w:val="24"/>
          <w:highlight w:val="none"/>
          <w:lang w:val="en-US" w:eastAsia="zh-CN" w:bidi="zh-CN"/>
        </w:rPr>
        <w:t>未提供本表的投标视为未实质性响应招标要求，投标无效。</w:t>
      </w:r>
    </w:p>
    <w:p w14:paraId="344FC050">
      <w:pPr>
        <w:pStyle w:val="8"/>
        <w:rPr>
          <w:rFonts w:hint="eastAsia" w:ascii="宋体" w:hAnsi="宋体" w:eastAsia="宋体" w:cs="宋体"/>
          <w:color w:val="auto"/>
          <w:sz w:val="24"/>
          <w:szCs w:val="24"/>
          <w:highlight w:val="none"/>
          <w:lang w:val="en-US" w:eastAsia="zh-CN" w:bidi="zh-CN"/>
        </w:rPr>
      </w:pPr>
    </w:p>
    <w:p w14:paraId="2FAE3197">
      <w:pPr>
        <w:pStyle w:val="3"/>
        <w:tabs>
          <w:tab w:val="left" w:pos="6711"/>
          <w:tab w:val="left" w:pos="7191"/>
        </w:tabs>
        <w:spacing w:line="360" w:lineRule="auto"/>
        <w:ind w:firstLine="4320" w:firstLineChars="1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投标人名称（盖章）：</w:t>
      </w:r>
    </w:p>
    <w:p w14:paraId="3E5B0C3D">
      <w:pPr>
        <w:pStyle w:val="3"/>
        <w:tabs>
          <w:tab w:val="left" w:pos="6711"/>
          <w:tab w:val="left" w:pos="7191"/>
        </w:tabs>
        <w:spacing w:line="360" w:lineRule="auto"/>
        <w:ind w:firstLine="4320" w:firstLineChars="1800"/>
        <w:rPr>
          <w:rFonts w:hint="eastAsia" w:ascii="宋体" w:hAnsi="宋体" w:eastAsia="宋体" w:cs="宋体"/>
          <w:color w:val="auto"/>
          <w:sz w:val="22"/>
          <w:szCs w:val="24"/>
          <w:highlight w:val="none"/>
          <w:lang w:val="en-US"/>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rPr>
        <w:t xml:space="preserve">    年    月    日</w:t>
      </w:r>
    </w:p>
    <w:p w14:paraId="7A0C9CB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4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687718"/>
    <w:rsid w:val="37687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itle"/>
    <w:next w:val="1"/>
    <w:qFormat/>
    <w:uiPriority w:val="0"/>
    <w:pPr>
      <w:keepNext/>
      <w:keepLines/>
      <w:widowControl/>
      <w:tabs>
        <w:tab w:val="center" w:pos="540"/>
      </w:tabs>
      <w:spacing w:line="360" w:lineRule="auto"/>
      <w:jc w:val="both"/>
      <w:outlineLvl w:val="0"/>
    </w:pPr>
    <w:rPr>
      <w:rFonts w:ascii="Arial" w:hAnsi="Arial" w:eastAsia="宋体" w:cs="Arial"/>
      <w:b/>
      <w:bCs/>
      <w:kern w:val="2"/>
      <w:sz w:val="28"/>
      <w:szCs w:val="32"/>
      <w:lang w:val="en-US" w:eastAsia="zh-CN" w:bidi="ar-SA"/>
    </w:rPr>
  </w:style>
  <w:style w:type="paragraph" w:styleId="3">
    <w:name w:val="Body Text"/>
    <w:qFormat/>
    <w:uiPriority w:val="0"/>
    <w:pPr>
      <w:widowControl w:val="0"/>
      <w:spacing w:after="120"/>
      <w:jc w:val="both"/>
    </w:pPr>
    <w:rPr>
      <w:rFonts w:ascii="Times New Roman" w:hAnsi="Times New Roman" w:eastAsia="宋体" w:cs="Times New Roman"/>
      <w:kern w:val="2"/>
      <w:sz w:val="21"/>
      <w:szCs w:val="22"/>
      <w:lang w:val="en-US" w:eastAsia="zh-CN" w:bidi="ar-SA"/>
    </w:rPr>
  </w:style>
  <w:style w:type="paragraph" w:styleId="4">
    <w:name w:val="Plain Text"/>
    <w:next w:val="5"/>
    <w:qFormat/>
    <w:uiPriority w:val="0"/>
    <w:pPr>
      <w:widowControl w:val="0"/>
      <w:jc w:val="both"/>
    </w:pPr>
    <w:rPr>
      <w:rFonts w:ascii="宋体" w:hAnsi="Courier New" w:eastAsia="宋体" w:cs="Times New Roman"/>
      <w:kern w:val="2"/>
      <w:sz w:val="21"/>
      <w:szCs w:val="22"/>
      <w:lang w:val="en-US" w:eastAsia="zh-CN" w:bidi="ar-SA"/>
    </w:rPr>
  </w:style>
  <w:style w:type="paragraph" w:styleId="5">
    <w:name w:val="toc 2"/>
    <w:next w:val="1"/>
    <w:qFormat/>
    <w:uiPriority w:val="0"/>
    <w:pPr>
      <w:widowControl w:val="0"/>
      <w:ind w:left="420" w:leftChars="200"/>
      <w:jc w:val="both"/>
    </w:pPr>
    <w:rPr>
      <w:rFonts w:ascii="Times New Roman" w:hAnsi="Times New Roman" w:eastAsia="宋体" w:cs="Times New Roman"/>
      <w:color w:val="auto"/>
      <w:kern w:val="2"/>
      <w:sz w:val="21"/>
      <w:szCs w:val="24"/>
      <w:lang w:val="en-US" w:eastAsia="zh-CN" w:bidi="ar-SA"/>
    </w:rPr>
  </w:style>
  <w:style w:type="paragraph" w:customStyle="1" w:styleId="8">
    <w:name w:val="_Style 3"/>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2306</Words>
  <Characters>2553</Characters>
  <Lines>0</Lines>
  <Paragraphs>0</Paragraphs>
  <TotalTime>0</TotalTime>
  <ScaleCrop>false</ScaleCrop>
  <LinksUpToDate>false</LinksUpToDate>
  <CharactersWithSpaces>2604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2025-07-15T09:08:00Z</dcterms:created>
  <dc:creator>WPS_1697438328</dc:creator>
  <cp:lastModifiedBy>WPS_1697438328</cp:lastModifiedBy>
  <dcterms:modified xsi:type="dcterms:W3CDTF">2025-07-15T09:09:48Z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773119CDA1B646288A75FCEF6FD5965D_11</vt:lpwstr>
  </property>
  <property fmtid="{D5CDD505-2E9C-101B-9397-08002B2CF9AE}" pid="4" name="KSOTemplateDocerSaveRecord">
    <vt:lpwstr>eyJoZGlkIjoiYTlkOGJhOWY3ZTg5OWNkM2ZhZDM5NzdmYTA3NWU5M2EiLCJ1c2VySWQiOiIxNTQ5NDI3MzI5In0=</vt:lpwstr>
  </property>
</Properties>
</file>