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9B" w:rsidRDefault="002A249B" w:rsidP="002A249B">
      <w:pPr>
        <w:rPr>
          <w:rFonts w:ascii="宋体" w:hAnsi="宋体"/>
          <w:kern w:val="0"/>
          <w:sz w:val="24"/>
        </w:rPr>
      </w:pPr>
      <w:r w:rsidRPr="00AB2806">
        <w:rPr>
          <w:rFonts w:ascii="宋体" w:hAnsi="宋体" w:hint="eastAsia"/>
          <w:kern w:val="0"/>
          <w:sz w:val="24"/>
        </w:rPr>
        <w:t>附件</w:t>
      </w:r>
      <w:r w:rsidRPr="00AB2806">
        <w:rPr>
          <w:rFonts w:ascii="宋体" w:hAnsi="宋体"/>
          <w:kern w:val="0"/>
          <w:sz w:val="24"/>
        </w:rPr>
        <w:t>3</w:t>
      </w:r>
      <w:r w:rsidRPr="00AB2806">
        <w:rPr>
          <w:rFonts w:ascii="宋体" w:hAnsi="宋体" w:hint="eastAsia"/>
          <w:kern w:val="0"/>
          <w:sz w:val="24"/>
        </w:rPr>
        <w:t>：用户需求（URS）</w:t>
      </w:r>
    </w:p>
    <w:p w:rsidR="002A249B" w:rsidRDefault="002A249B" w:rsidP="002A249B">
      <w:pPr>
        <w:pStyle w:val="1"/>
        <w:numPr>
          <w:ilvl w:val="0"/>
          <w:numId w:val="1"/>
        </w:numPr>
        <w:tabs>
          <w:tab w:val="left" w:pos="420"/>
        </w:tabs>
        <w:spacing w:line="360" w:lineRule="auto"/>
        <w:ind w:leftChars="-219" w:left="0" w:firstLineChars="0" w:hanging="46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总则</w:t>
      </w:r>
    </w:p>
    <w:p w:rsidR="002A249B" w:rsidRDefault="002A249B" w:rsidP="002A249B">
      <w:pPr>
        <w:autoSpaceDE w:val="0"/>
        <w:autoSpaceDN w:val="0"/>
        <w:adjustRightInd w:val="0"/>
        <w:spacing w:line="460" w:lineRule="exact"/>
        <w:jc w:val="left"/>
        <w:rPr>
          <w:kern w:val="0"/>
          <w:szCs w:val="21"/>
        </w:rPr>
      </w:pPr>
      <w:r>
        <w:rPr>
          <w:b/>
          <w:kern w:val="0"/>
          <w:szCs w:val="21"/>
        </w:rPr>
        <w:t>1.1</w:t>
      </w:r>
      <w:r>
        <w:rPr>
          <w:rFonts w:hint="eastAsia"/>
          <w:b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本技术书仅适用</w:t>
      </w:r>
      <w:r>
        <w:rPr>
          <w:rFonts w:hAnsi="宋体" w:hint="eastAsia"/>
          <w:kern w:val="0"/>
          <w:szCs w:val="21"/>
          <w:u w:val="thick"/>
        </w:rPr>
        <w:t xml:space="preserve">  </w:t>
      </w:r>
      <w:r>
        <w:rPr>
          <w:rFonts w:hAnsi="宋体" w:hint="eastAsia"/>
          <w:kern w:val="0"/>
          <w:szCs w:val="21"/>
          <w:u w:val="thick"/>
        </w:rPr>
        <w:t>海正药业股份有限公司制剂三车间</w:t>
      </w:r>
      <w:r>
        <w:rPr>
          <w:rFonts w:hAnsi="宋体" w:hint="eastAsia"/>
          <w:kern w:val="0"/>
          <w:szCs w:val="21"/>
          <w:u w:val="thick"/>
        </w:rPr>
        <w:t xml:space="preserve">  </w:t>
      </w:r>
      <w:r>
        <w:rPr>
          <w:rFonts w:hAnsi="宋体" w:hint="eastAsia"/>
          <w:kern w:val="0"/>
          <w:szCs w:val="21"/>
        </w:rPr>
        <w:t>电气设备</w:t>
      </w:r>
      <w:r>
        <w:rPr>
          <w:rFonts w:hAnsi="宋体"/>
          <w:kern w:val="0"/>
          <w:szCs w:val="21"/>
        </w:rPr>
        <w:t>的招标使用。它提出了设备的功能设计、结构、安装和试验等方面的技术要求。</w:t>
      </w:r>
    </w:p>
    <w:p w:rsidR="002A249B" w:rsidRDefault="002A249B" w:rsidP="002A249B">
      <w:pPr>
        <w:autoSpaceDE w:val="0"/>
        <w:autoSpaceDN w:val="0"/>
        <w:adjustRightInd w:val="0"/>
        <w:spacing w:line="460" w:lineRule="exact"/>
        <w:jc w:val="left"/>
        <w:rPr>
          <w:kern w:val="0"/>
          <w:szCs w:val="21"/>
        </w:rPr>
      </w:pPr>
      <w:r>
        <w:rPr>
          <w:b/>
          <w:kern w:val="0"/>
          <w:szCs w:val="21"/>
        </w:rPr>
        <w:t>1.2</w:t>
      </w:r>
      <w:r>
        <w:rPr>
          <w:rFonts w:hAnsi="宋体" w:hint="eastAsia"/>
          <w:b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本技术条件提出的是最低限度的技术要求，并未对一切技术细节</w:t>
      </w:r>
      <w:proofErr w:type="gramStart"/>
      <w:r>
        <w:rPr>
          <w:rFonts w:hAnsi="宋体"/>
          <w:kern w:val="0"/>
          <w:szCs w:val="21"/>
        </w:rPr>
        <w:t>作出</w:t>
      </w:r>
      <w:proofErr w:type="gramEnd"/>
      <w:r>
        <w:rPr>
          <w:rFonts w:hAnsi="宋体"/>
          <w:kern w:val="0"/>
          <w:szCs w:val="21"/>
        </w:rPr>
        <w:t>规定，也未充分引述有关标准和规范的条文，</w:t>
      </w:r>
      <w:r>
        <w:rPr>
          <w:rFonts w:hAnsi="宋体" w:hint="eastAsia"/>
          <w:kern w:val="0"/>
          <w:szCs w:val="21"/>
        </w:rPr>
        <w:t>投标人</w:t>
      </w:r>
      <w:r>
        <w:rPr>
          <w:rFonts w:hAnsi="宋体"/>
          <w:kern w:val="0"/>
          <w:szCs w:val="21"/>
        </w:rPr>
        <w:t>应提供符合本技术条件和有关工业标准的优质产品。</w:t>
      </w:r>
    </w:p>
    <w:p w:rsidR="002A249B" w:rsidRDefault="002A249B" w:rsidP="002A249B">
      <w:pPr>
        <w:autoSpaceDE w:val="0"/>
        <w:autoSpaceDN w:val="0"/>
        <w:adjustRightInd w:val="0"/>
        <w:spacing w:line="460" w:lineRule="exact"/>
        <w:jc w:val="left"/>
        <w:rPr>
          <w:kern w:val="0"/>
          <w:szCs w:val="21"/>
        </w:rPr>
      </w:pPr>
      <w:r>
        <w:rPr>
          <w:b/>
          <w:kern w:val="0"/>
          <w:szCs w:val="21"/>
        </w:rPr>
        <w:t>1.3</w:t>
      </w:r>
      <w:r>
        <w:rPr>
          <w:rFonts w:hAnsi="宋体" w:hint="eastAsia"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如果</w:t>
      </w:r>
      <w:r>
        <w:rPr>
          <w:rFonts w:hAnsi="宋体" w:hint="eastAsia"/>
          <w:kern w:val="0"/>
          <w:szCs w:val="21"/>
        </w:rPr>
        <w:t>投标人</w:t>
      </w:r>
      <w:r>
        <w:rPr>
          <w:rFonts w:hAnsi="宋体"/>
          <w:kern w:val="0"/>
          <w:szCs w:val="21"/>
        </w:rPr>
        <w:t>没有以书面形式对技术条件提出异议，则意味着卖方提供的设备完全符合本技术条件的要求；如有异议，不管多么微小，都应在投标</w:t>
      </w:r>
      <w:r>
        <w:rPr>
          <w:rFonts w:hAnsi="宋体" w:hint="eastAsia"/>
          <w:kern w:val="0"/>
          <w:szCs w:val="21"/>
        </w:rPr>
        <w:t>文件</w:t>
      </w:r>
      <w:r>
        <w:rPr>
          <w:rFonts w:hAnsi="宋体"/>
          <w:kern w:val="0"/>
          <w:szCs w:val="21"/>
        </w:rPr>
        <w:t>中</w:t>
      </w:r>
      <w:proofErr w:type="gramStart"/>
      <w:r>
        <w:rPr>
          <w:rFonts w:hAnsi="宋体" w:hint="eastAsia"/>
          <w:kern w:val="0"/>
          <w:szCs w:val="21"/>
        </w:rPr>
        <w:t>列清并</w:t>
      </w:r>
      <w:r>
        <w:rPr>
          <w:rFonts w:hAnsi="宋体"/>
          <w:kern w:val="0"/>
          <w:szCs w:val="21"/>
        </w:rPr>
        <w:t>说明</w:t>
      </w:r>
      <w:proofErr w:type="gramEnd"/>
      <w:r>
        <w:rPr>
          <w:rFonts w:hAnsi="宋体"/>
          <w:kern w:val="0"/>
          <w:szCs w:val="21"/>
        </w:rPr>
        <w:t>。</w:t>
      </w:r>
    </w:p>
    <w:p w:rsidR="002A249B" w:rsidRDefault="002A249B" w:rsidP="002A249B">
      <w:pPr>
        <w:autoSpaceDE w:val="0"/>
        <w:autoSpaceDN w:val="0"/>
        <w:adjustRightInd w:val="0"/>
        <w:spacing w:line="460" w:lineRule="exact"/>
        <w:jc w:val="left"/>
        <w:rPr>
          <w:kern w:val="0"/>
          <w:szCs w:val="21"/>
        </w:rPr>
      </w:pPr>
      <w:r>
        <w:rPr>
          <w:b/>
          <w:kern w:val="0"/>
          <w:szCs w:val="21"/>
        </w:rPr>
        <w:t>1.4</w:t>
      </w:r>
      <w:r>
        <w:rPr>
          <w:rFonts w:hAnsi="宋体" w:hint="eastAsia"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本技术规</w:t>
      </w:r>
      <w:r>
        <w:rPr>
          <w:rFonts w:hAnsi="宋体" w:hint="eastAsia"/>
          <w:kern w:val="0"/>
          <w:szCs w:val="21"/>
        </w:rPr>
        <w:t>格</w:t>
      </w:r>
      <w:r>
        <w:rPr>
          <w:rFonts w:hAnsi="宋体"/>
          <w:kern w:val="0"/>
          <w:szCs w:val="21"/>
        </w:rPr>
        <w:t>书所使用的标准如与</w:t>
      </w:r>
      <w:r>
        <w:rPr>
          <w:rFonts w:hAnsi="宋体" w:hint="eastAsia"/>
          <w:kern w:val="0"/>
          <w:szCs w:val="21"/>
        </w:rPr>
        <w:t>投标人</w:t>
      </w:r>
      <w:r>
        <w:rPr>
          <w:rFonts w:hAnsi="宋体"/>
          <w:kern w:val="0"/>
          <w:szCs w:val="21"/>
        </w:rPr>
        <w:t>所执行的标准发生矛盾时，按本技术规</w:t>
      </w:r>
      <w:r>
        <w:rPr>
          <w:rFonts w:hAnsi="宋体" w:hint="eastAsia"/>
          <w:kern w:val="0"/>
          <w:szCs w:val="21"/>
        </w:rPr>
        <w:t>格</w:t>
      </w:r>
      <w:r>
        <w:rPr>
          <w:rFonts w:hAnsi="宋体"/>
          <w:kern w:val="0"/>
          <w:szCs w:val="21"/>
        </w:rPr>
        <w:t>书所规定的标准执行，若采用其它标准应经</w:t>
      </w:r>
      <w:r>
        <w:rPr>
          <w:rFonts w:hAnsi="宋体" w:hint="eastAsia"/>
          <w:kern w:val="0"/>
          <w:szCs w:val="21"/>
        </w:rPr>
        <w:t>招标人</w:t>
      </w:r>
      <w:r>
        <w:rPr>
          <w:rFonts w:hAnsi="宋体"/>
          <w:kern w:val="0"/>
          <w:szCs w:val="21"/>
        </w:rPr>
        <w:t>认可。</w:t>
      </w:r>
    </w:p>
    <w:p w:rsidR="002A249B" w:rsidRPr="000F0ED1" w:rsidRDefault="002A249B" w:rsidP="002A249B">
      <w:pPr>
        <w:spacing w:line="360" w:lineRule="auto"/>
        <w:jc w:val="left"/>
        <w:rPr>
          <w:rFonts w:hAnsi="宋体"/>
          <w:kern w:val="0"/>
          <w:szCs w:val="21"/>
        </w:rPr>
      </w:pPr>
      <w:r>
        <w:rPr>
          <w:b/>
          <w:kern w:val="0"/>
          <w:szCs w:val="21"/>
        </w:rPr>
        <w:t>1.</w:t>
      </w:r>
      <w:r>
        <w:rPr>
          <w:rFonts w:hint="eastAsia"/>
          <w:b/>
          <w:kern w:val="0"/>
          <w:szCs w:val="21"/>
        </w:rPr>
        <w:t>5</w:t>
      </w:r>
      <w:r>
        <w:rPr>
          <w:rFonts w:hAnsi="宋体" w:hint="eastAsia"/>
          <w:b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本技术条件未尽事宜，由买卖双方及时协商确定。</w:t>
      </w:r>
    </w:p>
    <w:p w:rsidR="002A249B" w:rsidRDefault="002A249B" w:rsidP="002A249B">
      <w:pPr>
        <w:pStyle w:val="1"/>
        <w:numPr>
          <w:ilvl w:val="0"/>
          <w:numId w:val="1"/>
        </w:numPr>
        <w:tabs>
          <w:tab w:val="left" w:pos="420"/>
        </w:tabs>
        <w:spacing w:line="360" w:lineRule="auto"/>
        <w:ind w:leftChars="-219" w:left="0" w:firstLineChars="0" w:hanging="46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货物范围</w:t>
      </w:r>
    </w:p>
    <w:tbl>
      <w:tblPr>
        <w:tblW w:w="5769" w:type="pct"/>
        <w:tblInd w:w="-350" w:type="dxa"/>
        <w:tblLayout w:type="fixed"/>
        <w:tblLook w:val="0000" w:firstRow="0" w:lastRow="0" w:firstColumn="0" w:lastColumn="0" w:noHBand="0" w:noVBand="0"/>
      </w:tblPr>
      <w:tblGrid>
        <w:gridCol w:w="747"/>
        <w:gridCol w:w="1253"/>
        <w:gridCol w:w="1935"/>
        <w:gridCol w:w="2193"/>
        <w:gridCol w:w="1560"/>
        <w:gridCol w:w="869"/>
        <w:gridCol w:w="564"/>
        <w:gridCol w:w="712"/>
      </w:tblGrid>
      <w:tr w:rsidR="002A249B" w:rsidTr="0060580B">
        <w:trPr>
          <w:trHeight w:val="300"/>
          <w:tblHeader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规格及型号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柜号</w:t>
            </w:r>
            <w:proofErr w:type="gramEnd"/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外形尺寸（宽</w:t>
            </w:r>
            <w:r>
              <w:rPr>
                <w:rStyle w:val="font31"/>
                <w:lang w:bidi="ar"/>
              </w:rPr>
              <w:t>X</w:t>
            </w:r>
            <w:r>
              <w:rPr>
                <w:rStyle w:val="font11"/>
                <w:rFonts w:hint="default"/>
                <w:lang w:bidi="ar"/>
              </w:rPr>
              <w:t>高</w:t>
            </w:r>
            <w:r>
              <w:rPr>
                <w:rStyle w:val="font31"/>
                <w:lang w:bidi="ar"/>
              </w:rPr>
              <w:t>X</w:t>
            </w:r>
            <w:r>
              <w:rPr>
                <w:rStyle w:val="font11"/>
                <w:rFonts w:hint="default"/>
                <w:lang w:bidi="ar"/>
              </w:rPr>
              <w:t>深）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高压开关柜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KYN28A-12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01AH11</w:t>
            </w:r>
            <w:r>
              <w:rPr>
                <w:rStyle w:val="font11"/>
                <w:rFonts w:hint="default"/>
                <w:lang w:bidi="ar"/>
              </w:rPr>
              <w:t>；</w:t>
            </w:r>
            <w:r>
              <w:rPr>
                <w:rStyle w:val="font31"/>
                <w:lang w:bidi="ar"/>
              </w:rPr>
              <w:t>01AH12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Style w:val="font11"/>
                <w:rFonts w:hint="default"/>
                <w:lang w:bidi="ar"/>
              </w:rPr>
              <w:t>×</w:t>
            </w:r>
            <w:r>
              <w:rPr>
                <w:rStyle w:val="font31"/>
                <w:lang w:bidi="ar"/>
              </w:rPr>
              <w:t>2360</w:t>
            </w:r>
            <w:r>
              <w:rPr>
                <w:rStyle w:val="font11"/>
                <w:rFonts w:hint="default"/>
                <w:lang w:bidi="ar"/>
              </w:rPr>
              <w:t>×</w:t>
            </w:r>
            <w:r>
              <w:rPr>
                <w:rStyle w:val="font31"/>
                <w:lang w:bidi="ar"/>
              </w:rPr>
              <w:t>1660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高压转运小车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KYN28A-12专用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电车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KYN28A-12专用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54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电力变压器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SCB10-1000/0.4   D,yn-11</w:t>
            </w:r>
            <w:r>
              <w:rPr>
                <w:color w:val="000000"/>
                <w:kern w:val="0"/>
                <w:szCs w:val="21"/>
                <w:lang w:bidi="ar"/>
              </w:rPr>
              <w:br/>
              <w:t xml:space="preserve">1000kVA 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Uk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%=6 10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2*2.5%</w:t>
            </w:r>
            <w:r>
              <w:rPr>
                <w:color w:val="000000"/>
                <w:kern w:val="0"/>
                <w:szCs w:val="21"/>
                <w:lang w:bidi="ar"/>
              </w:rPr>
              <w:t>/0.4kV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T1、T2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54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进线母线桥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TMY-3（120*10）+(100*10)+80*8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低压开关柜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GCK（固定分隔柜）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01AA101、01AA201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1000×2200×1000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低压电容柜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GCK（固定分隔柜）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01AA102、01AA202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1000×2200×1000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54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低压出线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GCK（固定分隔柜）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01AA103-01AA108、01AA204-01AA207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600×2200×1000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低压出线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GCK（固定分隔柜）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01AA203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1000×2200×1000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3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低压联络柜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GCK（固定分隔柜）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01AAL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1000×2200×1000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54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空气型联络母线桥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TMY-3（120*10）+(100*10)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约6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800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动力配电箱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XL-21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01APK201～01APK204、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01APK501～01APK512、01AP301、01AP401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800×1800×400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460"/>
        </w:trPr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01APK513～01APK515、01AP302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1000×1800×400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110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动力配电箱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JXF(非标）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01AP101、01AP102、01AP103、01AP201、01AP402、01AP501、01APDT1（01APDT2、01APDT3）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厂家自报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A249B" w:rsidTr="0060580B">
        <w:trPr>
          <w:trHeight w:val="740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双电源切换箱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JXF(非标）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01AT601、01AT602、01AT603、01AT101、01AT201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厂家自报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9B" w:rsidRDefault="002A249B" w:rsidP="00605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249B" w:rsidRDefault="002A249B" w:rsidP="00605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具备消防CCCF证书</w:t>
            </w:r>
          </w:p>
        </w:tc>
      </w:tr>
    </w:tbl>
    <w:p w:rsidR="002A249B" w:rsidRPr="000F0ED1" w:rsidRDefault="002A249B" w:rsidP="002A249B">
      <w:pPr>
        <w:rPr>
          <w:rFonts w:ascii="Arial" w:hAnsi="Arial" w:cs="Arial"/>
          <w:szCs w:val="21"/>
        </w:rPr>
      </w:pPr>
    </w:p>
    <w:p w:rsidR="00903567" w:rsidRPr="002A249B" w:rsidRDefault="002A249B">
      <w:bookmarkStart w:id="0" w:name="_GoBack"/>
      <w:bookmarkEnd w:id="0"/>
    </w:p>
    <w:sectPr w:rsidR="00903567" w:rsidRPr="002A249B" w:rsidSect="00B3634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80" w:rsidRDefault="002A249B">
    <w:pPr>
      <w:pStyle w:val="a3"/>
      <w:spacing w:line="240" w:lineRule="atLeas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FB2830"/>
    <w:multiLevelType w:val="singleLevel"/>
    <w:tmpl w:val="A1FB2830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9B"/>
    <w:rsid w:val="002A249B"/>
    <w:rsid w:val="00492CF4"/>
    <w:rsid w:val="004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eersteregel"/>
    <w:basedOn w:val="a"/>
    <w:link w:val="Char"/>
    <w:unhideWhenUsed/>
    <w:rsid w:val="002A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eersteregel Char"/>
    <w:basedOn w:val="a0"/>
    <w:link w:val="a3"/>
    <w:rsid w:val="002A249B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2A249B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2A249B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paragraph" w:customStyle="1" w:styleId="1">
    <w:name w:val="列出段落1"/>
    <w:basedOn w:val="a"/>
    <w:qFormat/>
    <w:rsid w:val="002A249B"/>
    <w:pPr>
      <w:ind w:firstLineChars="200" w:firstLine="420"/>
    </w:pPr>
    <w:rPr>
      <w:rFonts w:ascii="Calibri" w:hAnsi="Calibri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eersteregel"/>
    <w:basedOn w:val="a"/>
    <w:link w:val="Char"/>
    <w:unhideWhenUsed/>
    <w:rsid w:val="002A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eersteregel Char"/>
    <w:basedOn w:val="a0"/>
    <w:link w:val="a3"/>
    <w:rsid w:val="002A249B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2A249B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2A249B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paragraph" w:customStyle="1" w:styleId="1">
    <w:name w:val="列出段落1"/>
    <w:basedOn w:val="a"/>
    <w:qFormat/>
    <w:rsid w:val="002A249B"/>
    <w:pPr>
      <w:ind w:firstLineChars="200" w:firstLine="420"/>
    </w:pPr>
    <w:rPr>
      <w:rFonts w:ascii="Calibri" w:hAnsi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Organization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2022-03-25T00:59:00Z</dcterms:created>
  <dcterms:modified xsi:type="dcterms:W3CDTF">2022-03-25T00:59:00Z</dcterms:modified>
</cp:coreProperties>
</file>