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jc w:val="center"/>
        <w:rPr>
          <w:rFonts w:ascii="宋体" w:hAnsi="宋体"/>
          <w:b/>
          <w:bCs/>
          <w:color w:val="auto"/>
          <w:sz w:val="36"/>
          <w:szCs w:val="36"/>
          <w:highlight w:val="none"/>
        </w:rPr>
      </w:pPr>
    </w:p>
    <w:p>
      <w:pPr>
        <w:spacing w:before="120" w:beforeLines="50"/>
        <w:jc w:val="center"/>
        <w:rPr>
          <w:rFonts w:ascii="宋体" w:hAnsi="宋体"/>
          <w:b/>
          <w:bCs/>
          <w:color w:val="auto"/>
          <w:sz w:val="36"/>
          <w:szCs w:val="36"/>
          <w:highlight w:val="none"/>
        </w:rPr>
      </w:pPr>
    </w:p>
    <w:p>
      <w:pPr>
        <w:spacing w:before="120" w:beforeLines="50"/>
        <w:jc w:val="right"/>
        <w:rPr>
          <w:rFonts w:ascii="宋体" w:hAnsi="宋体"/>
          <w:b/>
          <w:bCs/>
          <w:color w:val="auto"/>
          <w:sz w:val="36"/>
          <w:szCs w:val="36"/>
          <w:highlight w:val="none"/>
        </w:rPr>
      </w:pPr>
      <w:bookmarkStart w:id="484" w:name="_GoBack"/>
      <w:bookmarkEnd w:id="484"/>
      <w:r>
        <w:rPr>
          <w:rFonts w:ascii="宋体" w:hAnsi="宋体"/>
          <w:b/>
          <w:bCs/>
          <w:color w:val="auto"/>
          <w:sz w:val="36"/>
          <w:szCs w:val="36"/>
          <w:highlight w:val="none"/>
        </w:rPr>
        <w:drawing>
          <wp:inline distT="0" distB="0" distL="0" distR="0">
            <wp:extent cx="1853565" cy="54229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53565" cy="542290"/>
                    </a:xfrm>
                    <a:prstGeom prst="rect">
                      <a:avLst/>
                    </a:prstGeom>
                    <a:noFill/>
                  </pic:spPr>
                </pic:pic>
              </a:graphicData>
            </a:graphic>
          </wp:inline>
        </w:drawing>
      </w:r>
    </w:p>
    <w:p>
      <w:pPr>
        <w:spacing w:before="120" w:beforeLines="50"/>
        <w:jc w:val="center"/>
        <w:rPr>
          <w:rFonts w:ascii="宋体" w:hAnsi="宋体"/>
          <w:b/>
          <w:bCs/>
          <w:color w:val="auto"/>
          <w:sz w:val="48"/>
          <w:szCs w:val="48"/>
          <w:highlight w:val="none"/>
        </w:rPr>
      </w:pPr>
    </w:p>
    <w:p>
      <w:pPr>
        <w:spacing w:before="120" w:beforeLines="50"/>
        <w:jc w:val="center"/>
        <w:rPr>
          <w:rFonts w:ascii="宋体" w:hAnsi="宋体"/>
          <w:color w:val="auto"/>
          <w:sz w:val="44"/>
          <w:szCs w:val="44"/>
          <w:highlight w:val="none"/>
        </w:rPr>
      </w:pPr>
      <w:bookmarkStart w:id="0" w:name="OLE_LINK2"/>
      <w:bookmarkStart w:id="1" w:name="OLE_LINK1"/>
      <w:r>
        <w:rPr>
          <w:rFonts w:hint="eastAsia" w:ascii="宋体" w:hAnsi="宋体"/>
          <w:b/>
          <w:bCs/>
          <w:color w:val="auto"/>
          <w:sz w:val="44"/>
          <w:szCs w:val="44"/>
          <w:highlight w:val="none"/>
        </w:rPr>
        <w:t>台州市第一中学食堂二楼备餐间、洗碗间和新疆班卫生间改造工程项目</w:t>
      </w:r>
    </w:p>
    <w:bookmarkEnd w:id="0"/>
    <w:bookmarkEnd w:id="1"/>
    <w:p>
      <w:pPr>
        <w:spacing w:before="120" w:beforeLines="50"/>
        <w:jc w:val="center"/>
        <w:rPr>
          <w:rFonts w:ascii="宋体" w:hAnsi="宋体"/>
          <w:color w:val="auto"/>
          <w:sz w:val="52"/>
          <w:szCs w:val="52"/>
          <w:highlight w:val="none"/>
        </w:rPr>
      </w:pPr>
    </w:p>
    <w:p>
      <w:pPr>
        <w:spacing w:before="120" w:beforeLines="50"/>
        <w:rPr>
          <w:rFonts w:ascii="宋体" w:hAnsi="宋体"/>
          <w:color w:val="auto"/>
          <w:sz w:val="52"/>
          <w:szCs w:val="52"/>
          <w:highlight w:val="none"/>
        </w:rPr>
      </w:pPr>
    </w:p>
    <w:p>
      <w:pPr>
        <w:snapToGrid w:val="0"/>
        <w:spacing w:before="120" w:beforeLines="50"/>
        <w:jc w:val="center"/>
        <w:rPr>
          <w:rFonts w:ascii="宋体" w:hAnsi="宋体"/>
          <w:color w:val="auto"/>
          <w:sz w:val="30"/>
          <w:szCs w:val="72"/>
          <w:highlight w:val="none"/>
        </w:rPr>
      </w:pPr>
      <w:bookmarkStart w:id="2" w:name="OLE_LINK5"/>
      <w:r>
        <w:rPr>
          <w:rFonts w:hint="eastAsia" w:ascii="宋体" w:hAnsi="宋体"/>
          <w:color w:val="auto"/>
          <w:sz w:val="84"/>
          <w:szCs w:val="84"/>
          <w:highlight w:val="none"/>
        </w:rPr>
        <w:t>竞争性磋商文件</w:t>
      </w:r>
    </w:p>
    <w:bookmarkEnd w:id="2"/>
    <w:p>
      <w:pPr>
        <w:snapToGrid w:val="0"/>
        <w:jc w:val="center"/>
        <w:rPr>
          <w:rFonts w:ascii="宋体" w:hAnsi="宋体"/>
          <w:color w:val="auto"/>
          <w:sz w:val="48"/>
          <w:szCs w:val="48"/>
          <w:highlight w:val="none"/>
        </w:rPr>
      </w:pPr>
      <w:r>
        <w:rPr>
          <w:rFonts w:ascii="宋体" w:hAnsi="宋体"/>
          <w:color w:val="auto"/>
          <w:sz w:val="48"/>
          <w:szCs w:val="48"/>
          <w:highlight w:val="none"/>
        </w:rPr>
        <w:t>（电子招投标）</w:t>
      </w:r>
    </w:p>
    <w:p>
      <w:pPr>
        <w:snapToGrid w:val="0"/>
        <w:spacing w:before="120" w:beforeLines="50" w:line="360" w:lineRule="auto"/>
        <w:rPr>
          <w:rFonts w:ascii="宋体" w:hAnsi="宋体"/>
          <w:color w:val="auto"/>
          <w:sz w:val="30"/>
          <w:szCs w:val="72"/>
          <w:highlight w:val="none"/>
        </w:rPr>
      </w:pPr>
    </w:p>
    <w:p>
      <w:pPr>
        <w:pStyle w:val="15"/>
        <w:snapToGrid w:val="0"/>
        <w:spacing w:before="120" w:after="120" w:line="360" w:lineRule="auto"/>
        <w:ind w:firstLine="556"/>
        <w:rPr>
          <w:rFonts w:hAnsi="宋体"/>
          <w:b/>
          <w:bCs/>
          <w:color w:val="auto"/>
          <w:w w:val="95"/>
          <w:sz w:val="30"/>
          <w:szCs w:val="30"/>
          <w:highlight w:val="none"/>
        </w:rPr>
      </w:pPr>
    </w:p>
    <w:p>
      <w:pPr>
        <w:pStyle w:val="16"/>
        <w:ind w:left="5250"/>
        <w:rPr>
          <w:color w:val="auto"/>
          <w:highlight w:val="none"/>
        </w:rPr>
      </w:pPr>
    </w:p>
    <w:p>
      <w:pPr>
        <w:rPr>
          <w:color w:val="auto"/>
          <w:highlight w:val="none"/>
        </w:rPr>
      </w:pPr>
    </w:p>
    <w:p>
      <w:pPr>
        <w:pStyle w:val="15"/>
        <w:snapToGrid w:val="0"/>
        <w:spacing w:before="120" w:after="120" w:line="360" w:lineRule="auto"/>
        <w:ind w:firstLine="556"/>
        <w:jc w:val="center"/>
        <w:rPr>
          <w:rFonts w:hAnsi="宋体"/>
          <w:b/>
          <w:bCs/>
          <w:color w:val="auto"/>
          <w:w w:val="95"/>
          <w:sz w:val="30"/>
          <w:szCs w:val="30"/>
          <w:highlight w:val="none"/>
        </w:rPr>
      </w:pPr>
    </w:p>
    <w:p>
      <w:pPr>
        <w:pStyle w:val="15"/>
        <w:snapToGrid w:val="0"/>
        <w:spacing w:before="120" w:after="120" w:line="360" w:lineRule="auto"/>
        <w:ind w:left="1275" w:leftChars="607" w:firstLine="563"/>
        <w:rPr>
          <w:rFonts w:hAnsi="宋体"/>
          <w:b/>
          <w:bCs/>
          <w:color w:val="auto"/>
          <w:w w:val="95"/>
          <w:sz w:val="30"/>
          <w:szCs w:val="30"/>
          <w:highlight w:val="none"/>
        </w:rPr>
      </w:pPr>
      <w:r>
        <w:rPr>
          <w:rFonts w:hint="eastAsia" w:hAnsi="宋体"/>
          <w:b/>
          <w:bCs/>
          <w:color w:val="auto"/>
          <w:w w:val="95"/>
          <w:sz w:val="30"/>
          <w:szCs w:val="30"/>
          <w:highlight w:val="none"/>
        </w:rPr>
        <w:t>采 购 人：台州市第一中学</w:t>
      </w:r>
    </w:p>
    <w:p>
      <w:pPr>
        <w:pStyle w:val="15"/>
        <w:snapToGrid w:val="0"/>
        <w:spacing w:before="120" w:after="120" w:line="360" w:lineRule="auto"/>
        <w:ind w:left="1275" w:leftChars="607" w:firstLine="563"/>
        <w:rPr>
          <w:rFonts w:hAnsi="宋体"/>
          <w:b/>
          <w:color w:val="auto"/>
          <w:sz w:val="30"/>
          <w:szCs w:val="48"/>
          <w:highlight w:val="none"/>
        </w:rPr>
      </w:pPr>
      <w:r>
        <w:rPr>
          <w:rFonts w:hint="eastAsia" w:hAnsi="宋体"/>
          <w:b/>
          <w:bCs/>
          <w:color w:val="auto"/>
          <w:w w:val="95"/>
          <w:sz w:val="30"/>
          <w:szCs w:val="30"/>
          <w:highlight w:val="none"/>
        </w:rPr>
        <w:t>代理机构：</w:t>
      </w:r>
      <w:r>
        <w:rPr>
          <w:rFonts w:hint="eastAsia" w:hAnsi="宋体"/>
          <w:b/>
          <w:color w:val="auto"/>
          <w:sz w:val="30"/>
          <w:szCs w:val="48"/>
          <w:highlight w:val="none"/>
        </w:rPr>
        <w:t>浙江中永工程咨询有限公司</w:t>
      </w:r>
    </w:p>
    <w:p>
      <w:pPr>
        <w:snapToGrid w:val="0"/>
        <w:spacing w:before="120" w:beforeLines="50" w:line="360" w:lineRule="auto"/>
        <w:jc w:val="center"/>
        <w:rPr>
          <w:rFonts w:ascii="宋体"/>
          <w:b/>
          <w:color w:val="auto"/>
          <w:kern w:val="0"/>
          <w:sz w:val="10"/>
          <w:highlight w:val="none"/>
        </w:rPr>
      </w:pPr>
      <w:r>
        <w:rPr>
          <w:rFonts w:hint="eastAsia" w:ascii="宋体" w:hAnsi="宋体"/>
          <w:b/>
          <w:bCs/>
          <w:color w:val="auto"/>
          <w:w w:val="95"/>
          <w:sz w:val="30"/>
          <w:szCs w:val="30"/>
          <w:highlight w:val="none"/>
        </w:rPr>
        <w:t>二○二五年六月</w:t>
      </w:r>
    </w:p>
    <w:p>
      <w:pPr>
        <w:widowControl/>
        <w:jc w:val="left"/>
        <w:rPr>
          <w:b/>
          <w:bCs/>
          <w:color w:val="auto"/>
          <w:sz w:val="48"/>
          <w:szCs w:val="48"/>
          <w:highlight w:val="none"/>
        </w:rPr>
      </w:pPr>
      <w:r>
        <w:rPr>
          <w:b/>
          <w:bCs/>
          <w:color w:val="auto"/>
          <w:sz w:val="48"/>
          <w:szCs w:val="48"/>
          <w:highlight w:val="none"/>
        </w:rPr>
        <w:br w:type="page"/>
      </w:r>
    </w:p>
    <w:p>
      <w:pPr>
        <w:spacing w:line="360" w:lineRule="auto"/>
        <w:rPr>
          <w:color w:val="auto"/>
          <w:highlight w:val="none"/>
        </w:rPr>
        <w:sectPr>
          <w:headerReference r:id="rId3" w:type="default"/>
          <w:footerReference r:id="rId4" w:type="default"/>
          <w:pgSz w:w="11906" w:h="16838"/>
          <w:pgMar w:top="1701" w:right="1418" w:bottom="1440" w:left="1418" w:header="851" w:footer="851" w:gutter="0"/>
          <w:cols w:space="720" w:num="1"/>
          <w:docGrid w:linePitch="312" w:charSpace="0"/>
        </w:sectPr>
      </w:pPr>
    </w:p>
    <w:sdt>
      <w:sdtPr>
        <w:rPr>
          <w:rFonts w:hint="eastAsia" w:ascii="宋体" w:hAnsi="宋体" w:cs="宋体"/>
          <w:color w:val="auto"/>
          <w:sz w:val="32"/>
          <w:szCs w:val="32"/>
          <w:highlight w:val="none"/>
        </w:rPr>
        <w:id w:val="147453465"/>
        <w:docPartObj>
          <w:docPartGallery w:val="Table of Contents"/>
          <w:docPartUnique/>
        </w:docPartObj>
      </w:sdtPr>
      <w:sdtEndPr>
        <w:rPr>
          <w:rFonts w:hint="eastAsia" w:ascii="Times New Roman" w:hAnsi="Times New Roman" w:cs="Times New Roman"/>
          <w:color w:val="auto"/>
          <w:sz w:val="32"/>
          <w:szCs w:val="32"/>
          <w:highlight w:val="none"/>
        </w:rPr>
      </w:sdtEndPr>
      <w:sdtContent>
        <w:p>
          <w:pPr>
            <w:jc w:val="center"/>
            <w:rPr>
              <w:rFonts w:ascii="宋体" w:hAnsi="宋体" w:cs="宋体"/>
              <w:color w:val="auto"/>
              <w:sz w:val="32"/>
              <w:szCs w:val="32"/>
              <w:highlight w:val="non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目  录</w:t>
          </w:r>
        </w:p>
        <w:p>
          <w:pPr>
            <w:pStyle w:val="23"/>
            <w:tabs>
              <w:tab w:val="right" w:leader="dot" w:pos="8779"/>
            </w:tabs>
            <w:spacing w:line="480" w:lineRule="auto"/>
            <w:rPr>
              <w:rFonts w:asciiTheme="minorEastAsia" w:hAnsiTheme="minorEastAsia" w:eastAsiaTheme="minorEastAsia" w:cstheme="minorBidi"/>
              <w:b/>
              <w:bCs/>
              <w:color w:val="auto"/>
              <w:sz w:val="24"/>
              <w:highlight w:val="none"/>
            </w:rPr>
          </w:pPr>
          <w:r>
            <w:rPr>
              <w:rFonts w:hint="eastAsia" w:cs="宋体" w:asciiTheme="minorEastAsia" w:hAnsiTheme="minorEastAsia" w:eastAsiaTheme="minorEastAsia"/>
              <w:b/>
              <w:bCs/>
              <w:color w:val="auto"/>
              <w:kern w:val="0"/>
              <w:sz w:val="28"/>
              <w:szCs w:val="28"/>
              <w:highlight w:val="none"/>
            </w:rPr>
            <w:fldChar w:fldCharType="begin"/>
          </w:r>
          <w:r>
            <w:rPr>
              <w:rFonts w:hint="eastAsia" w:cs="宋体" w:asciiTheme="minorEastAsia" w:hAnsiTheme="minorEastAsia" w:eastAsiaTheme="minorEastAsia"/>
              <w:b/>
              <w:bCs/>
              <w:color w:val="auto"/>
              <w:sz w:val="28"/>
              <w:szCs w:val="28"/>
              <w:highlight w:val="none"/>
            </w:rPr>
            <w:instrText xml:space="preserve">TOC \o "1-1" \h \u </w:instrText>
          </w:r>
          <w:r>
            <w:rPr>
              <w:rFonts w:hint="eastAsia" w:cs="宋体" w:asciiTheme="minorEastAsia" w:hAnsiTheme="minorEastAsia" w:eastAsiaTheme="minorEastAsia"/>
              <w:b/>
              <w:bCs/>
              <w:color w:val="auto"/>
              <w:kern w:val="0"/>
              <w:sz w:val="28"/>
              <w:szCs w:val="28"/>
              <w:highlight w:val="none"/>
            </w:rPr>
            <w:fldChar w:fldCharType="separate"/>
          </w:r>
          <w:r>
            <w:rPr>
              <w:color w:val="auto"/>
              <w:highlight w:val="none"/>
            </w:rPr>
            <w:fldChar w:fldCharType="begin"/>
          </w:r>
          <w:r>
            <w:rPr>
              <w:color w:val="auto"/>
              <w:highlight w:val="none"/>
            </w:rPr>
            <w:instrText xml:space="preserve"> HYPERLINK \l "_Toc101280592" </w:instrText>
          </w:r>
          <w:r>
            <w:rPr>
              <w:color w:val="auto"/>
              <w:highlight w:val="none"/>
            </w:rPr>
            <w:fldChar w:fldCharType="separate"/>
          </w:r>
          <w:r>
            <w:rPr>
              <w:rStyle w:val="34"/>
              <w:rFonts w:hint="eastAsia" w:asciiTheme="minorEastAsia" w:hAnsiTheme="minorEastAsia" w:eastAsiaTheme="minorEastAsia"/>
              <w:b/>
              <w:bCs/>
              <w:color w:val="auto"/>
              <w:sz w:val="24"/>
              <w:highlight w:val="none"/>
            </w:rPr>
            <w:t>第一章</w:t>
          </w:r>
          <w:r>
            <w:rPr>
              <w:rStyle w:val="34"/>
              <w:rFonts w:hint="eastAsia" w:asciiTheme="minorEastAsia" w:hAnsiTheme="minorEastAsia" w:eastAsiaTheme="minorEastAsia"/>
              <w:b/>
              <w:bCs/>
              <w:color w:val="auto"/>
              <w:kern w:val="0"/>
              <w:sz w:val="24"/>
              <w:highlight w:val="none"/>
            </w:rPr>
            <w:t xml:space="preserve"> 磋商邀请</w:t>
          </w:r>
          <w:r>
            <w:rPr>
              <w:rFonts w:asciiTheme="minorEastAsia" w:hAnsiTheme="minorEastAsia" w:eastAsiaTheme="minorEastAsia"/>
              <w:b/>
              <w:bCs/>
              <w:color w:val="auto"/>
              <w:sz w:val="24"/>
              <w:highlight w:val="none"/>
            </w:rPr>
            <w:tab/>
          </w:r>
          <w:r>
            <w:rPr>
              <w:rFonts w:asciiTheme="minorEastAsia" w:hAnsiTheme="minorEastAsia" w:eastAsiaTheme="minorEastAsia"/>
              <w:b/>
              <w:bCs/>
              <w:color w:val="auto"/>
              <w:sz w:val="24"/>
              <w:highlight w:val="none"/>
            </w:rPr>
            <w:fldChar w:fldCharType="begin"/>
          </w:r>
          <w:r>
            <w:rPr>
              <w:rFonts w:asciiTheme="minorEastAsia" w:hAnsiTheme="minorEastAsia" w:eastAsiaTheme="minorEastAsia"/>
              <w:b/>
              <w:bCs/>
              <w:color w:val="auto"/>
              <w:sz w:val="24"/>
              <w:highlight w:val="none"/>
            </w:rPr>
            <w:instrText xml:space="preserve"> PAGEREF _Toc101280592 \h </w:instrText>
          </w:r>
          <w:r>
            <w:rPr>
              <w:rFonts w:asciiTheme="minorEastAsia" w:hAnsiTheme="minorEastAsia" w:eastAsiaTheme="minorEastAsia"/>
              <w:b/>
              <w:bCs/>
              <w:color w:val="auto"/>
              <w:sz w:val="24"/>
              <w:highlight w:val="none"/>
            </w:rPr>
            <w:fldChar w:fldCharType="separate"/>
          </w:r>
          <w:r>
            <w:rPr>
              <w:rFonts w:asciiTheme="minorEastAsia" w:hAnsiTheme="minorEastAsia" w:eastAsiaTheme="minorEastAsia"/>
              <w:b/>
              <w:bCs/>
              <w:color w:val="auto"/>
              <w:sz w:val="24"/>
              <w:highlight w:val="none"/>
            </w:rPr>
            <w:t>3</w:t>
          </w:r>
          <w:r>
            <w:rPr>
              <w:rFonts w:asciiTheme="minorEastAsia" w:hAnsiTheme="minorEastAsia" w:eastAsiaTheme="minorEastAsia"/>
              <w:b/>
              <w:bCs/>
              <w:color w:val="auto"/>
              <w:sz w:val="24"/>
              <w:highlight w:val="none"/>
            </w:rPr>
            <w:fldChar w:fldCharType="end"/>
          </w:r>
          <w:r>
            <w:rPr>
              <w:rFonts w:asciiTheme="minorEastAsia" w:hAnsiTheme="minorEastAsia" w:eastAsiaTheme="minorEastAsia"/>
              <w:b/>
              <w:bCs/>
              <w:color w:val="auto"/>
              <w:sz w:val="24"/>
              <w:highlight w:val="none"/>
            </w:rPr>
            <w:fldChar w:fldCharType="end"/>
          </w:r>
        </w:p>
        <w:p>
          <w:pPr>
            <w:pStyle w:val="23"/>
            <w:tabs>
              <w:tab w:val="right" w:leader="dot" w:pos="8779"/>
            </w:tabs>
            <w:spacing w:line="480" w:lineRule="auto"/>
            <w:rPr>
              <w:rFonts w:asciiTheme="minorEastAsia" w:hAnsiTheme="minorEastAsia" w:eastAsiaTheme="minorEastAsia" w:cstheme="minorBidi"/>
              <w:b/>
              <w:bCs/>
              <w:color w:val="auto"/>
              <w:sz w:val="24"/>
              <w:highlight w:val="none"/>
            </w:rPr>
          </w:pPr>
          <w:r>
            <w:rPr>
              <w:color w:val="auto"/>
              <w:highlight w:val="none"/>
            </w:rPr>
            <w:fldChar w:fldCharType="begin"/>
          </w:r>
          <w:r>
            <w:rPr>
              <w:color w:val="auto"/>
              <w:highlight w:val="none"/>
            </w:rPr>
            <w:instrText xml:space="preserve"> HYPERLINK \l "_Toc101280593" </w:instrText>
          </w:r>
          <w:r>
            <w:rPr>
              <w:color w:val="auto"/>
              <w:highlight w:val="none"/>
            </w:rPr>
            <w:fldChar w:fldCharType="separate"/>
          </w:r>
          <w:r>
            <w:rPr>
              <w:rStyle w:val="34"/>
              <w:rFonts w:hint="eastAsia" w:asciiTheme="minorEastAsia" w:hAnsiTheme="minorEastAsia" w:eastAsiaTheme="minorEastAsia"/>
              <w:b/>
              <w:bCs/>
              <w:color w:val="auto"/>
              <w:sz w:val="24"/>
              <w:highlight w:val="none"/>
            </w:rPr>
            <w:t>第二章 供应商须知</w:t>
          </w:r>
          <w:r>
            <w:rPr>
              <w:rFonts w:asciiTheme="minorEastAsia" w:hAnsiTheme="minorEastAsia" w:eastAsiaTheme="minorEastAsia"/>
              <w:b/>
              <w:bCs/>
              <w:color w:val="auto"/>
              <w:sz w:val="24"/>
              <w:highlight w:val="none"/>
            </w:rPr>
            <w:tab/>
          </w:r>
          <w:r>
            <w:rPr>
              <w:rFonts w:asciiTheme="minorEastAsia" w:hAnsiTheme="minorEastAsia" w:eastAsiaTheme="minorEastAsia"/>
              <w:b/>
              <w:bCs/>
              <w:color w:val="auto"/>
              <w:sz w:val="24"/>
              <w:highlight w:val="none"/>
            </w:rPr>
            <w:fldChar w:fldCharType="begin"/>
          </w:r>
          <w:r>
            <w:rPr>
              <w:rFonts w:asciiTheme="minorEastAsia" w:hAnsiTheme="minorEastAsia" w:eastAsiaTheme="minorEastAsia"/>
              <w:b/>
              <w:bCs/>
              <w:color w:val="auto"/>
              <w:sz w:val="24"/>
              <w:highlight w:val="none"/>
            </w:rPr>
            <w:instrText xml:space="preserve"> PAGEREF _Toc101280593 \h </w:instrText>
          </w:r>
          <w:r>
            <w:rPr>
              <w:rFonts w:asciiTheme="minorEastAsia" w:hAnsiTheme="minorEastAsia" w:eastAsiaTheme="minorEastAsia"/>
              <w:b/>
              <w:bCs/>
              <w:color w:val="auto"/>
              <w:sz w:val="24"/>
              <w:highlight w:val="none"/>
            </w:rPr>
            <w:fldChar w:fldCharType="separate"/>
          </w:r>
          <w:r>
            <w:rPr>
              <w:rFonts w:asciiTheme="minorEastAsia" w:hAnsiTheme="minorEastAsia" w:eastAsiaTheme="minorEastAsia"/>
              <w:b/>
              <w:bCs/>
              <w:color w:val="auto"/>
              <w:sz w:val="24"/>
              <w:highlight w:val="none"/>
            </w:rPr>
            <w:t>6</w:t>
          </w:r>
          <w:r>
            <w:rPr>
              <w:rFonts w:asciiTheme="minorEastAsia" w:hAnsiTheme="minorEastAsia" w:eastAsiaTheme="minorEastAsia"/>
              <w:b/>
              <w:bCs/>
              <w:color w:val="auto"/>
              <w:sz w:val="24"/>
              <w:highlight w:val="none"/>
            </w:rPr>
            <w:fldChar w:fldCharType="end"/>
          </w:r>
          <w:r>
            <w:rPr>
              <w:rFonts w:asciiTheme="minorEastAsia" w:hAnsiTheme="minorEastAsia" w:eastAsiaTheme="minorEastAsia"/>
              <w:b/>
              <w:bCs/>
              <w:color w:val="auto"/>
              <w:sz w:val="24"/>
              <w:highlight w:val="none"/>
            </w:rPr>
            <w:fldChar w:fldCharType="end"/>
          </w:r>
        </w:p>
        <w:p>
          <w:pPr>
            <w:pStyle w:val="23"/>
            <w:tabs>
              <w:tab w:val="right" w:leader="dot" w:pos="8779"/>
            </w:tabs>
            <w:spacing w:line="480" w:lineRule="auto"/>
            <w:rPr>
              <w:rFonts w:asciiTheme="minorEastAsia" w:hAnsiTheme="minorEastAsia" w:eastAsiaTheme="minorEastAsia" w:cstheme="minorBidi"/>
              <w:b/>
              <w:bCs/>
              <w:color w:val="auto"/>
              <w:sz w:val="24"/>
              <w:highlight w:val="none"/>
            </w:rPr>
          </w:pPr>
          <w:r>
            <w:rPr>
              <w:color w:val="auto"/>
              <w:highlight w:val="none"/>
            </w:rPr>
            <w:fldChar w:fldCharType="begin"/>
          </w:r>
          <w:r>
            <w:rPr>
              <w:color w:val="auto"/>
              <w:highlight w:val="none"/>
            </w:rPr>
            <w:instrText xml:space="preserve"> HYPERLINK \l "_Toc101280594" </w:instrText>
          </w:r>
          <w:r>
            <w:rPr>
              <w:color w:val="auto"/>
              <w:highlight w:val="none"/>
            </w:rPr>
            <w:fldChar w:fldCharType="separate"/>
          </w:r>
          <w:r>
            <w:rPr>
              <w:rStyle w:val="34"/>
              <w:rFonts w:hint="eastAsia" w:asciiTheme="minorEastAsia" w:hAnsiTheme="minorEastAsia" w:eastAsiaTheme="minorEastAsia"/>
              <w:b/>
              <w:bCs/>
              <w:color w:val="auto"/>
              <w:sz w:val="24"/>
              <w:highlight w:val="none"/>
            </w:rPr>
            <w:t>第三章 项目需求</w:t>
          </w:r>
          <w:r>
            <w:rPr>
              <w:rFonts w:asciiTheme="minorEastAsia" w:hAnsiTheme="minorEastAsia" w:eastAsiaTheme="minorEastAsia"/>
              <w:b/>
              <w:bCs/>
              <w:color w:val="auto"/>
              <w:sz w:val="24"/>
              <w:highlight w:val="none"/>
            </w:rPr>
            <w:tab/>
          </w:r>
          <w:r>
            <w:rPr>
              <w:rFonts w:asciiTheme="minorEastAsia" w:hAnsiTheme="minorEastAsia" w:eastAsiaTheme="minorEastAsia"/>
              <w:b/>
              <w:bCs/>
              <w:color w:val="auto"/>
              <w:sz w:val="24"/>
              <w:highlight w:val="none"/>
            </w:rPr>
            <w:fldChar w:fldCharType="begin"/>
          </w:r>
          <w:r>
            <w:rPr>
              <w:rFonts w:asciiTheme="minorEastAsia" w:hAnsiTheme="minorEastAsia" w:eastAsiaTheme="minorEastAsia"/>
              <w:b/>
              <w:bCs/>
              <w:color w:val="auto"/>
              <w:sz w:val="24"/>
              <w:highlight w:val="none"/>
            </w:rPr>
            <w:instrText xml:space="preserve"> PAGEREF _Toc101280594 \h </w:instrText>
          </w:r>
          <w:r>
            <w:rPr>
              <w:rFonts w:asciiTheme="minorEastAsia" w:hAnsiTheme="minorEastAsia" w:eastAsiaTheme="minorEastAsia"/>
              <w:b/>
              <w:bCs/>
              <w:color w:val="auto"/>
              <w:sz w:val="24"/>
              <w:highlight w:val="none"/>
            </w:rPr>
            <w:fldChar w:fldCharType="separate"/>
          </w:r>
          <w:r>
            <w:rPr>
              <w:rFonts w:asciiTheme="minorEastAsia" w:hAnsiTheme="minorEastAsia" w:eastAsiaTheme="minorEastAsia"/>
              <w:b/>
              <w:bCs/>
              <w:color w:val="auto"/>
              <w:sz w:val="24"/>
              <w:highlight w:val="none"/>
            </w:rPr>
            <w:t>17</w:t>
          </w:r>
          <w:r>
            <w:rPr>
              <w:rFonts w:asciiTheme="minorEastAsia" w:hAnsiTheme="minorEastAsia" w:eastAsiaTheme="minorEastAsia"/>
              <w:b/>
              <w:bCs/>
              <w:color w:val="auto"/>
              <w:sz w:val="24"/>
              <w:highlight w:val="none"/>
            </w:rPr>
            <w:fldChar w:fldCharType="end"/>
          </w:r>
          <w:r>
            <w:rPr>
              <w:rFonts w:asciiTheme="minorEastAsia" w:hAnsiTheme="minorEastAsia" w:eastAsiaTheme="minorEastAsia"/>
              <w:b/>
              <w:bCs/>
              <w:color w:val="auto"/>
              <w:sz w:val="24"/>
              <w:highlight w:val="none"/>
            </w:rPr>
            <w:fldChar w:fldCharType="end"/>
          </w:r>
        </w:p>
        <w:p>
          <w:pPr>
            <w:pStyle w:val="23"/>
            <w:tabs>
              <w:tab w:val="right" w:leader="dot" w:pos="8779"/>
            </w:tabs>
            <w:spacing w:line="480" w:lineRule="auto"/>
            <w:rPr>
              <w:rFonts w:asciiTheme="minorEastAsia" w:hAnsiTheme="minorEastAsia" w:eastAsiaTheme="minorEastAsia" w:cstheme="minorBidi"/>
              <w:b/>
              <w:bCs/>
              <w:color w:val="auto"/>
              <w:sz w:val="24"/>
              <w:highlight w:val="none"/>
            </w:rPr>
          </w:pPr>
          <w:r>
            <w:rPr>
              <w:color w:val="auto"/>
              <w:highlight w:val="none"/>
            </w:rPr>
            <w:fldChar w:fldCharType="begin"/>
          </w:r>
          <w:r>
            <w:rPr>
              <w:color w:val="auto"/>
              <w:highlight w:val="none"/>
            </w:rPr>
            <w:instrText xml:space="preserve"> HYPERLINK \l "_Toc101280595" </w:instrText>
          </w:r>
          <w:r>
            <w:rPr>
              <w:color w:val="auto"/>
              <w:highlight w:val="none"/>
            </w:rPr>
            <w:fldChar w:fldCharType="separate"/>
          </w:r>
          <w:r>
            <w:rPr>
              <w:rStyle w:val="34"/>
              <w:rFonts w:hint="eastAsia" w:asciiTheme="minorEastAsia" w:hAnsiTheme="minorEastAsia" w:eastAsiaTheme="minorEastAsia"/>
              <w:b/>
              <w:bCs/>
              <w:color w:val="auto"/>
              <w:sz w:val="24"/>
              <w:highlight w:val="none"/>
            </w:rPr>
            <w:t>第四章 磋商</w:t>
          </w:r>
          <w:r>
            <w:rPr>
              <w:rFonts w:asciiTheme="minorEastAsia" w:hAnsiTheme="minorEastAsia" w:eastAsiaTheme="minorEastAsia"/>
              <w:b/>
              <w:bCs/>
              <w:color w:val="auto"/>
              <w:sz w:val="24"/>
              <w:highlight w:val="none"/>
            </w:rPr>
            <w:tab/>
          </w:r>
          <w:r>
            <w:rPr>
              <w:rFonts w:asciiTheme="minorEastAsia" w:hAnsiTheme="minorEastAsia" w:eastAsiaTheme="minorEastAsia"/>
              <w:b/>
              <w:bCs/>
              <w:color w:val="auto"/>
              <w:sz w:val="24"/>
              <w:highlight w:val="none"/>
            </w:rPr>
            <w:fldChar w:fldCharType="begin"/>
          </w:r>
          <w:r>
            <w:rPr>
              <w:rFonts w:asciiTheme="minorEastAsia" w:hAnsiTheme="minorEastAsia" w:eastAsiaTheme="minorEastAsia"/>
              <w:b/>
              <w:bCs/>
              <w:color w:val="auto"/>
              <w:sz w:val="24"/>
              <w:highlight w:val="none"/>
            </w:rPr>
            <w:instrText xml:space="preserve"> PAGEREF _Toc101280595 \h </w:instrText>
          </w:r>
          <w:r>
            <w:rPr>
              <w:rFonts w:asciiTheme="minorEastAsia" w:hAnsiTheme="minorEastAsia" w:eastAsiaTheme="minorEastAsia"/>
              <w:b/>
              <w:bCs/>
              <w:color w:val="auto"/>
              <w:sz w:val="24"/>
              <w:highlight w:val="none"/>
            </w:rPr>
            <w:fldChar w:fldCharType="separate"/>
          </w:r>
          <w:r>
            <w:rPr>
              <w:rFonts w:asciiTheme="minorEastAsia" w:hAnsiTheme="minorEastAsia" w:eastAsiaTheme="minorEastAsia"/>
              <w:b/>
              <w:bCs/>
              <w:color w:val="auto"/>
              <w:sz w:val="24"/>
              <w:highlight w:val="none"/>
            </w:rPr>
            <w:t>21</w:t>
          </w:r>
          <w:r>
            <w:rPr>
              <w:rFonts w:asciiTheme="minorEastAsia" w:hAnsiTheme="minorEastAsia" w:eastAsiaTheme="minorEastAsia"/>
              <w:b/>
              <w:bCs/>
              <w:color w:val="auto"/>
              <w:sz w:val="24"/>
              <w:highlight w:val="none"/>
            </w:rPr>
            <w:fldChar w:fldCharType="end"/>
          </w:r>
          <w:r>
            <w:rPr>
              <w:rFonts w:asciiTheme="minorEastAsia" w:hAnsiTheme="minorEastAsia" w:eastAsiaTheme="minorEastAsia"/>
              <w:b/>
              <w:bCs/>
              <w:color w:val="auto"/>
              <w:sz w:val="24"/>
              <w:highlight w:val="none"/>
            </w:rPr>
            <w:fldChar w:fldCharType="end"/>
          </w:r>
        </w:p>
        <w:p>
          <w:pPr>
            <w:pStyle w:val="23"/>
            <w:tabs>
              <w:tab w:val="right" w:leader="dot" w:pos="8779"/>
            </w:tabs>
            <w:spacing w:line="480" w:lineRule="auto"/>
            <w:rPr>
              <w:rFonts w:asciiTheme="minorEastAsia" w:hAnsiTheme="minorEastAsia" w:eastAsiaTheme="minorEastAsia" w:cstheme="minorBidi"/>
              <w:b/>
              <w:bCs/>
              <w:color w:val="auto"/>
              <w:sz w:val="24"/>
              <w:highlight w:val="none"/>
            </w:rPr>
          </w:pPr>
          <w:r>
            <w:rPr>
              <w:color w:val="auto"/>
              <w:highlight w:val="none"/>
            </w:rPr>
            <w:fldChar w:fldCharType="begin"/>
          </w:r>
          <w:r>
            <w:rPr>
              <w:color w:val="auto"/>
              <w:highlight w:val="none"/>
            </w:rPr>
            <w:instrText xml:space="preserve"> HYPERLINK \l "_Toc101280596" </w:instrText>
          </w:r>
          <w:r>
            <w:rPr>
              <w:color w:val="auto"/>
              <w:highlight w:val="none"/>
            </w:rPr>
            <w:fldChar w:fldCharType="separate"/>
          </w:r>
          <w:r>
            <w:rPr>
              <w:rStyle w:val="34"/>
              <w:rFonts w:hint="eastAsia" w:asciiTheme="minorEastAsia" w:hAnsiTheme="minorEastAsia" w:eastAsiaTheme="minorEastAsia"/>
              <w:b/>
              <w:bCs/>
              <w:color w:val="auto"/>
              <w:sz w:val="24"/>
              <w:highlight w:val="none"/>
            </w:rPr>
            <w:t>第五章</w:t>
          </w:r>
          <w:r>
            <w:rPr>
              <w:rStyle w:val="34"/>
              <w:rFonts w:asciiTheme="minorEastAsia" w:hAnsiTheme="minorEastAsia" w:eastAsiaTheme="minorEastAsia"/>
              <w:b/>
              <w:bCs/>
              <w:color w:val="auto"/>
              <w:sz w:val="24"/>
              <w:highlight w:val="none"/>
            </w:rPr>
            <w:t xml:space="preserve"> </w:t>
          </w:r>
          <w:r>
            <w:rPr>
              <w:rStyle w:val="34"/>
              <w:rFonts w:hint="eastAsia" w:asciiTheme="minorEastAsia" w:hAnsiTheme="minorEastAsia" w:eastAsiaTheme="minorEastAsia"/>
              <w:b/>
              <w:bCs/>
              <w:color w:val="auto"/>
              <w:sz w:val="24"/>
              <w:highlight w:val="none"/>
            </w:rPr>
            <w:t>拟签订的合同文本</w:t>
          </w:r>
          <w:r>
            <w:rPr>
              <w:rFonts w:asciiTheme="minorEastAsia" w:hAnsiTheme="minorEastAsia" w:eastAsiaTheme="minorEastAsia"/>
              <w:b/>
              <w:bCs/>
              <w:color w:val="auto"/>
              <w:sz w:val="24"/>
              <w:highlight w:val="none"/>
            </w:rPr>
            <w:tab/>
          </w:r>
          <w:r>
            <w:rPr>
              <w:rFonts w:asciiTheme="minorEastAsia" w:hAnsiTheme="minorEastAsia" w:eastAsiaTheme="minorEastAsia"/>
              <w:b/>
              <w:bCs/>
              <w:color w:val="auto"/>
              <w:sz w:val="24"/>
              <w:highlight w:val="none"/>
            </w:rPr>
            <w:fldChar w:fldCharType="begin"/>
          </w:r>
          <w:r>
            <w:rPr>
              <w:rFonts w:asciiTheme="minorEastAsia" w:hAnsiTheme="minorEastAsia" w:eastAsiaTheme="minorEastAsia"/>
              <w:b/>
              <w:bCs/>
              <w:color w:val="auto"/>
              <w:sz w:val="24"/>
              <w:highlight w:val="none"/>
            </w:rPr>
            <w:instrText xml:space="preserve"> PAGEREF _Toc101280596 \h </w:instrText>
          </w:r>
          <w:r>
            <w:rPr>
              <w:rFonts w:asciiTheme="minorEastAsia" w:hAnsiTheme="minorEastAsia" w:eastAsiaTheme="minorEastAsia"/>
              <w:b/>
              <w:bCs/>
              <w:color w:val="auto"/>
              <w:sz w:val="24"/>
              <w:highlight w:val="none"/>
            </w:rPr>
            <w:fldChar w:fldCharType="separate"/>
          </w:r>
          <w:r>
            <w:rPr>
              <w:rFonts w:asciiTheme="minorEastAsia" w:hAnsiTheme="minorEastAsia" w:eastAsiaTheme="minorEastAsia"/>
              <w:b/>
              <w:bCs/>
              <w:color w:val="auto"/>
              <w:sz w:val="24"/>
              <w:highlight w:val="none"/>
            </w:rPr>
            <w:t>28</w:t>
          </w:r>
          <w:r>
            <w:rPr>
              <w:rFonts w:asciiTheme="minorEastAsia" w:hAnsiTheme="minorEastAsia" w:eastAsiaTheme="minorEastAsia"/>
              <w:b/>
              <w:bCs/>
              <w:color w:val="auto"/>
              <w:sz w:val="24"/>
              <w:highlight w:val="none"/>
            </w:rPr>
            <w:fldChar w:fldCharType="end"/>
          </w:r>
          <w:r>
            <w:rPr>
              <w:rFonts w:asciiTheme="minorEastAsia" w:hAnsiTheme="minorEastAsia" w:eastAsiaTheme="minorEastAsia"/>
              <w:b/>
              <w:bCs/>
              <w:color w:val="auto"/>
              <w:sz w:val="24"/>
              <w:highlight w:val="none"/>
            </w:rPr>
            <w:fldChar w:fldCharType="end"/>
          </w:r>
        </w:p>
        <w:p>
          <w:pPr>
            <w:pStyle w:val="23"/>
            <w:tabs>
              <w:tab w:val="right" w:leader="dot" w:pos="8779"/>
            </w:tabs>
            <w:spacing w:line="480" w:lineRule="auto"/>
            <w:rPr>
              <w:rFonts w:asciiTheme="minorEastAsia" w:hAnsiTheme="minorEastAsia" w:eastAsiaTheme="minorEastAsia" w:cstheme="minorBidi"/>
              <w:b/>
              <w:bCs/>
              <w:color w:val="auto"/>
              <w:sz w:val="24"/>
              <w:highlight w:val="none"/>
            </w:rPr>
          </w:pPr>
          <w:r>
            <w:rPr>
              <w:color w:val="auto"/>
              <w:highlight w:val="none"/>
            </w:rPr>
            <w:fldChar w:fldCharType="begin"/>
          </w:r>
          <w:r>
            <w:rPr>
              <w:color w:val="auto"/>
              <w:highlight w:val="none"/>
            </w:rPr>
            <w:instrText xml:space="preserve"> HYPERLINK \l "_Toc101280597" </w:instrText>
          </w:r>
          <w:r>
            <w:rPr>
              <w:color w:val="auto"/>
              <w:highlight w:val="none"/>
            </w:rPr>
            <w:fldChar w:fldCharType="separate"/>
          </w:r>
          <w:r>
            <w:rPr>
              <w:rStyle w:val="34"/>
              <w:rFonts w:hint="eastAsia" w:asciiTheme="minorEastAsia" w:hAnsiTheme="minorEastAsia" w:eastAsiaTheme="minorEastAsia"/>
              <w:b/>
              <w:bCs/>
              <w:color w:val="auto"/>
              <w:sz w:val="24"/>
              <w:highlight w:val="none"/>
            </w:rPr>
            <w:t>第六章</w:t>
          </w:r>
          <w:r>
            <w:rPr>
              <w:rStyle w:val="34"/>
              <w:rFonts w:asciiTheme="minorEastAsia" w:hAnsiTheme="minorEastAsia" w:eastAsiaTheme="minorEastAsia"/>
              <w:b/>
              <w:bCs/>
              <w:color w:val="auto"/>
              <w:sz w:val="24"/>
              <w:highlight w:val="none"/>
            </w:rPr>
            <w:t xml:space="preserve"> </w:t>
          </w:r>
          <w:bookmarkStart w:id="3" w:name="OLE_LINK94"/>
          <w:bookmarkStart w:id="4" w:name="OLE_LINK93"/>
          <w:r>
            <w:rPr>
              <w:rStyle w:val="34"/>
              <w:rFonts w:hint="eastAsia" w:asciiTheme="minorEastAsia" w:hAnsiTheme="minorEastAsia" w:eastAsiaTheme="minorEastAsia"/>
              <w:b/>
              <w:bCs/>
              <w:color w:val="auto"/>
              <w:sz w:val="24"/>
              <w:highlight w:val="none"/>
            </w:rPr>
            <w:t>响应文件格式</w:t>
          </w:r>
          <w:bookmarkEnd w:id="3"/>
          <w:bookmarkEnd w:id="4"/>
          <w:r>
            <w:rPr>
              <w:rFonts w:asciiTheme="minorEastAsia" w:hAnsiTheme="minorEastAsia" w:eastAsiaTheme="minorEastAsia"/>
              <w:b/>
              <w:bCs/>
              <w:color w:val="auto"/>
              <w:sz w:val="24"/>
              <w:highlight w:val="none"/>
            </w:rPr>
            <w:tab/>
          </w:r>
          <w:r>
            <w:rPr>
              <w:rFonts w:asciiTheme="minorEastAsia" w:hAnsiTheme="minorEastAsia" w:eastAsiaTheme="minorEastAsia"/>
              <w:b/>
              <w:bCs/>
              <w:color w:val="auto"/>
              <w:sz w:val="24"/>
              <w:highlight w:val="none"/>
            </w:rPr>
            <w:fldChar w:fldCharType="begin"/>
          </w:r>
          <w:r>
            <w:rPr>
              <w:rFonts w:asciiTheme="minorEastAsia" w:hAnsiTheme="minorEastAsia" w:eastAsiaTheme="minorEastAsia"/>
              <w:b/>
              <w:bCs/>
              <w:color w:val="auto"/>
              <w:sz w:val="24"/>
              <w:highlight w:val="none"/>
            </w:rPr>
            <w:instrText xml:space="preserve"> PAGEREF _Toc101280597 \h </w:instrText>
          </w:r>
          <w:r>
            <w:rPr>
              <w:rFonts w:asciiTheme="minorEastAsia" w:hAnsiTheme="minorEastAsia" w:eastAsiaTheme="minorEastAsia"/>
              <w:b/>
              <w:bCs/>
              <w:color w:val="auto"/>
              <w:sz w:val="24"/>
              <w:highlight w:val="none"/>
            </w:rPr>
            <w:fldChar w:fldCharType="separate"/>
          </w:r>
          <w:r>
            <w:rPr>
              <w:rFonts w:asciiTheme="minorEastAsia" w:hAnsiTheme="minorEastAsia" w:eastAsiaTheme="minorEastAsia"/>
              <w:b/>
              <w:bCs/>
              <w:color w:val="auto"/>
              <w:sz w:val="24"/>
              <w:highlight w:val="none"/>
            </w:rPr>
            <w:t>54</w:t>
          </w:r>
          <w:r>
            <w:rPr>
              <w:rFonts w:asciiTheme="minorEastAsia" w:hAnsiTheme="minorEastAsia" w:eastAsiaTheme="minorEastAsia"/>
              <w:b/>
              <w:bCs/>
              <w:color w:val="auto"/>
              <w:sz w:val="24"/>
              <w:highlight w:val="none"/>
            </w:rPr>
            <w:fldChar w:fldCharType="end"/>
          </w:r>
          <w:r>
            <w:rPr>
              <w:rFonts w:asciiTheme="minorEastAsia" w:hAnsiTheme="minorEastAsia" w:eastAsiaTheme="minorEastAsia"/>
              <w:b/>
              <w:bCs/>
              <w:color w:val="auto"/>
              <w:sz w:val="24"/>
              <w:highlight w:val="none"/>
            </w:rPr>
            <w:fldChar w:fldCharType="end"/>
          </w:r>
        </w:p>
        <w:p>
          <w:pPr>
            <w:spacing w:line="360" w:lineRule="auto"/>
            <w:rPr>
              <w:color w:val="auto"/>
              <w:sz w:val="32"/>
              <w:szCs w:val="32"/>
              <w:highlight w:val="none"/>
            </w:rPr>
          </w:pPr>
          <w:r>
            <w:rPr>
              <w:rFonts w:hint="eastAsia" w:cs="宋体" w:asciiTheme="minorEastAsia" w:hAnsiTheme="minorEastAsia" w:eastAsiaTheme="minorEastAsia"/>
              <w:b/>
              <w:bCs/>
              <w:color w:val="auto"/>
              <w:sz w:val="28"/>
              <w:szCs w:val="28"/>
              <w:highlight w:val="none"/>
            </w:rPr>
            <w:fldChar w:fldCharType="end"/>
          </w:r>
        </w:p>
      </w:sdtContent>
    </w:sdt>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pStyle w:val="28"/>
        <w:rPr>
          <w:color w:val="auto"/>
          <w:highlight w:val="none"/>
        </w:rPr>
      </w:pPr>
    </w:p>
    <w:p>
      <w:pPr>
        <w:spacing w:line="360" w:lineRule="auto"/>
        <w:rPr>
          <w:color w:val="auto"/>
          <w:highlight w:val="none"/>
        </w:rPr>
      </w:pPr>
    </w:p>
    <w:p>
      <w:pPr>
        <w:rPr>
          <w:color w:val="auto"/>
          <w:highlight w:val="none"/>
        </w:rPr>
      </w:pPr>
      <w:r>
        <w:rPr>
          <w:color w:val="auto"/>
          <w:highlight w:val="none"/>
        </w:rPr>
        <w:br w:type="page"/>
      </w:r>
    </w:p>
    <w:p>
      <w:pPr>
        <w:numPr>
          <w:ilvl w:val="0"/>
          <w:numId w:val="3"/>
        </w:numPr>
        <w:tabs>
          <w:tab w:val="left" w:pos="180"/>
          <w:tab w:val="left" w:pos="360"/>
          <w:tab w:val="left" w:pos="540"/>
          <w:tab w:val="left" w:pos="8280"/>
        </w:tabs>
        <w:autoSpaceDE w:val="0"/>
        <w:autoSpaceDN w:val="0"/>
        <w:adjustRightInd w:val="0"/>
        <w:spacing w:line="360" w:lineRule="auto"/>
        <w:ind w:right="23"/>
        <w:jc w:val="center"/>
        <w:outlineLvl w:val="0"/>
        <w:rPr>
          <w:rFonts w:asciiTheme="majorEastAsia" w:hAnsiTheme="majorEastAsia" w:eastAsiaTheme="majorEastAsia"/>
          <w:b/>
          <w:color w:val="auto"/>
          <w:sz w:val="36"/>
          <w:szCs w:val="36"/>
          <w:highlight w:val="none"/>
        </w:rPr>
      </w:pPr>
      <w:bookmarkStart w:id="5" w:name="_Toc101280592"/>
      <w:r>
        <w:rPr>
          <w:rFonts w:hint="eastAsia" w:asciiTheme="majorEastAsia" w:hAnsiTheme="majorEastAsia" w:eastAsiaTheme="majorEastAsia"/>
          <w:b/>
          <w:color w:val="auto"/>
          <w:kern w:val="0"/>
          <w:sz w:val="36"/>
          <w:szCs w:val="36"/>
          <w:highlight w:val="none"/>
        </w:rPr>
        <w:t>磋商</w:t>
      </w:r>
      <w:bookmarkEnd w:id="5"/>
      <w:r>
        <w:rPr>
          <w:rFonts w:hint="eastAsia" w:asciiTheme="majorEastAsia" w:hAnsiTheme="majorEastAsia" w:eastAsiaTheme="majorEastAsia"/>
          <w:b/>
          <w:color w:val="auto"/>
          <w:kern w:val="0"/>
          <w:sz w:val="36"/>
          <w:szCs w:val="36"/>
          <w:highlight w:val="none"/>
        </w:rPr>
        <w:t>邀请</w:t>
      </w:r>
    </w:p>
    <w:p>
      <w:pPr>
        <w:spacing w:line="360" w:lineRule="auto"/>
        <w:ind w:firstLine="480" w:firstLineChars="200"/>
        <w:rPr>
          <w:rFonts w:ascii="宋体" w:hAnsi="宋体" w:cs="宋体"/>
          <w:color w:val="auto"/>
          <w:sz w:val="24"/>
          <w:highlight w:val="none"/>
        </w:rPr>
      </w:pPr>
      <w:bookmarkStart w:id="6" w:name="_Toc35393621"/>
      <w:bookmarkStart w:id="7" w:name="_Toc35393790"/>
      <w:bookmarkStart w:id="8" w:name="_Toc28359002"/>
      <w:bookmarkStart w:id="9" w:name="_Toc28359079"/>
      <w:bookmarkStart w:id="10" w:name="_Hlk24379207"/>
      <w:r>
        <w:rPr>
          <w:rFonts w:hint="eastAsia" w:ascii="宋体" w:hAnsi="宋体" w:cs="宋体"/>
          <w:color w:val="auto"/>
          <w:sz w:val="24"/>
          <w:highlight w:val="none"/>
        </w:rPr>
        <w:t>浙江中永工程咨询有限公司受台州市第一中学委托，就台州市第一中学食堂二楼备餐间、洗碗间和新疆班卫生间改造工程项目进行竞争性磋商，欢迎符合资格条件的国内供应商前来磋商。</w:t>
      </w:r>
    </w:p>
    <w:p>
      <w:pPr>
        <w:pStyle w:val="28"/>
        <w:spacing w:after="0" w:line="360" w:lineRule="auto"/>
        <w:ind w:left="0" w:leftChars="0"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一、项目基本情况</w:t>
      </w:r>
      <w:bookmarkEnd w:id="6"/>
      <w:bookmarkEnd w:id="7"/>
      <w:bookmarkEnd w:id="8"/>
      <w:bookmarkEnd w:id="9"/>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项目编号：</w:t>
      </w:r>
      <w:bookmarkEnd w:id="10"/>
      <w:r>
        <w:rPr>
          <w:rFonts w:hint="eastAsia" w:asciiTheme="minorEastAsia" w:hAnsiTheme="minorEastAsia" w:eastAsiaTheme="minorEastAsia" w:cstheme="minorEastAsia"/>
          <w:color w:val="auto"/>
          <w:sz w:val="24"/>
          <w:highlight w:val="none"/>
        </w:rPr>
        <w:t>ZYZFCG〔2025〕017</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项目名称：</w:t>
      </w:r>
      <w:r>
        <w:rPr>
          <w:rFonts w:hint="eastAsia" w:ascii="宋体" w:eastAsiaTheme="minorEastAsia"/>
          <w:color w:val="auto"/>
          <w:kern w:val="0"/>
          <w:sz w:val="24"/>
          <w:highlight w:val="none"/>
        </w:rPr>
        <w:t>台州市第一中学食堂二楼备餐间、洗碗间和新疆班卫生间改造工程项目</w:t>
      </w:r>
    </w:p>
    <w:tbl>
      <w:tblPr>
        <w:tblStyle w:val="29"/>
        <w:tblW w:w="89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2504"/>
        <w:gridCol w:w="786"/>
        <w:gridCol w:w="808"/>
        <w:gridCol w:w="1320"/>
        <w:gridCol w:w="1305"/>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3" w:hRule="atLeast"/>
          <w:jc w:val="center"/>
        </w:trPr>
        <w:tc>
          <w:tcPr>
            <w:tcW w:w="466" w:type="dxa"/>
            <w:vAlign w:val="center"/>
          </w:tcPr>
          <w:p>
            <w:pPr>
              <w:tabs>
                <w:tab w:val="left" w:pos="8280"/>
              </w:tabs>
              <w:autoSpaceDE w:val="0"/>
              <w:autoSpaceDN w:val="0"/>
              <w:adjustRightInd w:val="0"/>
              <w:jc w:val="center"/>
              <w:rPr>
                <w:rFonts w:asciiTheme="minorEastAsia" w:hAnsiTheme="minorEastAsia" w:eastAsiaTheme="minorEastAsia" w:cstheme="minorEastAsia"/>
                <w:bCs/>
                <w:color w:val="auto"/>
                <w:sz w:val="24"/>
                <w:highlight w:val="none"/>
              </w:rPr>
            </w:pPr>
            <w:bookmarkStart w:id="11" w:name="_Toc28359003"/>
            <w:bookmarkStart w:id="12" w:name="_Toc28359080"/>
            <w:bookmarkStart w:id="13" w:name="_Toc35393791"/>
            <w:bookmarkStart w:id="14" w:name="_Toc35393622"/>
            <w:r>
              <w:rPr>
                <w:rFonts w:hint="eastAsia" w:asciiTheme="minorEastAsia" w:hAnsiTheme="minorEastAsia" w:eastAsiaTheme="minorEastAsia" w:cstheme="minorEastAsia"/>
                <w:bCs/>
                <w:color w:val="auto"/>
                <w:sz w:val="24"/>
                <w:highlight w:val="none"/>
              </w:rPr>
              <w:t>标项号</w:t>
            </w:r>
          </w:p>
        </w:tc>
        <w:tc>
          <w:tcPr>
            <w:tcW w:w="2504" w:type="dxa"/>
            <w:vAlign w:val="center"/>
          </w:tcPr>
          <w:p>
            <w:pPr>
              <w:tabs>
                <w:tab w:val="left" w:pos="8280"/>
              </w:tabs>
              <w:autoSpaceDE w:val="0"/>
              <w:autoSpaceDN w:val="0"/>
              <w:adjustRightInd w:val="0"/>
              <w:ind w:firstLine="120" w:firstLineChars="50"/>
              <w:jc w:val="center"/>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标项名称</w:t>
            </w:r>
          </w:p>
        </w:tc>
        <w:tc>
          <w:tcPr>
            <w:tcW w:w="786" w:type="dxa"/>
            <w:vAlign w:val="center"/>
          </w:tcPr>
          <w:p>
            <w:pPr>
              <w:tabs>
                <w:tab w:val="left" w:pos="8280"/>
              </w:tabs>
              <w:autoSpaceDE w:val="0"/>
              <w:autoSpaceDN w:val="0"/>
              <w:adjustRightInd w:val="0"/>
              <w:jc w:val="center"/>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kern w:val="0"/>
                <w:sz w:val="24"/>
                <w:highlight w:val="none"/>
              </w:rPr>
              <w:t>数量</w:t>
            </w:r>
          </w:p>
        </w:tc>
        <w:tc>
          <w:tcPr>
            <w:tcW w:w="808" w:type="dxa"/>
            <w:vAlign w:val="center"/>
          </w:tcPr>
          <w:p>
            <w:pPr>
              <w:tabs>
                <w:tab w:val="left" w:pos="8280"/>
              </w:tabs>
              <w:autoSpaceDE w:val="0"/>
              <w:autoSpaceDN w:val="0"/>
              <w:adjustRightInd w:val="0"/>
              <w:jc w:val="center"/>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单位</w:t>
            </w:r>
          </w:p>
        </w:tc>
        <w:tc>
          <w:tcPr>
            <w:tcW w:w="1320" w:type="dxa"/>
            <w:vAlign w:val="center"/>
          </w:tcPr>
          <w:p>
            <w:pPr>
              <w:tabs>
                <w:tab w:val="left" w:pos="8280"/>
              </w:tabs>
              <w:autoSpaceDE w:val="0"/>
              <w:autoSpaceDN w:val="0"/>
              <w:adjustRightInd w:val="0"/>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预算</w:t>
            </w:r>
          </w:p>
          <w:p>
            <w:pPr>
              <w:tabs>
                <w:tab w:val="left" w:pos="8280"/>
              </w:tabs>
              <w:autoSpaceDE w:val="0"/>
              <w:autoSpaceDN w:val="0"/>
              <w:adjustRightInd w:val="0"/>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（万元）</w:t>
            </w:r>
          </w:p>
        </w:tc>
        <w:tc>
          <w:tcPr>
            <w:tcW w:w="1305" w:type="dxa"/>
            <w:vAlign w:val="center"/>
          </w:tcPr>
          <w:p>
            <w:pPr>
              <w:jc w:val="center"/>
              <w:rPr>
                <w:rFonts w:asciiTheme="minorEastAsia" w:hAnsiTheme="minorEastAsia" w:eastAsiaTheme="minorEastAsia" w:cstheme="minorEastAsia"/>
                <w:b/>
                <w:color w:val="auto"/>
                <w:sz w:val="24"/>
                <w:highlight w:val="none"/>
              </w:rPr>
            </w:pPr>
            <w:bookmarkStart w:id="15" w:name="OLE_LINK43"/>
            <w:bookmarkStart w:id="16" w:name="OLE_LINK42"/>
            <w:r>
              <w:rPr>
                <w:rFonts w:hint="eastAsia" w:asciiTheme="minorEastAsia" w:hAnsiTheme="minorEastAsia" w:eastAsiaTheme="minorEastAsia" w:cstheme="minorEastAsia"/>
                <w:b/>
                <w:color w:val="auto"/>
                <w:sz w:val="24"/>
                <w:highlight w:val="none"/>
              </w:rPr>
              <w:t>最高限价</w:t>
            </w:r>
            <w:bookmarkEnd w:id="15"/>
            <w:bookmarkEnd w:id="16"/>
            <w:r>
              <w:rPr>
                <w:rFonts w:hint="eastAsia" w:asciiTheme="minorEastAsia" w:hAnsiTheme="minorEastAsia" w:eastAsiaTheme="minorEastAsia" w:cstheme="minorEastAsia"/>
                <w:b/>
                <w:color w:val="auto"/>
                <w:sz w:val="24"/>
                <w:highlight w:val="none"/>
              </w:rPr>
              <w:t>（万元）</w:t>
            </w:r>
          </w:p>
        </w:tc>
        <w:tc>
          <w:tcPr>
            <w:tcW w:w="1810" w:type="dxa"/>
            <w:vAlign w:val="center"/>
          </w:tcPr>
          <w:p>
            <w:pPr>
              <w:jc w:val="center"/>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简要规格描述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jc w:val="center"/>
        </w:trPr>
        <w:tc>
          <w:tcPr>
            <w:tcW w:w="466" w:type="dxa"/>
            <w:vAlign w:val="center"/>
          </w:tcPr>
          <w:p>
            <w:pPr>
              <w:tabs>
                <w:tab w:val="left" w:pos="8280"/>
              </w:tabs>
              <w:autoSpaceDE w:val="0"/>
              <w:autoSpaceDN w:val="0"/>
              <w:adjustRightInd w:val="0"/>
              <w:jc w:val="center"/>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w:t>
            </w:r>
          </w:p>
        </w:tc>
        <w:tc>
          <w:tcPr>
            <w:tcW w:w="2504" w:type="dxa"/>
            <w:vAlign w:val="center"/>
          </w:tcPr>
          <w:p>
            <w:pPr>
              <w:tabs>
                <w:tab w:val="left" w:pos="8280"/>
              </w:tabs>
              <w:autoSpaceDE w:val="0"/>
              <w:autoSpaceDN w:val="0"/>
              <w:adjustRightInd w:val="0"/>
              <w:jc w:val="center"/>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台州市第一中学食堂二楼备餐间、洗碗间和新疆班卫生间改造工程项目</w:t>
            </w:r>
          </w:p>
        </w:tc>
        <w:tc>
          <w:tcPr>
            <w:tcW w:w="786" w:type="dxa"/>
            <w:vAlign w:val="center"/>
          </w:tcPr>
          <w:p>
            <w:pPr>
              <w:tabs>
                <w:tab w:val="left" w:pos="8280"/>
              </w:tabs>
              <w:autoSpaceDE w:val="0"/>
              <w:autoSpaceDN w:val="0"/>
              <w:adjustRightInd w:val="0"/>
              <w:jc w:val="center"/>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w:t>
            </w:r>
          </w:p>
        </w:tc>
        <w:tc>
          <w:tcPr>
            <w:tcW w:w="808" w:type="dxa"/>
            <w:vAlign w:val="center"/>
          </w:tcPr>
          <w:p>
            <w:pPr>
              <w:tabs>
                <w:tab w:val="left" w:pos="8280"/>
              </w:tabs>
              <w:autoSpaceDE w:val="0"/>
              <w:autoSpaceDN w:val="0"/>
              <w:adjustRightInd w:val="0"/>
              <w:jc w:val="center"/>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kern w:val="0"/>
                <w:sz w:val="24"/>
                <w:highlight w:val="none"/>
              </w:rPr>
              <w:t>项</w:t>
            </w:r>
          </w:p>
        </w:tc>
        <w:tc>
          <w:tcPr>
            <w:tcW w:w="1320" w:type="dxa"/>
            <w:vAlign w:val="center"/>
          </w:tcPr>
          <w:p>
            <w:pPr>
              <w:tabs>
                <w:tab w:val="left" w:pos="8280"/>
              </w:tabs>
              <w:autoSpaceDE w:val="0"/>
              <w:autoSpaceDN w:val="0"/>
              <w:adjustRightInd w:val="0"/>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Cs/>
                <w:color w:val="auto"/>
                <w:sz w:val="24"/>
                <w:highlight w:val="none"/>
              </w:rPr>
              <w:t>84</w:t>
            </w:r>
          </w:p>
        </w:tc>
        <w:tc>
          <w:tcPr>
            <w:tcW w:w="1305" w:type="dxa"/>
            <w:vAlign w:val="center"/>
          </w:tcPr>
          <w:p>
            <w:pPr>
              <w:tabs>
                <w:tab w:val="left" w:pos="8280"/>
              </w:tabs>
              <w:autoSpaceDE w:val="0"/>
              <w:autoSpaceDN w:val="0"/>
              <w:adjustRightInd w:val="0"/>
              <w:jc w:val="center"/>
              <w:rPr>
                <w:rFonts w:asciiTheme="minorEastAsia" w:hAnsiTheme="minorEastAsia" w:eastAsiaTheme="minorEastAsia" w:cstheme="minorEastAsia"/>
                <w:b/>
                <w:color w:val="auto"/>
                <w:sz w:val="24"/>
                <w:highlight w:val="none"/>
              </w:rPr>
            </w:pPr>
            <w:r>
              <w:rPr>
                <w:rFonts w:hint="eastAsia" w:ascii="宋体" w:hAnsi="宋体" w:cs="宋体"/>
                <w:b/>
                <w:color w:val="auto"/>
                <w:sz w:val="24"/>
                <w:highlight w:val="none"/>
              </w:rPr>
              <w:t>76</w:t>
            </w:r>
            <w:r>
              <w:rPr>
                <w:rFonts w:hint="eastAsia" w:ascii="宋体" w:hAnsi="宋体" w:cs="宋体"/>
                <w:b/>
                <w:color w:val="auto"/>
                <w:sz w:val="24"/>
                <w:highlight w:val="none"/>
                <w:lang w:val="en-US" w:eastAsia="zh-CN"/>
              </w:rPr>
              <w:t>.</w:t>
            </w:r>
            <w:r>
              <w:rPr>
                <w:rFonts w:hint="eastAsia" w:ascii="宋体" w:hAnsi="宋体" w:cs="宋体"/>
                <w:b/>
                <w:color w:val="auto"/>
                <w:sz w:val="24"/>
                <w:highlight w:val="none"/>
              </w:rPr>
              <w:t>8786</w:t>
            </w:r>
          </w:p>
        </w:tc>
        <w:tc>
          <w:tcPr>
            <w:tcW w:w="1810" w:type="dxa"/>
            <w:vAlign w:val="center"/>
          </w:tcPr>
          <w:p>
            <w:pPr>
              <w:jc w:val="center"/>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详见磋商需求</w:t>
            </w:r>
          </w:p>
        </w:tc>
      </w:tr>
    </w:tbl>
    <w:p>
      <w:pPr>
        <w:pStyle w:val="28"/>
        <w:spacing w:after="0" w:line="360" w:lineRule="auto"/>
        <w:ind w:left="0" w:leftChars="0" w:firstLine="482" w:firstLineChars="200"/>
        <w:rPr>
          <w:rFonts w:ascii="宋体" w:hAnsi="宋体" w:cs="宋体"/>
          <w:b/>
          <w:color w:val="auto"/>
          <w:sz w:val="24"/>
          <w:highlight w:val="none"/>
        </w:rPr>
      </w:pPr>
      <w:bookmarkStart w:id="17" w:name="OLE_LINK25"/>
      <w:bookmarkStart w:id="18" w:name="OLE_LINK108"/>
      <w:bookmarkStart w:id="19" w:name="OLE_LINK8"/>
      <w:r>
        <w:rPr>
          <w:rFonts w:hint="eastAsia" w:ascii="宋体" w:hAnsi="宋体" w:cs="宋体"/>
          <w:b/>
          <w:color w:val="auto"/>
          <w:sz w:val="24"/>
          <w:highlight w:val="none"/>
        </w:rPr>
        <w:t>注：上表预算84万元是指财政预算，非施工图预算，</w:t>
      </w:r>
      <w:bookmarkStart w:id="20" w:name="OLE_LINK37"/>
      <w:r>
        <w:rPr>
          <w:rFonts w:hint="eastAsia" w:ascii="宋体" w:hAnsi="宋体" w:cs="宋体"/>
          <w:b/>
          <w:color w:val="auto"/>
          <w:sz w:val="24"/>
          <w:highlight w:val="none"/>
        </w:rPr>
        <w:t>本项目施工图预算为873620元</w:t>
      </w:r>
      <w:r>
        <w:rPr>
          <w:rFonts w:hint="eastAsia" w:ascii="宋体" w:hAnsi="宋体" w:cs="宋体"/>
          <w:b/>
          <w:color w:val="auto"/>
          <w:sz w:val="24"/>
          <w:highlight w:val="none"/>
        </w:rPr>
        <w:t>（其中食堂二楼备餐间、洗碗间385158元，新疆班卫生间改造工程488462元）</w:t>
      </w:r>
      <w:r>
        <w:rPr>
          <w:rFonts w:hint="eastAsia" w:ascii="宋体" w:hAnsi="宋体" w:cs="宋体"/>
          <w:b/>
          <w:color w:val="auto"/>
          <w:sz w:val="24"/>
          <w:highlight w:val="none"/>
        </w:rPr>
        <w:t>，最高投标限价：</w:t>
      </w:r>
      <w:bookmarkStart w:id="21" w:name="OLE_LINK7"/>
      <w:bookmarkStart w:id="22" w:name="OLE_LINK38"/>
      <w:r>
        <w:rPr>
          <w:rFonts w:hint="eastAsia" w:ascii="宋体" w:hAnsi="宋体" w:cs="宋体"/>
          <w:b/>
          <w:color w:val="auto"/>
          <w:sz w:val="24"/>
          <w:highlight w:val="none"/>
        </w:rPr>
        <w:t>76</w:t>
      </w:r>
      <w:bookmarkEnd w:id="21"/>
      <w:r>
        <w:rPr>
          <w:rFonts w:hint="eastAsia" w:ascii="宋体" w:hAnsi="宋体" w:cs="宋体"/>
          <w:b/>
          <w:color w:val="auto"/>
          <w:sz w:val="24"/>
          <w:highlight w:val="none"/>
        </w:rPr>
        <w:t>8786</w:t>
      </w:r>
      <w:bookmarkEnd w:id="22"/>
      <w:r>
        <w:rPr>
          <w:rFonts w:hint="eastAsia" w:ascii="宋体" w:hAnsi="宋体" w:cs="宋体"/>
          <w:b/>
          <w:color w:val="auto"/>
          <w:sz w:val="24"/>
          <w:highlight w:val="none"/>
        </w:rPr>
        <w:t>元（施工图预算价×88%)。</w:t>
      </w:r>
      <w:bookmarkEnd w:id="20"/>
    </w:p>
    <w:bookmarkEnd w:id="17"/>
    <w:bookmarkEnd w:id="18"/>
    <w:bookmarkEnd w:id="19"/>
    <w:p>
      <w:pPr>
        <w:pStyle w:val="28"/>
        <w:spacing w:before="120" w:beforeLines="50" w:after="0" w:line="360" w:lineRule="auto"/>
        <w:ind w:left="0" w:leftChars="0"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二、供应商的资格要求</w:t>
      </w:r>
      <w:bookmarkEnd w:id="11"/>
      <w:bookmarkEnd w:id="12"/>
      <w:bookmarkEnd w:id="13"/>
      <w:bookmarkEnd w:id="14"/>
    </w:p>
    <w:p>
      <w:pPr>
        <w:spacing w:line="360" w:lineRule="auto"/>
        <w:ind w:firstLine="480" w:firstLineChars="200"/>
        <w:rPr>
          <w:rFonts w:ascii="宋体" w:hAnsi="宋体" w:cs="宋体"/>
          <w:color w:val="auto"/>
          <w:sz w:val="24"/>
          <w:highlight w:val="none"/>
        </w:rPr>
      </w:pPr>
      <w:bookmarkStart w:id="23" w:name="_Toc35393792"/>
      <w:bookmarkStart w:id="24" w:name="_Toc28359004"/>
      <w:bookmarkStart w:id="25" w:name="_Toc28359081"/>
      <w:bookmarkStart w:id="26" w:name="_Toc35393623"/>
      <w:r>
        <w:rPr>
          <w:rFonts w:hint="eastAsia" w:ascii="宋体" w:hAnsi="宋体" w:cs="宋体"/>
          <w:color w:val="auto"/>
          <w:sz w:val="24"/>
          <w:highlight w:val="none"/>
        </w:rPr>
        <w:t>（一）满足《中华人民共和国政府采购法》第二十二条规定；</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（二）本项目的特定资格要求：</w:t>
      </w:r>
    </w:p>
    <w:bookmarkEnd w:id="23"/>
    <w:bookmarkEnd w:id="24"/>
    <w:bookmarkEnd w:id="25"/>
    <w:bookmarkEnd w:id="26"/>
    <w:p>
      <w:pPr>
        <w:widowControl/>
        <w:spacing w:line="36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供应商应同时具备以下要求：</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（1）具有建筑装修装饰工程专业承包二级及以上资质（对应资质应在“浙江省建筑市场监管公共服务系统”上动态核查结果处于“合格”状态）；</w:t>
      </w:r>
    </w:p>
    <w:p>
      <w:pPr>
        <w:snapToGrid w:val="0"/>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（2）具有有效的企业《安全生产许可证》。</w:t>
      </w:r>
    </w:p>
    <w:p>
      <w:pPr>
        <w:snapToGrid w:val="0"/>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（3）如为省外企业还应具有《省外企业进浙承接业务备案证明》或在“浙江省建筑市场监管公共服务系统”备案通过。</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（三）本项目</w:t>
      </w:r>
      <w:r>
        <w:rPr>
          <w:rFonts w:hint="eastAsia" w:ascii="宋体" w:hAnsi="宋体" w:cs="宋体"/>
          <w:b/>
          <w:bCs/>
          <w:color w:val="auto"/>
          <w:sz w:val="24"/>
          <w:highlight w:val="none"/>
        </w:rPr>
        <w:t>(不接受)</w:t>
      </w:r>
      <w:r>
        <w:rPr>
          <w:rFonts w:hint="eastAsia" w:ascii="宋体" w:hAnsi="宋体" w:cs="宋体"/>
          <w:color w:val="auto"/>
          <w:sz w:val="24"/>
          <w:highlight w:val="none"/>
        </w:rPr>
        <w:t>联合体响应；</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w:t>
      </w:r>
      <w:bookmarkStart w:id="27" w:name="OLE_LINK40"/>
      <w:bookmarkStart w:id="28" w:name="OLE_LINK39"/>
      <w:r>
        <w:rPr>
          <w:rFonts w:hint="eastAsia" w:ascii="宋体" w:hAnsi="宋体" w:cs="宋体"/>
          <w:b/>
          <w:color w:val="auto"/>
          <w:sz w:val="24"/>
          <w:highlight w:val="none"/>
        </w:rPr>
        <w:t>本项目（是）专门面向中小企业</w:t>
      </w:r>
      <w:bookmarkEnd w:id="27"/>
      <w:bookmarkEnd w:id="28"/>
      <w:r>
        <w:rPr>
          <w:rFonts w:hint="eastAsia" w:ascii="宋体" w:hAnsi="宋体" w:cs="宋体"/>
          <w:b/>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（五）信用记录：未被列入“信用中国”失信被执行人或重大税收违法失信主体；未处于“中国政府采购网”</w:t>
      </w:r>
      <w:r>
        <w:rPr>
          <w:color w:val="auto"/>
          <w:highlight w:val="none"/>
        </w:rPr>
        <w:fldChar w:fldCharType="begin"/>
      </w:r>
      <w:r>
        <w:rPr>
          <w:color w:val="auto"/>
          <w:highlight w:val="none"/>
        </w:rPr>
        <w:instrText xml:space="preserve"> HYPERLINK "http://www.ccgp.gov.cn）政府采购严重违法失信行为信息记录中的禁止参加政府采购活动期间。" </w:instrText>
      </w:r>
      <w:r>
        <w:rPr>
          <w:color w:val="auto"/>
          <w:highlight w:val="none"/>
        </w:rPr>
        <w:fldChar w:fldCharType="separate"/>
      </w:r>
      <w:r>
        <w:rPr>
          <w:rFonts w:hint="eastAsia" w:ascii="宋体" w:hAnsi="宋体" w:cs="宋体"/>
          <w:color w:val="auto"/>
          <w:sz w:val="24"/>
          <w:highlight w:val="none"/>
        </w:rPr>
        <w:t>政府采购严重违法失信行为信息记录中的禁止参加政府采购活动期间；</w:t>
      </w:r>
      <w:r>
        <w:rPr>
          <w:rFonts w:hint="eastAsia" w:ascii="宋体" w:hAnsi="宋体" w:cs="宋体"/>
          <w:color w:val="auto"/>
          <w:sz w:val="24"/>
          <w:highlight w:val="none"/>
        </w:rPr>
        <w:fldChar w:fldCharType="end"/>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六）法律、行政法规规定的其他条件：单位负责人为同一人或者存在直接控股、管理关系的不同供应商，不得同时参加同一项目磋商；为本项目提供整体设计、规范编制或者项目管理、监理、检测等服务的供应商，不得再参与本项目磋商。（联合体参与磋商的，联合体各方均须满足该条款。）电子交易平台运营机构，以及与该机构有直接控股或者管理关系可能影响采购公正性的任何单位和个人，不得在该平台进行的政府采购项目电子交易中投标、响应和代理政府采购项目。</w:t>
      </w:r>
    </w:p>
    <w:p>
      <w:pPr>
        <w:pStyle w:val="28"/>
        <w:spacing w:after="0" w:line="360" w:lineRule="auto"/>
        <w:ind w:left="0" w:leftChars="0"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三、获取磋商文件</w:t>
      </w:r>
    </w:p>
    <w:p>
      <w:pPr>
        <w:pStyle w:val="37"/>
        <w:spacing w:line="360" w:lineRule="auto"/>
        <w:ind w:firstLine="480" w:firstLineChars="20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（一）时间：</w:t>
      </w:r>
      <w:r>
        <w:rPr>
          <w:rFonts w:hint="eastAsia" w:ascii="宋体" w:hAnsi="宋体" w:eastAsia="宋体" w:cs="宋体"/>
          <w:color w:val="auto"/>
          <w:sz w:val="24"/>
          <w:szCs w:val="24"/>
          <w:highlight w:val="none"/>
          <w:u w:val="single"/>
        </w:rPr>
        <w:t>以浙江政府采购网（http://zfcg.czt.zj.gov.cn）公告时间为准</w:t>
      </w:r>
    </w:p>
    <w:p>
      <w:pPr>
        <w:pStyle w:val="37"/>
        <w:spacing w:line="360" w:lineRule="auto"/>
        <w:ind w:firstLine="480" w:firstLineChars="20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（二）方式：</w:t>
      </w:r>
      <w:bookmarkStart w:id="29" w:name="OLE_LINK47"/>
      <w:bookmarkStart w:id="30" w:name="OLE_LINK48"/>
      <w:r>
        <w:rPr>
          <w:rFonts w:hint="eastAsia" w:ascii="宋体" w:hAnsi="宋体" w:eastAsia="宋体" w:cs="宋体"/>
          <w:color w:val="auto"/>
          <w:sz w:val="24"/>
          <w:szCs w:val="24"/>
          <w:highlight w:val="none"/>
          <w:u w:val="single"/>
        </w:rPr>
        <w:t>浙江政府采购网</w:t>
      </w:r>
      <w:r>
        <w:rPr>
          <w:rFonts w:hint="eastAsia" w:ascii="宋体" w:hAnsi="宋体" w:eastAsia="宋体" w:cs="宋体"/>
          <w:color w:val="auto"/>
          <w:kern w:val="2"/>
          <w:sz w:val="24"/>
          <w:szCs w:val="24"/>
          <w:highlight w:val="none"/>
          <w:u w:val="single"/>
        </w:rPr>
        <w:t>（https://zfcg.czt.zj.gov.cn）</w:t>
      </w:r>
      <w:bookmarkEnd w:id="29"/>
      <w:bookmarkEnd w:id="30"/>
      <w:r>
        <w:rPr>
          <w:rFonts w:hint="eastAsia" w:ascii="宋体" w:hAnsi="宋体" w:eastAsia="宋体" w:cs="宋体"/>
          <w:color w:val="auto"/>
          <w:sz w:val="24"/>
          <w:szCs w:val="24"/>
          <w:highlight w:val="none"/>
          <w:u w:val="single"/>
        </w:rPr>
        <w:t>免费下载</w:t>
      </w:r>
    </w:p>
    <w:p>
      <w:pPr>
        <w:pStyle w:val="28"/>
        <w:spacing w:after="0" w:line="360" w:lineRule="auto"/>
        <w:ind w:left="0" w:leftChars="0" w:firstLine="482" w:firstLineChars="200"/>
        <w:rPr>
          <w:rFonts w:ascii="宋体" w:hAnsi="宋体" w:cs="宋体"/>
          <w:b/>
          <w:bCs/>
          <w:color w:val="auto"/>
          <w:kern w:val="0"/>
          <w:sz w:val="24"/>
          <w:highlight w:val="none"/>
        </w:rPr>
      </w:pPr>
      <w:bookmarkStart w:id="31" w:name="_Toc35393624"/>
      <w:bookmarkStart w:id="32" w:name="_Toc28359082"/>
      <w:bookmarkStart w:id="33" w:name="_Toc35393793"/>
      <w:bookmarkStart w:id="34" w:name="_Toc28359005"/>
      <w:r>
        <w:rPr>
          <w:rFonts w:hint="eastAsia" w:ascii="宋体" w:hAnsi="宋体" w:cs="宋体"/>
          <w:b/>
          <w:bCs/>
          <w:color w:val="auto"/>
          <w:kern w:val="0"/>
          <w:sz w:val="24"/>
          <w:highlight w:val="none"/>
        </w:rPr>
        <w:t>四、提交磋商响应文件</w:t>
      </w:r>
      <w:bookmarkEnd w:id="31"/>
      <w:bookmarkEnd w:id="32"/>
      <w:bookmarkEnd w:id="33"/>
      <w:bookmarkEnd w:id="34"/>
    </w:p>
    <w:p>
      <w:pPr>
        <w:spacing w:line="360" w:lineRule="auto"/>
        <w:ind w:firstLine="480" w:firstLineChars="200"/>
        <w:rPr>
          <w:rFonts w:ascii="宋体" w:hAnsi="宋体" w:cs="宋体"/>
          <w:iCs/>
          <w:color w:val="auto"/>
          <w:sz w:val="24"/>
          <w:highlight w:val="none"/>
          <w:u w:val="single"/>
        </w:rPr>
      </w:pPr>
      <w:bookmarkStart w:id="35" w:name="_Toc35393794"/>
      <w:bookmarkStart w:id="36" w:name="_Toc28359007"/>
      <w:bookmarkStart w:id="37" w:name="_Toc35393625"/>
      <w:bookmarkStart w:id="38" w:name="_Toc28359084"/>
      <w:r>
        <w:rPr>
          <w:rFonts w:hint="eastAsia" w:ascii="宋体" w:hAnsi="宋体" w:cs="宋体"/>
          <w:color w:val="auto"/>
          <w:sz w:val="24"/>
          <w:highlight w:val="none"/>
        </w:rPr>
        <w:t>（一）截止时间（磋商开始时间）：</w:t>
      </w:r>
      <w:r>
        <w:rPr>
          <w:rFonts w:hint="eastAsia" w:ascii="宋体" w:hAnsi="宋体" w:cs="宋体"/>
          <w:bCs/>
          <w:color w:val="auto"/>
          <w:sz w:val="24"/>
          <w:highlight w:val="none"/>
          <w:u w:val="single"/>
        </w:rPr>
        <w:t>以浙江政府采购网（http://zfcg.czt.zj.gov.cn）公告时间为准</w:t>
      </w:r>
    </w:p>
    <w:p>
      <w:pPr>
        <w:pStyle w:val="7"/>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（二）提交网址：</w:t>
      </w:r>
      <w:bookmarkStart w:id="39" w:name="OLE_LINK63"/>
      <w:bookmarkStart w:id="40" w:name="OLE_LINK62"/>
      <w:r>
        <w:rPr>
          <w:rFonts w:hint="eastAsia" w:ascii="宋体" w:hAnsi="宋体" w:cs="宋体"/>
          <w:color w:val="auto"/>
          <w:sz w:val="24"/>
          <w:szCs w:val="24"/>
          <w:highlight w:val="none"/>
        </w:rPr>
        <w:t>浙江政府采购云平台（http://www.zcygov.cn）</w:t>
      </w:r>
      <w:bookmarkEnd w:id="39"/>
      <w:bookmarkEnd w:id="40"/>
    </w:p>
    <w:bookmarkEnd w:id="35"/>
    <w:bookmarkEnd w:id="36"/>
    <w:bookmarkEnd w:id="37"/>
    <w:bookmarkEnd w:id="38"/>
    <w:p>
      <w:pPr>
        <w:pStyle w:val="28"/>
        <w:spacing w:after="0" w:line="360" w:lineRule="auto"/>
        <w:ind w:left="0" w:leftChars="0"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五、发布公告</w:t>
      </w:r>
    </w:p>
    <w:p>
      <w:pPr>
        <w:pStyle w:val="28"/>
        <w:spacing w:after="0" w:line="360" w:lineRule="auto"/>
        <w:ind w:left="0" w:leftChars="0" w:firstLine="480" w:firstLineChars="200"/>
        <w:rPr>
          <w:rFonts w:asciiTheme="minorEastAsia" w:hAnsiTheme="minorEastAsia" w:eastAsiaTheme="minorEastAsia" w:cstheme="minorEastAsia"/>
          <w:color w:val="auto"/>
          <w:kern w:val="0"/>
          <w:sz w:val="24"/>
          <w:highlight w:val="none"/>
        </w:rPr>
      </w:pPr>
      <w:bookmarkStart w:id="41" w:name="_Toc35393626"/>
      <w:bookmarkStart w:id="42" w:name="_Toc35393795"/>
      <w:r>
        <w:rPr>
          <w:rFonts w:hint="eastAsia" w:asciiTheme="minorEastAsia" w:hAnsiTheme="minorEastAsia" w:eastAsiaTheme="minorEastAsia" w:cstheme="minorEastAsia"/>
          <w:color w:val="auto"/>
          <w:kern w:val="0"/>
          <w:sz w:val="24"/>
          <w:highlight w:val="none"/>
        </w:rPr>
        <w:t>（一）公告网址：浙江政府采购网（</w:t>
      </w:r>
      <w:r>
        <w:rPr>
          <w:rFonts w:hint="eastAsia" w:asciiTheme="minorEastAsia" w:hAnsiTheme="minorEastAsia" w:eastAsiaTheme="minorEastAsia" w:cstheme="minorEastAsia"/>
          <w:color w:val="auto"/>
          <w:sz w:val="24"/>
          <w:highlight w:val="none"/>
        </w:rPr>
        <w:t>https://zfcg.czt.zj.gov.cn</w:t>
      </w:r>
      <w:r>
        <w:rPr>
          <w:rFonts w:hint="eastAsia" w:asciiTheme="minorEastAsia" w:hAnsiTheme="minorEastAsia" w:eastAsiaTheme="minorEastAsia" w:cstheme="minorEastAsia"/>
          <w:color w:val="auto"/>
          <w:kern w:val="0"/>
          <w:sz w:val="24"/>
          <w:highlight w:val="none"/>
        </w:rPr>
        <w:t>）。</w:t>
      </w:r>
    </w:p>
    <w:p>
      <w:pPr>
        <w:pStyle w:val="28"/>
        <w:spacing w:after="0" w:line="360" w:lineRule="auto"/>
        <w:ind w:left="0" w:leftChars="0"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（二）公告期限：本公告期限自发布之日起三个工作日</w:t>
      </w:r>
    </w:p>
    <w:bookmarkEnd w:id="41"/>
    <w:bookmarkEnd w:id="42"/>
    <w:p>
      <w:pPr>
        <w:pStyle w:val="28"/>
        <w:spacing w:after="0" w:line="360" w:lineRule="auto"/>
        <w:ind w:left="0" w:leftChars="0" w:firstLine="482" w:firstLineChars="200"/>
        <w:rPr>
          <w:rFonts w:ascii="宋体" w:hAnsi="宋体" w:cs="宋体"/>
          <w:b/>
          <w:bCs/>
          <w:color w:val="auto"/>
          <w:kern w:val="0"/>
          <w:sz w:val="24"/>
          <w:highlight w:val="none"/>
        </w:rPr>
      </w:pPr>
      <w:bookmarkStart w:id="43" w:name="_Toc28359010"/>
      <w:bookmarkStart w:id="44" w:name="_Toc28359087"/>
      <w:r>
        <w:rPr>
          <w:rFonts w:hint="eastAsia" w:ascii="宋体" w:hAnsi="宋体" w:cs="宋体"/>
          <w:b/>
          <w:bCs/>
          <w:color w:val="auto"/>
          <w:kern w:val="0"/>
          <w:sz w:val="24"/>
          <w:highlight w:val="none"/>
        </w:rPr>
        <w:t>六、注册报名</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参与政府采购项目的供应商，需登录浙江省政府采购网（https://zfcg.czt.zj.gov.cn/）进行注册后报名。</w:t>
      </w:r>
    </w:p>
    <w:p>
      <w:pPr>
        <w:pStyle w:val="28"/>
        <w:spacing w:after="0" w:line="360" w:lineRule="auto"/>
        <w:ind w:left="0" w:leftChars="0" w:firstLine="482" w:firstLineChars="200"/>
        <w:rPr>
          <w:rFonts w:ascii="宋体" w:hAnsi="宋体" w:cs="宋体"/>
          <w:b/>
          <w:bCs/>
          <w:color w:val="auto"/>
          <w:kern w:val="0"/>
          <w:sz w:val="24"/>
          <w:highlight w:val="none"/>
        </w:rPr>
      </w:pPr>
      <w:bookmarkStart w:id="45" w:name="_Toc35393627"/>
      <w:bookmarkStart w:id="46" w:name="_Toc28359085"/>
      <w:bookmarkStart w:id="47" w:name="_Toc35393796"/>
      <w:bookmarkStart w:id="48" w:name="_Toc28359008"/>
      <w:r>
        <w:rPr>
          <w:rFonts w:hint="eastAsia" w:ascii="宋体" w:hAnsi="宋体" w:cs="宋体"/>
          <w:b/>
          <w:bCs/>
          <w:color w:val="auto"/>
          <w:kern w:val="0"/>
          <w:sz w:val="24"/>
          <w:highlight w:val="none"/>
        </w:rPr>
        <w:t>七、其他补充事宜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28"/>
        <w:spacing w:after="0" w:line="360" w:lineRule="auto"/>
        <w:ind w:left="0" w:leftChars="0"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八、联系</w:t>
      </w:r>
      <w:bookmarkEnd w:id="45"/>
      <w:bookmarkEnd w:id="46"/>
      <w:bookmarkEnd w:id="47"/>
      <w:bookmarkEnd w:id="48"/>
      <w:r>
        <w:rPr>
          <w:rFonts w:hint="eastAsia" w:ascii="宋体" w:hAnsi="宋体" w:cs="宋体"/>
          <w:b/>
          <w:bCs/>
          <w:color w:val="auto"/>
          <w:kern w:val="0"/>
          <w:sz w:val="24"/>
          <w:highlight w:val="none"/>
        </w:rPr>
        <w:t>方式</w:t>
      </w:r>
    </w:p>
    <w:p>
      <w:pPr>
        <w:snapToGrid w:val="0"/>
        <w:spacing w:line="360"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 xml:space="preserve">（一）采购人（受理磋商文件相关质疑及答复） </w:t>
      </w:r>
    </w:p>
    <w:p>
      <w:pPr>
        <w:widowControl/>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名称：</w:t>
      </w:r>
      <w:r>
        <w:rPr>
          <w:rFonts w:hint="eastAsia" w:ascii="宋体" w:hAnsi="宋体" w:cs="宋体"/>
          <w:color w:val="auto"/>
          <w:sz w:val="24"/>
          <w:highlight w:val="none"/>
          <w:u w:val="single"/>
        </w:rPr>
        <w:t>台州市第一中学</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地点：</w:t>
      </w:r>
      <w:r>
        <w:rPr>
          <w:rFonts w:ascii="宋体" w:hAnsi="宋体"/>
          <w:color w:val="auto"/>
          <w:sz w:val="24"/>
          <w:highlight w:val="none"/>
          <w:u w:val="single"/>
        </w:rPr>
        <w:t>台州市椒江区</w:t>
      </w:r>
      <w:r>
        <w:rPr>
          <w:rFonts w:hint="eastAsia" w:ascii="宋体" w:hAnsi="宋体"/>
          <w:color w:val="auto"/>
          <w:sz w:val="24"/>
          <w:highlight w:val="none"/>
          <w:u w:val="single"/>
        </w:rPr>
        <w:t>枫南东路388</w:t>
      </w:r>
      <w:r>
        <w:rPr>
          <w:rFonts w:ascii="宋体" w:hAnsi="宋体"/>
          <w:color w:val="auto"/>
          <w:sz w:val="24"/>
          <w:highlight w:val="none"/>
          <w:u w:val="single"/>
        </w:rPr>
        <w:t>号</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联系人：</w:t>
      </w:r>
      <w:r>
        <w:rPr>
          <w:rFonts w:hint="eastAsia" w:ascii="宋体" w:hAnsi="宋体"/>
          <w:color w:val="auto"/>
          <w:sz w:val="24"/>
          <w:highlight w:val="none"/>
          <w:u w:val="single"/>
        </w:rPr>
        <w:t>倪老师</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联系电话：</w:t>
      </w:r>
      <w:bookmarkStart w:id="49" w:name="OLE_LINK68"/>
      <w:bookmarkStart w:id="50" w:name="OLE_LINK69"/>
      <w:r>
        <w:rPr>
          <w:rFonts w:hint="eastAsia" w:ascii="宋体" w:hAnsi="宋体" w:cs="宋体"/>
          <w:color w:val="auto"/>
          <w:sz w:val="24"/>
          <w:highlight w:val="none"/>
          <w:u w:val="single"/>
        </w:rPr>
        <w:t>0576-89058617</w:t>
      </w:r>
      <w:r>
        <w:rPr>
          <w:rFonts w:hint="eastAsia" w:ascii="宋体" w:hAnsi="宋体"/>
          <w:color w:val="auto"/>
          <w:sz w:val="24"/>
          <w:highlight w:val="none"/>
        </w:rPr>
        <w:t xml:space="preserve"> </w:t>
      </w:r>
      <w:bookmarkEnd w:id="49"/>
      <w:bookmarkEnd w:id="50"/>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w:t>
      </w:r>
      <w:bookmarkStart w:id="51" w:name="OLE_LINK70"/>
      <w:r>
        <w:rPr>
          <w:rFonts w:hint="eastAsia" w:ascii="宋体" w:hAnsi="宋体" w:cs="宋体"/>
          <w:color w:val="auto"/>
          <w:sz w:val="24"/>
          <w:highlight w:val="none"/>
          <w:u w:val="single"/>
        </w:rPr>
        <w:t>李老师</w:t>
      </w:r>
      <w:bookmarkEnd w:id="51"/>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w:t>
      </w:r>
      <w:bookmarkStart w:id="52" w:name="OLE_LINK71"/>
      <w:bookmarkStart w:id="53" w:name="OLE_LINK72"/>
      <w:r>
        <w:rPr>
          <w:rFonts w:hint="eastAsia" w:ascii="宋体" w:hAnsi="宋体"/>
          <w:color w:val="auto"/>
          <w:sz w:val="24"/>
          <w:highlight w:val="none"/>
          <w:u w:val="single"/>
        </w:rPr>
        <w:t>0576-89058618</w:t>
      </w:r>
      <w:bookmarkEnd w:id="52"/>
      <w:bookmarkEnd w:id="53"/>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w:t>
      </w:r>
      <w:r>
        <w:rPr>
          <w:rFonts w:hint="eastAsia" w:ascii="宋体" w:hAnsi="宋体" w:cs="宋体"/>
          <w:b/>
          <w:bCs/>
          <w:color w:val="auto"/>
          <w:sz w:val="24"/>
          <w:highlight w:val="none"/>
        </w:rPr>
        <w:t>采购组织机构</w:t>
      </w:r>
    </w:p>
    <w:p>
      <w:pPr>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名 称：</w:t>
      </w:r>
      <w:r>
        <w:rPr>
          <w:rFonts w:hint="eastAsia" w:ascii="宋体" w:hAnsi="宋体" w:cs="宋体"/>
          <w:color w:val="auto"/>
          <w:sz w:val="24"/>
          <w:highlight w:val="none"/>
          <w:u w:val="single"/>
        </w:rPr>
        <w:t>浙江中永工程咨询有限公司</w:t>
      </w:r>
    </w:p>
    <w:p>
      <w:pPr>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地　址：</w:t>
      </w:r>
      <w:bookmarkStart w:id="54" w:name="OLE_LINK76"/>
      <w:bookmarkStart w:id="55" w:name="OLE_LINK73"/>
      <w:r>
        <w:rPr>
          <w:rFonts w:hint="eastAsia" w:ascii="宋体" w:hAnsi="宋体" w:cs="宋体"/>
          <w:color w:val="auto"/>
          <w:sz w:val="24"/>
          <w:highlight w:val="none"/>
          <w:u w:val="single"/>
        </w:rPr>
        <w:t>浙江省台州市椒江区海洋广场1幢5层</w:t>
      </w:r>
      <w:bookmarkEnd w:id="54"/>
      <w:bookmarkEnd w:id="55"/>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项目联系人（询问）：</w:t>
      </w:r>
      <w:r>
        <w:rPr>
          <w:rFonts w:hint="eastAsia" w:ascii="宋体" w:hAnsi="宋体" w:cs="宋体"/>
          <w:color w:val="auto"/>
          <w:sz w:val="24"/>
          <w:highlight w:val="none"/>
          <w:u w:val="single"/>
        </w:rPr>
        <w:t>李女士</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联系电话（询问）：</w:t>
      </w:r>
      <w:r>
        <w:rPr>
          <w:rFonts w:hint="eastAsia" w:ascii="宋体" w:hAnsi="宋体" w:cs="宋体"/>
          <w:color w:val="auto"/>
          <w:sz w:val="24"/>
          <w:highlight w:val="none"/>
          <w:u w:val="single"/>
        </w:rPr>
        <w:t>0576-88601616</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质疑联系人：</w:t>
      </w:r>
      <w:r>
        <w:rPr>
          <w:rFonts w:hint="eastAsia" w:ascii="宋体" w:hAnsi="宋体" w:cs="宋体"/>
          <w:color w:val="auto"/>
          <w:sz w:val="24"/>
          <w:highlight w:val="none"/>
          <w:u w:val="single"/>
        </w:rPr>
        <w:t>邱女士（受理注册、磋商结果相关质疑及答复）</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质疑联系方式：</w:t>
      </w:r>
      <w:r>
        <w:rPr>
          <w:rFonts w:hint="eastAsia" w:ascii="宋体" w:hAnsi="宋体" w:cs="宋体"/>
          <w:color w:val="auto"/>
          <w:sz w:val="24"/>
          <w:highlight w:val="none"/>
          <w:u w:val="single"/>
        </w:rPr>
        <w:t>0576-88589196</w:t>
      </w:r>
    </w:p>
    <w:p>
      <w:pPr>
        <w:spacing w:line="360" w:lineRule="auto"/>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（三）同级政府采购监管机构</w:t>
      </w:r>
    </w:p>
    <w:p>
      <w:pPr>
        <w:spacing w:line="360" w:lineRule="auto"/>
        <w:ind w:firstLine="480" w:firstLineChars="2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名 称：</w:t>
      </w:r>
      <w:bookmarkStart w:id="56" w:name="OLE_LINK78"/>
      <w:bookmarkStart w:id="57" w:name="OLE_LINK77"/>
      <w:r>
        <w:rPr>
          <w:rFonts w:hint="eastAsia" w:asciiTheme="minorEastAsia" w:hAnsiTheme="minorEastAsia" w:eastAsiaTheme="minorEastAsia" w:cstheme="minorEastAsia"/>
          <w:color w:val="auto"/>
          <w:sz w:val="24"/>
          <w:highlight w:val="none"/>
          <w:u w:val="single"/>
        </w:rPr>
        <w:t>台州市财政局政府采监处</w:t>
      </w:r>
      <w:bookmarkEnd w:id="56"/>
      <w:bookmarkEnd w:id="57"/>
    </w:p>
    <w:p>
      <w:pPr>
        <w:spacing w:line="360" w:lineRule="auto"/>
        <w:ind w:firstLine="480" w:firstLineChars="2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single"/>
        </w:rPr>
        <w:t>台州市椒江区纬一路66号</w:t>
      </w:r>
    </w:p>
    <w:p>
      <w:pPr>
        <w:spacing w:line="360" w:lineRule="auto"/>
        <w:ind w:firstLine="480" w:firstLineChars="2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single"/>
        </w:rPr>
        <w:t>陈工、李工</w:t>
      </w:r>
    </w:p>
    <w:p>
      <w:pPr>
        <w:spacing w:line="360" w:lineRule="auto"/>
        <w:ind w:firstLine="480" w:firstLineChars="2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联系电话：</w:t>
      </w:r>
      <w:r>
        <w:rPr>
          <w:rFonts w:asciiTheme="minorEastAsia" w:hAnsiTheme="minorEastAsia" w:eastAsiaTheme="minorEastAsia" w:cstheme="minorEastAsia"/>
          <w:color w:val="auto"/>
          <w:sz w:val="24"/>
          <w:highlight w:val="none"/>
          <w:u w:val="single"/>
        </w:rPr>
        <w:t>0576-88206705、88206731</w:t>
      </w:r>
    </w:p>
    <w:p>
      <w:pPr>
        <w:spacing w:line="360" w:lineRule="auto"/>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（四）政采云平台</w:t>
      </w:r>
    </w:p>
    <w:p>
      <w:pPr>
        <w:spacing w:line="360" w:lineRule="auto"/>
        <w:ind w:firstLine="480" w:firstLineChars="200"/>
        <w:rPr>
          <w:color w:val="auto"/>
          <w:highlight w:val="none"/>
        </w:rPr>
      </w:pPr>
      <w:r>
        <w:rPr>
          <w:rFonts w:hint="eastAsia" w:asciiTheme="minorEastAsia" w:hAnsiTheme="minorEastAsia" w:eastAsiaTheme="minorEastAsia" w:cstheme="minorEastAsia"/>
          <w:color w:val="auto"/>
          <w:sz w:val="24"/>
          <w:highlight w:val="none"/>
        </w:rPr>
        <w:t>联系电话：</w:t>
      </w:r>
      <w:r>
        <w:rPr>
          <w:rFonts w:asciiTheme="minorEastAsia" w:hAnsiTheme="minorEastAsia" w:eastAsiaTheme="minorEastAsia" w:cstheme="minorEastAsia"/>
          <w:color w:val="auto"/>
          <w:sz w:val="24"/>
          <w:highlight w:val="none"/>
          <w:u w:val="single"/>
        </w:rPr>
        <w:t>95763</w:t>
      </w:r>
      <w:r>
        <w:rPr>
          <w:rFonts w:asciiTheme="minorEastAsia" w:hAnsiTheme="minorEastAsia" w:eastAsiaTheme="minorEastAsia" w:cstheme="minorEastAsia"/>
          <w:color w:val="auto"/>
          <w:sz w:val="24"/>
          <w:highlight w:val="none"/>
        </w:rPr>
        <w:t xml:space="preserve">   </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460" w:lineRule="exact"/>
        <w:ind w:firstLine="539"/>
        <w:rPr>
          <w:rFonts w:asciiTheme="minorEastAsia" w:hAnsiTheme="minorEastAsia" w:eastAsiaTheme="minorEastAsia" w:cstheme="minorEastAsia"/>
          <w:color w:val="auto"/>
          <w:sz w:val="28"/>
          <w:szCs w:val="28"/>
          <w:highlight w:val="none"/>
          <w:shd w:val="clear" w:color="auto" w:fill="FFFFFF"/>
        </w:rPr>
      </w:pPr>
      <w:r>
        <w:rPr>
          <w:rFonts w:hint="eastAsia" w:asciiTheme="minorEastAsia" w:hAnsiTheme="minorEastAsia" w:eastAsiaTheme="minorEastAsia" w:cstheme="minorEastAsia"/>
          <w:color w:val="auto"/>
          <w:sz w:val="28"/>
          <w:szCs w:val="28"/>
          <w:highlight w:val="none"/>
          <w:shd w:val="clear" w:color="auto" w:fill="FFFFFF"/>
        </w:rPr>
        <w:t xml:space="preserve">                                  </w:t>
      </w: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bookmarkEnd w:id="43"/>
    <w:bookmarkEnd w:id="44"/>
    <w:p>
      <w:pPr>
        <w:widowControl/>
        <w:jc w:val="left"/>
        <w:rPr>
          <w:rFonts w:asciiTheme="minorEastAsia" w:hAnsiTheme="minorEastAsia" w:eastAsiaTheme="minorEastAsia"/>
          <w:b/>
          <w:color w:val="auto"/>
          <w:sz w:val="36"/>
          <w:szCs w:val="36"/>
          <w:highlight w:val="none"/>
        </w:rPr>
      </w:pPr>
      <w:bookmarkStart w:id="58" w:name="_Toc101280593"/>
      <w:r>
        <w:rPr>
          <w:rFonts w:asciiTheme="minorEastAsia" w:hAnsiTheme="minorEastAsia" w:eastAsiaTheme="minorEastAsia"/>
          <w:b/>
          <w:color w:val="auto"/>
          <w:sz w:val="36"/>
          <w:szCs w:val="36"/>
          <w:highlight w:val="none"/>
        </w:rPr>
        <w:br w:type="page"/>
      </w:r>
    </w:p>
    <w:p>
      <w:pPr>
        <w:numPr>
          <w:ilvl w:val="0"/>
          <w:numId w:val="4"/>
        </w:numPr>
        <w:spacing w:line="360" w:lineRule="auto"/>
        <w:jc w:val="center"/>
        <w:outlineLvl w:val="0"/>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供应商须知</w:t>
      </w:r>
      <w:bookmarkEnd w:id="58"/>
    </w:p>
    <w:p>
      <w:pPr>
        <w:numPr>
          <w:ilvl w:val="0"/>
          <w:numId w:val="5"/>
        </w:num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前附表</w:t>
      </w:r>
    </w:p>
    <w:tbl>
      <w:tblPr>
        <w:tblStyle w:val="29"/>
        <w:tblW w:w="92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760"/>
        <w:gridCol w:w="6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9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Cs w:val="21"/>
                <w:highlight w:val="none"/>
              </w:rPr>
            </w:pPr>
            <w:r>
              <w:rPr>
                <w:rFonts w:hint="eastAsia" w:ascii="仿宋_GB2312" w:hAnsi="仿宋" w:eastAsia="仿宋_GB2312" w:cs="仿宋_GB2312"/>
                <w:b/>
                <w:color w:val="auto"/>
                <w:sz w:val="24"/>
                <w:highlight w:val="none"/>
              </w:rPr>
              <w:t>序号</w:t>
            </w:r>
          </w:p>
        </w:tc>
        <w:tc>
          <w:tcPr>
            <w:tcW w:w="17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Cs w:val="21"/>
                <w:highlight w:val="none"/>
              </w:rPr>
            </w:pPr>
            <w:r>
              <w:rPr>
                <w:rFonts w:hint="eastAsia" w:ascii="仿宋_GB2312" w:hAnsi="仿宋" w:eastAsia="仿宋_GB2312" w:cs="仿宋_GB2312"/>
                <w:b/>
                <w:color w:val="auto"/>
                <w:sz w:val="24"/>
                <w:highlight w:val="none"/>
              </w:rPr>
              <w:t>事项</w:t>
            </w:r>
          </w:p>
        </w:tc>
        <w:tc>
          <w:tcPr>
            <w:tcW w:w="65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Cs w:val="21"/>
                <w:highlight w:val="none"/>
              </w:rPr>
            </w:pPr>
            <w:r>
              <w:rPr>
                <w:rFonts w:hint="eastAsia" w:ascii="仿宋_GB2312" w:hAnsi="仿宋" w:eastAsia="仿宋_GB2312" w:cs="仿宋_GB2312"/>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是否允许联合体</w:t>
            </w:r>
          </w:p>
        </w:tc>
        <w:tc>
          <w:tcPr>
            <w:tcW w:w="65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cs="宋体" w:asciiTheme="minorEastAsia" w:hAnsiTheme="minorEastAsia" w:eastAsiaTheme="minorEastAsia"/>
                <w:color w:val="auto"/>
                <w:szCs w:val="21"/>
                <w:highlight w:val="none"/>
              </w:rPr>
            </w:pPr>
            <w:r>
              <w:rPr>
                <w:rFonts w:hint="eastAsia" w:cs="黑体" w:asciiTheme="minorEastAsia" w:hAnsiTheme="minorEastAsia" w:eastAsiaTheme="minorEastAsia"/>
                <w:color w:val="auto"/>
                <w:szCs w:val="21"/>
                <w:highlight w:val="none"/>
                <w:shd w:val="clear" w:color="auto" w:fill="FFFFFF"/>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是否允许分包</w:t>
            </w:r>
          </w:p>
        </w:tc>
        <w:tc>
          <w:tcPr>
            <w:tcW w:w="65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cs="宋体" w:asciiTheme="minorEastAsia" w:hAnsiTheme="minorEastAsia" w:eastAsiaTheme="minorEastAsia"/>
                <w:color w:val="auto"/>
                <w:szCs w:val="21"/>
                <w:highlight w:val="none"/>
              </w:rPr>
            </w:pPr>
            <w:r>
              <w:rPr>
                <w:rFonts w:hint="eastAsia" w:cs="黑体" w:asciiTheme="minorEastAsia" w:hAnsiTheme="minorEastAsia" w:eastAsiaTheme="minorEastAsia"/>
                <w:color w:val="auto"/>
                <w:szCs w:val="21"/>
                <w:highlight w:val="none"/>
                <w:shd w:val="clear" w:color="auto" w:fill="FFFFFF"/>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w:t>
            </w:r>
          </w:p>
        </w:tc>
        <w:tc>
          <w:tcPr>
            <w:tcW w:w="176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是否包含政府强制采购节能产品</w:t>
            </w:r>
          </w:p>
        </w:tc>
        <w:tc>
          <w:tcPr>
            <w:tcW w:w="6501"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color w:val="auto"/>
                <w:kern w:val="0"/>
                <w:szCs w:val="21"/>
                <w:highlight w:val="none"/>
              </w:rPr>
            </w:pPr>
            <w:r>
              <w:rPr>
                <w:rFonts w:hint="eastAsia" w:cs="黑体" w:asciiTheme="minorEastAsia" w:hAnsiTheme="minorEastAsia" w:eastAsiaTheme="minorEastAsia"/>
                <w:color w:val="auto"/>
                <w:szCs w:val="21"/>
                <w:highlight w:val="none"/>
                <w:shd w:val="clear" w:color="auto" w:fill="FFFFFF"/>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w:t>
            </w:r>
          </w:p>
        </w:tc>
        <w:tc>
          <w:tcPr>
            <w:tcW w:w="176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答疑会或</w:t>
            </w:r>
          </w:p>
          <w:p>
            <w:pPr>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szCs w:val="21"/>
                <w:highlight w:val="none"/>
              </w:rPr>
              <w:t>现场踏勘</w:t>
            </w:r>
          </w:p>
        </w:tc>
        <w:tc>
          <w:tcPr>
            <w:tcW w:w="6501"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szCs w:val="21"/>
                <w:highlight w:val="none"/>
              </w:rPr>
              <w:t>不组织，</w:t>
            </w:r>
            <w:r>
              <w:rPr>
                <w:rFonts w:hint="eastAsia" w:ascii="宋体" w:hAnsi="宋体" w:cs="宋体"/>
                <w:color w:val="auto"/>
                <w:szCs w:val="21"/>
                <w:highlight w:val="none"/>
              </w:rPr>
              <w:t>建议供应商自行前往现场踏勘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17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szCs w:val="21"/>
                <w:highlight w:val="none"/>
              </w:rPr>
              <w:t>响应文件的制作和递交</w:t>
            </w:r>
          </w:p>
        </w:tc>
        <w:tc>
          <w:tcPr>
            <w:tcW w:w="6501" w:type="dxa"/>
            <w:tcBorders>
              <w:top w:val="single" w:color="auto" w:sz="4" w:space="0"/>
              <w:left w:val="single" w:color="auto" w:sz="4" w:space="0"/>
              <w:bottom w:val="single" w:color="auto" w:sz="4" w:space="0"/>
              <w:right w:val="single" w:color="auto" w:sz="4" w:space="0"/>
            </w:tcBorders>
            <w:vAlign w:val="center"/>
          </w:tcPr>
          <w:p>
            <w:pPr>
              <w:ind w:firstLine="420" w:firstLineChars="200"/>
              <w:rPr>
                <w:color w:val="auto"/>
                <w:highlight w:val="none"/>
              </w:rPr>
            </w:pPr>
            <w:r>
              <w:rPr>
                <w:rFonts w:hint="eastAsia"/>
                <w:color w:val="auto"/>
                <w:highlight w:val="none"/>
              </w:rPr>
              <w:t>请供应商仔细阅读“政府采购项目电子交易操作指南”。</w:t>
            </w:r>
          </w:p>
          <w:p>
            <w:pPr>
              <w:ind w:firstLine="420" w:firstLineChars="200"/>
              <w:rPr>
                <w:color w:val="auto"/>
                <w:highlight w:val="none"/>
              </w:rPr>
            </w:pPr>
            <w:r>
              <w:rPr>
                <w:rFonts w:hint="eastAsia"/>
                <w:color w:val="auto"/>
                <w:highlight w:val="none"/>
              </w:rPr>
              <w:t>1.响应文件的制作：供应商按照本项目磋商文件和政采云平台的要求,通过政采云电子交易客户端编制、加密并递交响应文件（下载网址：</w:t>
            </w:r>
            <w:r>
              <w:rPr>
                <w:color w:val="auto"/>
                <w:highlight w:val="none"/>
              </w:rPr>
              <w:fldChar w:fldCharType="begin"/>
            </w:r>
            <w:r>
              <w:rPr>
                <w:color w:val="auto"/>
                <w:highlight w:val="none"/>
              </w:rPr>
              <w:instrText xml:space="preserve"> HYPERLINK "http://www.zjzfcg.gov.cn/bidClientTemplate/2019-09-24/12975.html）。" </w:instrText>
            </w:r>
            <w:r>
              <w:rPr>
                <w:color w:val="auto"/>
                <w:highlight w:val="none"/>
              </w:rPr>
              <w:fldChar w:fldCharType="separate"/>
            </w:r>
            <w:r>
              <w:rPr>
                <w:rFonts w:hint="eastAsia"/>
                <w:color w:val="auto"/>
                <w:highlight w:val="none"/>
              </w:rPr>
              <w:t>https://zfcg.czt.zj.gov.cn/download/index.html）。</w:t>
            </w:r>
            <w:r>
              <w:rPr>
                <w:rFonts w:hint="eastAsia"/>
                <w:color w:val="auto"/>
                <w:highlight w:val="none"/>
              </w:rPr>
              <w:fldChar w:fldCharType="end"/>
            </w:r>
          </w:p>
          <w:p>
            <w:pPr>
              <w:ind w:firstLine="420" w:firstLineChars="200"/>
              <w:rPr>
                <w:color w:val="auto"/>
                <w:highlight w:val="none"/>
              </w:rPr>
            </w:pPr>
            <w:r>
              <w:rPr>
                <w:rFonts w:hint="eastAsia"/>
                <w:color w:val="auto"/>
                <w:highlight w:val="none"/>
              </w:rPr>
              <w:t>▲2.递交响应文件：供应商应当在响应截止时间前（详见竞争性磋商公告）完成响应文件的递交，逾期递交的响应文件恕不接受。补充或者修改响应文件的，应当先行撤回原文件，补充、修改后重新递交。响应截止时间前未完成</w:t>
            </w:r>
            <w:r>
              <w:rPr>
                <w:rFonts w:hint="eastAsia" w:ascii="宋体" w:hAnsi="宋体" w:cs="宋体"/>
                <w:color w:val="auto"/>
                <w:szCs w:val="21"/>
                <w:highlight w:val="none"/>
              </w:rPr>
              <w:t>递交</w:t>
            </w:r>
            <w:r>
              <w:rPr>
                <w:rFonts w:hint="eastAsia"/>
                <w:color w:val="auto"/>
                <w:highlight w:val="none"/>
              </w:rPr>
              <w:t>的，视为撤回响应文件。</w:t>
            </w:r>
          </w:p>
          <w:p>
            <w:pPr>
              <w:ind w:firstLine="420" w:firstLineChars="200"/>
              <w:rPr>
                <w:rFonts w:ascii="宋体" w:hAnsi="宋体" w:cs="宋体"/>
                <w:color w:val="auto"/>
                <w:kern w:val="0"/>
                <w:szCs w:val="21"/>
                <w:highlight w:val="none"/>
              </w:rPr>
            </w:pPr>
            <w:r>
              <w:rPr>
                <w:rFonts w:hint="eastAsia"/>
                <w:color w:val="auto"/>
                <w:highlight w:val="none"/>
              </w:rPr>
              <w:t>3.响应文件解密：在代理机构开启解密后30分钟内完成解密。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6</w:t>
            </w:r>
          </w:p>
        </w:tc>
        <w:tc>
          <w:tcPr>
            <w:tcW w:w="1760" w:type="dxa"/>
            <w:tcBorders>
              <w:top w:val="single" w:color="auto" w:sz="4" w:space="0"/>
              <w:left w:val="single" w:color="auto" w:sz="4" w:space="0"/>
              <w:bottom w:val="single" w:color="auto" w:sz="4" w:space="0"/>
              <w:right w:val="single" w:color="auto" w:sz="4" w:space="0"/>
            </w:tcBorders>
            <w:vAlign w:val="center"/>
          </w:tcPr>
          <w:p>
            <w:pPr>
              <w:pStyle w:val="28"/>
              <w:spacing w:after="0"/>
              <w:ind w:left="0" w:leftChars="0" w:firstLine="0"/>
              <w:rPr>
                <w:rFonts w:ascii="宋体" w:hAnsi="宋体" w:cs="宋体"/>
                <w:color w:val="auto"/>
                <w:kern w:val="0"/>
                <w:szCs w:val="21"/>
                <w:highlight w:val="none"/>
              </w:rPr>
            </w:pPr>
            <w:r>
              <w:rPr>
                <w:rFonts w:hint="eastAsia" w:ascii="宋体" w:hAnsi="宋体" w:cs="宋体"/>
                <w:color w:val="auto"/>
                <w:szCs w:val="21"/>
                <w:highlight w:val="none"/>
              </w:rPr>
              <w:t>备份响应文件的递交</w:t>
            </w:r>
          </w:p>
        </w:tc>
        <w:tc>
          <w:tcPr>
            <w:tcW w:w="6501" w:type="dxa"/>
            <w:tcBorders>
              <w:top w:val="single" w:color="auto" w:sz="4" w:space="0"/>
              <w:left w:val="single" w:color="auto" w:sz="4" w:space="0"/>
              <w:bottom w:val="single" w:color="auto" w:sz="4" w:space="0"/>
              <w:right w:val="single" w:color="auto" w:sz="4" w:space="0"/>
            </w:tcBorders>
            <w:vAlign w:val="center"/>
          </w:tcPr>
          <w:p>
            <w:pPr>
              <w:pStyle w:val="28"/>
              <w:spacing w:after="0"/>
              <w:ind w:left="0" w:leftChars="0" w:firstLineChars="200"/>
              <w:rPr>
                <w:rFonts w:ascii="宋体" w:hAnsi="宋体" w:cs="宋体"/>
                <w:color w:val="auto"/>
                <w:szCs w:val="21"/>
                <w:highlight w:val="none"/>
              </w:rPr>
            </w:pPr>
            <w:r>
              <w:rPr>
                <w:rFonts w:hint="eastAsia" w:ascii="宋体" w:hAnsi="宋体" w:cs="宋体"/>
                <w:color w:val="auto"/>
                <w:szCs w:val="21"/>
                <w:highlight w:val="none"/>
              </w:rPr>
              <w:t>备份响应文件是通过</w:t>
            </w:r>
            <w:r>
              <w:rPr>
                <w:rFonts w:hint="eastAsia"/>
                <w:color w:val="auto"/>
                <w:highlight w:val="none"/>
              </w:rPr>
              <w:t>“政采云电子交易客户端”</w:t>
            </w:r>
            <w:r>
              <w:rPr>
                <w:rFonts w:hint="eastAsia" w:ascii="宋体" w:hAnsi="宋体" w:cs="宋体"/>
                <w:color w:val="auto"/>
                <w:szCs w:val="21"/>
                <w:highlight w:val="none"/>
              </w:rPr>
              <w:t>制作（政采云平台加密处理）响应文件产生的备份文件，请供应商自行妥善保管。</w:t>
            </w:r>
          </w:p>
          <w:p>
            <w:pPr>
              <w:pStyle w:val="28"/>
              <w:spacing w:after="0"/>
              <w:ind w:left="0" w:leftChars="0" w:firstLineChars="200"/>
              <w:rPr>
                <w:rFonts w:ascii="宋体" w:hAnsi="宋体" w:cs="宋体"/>
                <w:color w:val="auto"/>
                <w:szCs w:val="21"/>
                <w:highlight w:val="none"/>
              </w:rPr>
            </w:pPr>
            <w:r>
              <w:rPr>
                <w:rFonts w:hint="eastAsia" w:ascii="宋体" w:hAnsi="宋体" w:cs="宋体"/>
                <w:color w:val="auto"/>
                <w:szCs w:val="21"/>
                <w:highlight w:val="none"/>
              </w:rPr>
              <w:t>1.使用前提：供应商自行在线解密操作失败无法按时寻求技术人员帮助解密，或者寻求技术人员帮助仍无法按时完成解密。</w:t>
            </w:r>
          </w:p>
          <w:p>
            <w:pPr>
              <w:pStyle w:val="28"/>
              <w:spacing w:after="0"/>
              <w:ind w:left="0" w:leftChars="0" w:firstLineChars="200"/>
              <w:rPr>
                <w:rFonts w:ascii="宋体" w:hAnsi="宋体" w:cs="宋体"/>
                <w:color w:val="auto"/>
                <w:szCs w:val="21"/>
                <w:highlight w:val="none"/>
              </w:rPr>
            </w:pPr>
            <w:r>
              <w:rPr>
                <w:rFonts w:hint="eastAsia" w:ascii="宋体" w:hAnsi="宋体" w:cs="宋体"/>
                <w:color w:val="auto"/>
                <w:szCs w:val="21"/>
                <w:highlight w:val="none"/>
              </w:rPr>
              <w:t>2.递交截止时间：同响应截止时间。</w:t>
            </w:r>
          </w:p>
          <w:p>
            <w:pPr>
              <w:pStyle w:val="28"/>
              <w:spacing w:after="0"/>
              <w:ind w:left="0" w:leftChars="0" w:firstLineChars="200"/>
              <w:rPr>
                <w:rFonts w:ascii="宋体" w:hAnsi="宋体" w:cs="宋体"/>
                <w:color w:val="auto"/>
                <w:szCs w:val="21"/>
                <w:highlight w:val="none"/>
              </w:rPr>
            </w:pPr>
            <w:r>
              <w:rPr>
                <w:rFonts w:hint="eastAsia" w:ascii="宋体" w:hAnsi="宋体" w:cs="宋体"/>
                <w:color w:val="auto"/>
                <w:szCs w:val="21"/>
                <w:highlight w:val="none"/>
              </w:rPr>
              <w:t>3.投递邮箱：</w:t>
            </w:r>
            <w:r>
              <w:rPr>
                <w:rFonts w:hint="eastAsia" w:ascii="宋体" w:hAnsi="宋体" w:cs="宋体"/>
                <w:b/>
                <w:color w:val="auto"/>
                <w:szCs w:val="21"/>
                <w:highlight w:val="none"/>
              </w:rPr>
              <w:t>1664495357@qq.com</w:t>
            </w:r>
          </w:p>
          <w:p>
            <w:pPr>
              <w:pStyle w:val="28"/>
              <w:spacing w:after="0"/>
              <w:ind w:left="0" w:leftChars="0" w:firstLineChars="200"/>
              <w:rPr>
                <w:rFonts w:ascii="宋体" w:hAnsi="宋体" w:cs="宋体"/>
                <w:color w:val="auto"/>
                <w:kern w:val="0"/>
                <w:szCs w:val="21"/>
                <w:highlight w:val="none"/>
              </w:rPr>
            </w:pPr>
            <w:r>
              <w:rPr>
                <w:rFonts w:hint="eastAsia" w:ascii="宋体" w:hAnsi="宋体" w:cs="宋体"/>
                <w:color w:val="auto"/>
                <w:szCs w:val="21"/>
                <w:highlight w:val="none"/>
              </w:rPr>
              <w:t>4. 备份响应文件由供应商自行确定是否提交，供应商自行承担未提交备份文件的相关风险，因备份响应文件未加密而造成失密等情况，采购组织机构概不负责。未在系统上提交响应文件而仅提交备份响应文件的，其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7</w:t>
            </w:r>
          </w:p>
        </w:tc>
        <w:tc>
          <w:tcPr>
            <w:tcW w:w="1760" w:type="dxa"/>
            <w:tcBorders>
              <w:top w:val="single" w:color="auto" w:sz="4" w:space="0"/>
              <w:left w:val="single" w:color="auto" w:sz="4" w:space="0"/>
              <w:bottom w:val="single" w:color="auto" w:sz="4" w:space="0"/>
              <w:right w:val="single" w:color="auto" w:sz="4" w:space="0"/>
            </w:tcBorders>
            <w:vAlign w:val="center"/>
          </w:tcPr>
          <w:p>
            <w:pPr>
              <w:pStyle w:val="7"/>
              <w:ind w:firstLine="0"/>
              <w:rPr>
                <w:rFonts w:ascii="宋体" w:hAnsi="宋体" w:cs="宋体"/>
                <w:color w:val="auto"/>
                <w:kern w:val="0"/>
                <w:szCs w:val="21"/>
                <w:highlight w:val="none"/>
              </w:rPr>
            </w:pPr>
            <w:r>
              <w:rPr>
                <w:rFonts w:hint="eastAsia" w:ascii="宋体" w:hAnsi="宋体" w:cs="宋体"/>
                <w:color w:val="auto"/>
                <w:szCs w:val="21"/>
                <w:highlight w:val="none"/>
              </w:rPr>
              <w:t>不见面开标</w:t>
            </w:r>
          </w:p>
        </w:tc>
        <w:tc>
          <w:tcPr>
            <w:tcW w:w="6501" w:type="dxa"/>
            <w:tcBorders>
              <w:top w:val="single" w:color="auto" w:sz="4" w:space="0"/>
              <w:left w:val="single" w:color="auto" w:sz="4" w:space="0"/>
              <w:bottom w:val="single" w:color="auto" w:sz="4" w:space="0"/>
              <w:right w:val="single" w:color="auto" w:sz="4" w:space="0"/>
            </w:tcBorders>
            <w:vAlign w:val="center"/>
          </w:tcPr>
          <w:p>
            <w:pPr>
              <w:pStyle w:val="26"/>
              <w:spacing w:before="0" w:beforeAutospacing="0" w:after="0" w:afterAutospacing="0"/>
              <w:ind w:firstLine="420" w:firstLineChars="200"/>
              <w:jc w:val="both"/>
              <w:rPr>
                <w:rFonts w:hint="default" w:cs="宋体"/>
                <w:color w:val="auto"/>
                <w:szCs w:val="21"/>
                <w:highlight w:val="none"/>
              </w:rPr>
            </w:pPr>
            <w:r>
              <w:rPr>
                <w:rFonts w:cs="宋体"/>
                <w:color w:val="auto"/>
                <w:sz w:val="21"/>
                <w:szCs w:val="21"/>
                <w:highlight w:val="none"/>
              </w:rPr>
              <w:t>采购组织机构按照磋商文件规定的时间通过“政采云平台”组织开标，所有供应商均应当准时在线参加。如未参加，</w:t>
            </w:r>
            <w:r>
              <w:rPr>
                <w:rFonts w:cs="宋体"/>
                <w:bCs/>
                <w:color w:val="auto"/>
                <w:sz w:val="21"/>
                <w:szCs w:val="21"/>
                <w:highlight w:val="none"/>
              </w:rPr>
              <w:t>造成无法递交响应文件、递交失败等后果由供应商自行承担。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8</w:t>
            </w:r>
          </w:p>
        </w:tc>
        <w:tc>
          <w:tcPr>
            <w:tcW w:w="1760" w:type="dxa"/>
            <w:tcBorders>
              <w:top w:val="single" w:color="auto" w:sz="4" w:space="0"/>
              <w:left w:val="single" w:color="auto" w:sz="4" w:space="0"/>
              <w:bottom w:val="single" w:color="auto" w:sz="4" w:space="0"/>
              <w:right w:val="single" w:color="auto" w:sz="4" w:space="0"/>
            </w:tcBorders>
            <w:vAlign w:val="center"/>
          </w:tcPr>
          <w:p>
            <w:pPr>
              <w:pStyle w:val="7"/>
              <w:ind w:firstLine="0"/>
              <w:jc w:val="center"/>
              <w:rPr>
                <w:rFonts w:ascii="宋体" w:hAnsi="宋体" w:cs="宋体"/>
                <w:color w:val="auto"/>
                <w:szCs w:val="21"/>
                <w:highlight w:val="none"/>
              </w:rPr>
            </w:pPr>
            <w:r>
              <w:rPr>
                <w:rFonts w:hint="eastAsia" w:ascii="宋体" w:hAnsi="宋体" w:cs="宋体"/>
                <w:color w:val="auto"/>
                <w:szCs w:val="21"/>
                <w:highlight w:val="none"/>
              </w:rPr>
              <w:t>样品递交要求</w:t>
            </w:r>
          </w:p>
        </w:tc>
        <w:tc>
          <w:tcPr>
            <w:tcW w:w="650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本项目无需提供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9</w:t>
            </w:r>
          </w:p>
        </w:tc>
        <w:tc>
          <w:tcPr>
            <w:tcW w:w="1760"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olor w:val="auto"/>
                <w:szCs w:val="21"/>
                <w:highlight w:val="none"/>
              </w:rPr>
              <w:t>远程在线演示</w:t>
            </w:r>
          </w:p>
          <w:p>
            <w:pPr>
              <w:jc w:val="center"/>
              <w:rPr>
                <w:color w:val="auto"/>
                <w:szCs w:val="21"/>
                <w:highlight w:val="none"/>
              </w:rPr>
            </w:pPr>
            <w:r>
              <w:rPr>
                <w:rFonts w:hint="eastAsia"/>
                <w:color w:val="auto"/>
                <w:szCs w:val="21"/>
                <w:highlight w:val="none"/>
              </w:rPr>
              <w:t>要求</w:t>
            </w:r>
          </w:p>
        </w:tc>
        <w:tc>
          <w:tcPr>
            <w:tcW w:w="6501" w:type="dxa"/>
            <w:tcBorders>
              <w:top w:val="single" w:color="auto" w:sz="4" w:space="0"/>
              <w:left w:val="single" w:color="auto" w:sz="4" w:space="0"/>
              <w:bottom w:val="single" w:color="auto" w:sz="4" w:space="0"/>
              <w:right w:val="single" w:color="auto" w:sz="4" w:space="0"/>
            </w:tcBorders>
            <w:vAlign w:val="center"/>
          </w:tcPr>
          <w:p>
            <w:pPr>
              <w:pStyle w:val="8"/>
              <w:jc w:val="both"/>
              <w:rPr>
                <w:color w:val="auto"/>
                <w:szCs w:val="21"/>
                <w:highlight w:val="none"/>
              </w:rPr>
            </w:pPr>
            <w:r>
              <w:rPr>
                <w:rFonts w:hint="eastAsia"/>
                <w:color w:val="auto"/>
                <w:szCs w:val="21"/>
                <w:highlight w:val="none"/>
              </w:rPr>
              <w:t>本项目无此项要求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10</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szCs w:val="21"/>
                <w:highlight w:val="none"/>
              </w:rPr>
            </w:pPr>
            <w:r>
              <w:rPr>
                <w:rFonts w:hint="eastAsia" w:ascii="宋体" w:hAnsi="宋体" w:cs="宋体"/>
                <w:color w:val="auto"/>
                <w:szCs w:val="21"/>
                <w:highlight w:val="none"/>
              </w:rPr>
              <w:t>磋商注意事项</w:t>
            </w:r>
          </w:p>
        </w:tc>
        <w:tc>
          <w:tcPr>
            <w:tcW w:w="6501"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ind w:firstLine="420" w:firstLineChars="200"/>
              <w:rPr>
                <w:rFonts w:hAnsi="宋体" w:cs="宋体"/>
                <w:bCs/>
                <w:color w:val="auto"/>
                <w:szCs w:val="21"/>
                <w:highlight w:val="none"/>
              </w:rPr>
            </w:pPr>
            <w:r>
              <w:rPr>
                <w:rFonts w:hint="eastAsia" w:hAnsi="宋体" w:cs="宋体"/>
                <w:bCs/>
                <w:color w:val="auto"/>
                <w:szCs w:val="21"/>
                <w:highlight w:val="none"/>
              </w:rPr>
              <w:t>1.本项目实行电子采购，采用电子响应文件。若供应商参与本项目，自行承担磋商活动一切费用。</w:t>
            </w:r>
          </w:p>
          <w:p>
            <w:pPr>
              <w:pStyle w:val="15"/>
              <w:adjustRightInd w:val="0"/>
              <w:snapToGrid w:val="0"/>
              <w:ind w:firstLine="420" w:firstLineChars="200"/>
              <w:rPr>
                <w:rFonts w:hAnsi="宋体" w:cs="宋体"/>
                <w:color w:val="auto"/>
                <w:szCs w:val="21"/>
                <w:highlight w:val="none"/>
              </w:rPr>
            </w:pPr>
            <w:r>
              <w:rPr>
                <w:rFonts w:hint="eastAsia" w:hAnsi="宋体" w:cs="宋体"/>
                <w:bCs/>
                <w:color w:val="auto"/>
                <w:szCs w:val="21"/>
                <w:highlight w:val="none"/>
              </w:rPr>
              <w:t>2.磋商前准备：各供应商在磋商前确保成为浙江省政府采购网正式注册供应商，并完成CA数字证书办理。因未注册入库、未办理CA数字证书等原因造成无法递交响应文件或递交失败等后果由供应商自行承担。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11</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szCs w:val="21"/>
                <w:highlight w:val="none"/>
              </w:rPr>
            </w:pPr>
            <w:r>
              <w:rPr>
                <w:rFonts w:hint="eastAsia" w:ascii="宋体" w:hAnsi="宋体" w:cs="宋体"/>
                <w:color w:val="auto"/>
                <w:szCs w:val="21"/>
                <w:highlight w:val="none"/>
              </w:rPr>
              <w:t>信用信息查询</w:t>
            </w:r>
          </w:p>
          <w:p>
            <w:pPr>
              <w:autoSpaceDE w:val="0"/>
              <w:autoSpaceDN w:val="0"/>
              <w:adjustRightInd w:val="0"/>
              <w:jc w:val="center"/>
              <w:rPr>
                <w:rFonts w:ascii="宋体" w:hAnsi="宋体" w:cs="宋体"/>
                <w:color w:val="auto"/>
                <w:szCs w:val="21"/>
                <w:highlight w:val="none"/>
              </w:rPr>
            </w:pPr>
            <w:r>
              <w:rPr>
                <w:rFonts w:hint="eastAsia" w:ascii="宋体" w:hAnsi="宋体" w:cs="宋体"/>
                <w:color w:val="auto"/>
                <w:szCs w:val="21"/>
                <w:highlight w:val="none"/>
              </w:rPr>
              <w:t>渠道</w:t>
            </w:r>
          </w:p>
        </w:tc>
        <w:tc>
          <w:tcPr>
            <w:tcW w:w="6501" w:type="dxa"/>
            <w:tcBorders>
              <w:top w:val="single" w:color="auto" w:sz="4" w:space="0"/>
              <w:left w:val="single" w:color="auto" w:sz="4" w:space="0"/>
              <w:bottom w:val="single" w:color="auto" w:sz="4" w:space="0"/>
              <w:right w:val="single" w:color="auto" w:sz="4" w:space="0"/>
            </w:tcBorders>
            <w:vAlign w:val="center"/>
          </w:tcPr>
          <w:p>
            <w:pPr>
              <w:snapToGrid w:val="0"/>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信用中国（网址：</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cs="Arial" w:asciiTheme="minorEastAsia" w:hAnsiTheme="minorEastAsia" w:eastAsiaTheme="minorEastAsia"/>
                <w:color w:val="auto"/>
                <w:szCs w:val="21"/>
                <w:highlight w:val="none"/>
              </w:rPr>
              <w:t>http://www.creditchina.gov.cn</w:t>
            </w:r>
            <w:r>
              <w:rPr>
                <w:rFonts w:cs="Arial" w:asciiTheme="minorEastAsia" w:hAnsiTheme="minorEastAsia" w:eastAsiaTheme="minorEastAsia"/>
                <w:color w:val="auto"/>
                <w:szCs w:val="21"/>
                <w:highlight w:val="none"/>
              </w:rPr>
              <w:fldChar w:fldCharType="end"/>
            </w:r>
            <w:r>
              <w:rPr>
                <w:rFonts w:hint="eastAsia" w:cs="Arial" w:asciiTheme="minorEastAsia" w:hAnsiTheme="minorEastAsia" w:eastAsiaTheme="minorEastAsia"/>
                <w:color w:val="auto"/>
                <w:szCs w:val="21"/>
                <w:highlight w:val="none"/>
              </w:rPr>
              <w:t>)</w:t>
            </w:r>
          </w:p>
          <w:p>
            <w:pPr>
              <w:snapToGrid w:val="0"/>
              <w:rPr>
                <w:rFonts w:ascii="宋体" w:hAnsi="宋体" w:cs="宋体"/>
                <w:color w:val="auto"/>
                <w:szCs w:val="21"/>
                <w:highlight w:val="none"/>
              </w:rPr>
            </w:pPr>
            <w:r>
              <w:rPr>
                <w:rFonts w:hint="eastAsia" w:cs="Arial" w:asciiTheme="minorEastAsia" w:hAnsiTheme="minorEastAsia" w:eastAsiaTheme="minorEastAsia"/>
                <w:color w:val="auto"/>
                <w:szCs w:val="21"/>
                <w:highlight w:val="none"/>
              </w:rPr>
              <w:t>中国政府采购网（网址：</w:t>
            </w:r>
            <w:r>
              <w:rPr>
                <w:rFonts w:cs="Arial" w:asciiTheme="minorEastAsia" w:hAnsiTheme="minorEastAsia" w:eastAsiaTheme="minorEastAsia"/>
                <w:color w:val="auto"/>
                <w:szCs w:val="21"/>
                <w:highlight w:val="none"/>
              </w:rPr>
              <w:t>http://www.ccgp.gov.cn</w:t>
            </w:r>
            <w:r>
              <w:rPr>
                <w:rFonts w:hint="eastAsia" w:cs="Arial" w:asciiTheme="minorEastAsia" w:hAnsiTheme="minorEastAsia" w:eastAsia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12</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color w:val="auto"/>
                <w:highlight w:val="none"/>
              </w:rPr>
            </w:pPr>
            <w:r>
              <w:rPr>
                <w:rFonts w:hint="eastAsia"/>
                <w:color w:val="auto"/>
                <w:highlight w:val="none"/>
              </w:rPr>
              <w:t>中小企业预留</w:t>
            </w:r>
          </w:p>
          <w:p>
            <w:pPr>
              <w:autoSpaceDE w:val="0"/>
              <w:autoSpaceDN w:val="0"/>
              <w:adjustRightInd w:val="0"/>
              <w:jc w:val="center"/>
              <w:rPr>
                <w:rFonts w:ascii="宋体" w:hAnsi="宋体" w:cs="宋体"/>
                <w:color w:val="auto"/>
                <w:szCs w:val="21"/>
                <w:highlight w:val="none"/>
              </w:rPr>
            </w:pPr>
            <w:r>
              <w:rPr>
                <w:rFonts w:hint="eastAsia"/>
                <w:color w:val="auto"/>
                <w:highlight w:val="none"/>
              </w:rPr>
              <w:t>份额情况</w:t>
            </w:r>
          </w:p>
        </w:tc>
        <w:tc>
          <w:tcPr>
            <w:tcW w:w="6501" w:type="dxa"/>
            <w:tcBorders>
              <w:top w:val="single" w:color="auto" w:sz="4" w:space="0"/>
              <w:left w:val="single" w:color="auto" w:sz="4" w:space="0"/>
              <w:bottom w:val="single" w:color="auto" w:sz="4" w:space="0"/>
              <w:right w:val="single" w:color="auto" w:sz="4" w:space="0"/>
            </w:tcBorders>
            <w:vAlign w:val="center"/>
          </w:tcPr>
          <w:p>
            <w:pPr>
              <w:snapToGrid w:val="0"/>
              <w:rPr>
                <w:rFonts w:ascii="黑体" w:hAnsi="黑体" w:eastAsia="黑体" w:cs="黑体"/>
                <w:color w:val="auto"/>
                <w:szCs w:val="21"/>
                <w:highlight w:val="none"/>
                <w:shd w:val="clear" w:color="auto" w:fill="FFFFFF"/>
              </w:rPr>
            </w:pPr>
            <w:r>
              <w:rPr>
                <w:rFonts w:hint="eastAsia" w:ascii="宋体" w:hAnsi="宋体" w:cs="宋体"/>
                <w:color w:val="auto"/>
                <w:szCs w:val="21"/>
                <w:highlight w:val="none"/>
              </w:rPr>
              <w:t>本项目属于专门面向中小企业采购的项目。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13</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szCs w:val="21"/>
                <w:highlight w:val="none"/>
              </w:rPr>
            </w:pPr>
            <w:r>
              <w:rPr>
                <w:rFonts w:hint="eastAsia" w:ascii="宋体" w:hAnsi="宋体" w:cs="宋体"/>
                <w:color w:val="auto"/>
                <w:szCs w:val="21"/>
                <w:highlight w:val="none"/>
              </w:rPr>
              <w:t>中小企业优惠</w:t>
            </w:r>
          </w:p>
          <w:p>
            <w:pPr>
              <w:autoSpaceDE w:val="0"/>
              <w:autoSpaceDN w:val="0"/>
              <w:adjustRightInd w:val="0"/>
              <w:jc w:val="center"/>
              <w:rPr>
                <w:rFonts w:ascii="宋体" w:hAnsi="宋体" w:cs="宋体"/>
                <w:color w:val="auto"/>
                <w:szCs w:val="21"/>
                <w:highlight w:val="none"/>
              </w:rPr>
            </w:pPr>
            <w:r>
              <w:rPr>
                <w:rFonts w:hint="eastAsia" w:ascii="宋体" w:hAnsi="宋体" w:cs="宋体"/>
                <w:color w:val="auto"/>
                <w:szCs w:val="21"/>
                <w:highlight w:val="none"/>
              </w:rPr>
              <w:t>措施</w:t>
            </w:r>
          </w:p>
        </w:tc>
        <w:tc>
          <w:tcPr>
            <w:tcW w:w="6501" w:type="dxa"/>
            <w:tcBorders>
              <w:top w:val="single" w:color="auto" w:sz="4" w:space="0"/>
              <w:left w:val="single" w:color="auto" w:sz="4" w:space="0"/>
              <w:bottom w:val="single" w:color="auto" w:sz="4" w:space="0"/>
              <w:right w:val="single" w:color="auto" w:sz="4" w:space="0"/>
            </w:tcBorders>
            <w:vAlign w:val="center"/>
          </w:tcPr>
          <w:p>
            <w:pPr>
              <w:snapToGrid w:val="0"/>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1.项目属性（</w:t>
            </w:r>
            <w:r>
              <w:rPr>
                <w:rFonts w:hint="eastAsia" w:cs="Arial" w:asciiTheme="minorEastAsia" w:hAnsiTheme="minorEastAsia" w:eastAsiaTheme="minorEastAsia"/>
                <w:b/>
                <w:color w:val="auto"/>
                <w:szCs w:val="21"/>
                <w:highlight w:val="none"/>
              </w:rPr>
              <w:t>工程类</w:t>
            </w:r>
            <w:r>
              <w:rPr>
                <w:rFonts w:hint="eastAsia" w:cs="Arial" w:asciiTheme="minorEastAsia" w:hAnsiTheme="minorEastAsia" w:eastAsiaTheme="minorEastAsia"/>
                <w:color w:val="auto"/>
                <w:szCs w:val="21"/>
                <w:highlight w:val="none"/>
              </w:rPr>
              <w:t>）</w:t>
            </w:r>
          </w:p>
          <w:p>
            <w:pPr>
              <w:snapToGrid w:val="0"/>
              <w:rPr>
                <w:rFonts w:ascii="宋体" w:hAnsi="宋体" w:cs="宋体"/>
                <w:color w:val="auto"/>
                <w:szCs w:val="21"/>
                <w:highlight w:val="none"/>
              </w:rPr>
            </w:pPr>
            <w:r>
              <w:rPr>
                <w:rFonts w:hint="eastAsia" w:ascii="宋体" w:hAnsi="宋体" w:cs="宋体"/>
                <w:color w:val="auto"/>
                <w:szCs w:val="21"/>
                <w:highlight w:val="none"/>
              </w:rPr>
              <w:t>2.中小企业划分标准所属行业（具体根据《中小企业划型标准规定》执行）</w:t>
            </w:r>
          </w:p>
          <w:p>
            <w:pPr>
              <w:pStyle w:val="36"/>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采购标的：台州市第一中学食堂二楼备餐间、洗碗间和新疆班卫生间改造工程项目，所属行业：建筑业。      </w:t>
            </w:r>
          </w:p>
          <w:p>
            <w:pPr>
              <w:snapToGrid w:val="0"/>
              <w:rPr>
                <w:rFonts w:cs="Arial" w:asciiTheme="minorEastAsia" w:hAnsiTheme="minorEastAsia" w:eastAsiaTheme="minorEastAsia"/>
                <w:color w:val="auto"/>
                <w:szCs w:val="21"/>
                <w:highlight w:val="none"/>
              </w:rPr>
            </w:pPr>
            <w:r>
              <w:rPr>
                <w:rFonts w:hint="eastAsia" w:ascii="宋体" w:hAnsi="宋体" w:cs="宋体"/>
                <w:color w:val="auto"/>
                <w:szCs w:val="21"/>
                <w:highlight w:val="none"/>
              </w:rPr>
              <w:t>3.</w:t>
            </w:r>
            <w:r>
              <w:rPr>
                <w:rFonts w:hint="eastAsia" w:cs="Arial" w:asciiTheme="minorEastAsia" w:hAnsiTheme="minorEastAsia" w:eastAsiaTheme="minorEastAsia"/>
                <w:color w:val="auto"/>
                <w:szCs w:val="21"/>
                <w:highlight w:val="none"/>
              </w:rPr>
              <w:t>本项目根据《政府采购促进中小企业发展管理办法》（财库〔2020〕46号）第八条的规定，将采购项目整体专门面向中小企业采购，供应商应为中小微企业、监狱企业、残疾人福利性单位，同时需提供《中小企业声明函》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14</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kern w:val="0"/>
                <w:szCs w:val="21"/>
                <w:highlight w:val="none"/>
              </w:rPr>
            </w:pPr>
            <w:r>
              <w:rPr>
                <w:rFonts w:hint="eastAsia" w:ascii="宋体" w:hAnsi="宋体" w:cs="宋体"/>
                <w:color w:val="auto"/>
                <w:szCs w:val="21"/>
                <w:highlight w:val="none"/>
              </w:rPr>
              <w:t>采购代理机构代理费用的收取标准和方式</w:t>
            </w:r>
          </w:p>
        </w:tc>
        <w:tc>
          <w:tcPr>
            <w:tcW w:w="650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color w:val="auto"/>
                <w:szCs w:val="21"/>
                <w:highlight w:val="none"/>
              </w:rPr>
            </w:pPr>
            <w:bookmarkStart w:id="59" w:name="OLE_LINK66"/>
            <w:bookmarkStart w:id="60" w:name="OLE_LINK67"/>
            <w:r>
              <w:rPr>
                <w:rFonts w:hint="eastAsia"/>
                <w:color w:val="auto"/>
                <w:highlight w:val="none"/>
              </w:rPr>
              <w:t>本项目代理服务费参照计价格【2002】1980号文件，按照中标通知书确定的中标金额，对照收费标准的60%取（低于陆仟元按陆仟元计取），在发中标通知书时由成交供应商支付，供应商在报价时综合考虑。</w:t>
            </w:r>
            <w:bookmarkEnd w:id="59"/>
            <w:bookmarkEnd w:id="6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15</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szCs w:val="21"/>
                <w:highlight w:val="none"/>
              </w:rPr>
            </w:pPr>
            <w:r>
              <w:rPr>
                <w:rFonts w:hint="eastAsia" w:ascii="宋体" w:hAnsi="宋体" w:cs="宋体"/>
                <w:color w:val="auto"/>
                <w:szCs w:val="21"/>
                <w:highlight w:val="none"/>
                <w:lang w:val="zh-CN"/>
              </w:rPr>
              <w:t>实质性条款</w:t>
            </w:r>
          </w:p>
        </w:tc>
        <w:tc>
          <w:tcPr>
            <w:tcW w:w="65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szCs w:val="21"/>
                <w:highlight w:val="none"/>
              </w:rPr>
            </w:pPr>
            <w:r>
              <w:rPr>
                <w:rFonts w:hint="eastAsia" w:ascii="宋体" w:hAnsi="宋体" w:cs="宋体"/>
                <w:color w:val="auto"/>
                <w:kern w:val="0"/>
                <w:szCs w:val="21"/>
                <w:highlight w:val="none"/>
                <w:lang w:val="zh-CN"/>
              </w:rPr>
              <w:t>带“</w:t>
            </w:r>
            <w:r>
              <w:rPr>
                <w:rFonts w:hint="eastAsia" w:ascii="宋体" w:hAnsi="宋体" w:cs="宋体"/>
                <w:bCs/>
                <w:color w:val="auto"/>
                <w:szCs w:val="21"/>
                <w:highlight w:val="none"/>
              </w:rPr>
              <w:t>▲”的条款是实质性条款。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16</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color w:val="auto"/>
                <w:szCs w:val="21"/>
                <w:highlight w:val="none"/>
              </w:rPr>
            </w:pPr>
            <w:r>
              <w:rPr>
                <w:rFonts w:hint="eastAsia" w:ascii="宋体" w:hAnsi="宋体" w:cs="宋体"/>
                <w:color w:val="auto"/>
                <w:szCs w:val="21"/>
                <w:highlight w:val="none"/>
              </w:rPr>
              <w:t>书面形式</w:t>
            </w:r>
          </w:p>
        </w:tc>
        <w:tc>
          <w:tcPr>
            <w:tcW w:w="65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color w:val="auto"/>
                <w:szCs w:val="21"/>
                <w:highlight w:val="none"/>
              </w:rPr>
            </w:pPr>
            <w:r>
              <w:rPr>
                <w:rFonts w:hint="eastAsia" w:ascii="宋体" w:hAnsi="宋体" w:cs="宋体"/>
                <w:color w:val="auto"/>
                <w:szCs w:val="21"/>
                <w:highlight w:val="none"/>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17</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szCs w:val="21"/>
                <w:highlight w:val="none"/>
              </w:rPr>
            </w:pPr>
            <w:r>
              <w:rPr>
                <w:rFonts w:hint="eastAsia" w:ascii="宋体" w:hAnsi="宋体" w:cs="宋体"/>
                <w:color w:val="auto"/>
                <w:szCs w:val="21"/>
                <w:highlight w:val="none"/>
              </w:rPr>
              <w:t>解释权</w:t>
            </w:r>
          </w:p>
        </w:tc>
        <w:tc>
          <w:tcPr>
            <w:tcW w:w="65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szCs w:val="21"/>
                <w:highlight w:val="none"/>
              </w:rPr>
            </w:pPr>
            <w:r>
              <w:rPr>
                <w:rFonts w:hint="eastAsia" w:ascii="宋体" w:hAnsi="宋体" w:cs="宋体"/>
                <w:color w:val="auto"/>
                <w:szCs w:val="21"/>
                <w:highlight w:val="none"/>
              </w:rPr>
              <w:t>本磋商文件解释权属于采购人和采购组织机构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18</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szCs w:val="21"/>
                <w:highlight w:val="none"/>
              </w:rPr>
            </w:pPr>
            <w:r>
              <w:rPr>
                <w:rFonts w:hint="eastAsia" w:ascii="宋体" w:hAnsi="宋体" w:cs="宋体"/>
                <w:color w:val="auto"/>
                <w:szCs w:val="21"/>
                <w:highlight w:val="none"/>
              </w:rPr>
              <w:t>其他</w:t>
            </w:r>
          </w:p>
        </w:tc>
        <w:tc>
          <w:tcPr>
            <w:tcW w:w="65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szCs w:val="21"/>
                <w:highlight w:val="none"/>
              </w:rPr>
            </w:pPr>
            <w:bookmarkStart w:id="61" w:name="OLE_LINK65"/>
            <w:bookmarkStart w:id="62" w:name="OLE_LINK64"/>
            <w:r>
              <w:rPr>
                <w:rFonts w:hint="eastAsia" w:ascii="宋体" w:hAnsi="宋体" w:cs="宋体"/>
                <w:color w:val="auto"/>
                <w:szCs w:val="21"/>
                <w:highlight w:val="none"/>
              </w:rPr>
              <w:t>1.成交供应商需要在领取《成交通知书》时提供与电子响应文件一致的纸质响应文件</w:t>
            </w:r>
            <w:r>
              <w:rPr>
                <w:rFonts w:ascii="宋体" w:hAnsi="宋体" w:cs="宋体"/>
                <w:color w:val="auto"/>
                <w:szCs w:val="21"/>
                <w:highlight w:val="none"/>
              </w:rPr>
              <w:t>3份（一正二副）用于书面存档。</w:t>
            </w:r>
          </w:p>
          <w:p>
            <w:pPr>
              <w:autoSpaceDE w:val="0"/>
              <w:autoSpaceDN w:val="0"/>
              <w:adjustRightInd w:val="0"/>
              <w:rPr>
                <w:rFonts w:ascii="宋体" w:hAnsi="宋体" w:cs="宋体"/>
                <w:b/>
                <w:color w:val="auto"/>
                <w:szCs w:val="21"/>
                <w:highlight w:val="none"/>
              </w:rPr>
            </w:pPr>
            <w:r>
              <w:rPr>
                <w:rFonts w:hint="eastAsia" w:ascii="宋体" w:hAnsi="宋体" w:cs="宋体"/>
                <w:b/>
                <w:color w:val="auto"/>
                <w:szCs w:val="21"/>
                <w:highlight w:val="none"/>
              </w:rPr>
              <w:t>2.本工程采用一般计税法，税率为9%，供应商如为小规模纳税人，应承担税率不同产生的风险。</w:t>
            </w:r>
            <w:bookmarkEnd w:id="61"/>
            <w:bookmarkEnd w:id="62"/>
          </w:p>
          <w:p>
            <w:pPr>
              <w:autoSpaceDE w:val="0"/>
              <w:autoSpaceDN w:val="0"/>
              <w:adjustRightInd w:val="0"/>
              <w:rPr>
                <w:rFonts w:ascii="宋体" w:hAnsi="宋体" w:cs="宋体"/>
                <w:color w:val="auto"/>
                <w:szCs w:val="21"/>
                <w:highlight w:val="none"/>
              </w:rPr>
            </w:pPr>
            <w:r>
              <w:rPr>
                <w:rFonts w:hint="eastAsia" w:ascii="宋体" w:hAnsi="宋体" w:cs="宋体"/>
                <w:b/>
                <w:color w:val="auto"/>
                <w:szCs w:val="21"/>
                <w:highlight w:val="none"/>
              </w:rPr>
              <w:t>▲3.本项目包括：①台州市第一中学二楼食堂备餐间、洗碗间等改造；②台州一中新疆班卫生间改造。中标后须分别签订合同，中标人不得拒绝。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19</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65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szCs w:val="21"/>
                <w:highlight w:val="none"/>
              </w:rPr>
            </w:pPr>
            <w:r>
              <w:rPr>
                <w:rFonts w:hint="eastAsia" w:ascii="宋体" w:hAnsi="宋体" w:cs="宋体"/>
                <w:color w:val="auto"/>
                <w:szCs w:val="21"/>
                <w:highlight w:val="none"/>
              </w:rPr>
              <w:t>合同价的2%，履约保证金可以用银行保函、保险机构保证保险保单和融资担保公司保函或现金。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Cs w:val="21"/>
                <w:highlight w:val="none"/>
              </w:rPr>
              <w:t>20</w:t>
            </w:r>
          </w:p>
        </w:tc>
        <w:tc>
          <w:tcPr>
            <w:tcW w:w="1760" w:type="dxa"/>
            <w:tcBorders>
              <w:top w:val="single" w:color="auto" w:sz="4" w:space="0"/>
              <w:left w:val="single" w:color="auto" w:sz="4" w:space="0"/>
              <w:bottom w:val="single" w:color="auto" w:sz="4" w:space="0"/>
              <w:right w:val="single" w:color="auto" w:sz="4" w:space="0"/>
            </w:tcBorders>
            <w:vAlign w:val="center"/>
          </w:tcPr>
          <w:p>
            <w:pPr>
              <w:pStyle w:val="10"/>
              <w:spacing w:line="480" w:lineRule="exact"/>
              <w:ind w:firstLine="0" w:firstLineChars="0"/>
              <w:jc w:val="center"/>
              <w:rPr>
                <w:rFonts w:ascii="宋体" w:hAnsi="宋体" w:cs="Arial"/>
                <w:b/>
                <w:bCs/>
                <w:color w:val="auto"/>
                <w:sz w:val="21"/>
                <w:szCs w:val="21"/>
                <w:highlight w:val="none"/>
              </w:rPr>
            </w:pPr>
            <w:r>
              <w:rPr>
                <w:rFonts w:hint="eastAsia" w:ascii="宋体" w:hAnsi="宋体" w:cs="Arial"/>
                <w:b/>
                <w:bCs/>
                <w:color w:val="auto"/>
                <w:sz w:val="21"/>
                <w:szCs w:val="21"/>
                <w:highlight w:val="none"/>
              </w:rPr>
              <w:t>成交供应商如有融资需求，可使用以下银行的政采贷服务。</w:t>
            </w:r>
          </w:p>
          <w:p>
            <w:pPr>
              <w:adjustRightInd w:val="0"/>
              <w:snapToGrid w:val="0"/>
              <w:spacing w:line="480" w:lineRule="exact"/>
              <w:jc w:val="center"/>
              <w:rPr>
                <w:rFonts w:ascii="宋体" w:hAnsi="宋体" w:cs="宋体"/>
                <w:b/>
                <w:bCs/>
                <w:color w:val="auto"/>
                <w:sz w:val="24"/>
                <w:highlight w:val="none"/>
              </w:rPr>
            </w:pPr>
          </w:p>
        </w:tc>
        <w:tc>
          <w:tcPr>
            <w:tcW w:w="6501" w:type="dxa"/>
            <w:tcBorders>
              <w:top w:val="single" w:color="auto" w:sz="4" w:space="0"/>
              <w:left w:val="single" w:color="auto" w:sz="4" w:space="0"/>
              <w:bottom w:val="single" w:color="auto" w:sz="4" w:space="0"/>
              <w:right w:val="single" w:color="auto" w:sz="4" w:space="0"/>
            </w:tcBorders>
            <w:vAlign w:val="center"/>
          </w:tcPr>
          <w:tbl>
            <w:tblPr>
              <w:tblStyle w:val="29"/>
              <w:tblW w:w="6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2"/>
              <w:gridCol w:w="1222"/>
              <w:gridCol w:w="1244"/>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224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银行</w:t>
                  </w:r>
                </w:p>
              </w:tc>
              <w:tc>
                <w:tcPr>
                  <w:tcW w:w="122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贷款年利率</w:t>
                  </w:r>
                </w:p>
              </w:tc>
              <w:tc>
                <w:tcPr>
                  <w:tcW w:w="1244"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联系人</w:t>
                  </w:r>
                </w:p>
              </w:tc>
              <w:tc>
                <w:tcPr>
                  <w:tcW w:w="1567"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224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中国工商银行</w:t>
                  </w:r>
                </w:p>
              </w:tc>
              <w:tc>
                <w:tcPr>
                  <w:tcW w:w="122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3.8%起</w:t>
                  </w:r>
                </w:p>
              </w:tc>
              <w:tc>
                <w:tcPr>
                  <w:tcW w:w="1244"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卢嘉诚</w:t>
                  </w:r>
                </w:p>
              </w:tc>
              <w:tc>
                <w:tcPr>
                  <w:tcW w:w="1567"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 xml:space="preserve">88588246  </w:t>
                  </w:r>
                  <w:r>
                    <w:rPr>
                      <w:rFonts w:ascii="宋体" w:hAnsi="宋体" w:cs="宋体"/>
                      <w:color w:val="auto"/>
                      <w:sz w:val="18"/>
                      <w:szCs w:val="18"/>
                      <w:highlight w:val="none"/>
                    </w:rPr>
                    <w:t>13867658508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224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中国农业银行</w:t>
                  </w:r>
                </w:p>
              </w:tc>
              <w:tc>
                <w:tcPr>
                  <w:tcW w:w="122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3.8%起</w:t>
                  </w:r>
                </w:p>
              </w:tc>
              <w:tc>
                <w:tcPr>
                  <w:tcW w:w="1244"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龚盛</w:t>
                  </w:r>
                </w:p>
              </w:tc>
              <w:tc>
                <w:tcPr>
                  <w:tcW w:w="1567"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224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中国建设银行</w:t>
                  </w:r>
                </w:p>
              </w:tc>
              <w:tc>
                <w:tcPr>
                  <w:tcW w:w="122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3.8%起</w:t>
                  </w:r>
                </w:p>
              </w:tc>
              <w:tc>
                <w:tcPr>
                  <w:tcW w:w="1244"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梅晶晶</w:t>
                  </w:r>
                </w:p>
              </w:tc>
              <w:tc>
                <w:tcPr>
                  <w:tcW w:w="1567"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88525339</w:t>
                  </w:r>
                </w:p>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13736585303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224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中国银行</w:t>
                  </w:r>
                </w:p>
              </w:tc>
              <w:tc>
                <w:tcPr>
                  <w:tcW w:w="122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3.75%起</w:t>
                  </w:r>
                </w:p>
              </w:tc>
              <w:tc>
                <w:tcPr>
                  <w:tcW w:w="1244"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王海</w:t>
                  </w:r>
                </w:p>
              </w:tc>
              <w:tc>
                <w:tcPr>
                  <w:tcW w:w="1567" w:type="dxa"/>
                  <w:vAlign w:val="center"/>
                </w:tcPr>
                <w:p>
                  <w:pPr>
                    <w:snapToGrid w:val="0"/>
                    <w:jc w:val="center"/>
                    <w:rPr>
                      <w:rFonts w:ascii="宋体" w:hAnsi="宋体" w:cs="宋体"/>
                      <w:color w:val="auto"/>
                      <w:sz w:val="18"/>
                      <w:szCs w:val="18"/>
                      <w:highlight w:val="none"/>
                    </w:rPr>
                  </w:pPr>
                  <w:r>
                    <w:rPr>
                      <w:rFonts w:ascii="宋体" w:hAnsi="宋体" w:cs="宋体"/>
                      <w:color w:val="auto"/>
                      <w:sz w:val="18"/>
                      <w:szCs w:val="18"/>
                      <w:highlight w:val="none"/>
                    </w:rPr>
                    <w:t>13857677798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224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浦发银行台州分行</w:t>
                  </w:r>
                </w:p>
              </w:tc>
              <w:tc>
                <w:tcPr>
                  <w:tcW w:w="122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4.05%起</w:t>
                  </w:r>
                </w:p>
              </w:tc>
              <w:tc>
                <w:tcPr>
                  <w:tcW w:w="1244"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王渊</w:t>
                  </w:r>
                </w:p>
              </w:tc>
              <w:tc>
                <w:tcPr>
                  <w:tcW w:w="1567"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224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浦发银行椒江分行</w:t>
                  </w:r>
                </w:p>
              </w:tc>
              <w:tc>
                <w:tcPr>
                  <w:tcW w:w="122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4.05%起</w:t>
                  </w:r>
                </w:p>
              </w:tc>
              <w:tc>
                <w:tcPr>
                  <w:tcW w:w="1244"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孙瑞华</w:t>
                  </w:r>
                </w:p>
              </w:tc>
              <w:tc>
                <w:tcPr>
                  <w:tcW w:w="1567"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224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交通银行台州分行</w:t>
                  </w:r>
                </w:p>
              </w:tc>
              <w:tc>
                <w:tcPr>
                  <w:tcW w:w="122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3.75%起</w:t>
                  </w:r>
                </w:p>
              </w:tc>
              <w:tc>
                <w:tcPr>
                  <w:tcW w:w="1244"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周翔宇</w:t>
                  </w:r>
                </w:p>
              </w:tc>
              <w:tc>
                <w:tcPr>
                  <w:tcW w:w="1567"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224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招商银行台州分行</w:t>
                  </w:r>
                </w:p>
              </w:tc>
              <w:tc>
                <w:tcPr>
                  <w:tcW w:w="122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4.32%起</w:t>
                  </w:r>
                </w:p>
              </w:tc>
              <w:tc>
                <w:tcPr>
                  <w:tcW w:w="1244"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王海玲</w:t>
                  </w:r>
                </w:p>
              </w:tc>
              <w:tc>
                <w:tcPr>
                  <w:tcW w:w="1567"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224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浙商银行台州分行</w:t>
                  </w:r>
                </w:p>
              </w:tc>
              <w:tc>
                <w:tcPr>
                  <w:tcW w:w="122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5.01%起</w:t>
                  </w:r>
                </w:p>
              </w:tc>
              <w:tc>
                <w:tcPr>
                  <w:tcW w:w="1244"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章涉漪</w:t>
                  </w:r>
                </w:p>
              </w:tc>
              <w:tc>
                <w:tcPr>
                  <w:tcW w:w="1567"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81880185</w:t>
                  </w:r>
                </w:p>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224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中信银行台州分行</w:t>
                  </w:r>
                </w:p>
              </w:tc>
              <w:tc>
                <w:tcPr>
                  <w:tcW w:w="122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4.15%起</w:t>
                  </w:r>
                </w:p>
              </w:tc>
              <w:tc>
                <w:tcPr>
                  <w:tcW w:w="1244"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陈金园</w:t>
                  </w:r>
                </w:p>
              </w:tc>
              <w:tc>
                <w:tcPr>
                  <w:tcW w:w="1567"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224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华夏银行台州分行</w:t>
                  </w:r>
                </w:p>
              </w:tc>
              <w:tc>
                <w:tcPr>
                  <w:tcW w:w="122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4.5%起</w:t>
                  </w:r>
                </w:p>
              </w:tc>
              <w:tc>
                <w:tcPr>
                  <w:tcW w:w="1244"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邱明达</w:t>
                  </w:r>
                </w:p>
              </w:tc>
              <w:tc>
                <w:tcPr>
                  <w:tcW w:w="1567"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81871518</w:t>
                  </w:r>
                </w:p>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224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泰隆银行开发区支行</w:t>
                  </w:r>
                </w:p>
              </w:tc>
              <w:tc>
                <w:tcPr>
                  <w:tcW w:w="122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5.6%起</w:t>
                  </w:r>
                </w:p>
              </w:tc>
              <w:tc>
                <w:tcPr>
                  <w:tcW w:w="1244"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梁宛莉</w:t>
                  </w:r>
                </w:p>
              </w:tc>
              <w:tc>
                <w:tcPr>
                  <w:tcW w:w="1567"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224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民泰银行椒江支行</w:t>
                  </w:r>
                </w:p>
              </w:tc>
              <w:tc>
                <w:tcPr>
                  <w:tcW w:w="122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5.8%起</w:t>
                  </w:r>
                </w:p>
              </w:tc>
              <w:tc>
                <w:tcPr>
                  <w:tcW w:w="1244"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陈慧珠</w:t>
                  </w:r>
                </w:p>
              </w:tc>
              <w:tc>
                <w:tcPr>
                  <w:tcW w:w="1567"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224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绍兴银行台州分行</w:t>
                  </w:r>
                </w:p>
              </w:tc>
              <w:tc>
                <w:tcPr>
                  <w:tcW w:w="122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5.1%起</w:t>
                  </w:r>
                </w:p>
              </w:tc>
              <w:tc>
                <w:tcPr>
                  <w:tcW w:w="1244"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郭庭斌</w:t>
                  </w:r>
                </w:p>
              </w:tc>
              <w:tc>
                <w:tcPr>
                  <w:tcW w:w="1567"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224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温州银行台州分行</w:t>
                  </w:r>
                </w:p>
              </w:tc>
              <w:tc>
                <w:tcPr>
                  <w:tcW w:w="122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4.55%起</w:t>
                  </w:r>
                </w:p>
              </w:tc>
              <w:tc>
                <w:tcPr>
                  <w:tcW w:w="1244"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王晓波</w:t>
                  </w:r>
                </w:p>
              </w:tc>
              <w:tc>
                <w:tcPr>
                  <w:tcW w:w="1567"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224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平安银行台州分行</w:t>
                  </w:r>
                </w:p>
              </w:tc>
              <w:tc>
                <w:tcPr>
                  <w:tcW w:w="122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6.53%起</w:t>
                  </w:r>
                </w:p>
              </w:tc>
              <w:tc>
                <w:tcPr>
                  <w:tcW w:w="1244"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李俊丽</w:t>
                  </w:r>
                </w:p>
              </w:tc>
              <w:tc>
                <w:tcPr>
                  <w:tcW w:w="1567"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224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宁波银行台州分行</w:t>
                  </w:r>
                </w:p>
              </w:tc>
              <w:tc>
                <w:tcPr>
                  <w:tcW w:w="122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4.35%起</w:t>
                  </w:r>
                </w:p>
              </w:tc>
              <w:tc>
                <w:tcPr>
                  <w:tcW w:w="1244"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戴莉丽</w:t>
                  </w:r>
                </w:p>
              </w:tc>
              <w:tc>
                <w:tcPr>
                  <w:tcW w:w="1567"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224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金华银行台州分行</w:t>
                  </w:r>
                </w:p>
              </w:tc>
              <w:tc>
                <w:tcPr>
                  <w:tcW w:w="122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4.05%起</w:t>
                  </w:r>
                </w:p>
              </w:tc>
              <w:tc>
                <w:tcPr>
                  <w:tcW w:w="1244"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金雪婷</w:t>
                  </w:r>
                </w:p>
              </w:tc>
              <w:tc>
                <w:tcPr>
                  <w:tcW w:w="1567"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81886670</w:t>
                  </w:r>
                </w:p>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224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台州银行</w:t>
                  </w:r>
                </w:p>
              </w:tc>
              <w:tc>
                <w:tcPr>
                  <w:tcW w:w="122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5.6%起</w:t>
                  </w:r>
                </w:p>
              </w:tc>
              <w:tc>
                <w:tcPr>
                  <w:tcW w:w="1244"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洪婷</w:t>
                  </w:r>
                </w:p>
              </w:tc>
              <w:tc>
                <w:tcPr>
                  <w:tcW w:w="1567"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15858624999</w:t>
                  </w:r>
                </w:p>
              </w:tc>
            </w:tr>
          </w:tbl>
          <w:p>
            <w:pPr>
              <w:adjustRightInd w:val="0"/>
              <w:snapToGrid w:val="0"/>
              <w:spacing w:line="480" w:lineRule="exact"/>
              <w:jc w:val="left"/>
              <w:rPr>
                <w:rFonts w:ascii="宋体"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21</w:t>
            </w:r>
          </w:p>
        </w:tc>
        <w:tc>
          <w:tcPr>
            <w:tcW w:w="1760" w:type="dxa"/>
            <w:tcBorders>
              <w:top w:val="single" w:color="auto" w:sz="4" w:space="0"/>
              <w:left w:val="single" w:color="auto" w:sz="4" w:space="0"/>
              <w:bottom w:val="single" w:color="auto" w:sz="4" w:space="0"/>
              <w:right w:val="single" w:color="auto" w:sz="4" w:space="0"/>
            </w:tcBorders>
            <w:vAlign w:val="center"/>
          </w:tcPr>
          <w:p>
            <w:pPr>
              <w:pStyle w:val="10"/>
              <w:spacing w:line="480" w:lineRule="exact"/>
              <w:ind w:firstLine="0" w:firstLineChars="0"/>
              <w:jc w:val="center"/>
              <w:rPr>
                <w:rFonts w:ascii="宋体" w:hAnsi="宋体" w:cs="Arial"/>
                <w:color w:val="auto"/>
                <w:sz w:val="21"/>
                <w:szCs w:val="21"/>
                <w:highlight w:val="none"/>
              </w:rPr>
            </w:pPr>
            <w:r>
              <w:rPr>
                <w:rFonts w:hint="eastAsia" w:ascii="宋体" w:hAnsi="宋体" w:cs="Arial"/>
                <w:color w:val="auto"/>
                <w:sz w:val="21"/>
                <w:szCs w:val="21"/>
                <w:highlight w:val="none"/>
              </w:rPr>
              <w:t>合同履约保函联系方式</w:t>
            </w:r>
          </w:p>
        </w:tc>
        <w:tc>
          <w:tcPr>
            <w:tcW w:w="6501" w:type="dxa"/>
            <w:tcBorders>
              <w:top w:val="single" w:color="auto" w:sz="4" w:space="0"/>
              <w:left w:val="single" w:color="auto" w:sz="4" w:space="0"/>
              <w:bottom w:val="single" w:color="auto" w:sz="4" w:space="0"/>
              <w:right w:val="single" w:color="auto" w:sz="4" w:space="0"/>
            </w:tcBorders>
            <w:vAlign w:val="center"/>
          </w:tcPr>
          <w:tbl>
            <w:tblPr>
              <w:tblStyle w:val="30"/>
              <w:tblW w:w="65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4"/>
              <w:gridCol w:w="1701"/>
              <w:gridCol w:w="846"/>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2584" w:type="dxa"/>
                  <w:vAlign w:val="center"/>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保险公司名称</w:t>
                  </w:r>
                </w:p>
              </w:tc>
              <w:tc>
                <w:tcPr>
                  <w:tcW w:w="1701" w:type="dxa"/>
                  <w:vAlign w:val="center"/>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保费率</w:t>
                  </w:r>
                </w:p>
              </w:tc>
              <w:tc>
                <w:tcPr>
                  <w:tcW w:w="846" w:type="dxa"/>
                  <w:vAlign w:val="center"/>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联系人</w:t>
                  </w:r>
                </w:p>
              </w:tc>
              <w:tc>
                <w:tcPr>
                  <w:tcW w:w="1376" w:type="dxa"/>
                  <w:vAlign w:val="center"/>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84" w:type="dxa"/>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中国人寿财产保险股份有限公司台州中心支公司</w:t>
                  </w:r>
                </w:p>
              </w:tc>
              <w:tc>
                <w:tcPr>
                  <w:tcW w:w="1701" w:type="dxa"/>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年费率1%，最低保费500元</w:t>
                  </w:r>
                </w:p>
              </w:tc>
              <w:tc>
                <w:tcPr>
                  <w:tcW w:w="846" w:type="dxa"/>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徐凌</w:t>
                  </w:r>
                </w:p>
              </w:tc>
              <w:tc>
                <w:tcPr>
                  <w:tcW w:w="1376" w:type="dxa"/>
                </w:tcPr>
                <w:p>
                  <w:pPr>
                    <w:adjustRightInd w:val="0"/>
                    <w:snapToGrid w:val="0"/>
                    <w:rPr>
                      <w:rFonts w:ascii="Arial" w:hAnsi="Arial"/>
                      <w:color w:val="auto"/>
                      <w:sz w:val="18"/>
                      <w:szCs w:val="18"/>
                      <w:highlight w:val="none"/>
                    </w:rPr>
                  </w:pPr>
                  <w:r>
                    <w:rPr>
                      <w:rFonts w:ascii="Arial" w:hAnsi="Arial"/>
                      <w:color w:val="auto"/>
                      <w:sz w:val="18"/>
                      <w:szCs w:val="18"/>
                      <w:highlight w:val="none"/>
                    </w:rPr>
                    <w:t>13905168070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84" w:type="dxa"/>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永诚财产保险股份有限公司台州分公司</w:t>
                  </w:r>
                </w:p>
              </w:tc>
              <w:tc>
                <w:tcPr>
                  <w:tcW w:w="1701" w:type="dxa"/>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年费率1%，最低保费1000元</w:t>
                  </w:r>
                </w:p>
              </w:tc>
              <w:tc>
                <w:tcPr>
                  <w:tcW w:w="846" w:type="dxa"/>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尹刚强</w:t>
                  </w:r>
                </w:p>
              </w:tc>
              <w:tc>
                <w:tcPr>
                  <w:tcW w:w="1376" w:type="dxa"/>
                </w:tcPr>
                <w:p>
                  <w:pPr>
                    <w:adjustRightInd w:val="0"/>
                    <w:snapToGrid w:val="0"/>
                    <w:rPr>
                      <w:rFonts w:ascii="Arial" w:hAnsi="Arial"/>
                      <w:color w:val="auto"/>
                      <w:sz w:val="18"/>
                      <w:szCs w:val="18"/>
                      <w:highlight w:val="none"/>
                    </w:rPr>
                  </w:pPr>
                  <w:r>
                    <w:rPr>
                      <w:rFonts w:ascii="Arial" w:hAnsi="Arial"/>
                      <w:color w:val="auto"/>
                      <w:sz w:val="18"/>
                      <w:szCs w:val="18"/>
                      <w:highlight w:val="none"/>
                    </w:rPr>
                    <w:t>13750668184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84" w:type="dxa"/>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华泰财产保险有限公司台州中心支公司</w:t>
                  </w:r>
                </w:p>
              </w:tc>
              <w:tc>
                <w:tcPr>
                  <w:tcW w:w="1701" w:type="dxa"/>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年费率0.5%，最低保费1000元</w:t>
                  </w:r>
                </w:p>
              </w:tc>
              <w:tc>
                <w:tcPr>
                  <w:tcW w:w="846" w:type="dxa"/>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王灵芳</w:t>
                  </w:r>
                </w:p>
              </w:tc>
              <w:tc>
                <w:tcPr>
                  <w:tcW w:w="1376" w:type="dxa"/>
                </w:tcPr>
                <w:p>
                  <w:pPr>
                    <w:adjustRightInd w:val="0"/>
                    <w:snapToGrid w:val="0"/>
                    <w:rPr>
                      <w:rFonts w:ascii="Arial" w:hAnsi="Arial"/>
                      <w:color w:val="auto"/>
                      <w:sz w:val="18"/>
                      <w:szCs w:val="18"/>
                      <w:highlight w:val="none"/>
                    </w:rPr>
                  </w:pPr>
                  <w:r>
                    <w:rPr>
                      <w:rFonts w:ascii="Arial" w:hAnsi="Arial"/>
                      <w:color w:val="auto"/>
                      <w:sz w:val="18"/>
                      <w:szCs w:val="18"/>
                      <w:highlight w:val="none"/>
                    </w:rPr>
                    <w:t>88869818 13586123199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84" w:type="dxa"/>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中国大地财产保险股份有限公司台州中心支公司</w:t>
                  </w:r>
                </w:p>
              </w:tc>
              <w:tc>
                <w:tcPr>
                  <w:tcW w:w="1701" w:type="dxa"/>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年费率1.5%，最低保费1000元</w:t>
                  </w:r>
                </w:p>
              </w:tc>
              <w:tc>
                <w:tcPr>
                  <w:tcW w:w="846" w:type="dxa"/>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徐小明</w:t>
                  </w:r>
                </w:p>
              </w:tc>
              <w:tc>
                <w:tcPr>
                  <w:tcW w:w="1376" w:type="dxa"/>
                </w:tcPr>
                <w:p>
                  <w:pPr>
                    <w:adjustRightInd w:val="0"/>
                    <w:snapToGrid w:val="0"/>
                    <w:rPr>
                      <w:rFonts w:ascii="Arial" w:hAnsi="Arial"/>
                      <w:color w:val="auto"/>
                      <w:sz w:val="18"/>
                      <w:szCs w:val="18"/>
                      <w:highlight w:val="none"/>
                    </w:rPr>
                  </w:pPr>
                  <w:r>
                    <w:rPr>
                      <w:rFonts w:ascii="Arial" w:hAnsi="Arial"/>
                      <w:color w:val="auto"/>
                      <w:sz w:val="18"/>
                      <w:szCs w:val="18"/>
                      <w:highlight w:val="none"/>
                    </w:rPr>
                    <w:t>88552788      13968603112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84" w:type="dxa"/>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阳光保险台州中心支公司</w:t>
                  </w:r>
                </w:p>
              </w:tc>
              <w:tc>
                <w:tcPr>
                  <w:tcW w:w="1701" w:type="dxa"/>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年费率1%，最低保费500元</w:t>
                  </w:r>
                </w:p>
              </w:tc>
              <w:tc>
                <w:tcPr>
                  <w:tcW w:w="846" w:type="dxa"/>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林高明</w:t>
                  </w:r>
                </w:p>
              </w:tc>
              <w:tc>
                <w:tcPr>
                  <w:tcW w:w="1376" w:type="dxa"/>
                </w:tcPr>
                <w:p>
                  <w:pPr>
                    <w:adjustRightInd w:val="0"/>
                    <w:snapToGrid w:val="0"/>
                    <w:rPr>
                      <w:rFonts w:ascii="Arial" w:hAnsi="Arial"/>
                      <w:color w:val="auto"/>
                      <w:sz w:val="18"/>
                      <w:szCs w:val="18"/>
                      <w:highlight w:val="none"/>
                    </w:rPr>
                  </w:pPr>
                  <w:r>
                    <w:rPr>
                      <w:rFonts w:ascii="Arial" w:hAnsi="Arial"/>
                      <w:color w:val="auto"/>
                      <w:sz w:val="18"/>
                      <w:szCs w:val="18"/>
                      <w:highlight w:val="none"/>
                    </w:rPr>
                    <w:t>15888682693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84" w:type="dxa"/>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中华联合财产保险股份有限公司台州中心支公司</w:t>
                  </w:r>
                </w:p>
              </w:tc>
              <w:tc>
                <w:tcPr>
                  <w:tcW w:w="1701" w:type="dxa"/>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年费率2%，最低保费500元</w:t>
                  </w:r>
                </w:p>
              </w:tc>
              <w:tc>
                <w:tcPr>
                  <w:tcW w:w="846" w:type="dxa"/>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王仙高</w:t>
                  </w:r>
                </w:p>
              </w:tc>
              <w:tc>
                <w:tcPr>
                  <w:tcW w:w="1376" w:type="dxa"/>
                </w:tcPr>
                <w:p>
                  <w:pPr>
                    <w:adjustRightInd w:val="0"/>
                    <w:snapToGrid w:val="0"/>
                    <w:rPr>
                      <w:rFonts w:ascii="Arial" w:hAnsi="Arial"/>
                      <w:color w:val="auto"/>
                      <w:sz w:val="18"/>
                      <w:szCs w:val="18"/>
                      <w:highlight w:val="none"/>
                    </w:rPr>
                  </w:pPr>
                  <w:r>
                    <w:rPr>
                      <w:rFonts w:ascii="Arial" w:hAnsi="Arial"/>
                      <w:color w:val="auto"/>
                      <w:sz w:val="18"/>
                      <w:szCs w:val="18"/>
                      <w:highlight w:val="none"/>
                    </w:rPr>
                    <w:t>13858600221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84" w:type="dxa"/>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中国人民财产保险股份有限公司台州中心支公司</w:t>
                  </w:r>
                </w:p>
              </w:tc>
              <w:tc>
                <w:tcPr>
                  <w:tcW w:w="1701" w:type="dxa"/>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年费率0.3%，最低保费1000元</w:t>
                  </w:r>
                </w:p>
              </w:tc>
              <w:tc>
                <w:tcPr>
                  <w:tcW w:w="846" w:type="dxa"/>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王仙春</w:t>
                  </w:r>
                </w:p>
              </w:tc>
              <w:tc>
                <w:tcPr>
                  <w:tcW w:w="1376" w:type="dxa"/>
                </w:tcPr>
                <w:p>
                  <w:pPr>
                    <w:adjustRightInd w:val="0"/>
                    <w:snapToGrid w:val="0"/>
                    <w:rPr>
                      <w:rFonts w:ascii="Arial" w:hAnsi="Arial"/>
                      <w:color w:val="auto"/>
                      <w:sz w:val="18"/>
                      <w:szCs w:val="18"/>
                      <w:highlight w:val="none"/>
                    </w:rPr>
                  </w:pPr>
                  <w:r>
                    <w:rPr>
                      <w:rFonts w:ascii="Arial" w:hAnsi="Arial"/>
                      <w:color w:val="auto"/>
                      <w:sz w:val="18"/>
                      <w:szCs w:val="18"/>
                      <w:highlight w:val="none"/>
                    </w:rPr>
                    <w:t>13515769179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84" w:type="dxa"/>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永安财产保险股份有限公司台州中心支公司</w:t>
                  </w:r>
                </w:p>
              </w:tc>
              <w:tc>
                <w:tcPr>
                  <w:tcW w:w="1701" w:type="dxa"/>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年费率0.3%，最低保费1000</w:t>
                  </w:r>
                </w:p>
              </w:tc>
              <w:tc>
                <w:tcPr>
                  <w:tcW w:w="846" w:type="dxa"/>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王春宇</w:t>
                  </w:r>
                </w:p>
              </w:tc>
              <w:tc>
                <w:tcPr>
                  <w:tcW w:w="1376" w:type="dxa"/>
                </w:tcPr>
                <w:p>
                  <w:pPr>
                    <w:adjustRightInd w:val="0"/>
                    <w:snapToGrid w:val="0"/>
                    <w:rPr>
                      <w:rFonts w:ascii="Arial" w:hAnsi="Arial"/>
                      <w:color w:val="auto"/>
                      <w:sz w:val="18"/>
                      <w:szCs w:val="18"/>
                      <w:highlight w:val="none"/>
                    </w:rPr>
                  </w:pPr>
                  <w:r>
                    <w:rPr>
                      <w:rFonts w:ascii="Arial" w:hAnsi="Arial"/>
                      <w:color w:val="auto"/>
                      <w:sz w:val="18"/>
                      <w:szCs w:val="18"/>
                      <w:highlight w:val="none"/>
                    </w:rPr>
                    <w:t>13676675331</w:t>
                  </w:r>
                </w:p>
              </w:tc>
            </w:tr>
          </w:tbl>
          <w:p>
            <w:pPr>
              <w:adjustRightInd w:val="0"/>
              <w:snapToGrid w:val="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22</w:t>
            </w:r>
          </w:p>
        </w:tc>
        <w:tc>
          <w:tcPr>
            <w:tcW w:w="1760" w:type="dxa"/>
            <w:tcBorders>
              <w:top w:val="single" w:color="auto" w:sz="4" w:space="0"/>
              <w:left w:val="single" w:color="auto" w:sz="4" w:space="0"/>
              <w:bottom w:val="single" w:color="auto" w:sz="4" w:space="0"/>
              <w:right w:val="single" w:color="auto" w:sz="4" w:space="0"/>
            </w:tcBorders>
            <w:vAlign w:val="center"/>
          </w:tcPr>
          <w:p>
            <w:pPr>
              <w:pStyle w:val="10"/>
              <w:spacing w:line="480" w:lineRule="exact"/>
              <w:ind w:firstLine="0" w:firstLineChars="0"/>
              <w:jc w:val="center"/>
              <w:rPr>
                <w:rFonts w:ascii="宋体" w:hAnsi="宋体" w:cs="Arial"/>
                <w:color w:val="auto"/>
                <w:sz w:val="21"/>
                <w:szCs w:val="21"/>
                <w:highlight w:val="none"/>
              </w:rPr>
            </w:pPr>
            <w:r>
              <w:rPr>
                <w:rFonts w:hint="eastAsia" w:ascii="宋体" w:hAnsi="宋体" w:cs="Arial"/>
                <w:color w:val="auto"/>
                <w:sz w:val="21"/>
                <w:szCs w:val="21"/>
                <w:highlight w:val="none"/>
              </w:rPr>
              <w:t>预付款保函联系方式</w:t>
            </w:r>
          </w:p>
        </w:tc>
        <w:tc>
          <w:tcPr>
            <w:tcW w:w="6501" w:type="dxa"/>
            <w:tcBorders>
              <w:top w:val="single" w:color="auto" w:sz="4" w:space="0"/>
              <w:left w:val="single" w:color="auto" w:sz="4" w:space="0"/>
              <w:bottom w:val="single" w:color="auto" w:sz="4" w:space="0"/>
              <w:right w:val="single" w:color="auto" w:sz="4" w:space="0"/>
            </w:tcBorders>
            <w:vAlign w:val="center"/>
          </w:tcPr>
          <w:tbl>
            <w:tblPr>
              <w:tblStyle w:val="30"/>
              <w:tblW w:w="65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4"/>
              <w:gridCol w:w="1701"/>
              <w:gridCol w:w="848"/>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2584" w:type="dxa"/>
                  <w:vAlign w:val="center"/>
                </w:tcPr>
                <w:p>
                  <w:pPr>
                    <w:jc w:val="center"/>
                    <w:rPr>
                      <w:rFonts w:ascii="Arial" w:hAnsi="Arial"/>
                      <w:color w:val="auto"/>
                      <w:sz w:val="18"/>
                      <w:szCs w:val="18"/>
                      <w:highlight w:val="none"/>
                    </w:rPr>
                  </w:pPr>
                  <w:r>
                    <w:rPr>
                      <w:rFonts w:hint="eastAsia" w:ascii="Arial" w:hAnsi="Arial"/>
                      <w:color w:val="auto"/>
                      <w:sz w:val="18"/>
                      <w:szCs w:val="18"/>
                      <w:highlight w:val="none"/>
                    </w:rPr>
                    <w:t>保险公司名称</w:t>
                  </w:r>
                </w:p>
              </w:tc>
              <w:tc>
                <w:tcPr>
                  <w:tcW w:w="1701" w:type="dxa"/>
                  <w:vAlign w:val="center"/>
                </w:tcPr>
                <w:p>
                  <w:pPr>
                    <w:jc w:val="center"/>
                    <w:rPr>
                      <w:rFonts w:ascii="Arial" w:hAnsi="Arial"/>
                      <w:color w:val="auto"/>
                      <w:sz w:val="18"/>
                      <w:szCs w:val="18"/>
                      <w:highlight w:val="none"/>
                    </w:rPr>
                  </w:pPr>
                  <w:r>
                    <w:rPr>
                      <w:rFonts w:hint="eastAsia" w:ascii="Arial" w:hAnsi="Arial"/>
                      <w:color w:val="auto"/>
                      <w:sz w:val="18"/>
                      <w:szCs w:val="18"/>
                      <w:highlight w:val="none"/>
                    </w:rPr>
                    <w:t>保费率</w:t>
                  </w:r>
                </w:p>
              </w:tc>
              <w:tc>
                <w:tcPr>
                  <w:tcW w:w="848" w:type="dxa"/>
                  <w:vAlign w:val="center"/>
                </w:tcPr>
                <w:p>
                  <w:pPr>
                    <w:jc w:val="center"/>
                    <w:rPr>
                      <w:rFonts w:ascii="Arial" w:hAnsi="Arial"/>
                      <w:color w:val="auto"/>
                      <w:sz w:val="18"/>
                      <w:szCs w:val="18"/>
                      <w:highlight w:val="none"/>
                    </w:rPr>
                  </w:pPr>
                  <w:r>
                    <w:rPr>
                      <w:rFonts w:hint="eastAsia" w:ascii="Arial" w:hAnsi="Arial"/>
                      <w:color w:val="auto"/>
                      <w:sz w:val="18"/>
                      <w:szCs w:val="18"/>
                      <w:highlight w:val="none"/>
                    </w:rPr>
                    <w:t>联系人</w:t>
                  </w:r>
                </w:p>
              </w:tc>
              <w:tc>
                <w:tcPr>
                  <w:tcW w:w="1374" w:type="dxa"/>
                  <w:vAlign w:val="center"/>
                </w:tcPr>
                <w:p>
                  <w:pPr>
                    <w:jc w:val="center"/>
                    <w:rPr>
                      <w:rFonts w:ascii="Arial" w:hAnsi="Arial"/>
                      <w:color w:val="auto"/>
                      <w:sz w:val="18"/>
                      <w:szCs w:val="18"/>
                      <w:highlight w:val="none"/>
                    </w:rPr>
                  </w:pPr>
                  <w:r>
                    <w:rPr>
                      <w:rFonts w:hint="eastAsia" w:ascii="Arial" w:hAnsi="Arial"/>
                      <w:color w:val="auto"/>
                      <w:sz w:val="18"/>
                      <w:szCs w:val="18"/>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84" w:type="dxa"/>
                </w:tcPr>
                <w:p>
                  <w:pPr>
                    <w:rPr>
                      <w:rFonts w:ascii="Arial" w:hAnsi="Arial"/>
                      <w:color w:val="auto"/>
                      <w:sz w:val="18"/>
                      <w:szCs w:val="18"/>
                      <w:highlight w:val="none"/>
                    </w:rPr>
                  </w:pPr>
                  <w:r>
                    <w:rPr>
                      <w:rFonts w:hint="eastAsia" w:ascii="Arial" w:hAnsi="Arial"/>
                      <w:color w:val="auto"/>
                      <w:sz w:val="18"/>
                      <w:szCs w:val="18"/>
                      <w:highlight w:val="none"/>
                    </w:rPr>
                    <w:t>中国人寿财产保险股份有限公司台州中心支公司</w:t>
                  </w:r>
                </w:p>
              </w:tc>
              <w:tc>
                <w:tcPr>
                  <w:tcW w:w="1701" w:type="dxa"/>
                </w:tcPr>
                <w:p>
                  <w:pPr>
                    <w:rPr>
                      <w:rFonts w:ascii="Arial" w:hAnsi="Arial"/>
                      <w:color w:val="auto"/>
                      <w:sz w:val="18"/>
                      <w:szCs w:val="18"/>
                      <w:highlight w:val="none"/>
                    </w:rPr>
                  </w:pPr>
                  <w:r>
                    <w:rPr>
                      <w:rFonts w:hint="eastAsia" w:ascii="Arial" w:hAnsi="Arial"/>
                      <w:color w:val="auto"/>
                      <w:sz w:val="18"/>
                      <w:szCs w:val="18"/>
                      <w:highlight w:val="none"/>
                    </w:rPr>
                    <w:t>年费率3%，最低保费500元</w:t>
                  </w:r>
                </w:p>
              </w:tc>
              <w:tc>
                <w:tcPr>
                  <w:tcW w:w="848" w:type="dxa"/>
                </w:tcPr>
                <w:p>
                  <w:pPr>
                    <w:rPr>
                      <w:rFonts w:ascii="Arial" w:hAnsi="Arial"/>
                      <w:color w:val="auto"/>
                      <w:sz w:val="18"/>
                      <w:szCs w:val="18"/>
                      <w:highlight w:val="none"/>
                    </w:rPr>
                  </w:pPr>
                  <w:r>
                    <w:rPr>
                      <w:rFonts w:hint="eastAsia" w:ascii="Arial" w:hAnsi="Arial"/>
                      <w:color w:val="auto"/>
                      <w:sz w:val="18"/>
                      <w:szCs w:val="18"/>
                      <w:highlight w:val="none"/>
                    </w:rPr>
                    <w:t>徐凌</w:t>
                  </w:r>
                </w:p>
              </w:tc>
              <w:tc>
                <w:tcPr>
                  <w:tcW w:w="1374" w:type="dxa"/>
                </w:tcPr>
                <w:p>
                  <w:pPr>
                    <w:rPr>
                      <w:rFonts w:ascii="Arial" w:hAnsi="Arial"/>
                      <w:color w:val="auto"/>
                      <w:sz w:val="18"/>
                      <w:szCs w:val="18"/>
                      <w:highlight w:val="none"/>
                    </w:rPr>
                  </w:pPr>
                  <w:r>
                    <w:rPr>
                      <w:rFonts w:ascii="Arial" w:hAnsi="Arial"/>
                      <w:color w:val="auto"/>
                      <w:sz w:val="18"/>
                      <w:szCs w:val="18"/>
                      <w:highlight w:val="none"/>
                    </w:rPr>
                    <w:t>13905168070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84" w:type="dxa"/>
                </w:tcPr>
                <w:p>
                  <w:pPr>
                    <w:rPr>
                      <w:rFonts w:ascii="Arial" w:hAnsi="Arial"/>
                      <w:color w:val="auto"/>
                      <w:sz w:val="18"/>
                      <w:szCs w:val="18"/>
                      <w:highlight w:val="none"/>
                    </w:rPr>
                  </w:pPr>
                  <w:r>
                    <w:rPr>
                      <w:rFonts w:hint="eastAsia" w:ascii="Arial" w:hAnsi="Arial"/>
                      <w:color w:val="auto"/>
                      <w:sz w:val="18"/>
                      <w:szCs w:val="18"/>
                      <w:highlight w:val="none"/>
                    </w:rPr>
                    <w:t>阳光保险台州中心支公司</w:t>
                  </w:r>
                </w:p>
              </w:tc>
              <w:tc>
                <w:tcPr>
                  <w:tcW w:w="1701" w:type="dxa"/>
                </w:tcPr>
                <w:p>
                  <w:pPr>
                    <w:rPr>
                      <w:rFonts w:ascii="Arial" w:hAnsi="Arial"/>
                      <w:color w:val="auto"/>
                      <w:sz w:val="18"/>
                      <w:szCs w:val="18"/>
                      <w:highlight w:val="none"/>
                    </w:rPr>
                  </w:pPr>
                  <w:r>
                    <w:rPr>
                      <w:rFonts w:hint="eastAsia" w:ascii="Arial" w:hAnsi="Arial"/>
                      <w:color w:val="auto"/>
                      <w:sz w:val="18"/>
                      <w:szCs w:val="18"/>
                      <w:highlight w:val="none"/>
                    </w:rPr>
                    <w:t>年费率1%，最低保费500元</w:t>
                  </w:r>
                </w:p>
              </w:tc>
              <w:tc>
                <w:tcPr>
                  <w:tcW w:w="848" w:type="dxa"/>
                </w:tcPr>
                <w:p>
                  <w:pPr>
                    <w:rPr>
                      <w:rFonts w:ascii="Arial" w:hAnsi="Arial"/>
                      <w:color w:val="auto"/>
                      <w:sz w:val="18"/>
                      <w:szCs w:val="18"/>
                      <w:highlight w:val="none"/>
                    </w:rPr>
                  </w:pPr>
                  <w:r>
                    <w:rPr>
                      <w:rFonts w:hint="eastAsia" w:ascii="Arial" w:hAnsi="Arial"/>
                      <w:color w:val="auto"/>
                      <w:sz w:val="18"/>
                      <w:szCs w:val="18"/>
                      <w:highlight w:val="none"/>
                    </w:rPr>
                    <w:t>林高明</w:t>
                  </w:r>
                </w:p>
              </w:tc>
              <w:tc>
                <w:tcPr>
                  <w:tcW w:w="1374" w:type="dxa"/>
                </w:tcPr>
                <w:p>
                  <w:pPr>
                    <w:rPr>
                      <w:rFonts w:ascii="Arial" w:hAnsi="Arial"/>
                      <w:color w:val="auto"/>
                      <w:sz w:val="18"/>
                      <w:szCs w:val="18"/>
                      <w:highlight w:val="none"/>
                    </w:rPr>
                  </w:pPr>
                  <w:r>
                    <w:rPr>
                      <w:rFonts w:hint="eastAsia" w:ascii="Arial" w:hAnsi="Arial"/>
                      <w:color w:val="auto"/>
                      <w:sz w:val="18"/>
                      <w:szCs w:val="18"/>
                      <w:highlight w:val="none"/>
                    </w:rPr>
                    <w:t>1</w:t>
                  </w:r>
                  <w:r>
                    <w:rPr>
                      <w:rFonts w:ascii="Arial" w:hAnsi="Arial"/>
                      <w:color w:val="auto"/>
                      <w:sz w:val="18"/>
                      <w:szCs w:val="18"/>
                      <w:highlight w:val="none"/>
                    </w:rPr>
                    <w:t>5888682693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84" w:type="dxa"/>
                </w:tcPr>
                <w:p>
                  <w:pPr>
                    <w:rPr>
                      <w:rFonts w:ascii="Arial" w:hAnsi="Arial"/>
                      <w:color w:val="auto"/>
                      <w:sz w:val="18"/>
                      <w:szCs w:val="18"/>
                      <w:highlight w:val="none"/>
                    </w:rPr>
                  </w:pPr>
                  <w:r>
                    <w:rPr>
                      <w:rFonts w:hint="eastAsia" w:ascii="Arial" w:hAnsi="Arial"/>
                      <w:color w:val="auto"/>
                      <w:sz w:val="18"/>
                      <w:szCs w:val="18"/>
                      <w:highlight w:val="none"/>
                    </w:rPr>
                    <w:t>天安财产保险股份有限公司台州中心支公司</w:t>
                  </w:r>
                </w:p>
              </w:tc>
              <w:tc>
                <w:tcPr>
                  <w:tcW w:w="1701" w:type="dxa"/>
                </w:tcPr>
                <w:p>
                  <w:pPr>
                    <w:rPr>
                      <w:rFonts w:ascii="Arial" w:hAnsi="Arial"/>
                      <w:color w:val="auto"/>
                      <w:sz w:val="18"/>
                      <w:szCs w:val="18"/>
                      <w:highlight w:val="none"/>
                    </w:rPr>
                  </w:pPr>
                  <w:r>
                    <w:rPr>
                      <w:rFonts w:hint="eastAsia" w:ascii="Arial" w:hAnsi="Arial"/>
                      <w:color w:val="auto"/>
                      <w:sz w:val="18"/>
                      <w:szCs w:val="18"/>
                      <w:highlight w:val="none"/>
                    </w:rPr>
                    <w:t>年费率1%-2%，最低保费500元</w:t>
                  </w:r>
                </w:p>
              </w:tc>
              <w:tc>
                <w:tcPr>
                  <w:tcW w:w="848" w:type="dxa"/>
                </w:tcPr>
                <w:p>
                  <w:pPr>
                    <w:rPr>
                      <w:rFonts w:ascii="Arial" w:hAnsi="Arial"/>
                      <w:color w:val="auto"/>
                      <w:sz w:val="18"/>
                      <w:szCs w:val="18"/>
                      <w:highlight w:val="none"/>
                    </w:rPr>
                  </w:pPr>
                  <w:r>
                    <w:rPr>
                      <w:rFonts w:hint="eastAsia" w:ascii="Arial" w:hAnsi="Arial"/>
                      <w:color w:val="auto"/>
                      <w:sz w:val="18"/>
                      <w:szCs w:val="18"/>
                      <w:highlight w:val="none"/>
                    </w:rPr>
                    <w:t>罗赛</w:t>
                  </w:r>
                </w:p>
              </w:tc>
              <w:tc>
                <w:tcPr>
                  <w:tcW w:w="1374" w:type="dxa"/>
                </w:tcPr>
                <w:p>
                  <w:pPr>
                    <w:rPr>
                      <w:rFonts w:ascii="Arial" w:hAnsi="Arial"/>
                      <w:color w:val="auto"/>
                      <w:sz w:val="18"/>
                      <w:szCs w:val="18"/>
                      <w:highlight w:val="none"/>
                    </w:rPr>
                  </w:pPr>
                  <w:r>
                    <w:rPr>
                      <w:rFonts w:hint="eastAsia" w:ascii="Arial" w:hAnsi="Arial"/>
                      <w:color w:val="auto"/>
                      <w:sz w:val="18"/>
                      <w:szCs w:val="18"/>
                      <w:highlight w:val="none"/>
                    </w:rPr>
                    <w:t>13736605643</w:t>
                  </w:r>
                </w:p>
              </w:tc>
            </w:tr>
          </w:tbl>
          <w:p>
            <w:pPr>
              <w:adjustRightInd w:val="0"/>
              <w:snapToGrid w:val="0"/>
              <w:jc w:val="center"/>
              <w:rPr>
                <w:color w:val="auto"/>
                <w:sz w:val="18"/>
                <w:szCs w:val="18"/>
                <w:highlight w:val="none"/>
              </w:rPr>
            </w:pPr>
          </w:p>
        </w:tc>
      </w:tr>
    </w:tbl>
    <w:p>
      <w:pPr>
        <w:pStyle w:val="15"/>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二、说 明</w:t>
      </w:r>
    </w:p>
    <w:p>
      <w:pPr>
        <w:pStyle w:val="16"/>
        <w:numPr>
          <w:ilvl w:val="0"/>
          <w:numId w:val="6"/>
        </w:numPr>
        <w:spacing w:line="360" w:lineRule="auto"/>
        <w:ind w:left="0" w:leftChars="0"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总则</w:t>
      </w:r>
    </w:p>
    <w:p>
      <w:pPr>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文件依据《中华人民共和国政府采购法》、《中华人民共和国政府采购法实施条例》（国务院令第658号）和</w:t>
      </w:r>
      <w:r>
        <w:rPr>
          <w:rFonts w:hAnsi="宋体"/>
          <w:color w:val="auto"/>
          <w:sz w:val="24"/>
          <w:highlight w:val="none"/>
        </w:rPr>
        <w:t>《政府采购竞争性磋商采购方式管理暂行办法》</w:t>
      </w:r>
      <w:r>
        <w:rPr>
          <w:rFonts w:asciiTheme="minorEastAsia" w:hAnsiTheme="minorEastAsia" w:eastAsiaTheme="minorEastAsia"/>
          <w:color w:val="auto"/>
          <w:sz w:val="24"/>
          <w:highlight w:val="none"/>
        </w:rPr>
        <w:t>（</w:t>
      </w:r>
      <w:r>
        <w:rPr>
          <w:rFonts w:hAnsi="宋体"/>
          <w:color w:val="auto"/>
          <w:sz w:val="24"/>
          <w:highlight w:val="none"/>
        </w:rPr>
        <w:t>财库〔</w:t>
      </w:r>
      <w:r>
        <w:rPr>
          <w:color w:val="auto"/>
          <w:sz w:val="24"/>
          <w:highlight w:val="none"/>
        </w:rPr>
        <w:t>2014</w:t>
      </w:r>
      <w:r>
        <w:rPr>
          <w:rFonts w:hAnsi="宋体"/>
          <w:color w:val="auto"/>
          <w:sz w:val="24"/>
          <w:highlight w:val="none"/>
        </w:rPr>
        <w:t>〕</w:t>
      </w:r>
      <w:r>
        <w:rPr>
          <w:color w:val="auto"/>
          <w:sz w:val="24"/>
          <w:highlight w:val="none"/>
        </w:rPr>
        <w:t>214</w:t>
      </w:r>
      <w:r>
        <w:rPr>
          <w:rFonts w:hAnsi="宋体"/>
          <w:color w:val="auto"/>
          <w:sz w:val="24"/>
          <w:highlight w:val="none"/>
        </w:rPr>
        <w:t>号</w:t>
      </w:r>
      <w:r>
        <w:rPr>
          <w:rFonts w:asciiTheme="minorEastAsia" w:hAnsiTheme="minorEastAsia" w:eastAsiaTheme="minorEastAsia"/>
          <w:color w:val="auto"/>
          <w:sz w:val="24"/>
          <w:highlight w:val="none"/>
        </w:rPr>
        <w:t>）及国家和</w:t>
      </w:r>
      <w:r>
        <w:rPr>
          <w:rFonts w:hint="eastAsia" w:asciiTheme="minorEastAsia" w:hAnsiTheme="minorEastAsia" w:eastAsiaTheme="minorEastAsia"/>
          <w:color w:val="auto"/>
          <w:sz w:val="24"/>
          <w:highlight w:val="none"/>
        </w:rPr>
        <w:t>浙江省</w:t>
      </w:r>
      <w:r>
        <w:rPr>
          <w:rFonts w:asciiTheme="minorEastAsia" w:hAnsiTheme="minorEastAsia" w:eastAsiaTheme="minorEastAsia"/>
          <w:color w:val="auto"/>
          <w:sz w:val="24"/>
          <w:highlight w:val="none"/>
        </w:rPr>
        <w:t>有关法律、法规、规章编制。</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供应商应仔细阅读本项目</w:t>
      </w:r>
      <w:r>
        <w:rPr>
          <w:rFonts w:hint="eastAsia" w:asciiTheme="minorEastAsia" w:hAnsiTheme="minorEastAsia" w:eastAsiaTheme="minorEastAsia"/>
          <w:color w:val="auto"/>
          <w:sz w:val="24"/>
          <w:highlight w:val="none"/>
        </w:rPr>
        <w:t>采购</w:t>
      </w:r>
      <w:r>
        <w:rPr>
          <w:rFonts w:asciiTheme="minorEastAsia" w:hAnsiTheme="minorEastAsia" w:eastAsiaTheme="minorEastAsia"/>
          <w:color w:val="auto"/>
          <w:sz w:val="24"/>
          <w:highlight w:val="none"/>
        </w:rPr>
        <w:t>公告及</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文件的所有内容（包括变更、补充、澄清以及修改等，均为</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文件的组成部分），按照</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文件要求以及格式编制</w:t>
      </w:r>
      <w:r>
        <w:rPr>
          <w:rFonts w:hint="eastAsia" w:asciiTheme="minorEastAsia" w:hAnsiTheme="minorEastAsia" w:eastAsiaTheme="minorEastAsia"/>
          <w:color w:val="auto"/>
          <w:sz w:val="24"/>
          <w:highlight w:val="none"/>
        </w:rPr>
        <w:t>磋商响应</w:t>
      </w:r>
      <w:r>
        <w:rPr>
          <w:rFonts w:asciiTheme="minorEastAsia" w:hAnsiTheme="minorEastAsia" w:eastAsiaTheme="minorEastAsia"/>
          <w:color w:val="auto"/>
          <w:sz w:val="24"/>
          <w:highlight w:val="none"/>
        </w:rPr>
        <w:t>文件，并保证其真实性，否则</w:t>
      </w:r>
      <w:r>
        <w:rPr>
          <w:rFonts w:hint="eastAsia"/>
          <w:color w:val="auto"/>
          <w:sz w:val="24"/>
          <w:highlight w:val="none"/>
        </w:rPr>
        <w:t>由此引起的一切后果应由响应</w:t>
      </w:r>
      <w:r>
        <w:rPr>
          <w:rFonts w:asciiTheme="minorEastAsia" w:hAnsiTheme="minorEastAsia" w:eastAsiaTheme="minorEastAsia"/>
          <w:color w:val="auto"/>
          <w:sz w:val="24"/>
          <w:highlight w:val="none"/>
        </w:rPr>
        <w:t>供应商</w:t>
      </w:r>
      <w:r>
        <w:rPr>
          <w:rFonts w:hint="eastAsia"/>
          <w:color w:val="auto"/>
          <w:sz w:val="24"/>
          <w:highlight w:val="none"/>
        </w:rPr>
        <w:t>承担</w:t>
      </w:r>
      <w:r>
        <w:rPr>
          <w:rFonts w:asciiTheme="minorEastAsia" w:hAnsiTheme="minorEastAsia" w:eastAsiaTheme="minorEastAsia"/>
          <w:color w:val="auto"/>
          <w:sz w:val="24"/>
          <w:highlight w:val="none"/>
        </w:rPr>
        <w:t>。</w:t>
      </w:r>
    </w:p>
    <w:p>
      <w:pPr>
        <w:pStyle w:val="16"/>
        <w:numPr>
          <w:ilvl w:val="0"/>
          <w:numId w:val="6"/>
        </w:numPr>
        <w:spacing w:line="360" w:lineRule="auto"/>
        <w:ind w:left="0" w:leftChars="0"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适用范围</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w:t>
      </w:r>
      <w:r>
        <w:rPr>
          <w:rFonts w:hint="eastAsia" w:asciiTheme="minorEastAsia" w:hAnsiTheme="minorEastAsia" w:eastAsiaTheme="minorEastAsia"/>
          <w:bCs/>
          <w:color w:val="auto"/>
          <w:sz w:val="24"/>
          <w:highlight w:val="none"/>
        </w:rPr>
        <w:t>本次</w:t>
      </w:r>
      <w:r>
        <w:rPr>
          <w:rFonts w:hint="eastAsia" w:asciiTheme="minorEastAsia" w:hAnsiTheme="minorEastAsia" w:eastAsiaTheme="minorEastAsia"/>
          <w:color w:val="auto"/>
          <w:sz w:val="24"/>
          <w:highlight w:val="none"/>
        </w:rPr>
        <w:t>项目的</w:t>
      </w:r>
      <w:r>
        <w:rPr>
          <w:rFonts w:hint="eastAsia" w:ascii="宋体" w:hAnsi="宋体"/>
          <w:color w:val="auto"/>
          <w:sz w:val="24"/>
          <w:highlight w:val="none"/>
        </w:rPr>
        <w:t>磋商、</w:t>
      </w:r>
      <w:r>
        <w:rPr>
          <w:rFonts w:hint="eastAsia" w:ascii="宋体" w:hAnsi="宋体"/>
          <w:bCs/>
          <w:color w:val="auto"/>
          <w:sz w:val="24"/>
          <w:highlight w:val="none"/>
        </w:rPr>
        <w:t>评审、确定成交供应商</w:t>
      </w:r>
      <w:r>
        <w:rPr>
          <w:rFonts w:hint="eastAsia" w:asciiTheme="minorEastAsia" w:hAnsiTheme="minorEastAsia" w:eastAsiaTheme="minorEastAsia"/>
          <w:color w:val="auto"/>
          <w:sz w:val="24"/>
          <w:highlight w:val="none"/>
        </w:rPr>
        <w:t>、验收、合同履约、付款等行为（法律、法规另有规定的，从其规定）。</w:t>
      </w:r>
    </w:p>
    <w:p>
      <w:pPr>
        <w:pStyle w:val="9"/>
        <w:spacing w:line="360" w:lineRule="auto"/>
        <w:ind w:firstLine="480" w:firstLineChars="200"/>
        <w:rPr>
          <w:color w:val="auto"/>
          <w:highlight w:val="none"/>
        </w:rPr>
      </w:pPr>
      <w:r>
        <w:rPr>
          <w:color w:val="auto"/>
          <w:highlight w:val="none"/>
        </w:rPr>
        <w:t>本</w:t>
      </w:r>
      <w:r>
        <w:rPr>
          <w:rFonts w:hint="eastAsia"/>
          <w:color w:val="auto"/>
          <w:highlight w:val="none"/>
        </w:rPr>
        <w:t>磋商</w:t>
      </w:r>
      <w:r>
        <w:rPr>
          <w:color w:val="auto"/>
          <w:highlight w:val="none"/>
        </w:rPr>
        <w:t>文件仅适用于本次</w:t>
      </w:r>
      <w:r>
        <w:rPr>
          <w:rFonts w:hint="eastAsia"/>
          <w:color w:val="auto"/>
          <w:highlight w:val="none"/>
        </w:rPr>
        <w:t>采购</w:t>
      </w:r>
      <w:r>
        <w:rPr>
          <w:color w:val="auto"/>
          <w:highlight w:val="none"/>
        </w:rPr>
        <w:t>公告中所涉及的项目和内容。</w:t>
      </w:r>
    </w:p>
    <w:p>
      <w:pPr>
        <w:pStyle w:val="16"/>
        <w:spacing w:line="360" w:lineRule="auto"/>
        <w:ind w:left="482" w:leftChars="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（三）当事人</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1.采购人：是指依法进行政府采购的国家机关、事业单位和团体组织。</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2.采购组织机构：是指采购人委托组织磋商的浙江中永工程咨询有限公司。</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3.供应商/投标人：是指向采购人提供货物、工程或者服务的法人、其他组织或者自然人</w:t>
      </w:r>
      <w:r>
        <w:rPr>
          <w:rFonts w:ascii="宋体" w:hAnsi="宋体"/>
          <w:color w:val="auto"/>
          <w:sz w:val="24"/>
          <w:highlight w:val="none"/>
        </w:rPr>
        <w:t>。</w:t>
      </w:r>
    </w:p>
    <w:p>
      <w:pPr>
        <w:snapToGrid w:val="0"/>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rPr>
        <w:t>4.成交</w:t>
      </w:r>
      <w:r>
        <w:rPr>
          <w:rFonts w:hint="eastAsia" w:ascii="宋体" w:hAnsi="宋体"/>
          <w:color w:val="auto"/>
          <w:sz w:val="24"/>
          <w:highlight w:val="none"/>
          <w:lang w:val="zh-CN"/>
        </w:rPr>
        <w:t>供应商/中标人：是指经</w:t>
      </w:r>
      <w:r>
        <w:rPr>
          <w:rFonts w:hint="eastAsia" w:asciiTheme="minorEastAsia" w:hAnsiTheme="minorEastAsia" w:eastAsiaTheme="minorEastAsia" w:cstheme="minorBidi"/>
          <w:color w:val="auto"/>
          <w:sz w:val="24"/>
          <w:highlight w:val="none"/>
        </w:rPr>
        <w:t>磋商小组</w:t>
      </w:r>
      <w:r>
        <w:rPr>
          <w:rFonts w:hint="eastAsia" w:ascii="宋体" w:hAnsi="宋体"/>
          <w:color w:val="auto"/>
          <w:sz w:val="24"/>
          <w:highlight w:val="none"/>
          <w:lang w:val="zh-CN"/>
        </w:rPr>
        <w:t>评审确定的对</w:t>
      </w:r>
      <w:r>
        <w:rPr>
          <w:rFonts w:hint="eastAsia" w:ascii="宋体" w:hAnsi="宋体"/>
          <w:color w:val="auto"/>
          <w:sz w:val="24"/>
          <w:highlight w:val="none"/>
        </w:rPr>
        <w:t>磋商</w:t>
      </w:r>
      <w:r>
        <w:rPr>
          <w:rFonts w:hint="eastAsia" w:ascii="宋体" w:hAnsi="宋体"/>
          <w:color w:val="auto"/>
          <w:sz w:val="24"/>
          <w:highlight w:val="none"/>
          <w:lang w:val="zh-CN"/>
        </w:rPr>
        <w:t>文件作出实质性响应，经采购人按照规定在</w:t>
      </w:r>
      <w:r>
        <w:rPr>
          <w:rFonts w:hint="eastAsia" w:asciiTheme="minorEastAsia" w:hAnsiTheme="minorEastAsia" w:eastAsiaTheme="minorEastAsia" w:cstheme="minorBidi"/>
          <w:color w:val="auto"/>
          <w:sz w:val="24"/>
          <w:highlight w:val="none"/>
        </w:rPr>
        <w:t>磋商小组</w:t>
      </w:r>
      <w:r>
        <w:rPr>
          <w:rFonts w:hint="eastAsia" w:ascii="宋体" w:hAnsi="宋体"/>
          <w:color w:val="auto"/>
          <w:sz w:val="24"/>
          <w:highlight w:val="none"/>
          <w:lang w:val="zh-CN"/>
        </w:rPr>
        <w:t>推荐的</w:t>
      </w:r>
      <w:r>
        <w:rPr>
          <w:rFonts w:hint="eastAsia" w:ascii="宋体" w:hAnsi="宋体"/>
          <w:color w:val="auto"/>
          <w:sz w:val="24"/>
          <w:highlight w:val="none"/>
        </w:rPr>
        <w:t>成交</w:t>
      </w:r>
      <w:r>
        <w:rPr>
          <w:rFonts w:hint="eastAsia" w:ascii="宋体" w:hAnsi="宋体"/>
          <w:color w:val="auto"/>
          <w:sz w:val="24"/>
          <w:highlight w:val="none"/>
          <w:lang w:val="zh-CN"/>
        </w:rPr>
        <w:t>候选人中确定的或受采购人委托直接确认的，与采购人签订合同资格的供应商。</w:t>
      </w:r>
    </w:p>
    <w:p>
      <w:pPr>
        <w:pStyle w:val="28"/>
        <w:spacing w:after="0" w:line="360" w:lineRule="auto"/>
        <w:ind w:left="0" w:leftChars="0" w:firstLine="480" w:firstLineChars="200"/>
        <w:rPr>
          <w:color w:val="auto"/>
          <w:highlight w:val="none"/>
        </w:rPr>
      </w:pPr>
      <w:r>
        <w:rPr>
          <w:rFonts w:hint="eastAsia" w:ascii="宋体" w:hAnsi="宋体"/>
          <w:color w:val="auto"/>
          <w:sz w:val="24"/>
          <w:highlight w:val="none"/>
        </w:rPr>
        <w:t>5.联合体：</w:t>
      </w:r>
      <w:r>
        <w:rPr>
          <w:rFonts w:hint="eastAsia"/>
          <w:color w:val="auto"/>
          <w:sz w:val="24"/>
          <w:highlight w:val="none"/>
        </w:rPr>
        <w:t>两个或两个以上法人或者其他组织可以组成一个联合体，以一个供应商的身份共同参与磋商。</w:t>
      </w:r>
    </w:p>
    <w:p>
      <w:pPr>
        <w:snapToGrid w:val="0"/>
        <w:spacing w:line="360" w:lineRule="auto"/>
        <w:ind w:firstLine="482" w:firstLineChars="200"/>
        <w:rPr>
          <w:b/>
          <w:bCs/>
          <w:color w:val="auto"/>
          <w:sz w:val="24"/>
          <w:highlight w:val="none"/>
        </w:rPr>
      </w:pPr>
      <w:r>
        <w:rPr>
          <w:rFonts w:hint="eastAsia"/>
          <w:b/>
          <w:bCs/>
          <w:color w:val="auto"/>
          <w:sz w:val="24"/>
          <w:highlight w:val="none"/>
        </w:rPr>
        <w:t>（四）</w:t>
      </w:r>
      <w:r>
        <w:rPr>
          <w:b/>
          <w:bCs/>
          <w:color w:val="auto"/>
          <w:sz w:val="24"/>
          <w:highlight w:val="none"/>
        </w:rPr>
        <w:t>以联合体形式</w:t>
      </w:r>
      <w:r>
        <w:rPr>
          <w:rFonts w:hint="eastAsia"/>
          <w:b/>
          <w:bCs/>
          <w:color w:val="auto"/>
          <w:sz w:val="24"/>
          <w:highlight w:val="none"/>
        </w:rPr>
        <w:t>磋商</w:t>
      </w:r>
      <w:r>
        <w:rPr>
          <w:b/>
          <w:bCs/>
          <w:color w:val="auto"/>
          <w:sz w:val="24"/>
          <w:highlight w:val="none"/>
        </w:rPr>
        <w:t>的，应符合以下规定（本项目不适用）：</w:t>
      </w:r>
    </w:p>
    <w:p>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1.联</w:t>
      </w:r>
      <w:r>
        <w:rPr>
          <w:color w:val="auto"/>
          <w:sz w:val="24"/>
          <w:highlight w:val="none"/>
        </w:rPr>
        <w:t>合体各方应签订联合体协议书，明确联合体牵头人和各方权利义务，并作为</w:t>
      </w:r>
      <w:r>
        <w:rPr>
          <w:rFonts w:hint="eastAsia"/>
          <w:color w:val="auto"/>
          <w:sz w:val="24"/>
          <w:highlight w:val="none"/>
        </w:rPr>
        <w:t>磋商响应</w:t>
      </w:r>
      <w:r>
        <w:rPr>
          <w:color w:val="auto"/>
          <w:sz w:val="24"/>
          <w:highlight w:val="none"/>
        </w:rPr>
        <w:t>文件组成分部分。</w:t>
      </w:r>
    </w:p>
    <w:p>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2.联</w:t>
      </w:r>
      <w:r>
        <w:rPr>
          <w:color w:val="auto"/>
          <w:sz w:val="24"/>
          <w:highlight w:val="none"/>
        </w:rPr>
        <w:t>合体各方均应当具备</w:t>
      </w:r>
      <w:r>
        <w:rPr>
          <w:rFonts w:hint="eastAsia" w:ascii="宋体" w:hAnsi="宋体"/>
          <w:color w:val="auto"/>
          <w:sz w:val="24"/>
          <w:highlight w:val="none"/>
          <w:lang w:val="zh-CN"/>
        </w:rPr>
        <w:t>《中华人民共和国政府采购法》</w:t>
      </w:r>
      <w:r>
        <w:rPr>
          <w:color w:val="auto"/>
          <w:sz w:val="24"/>
          <w:highlight w:val="none"/>
        </w:rPr>
        <w:t>第二十二条规定的条件，并在</w:t>
      </w:r>
      <w:r>
        <w:rPr>
          <w:rFonts w:hint="eastAsia"/>
          <w:color w:val="auto"/>
          <w:sz w:val="24"/>
          <w:highlight w:val="none"/>
        </w:rPr>
        <w:t>响应</w:t>
      </w:r>
      <w:r>
        <w:rPr>
          <w:color w:val="auto"/>
          <w:sz w:val="24"/>
          <w:highlight w:val="none"/>
        </w:rPr>
        <w:t>文件中提供联合体各方的相关证明材料。</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3.联合体成员存在不良信用记录的，视同联合体存在不良信用记录。</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4.联合体各方中至少应当有一方符合采购人规定的资格要求。由同一资质条件的供应商组成的联合体，应当按照资质等级较低的供应商确定联合体资质等级。</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5.联合体各方不得再以自己名义单独参加同一</w:t>
      </w:r>
      <w:r>
        <w:rPr>
          <w:rFonts w:hint="eastAsia" w:ascii="宋体" w:hAnsi="宋体" w:cs="宋体"/>
          <w:color w:val="auto"/>
          <w:sz w:val="24"/>
          <w:highlight w:val="none"/>
        </w:rPr>
        <w:t>合同项</w:t>
      </w:r>
      <w:r>
        <w:rPr>
          <w:rFonts w:hint="eastAsia" w:asciiTheme="minorEastAsia" w:hAnsiTheme="minorEastAsia" w:eastAsiaTheme="minorEastAsia"/>
          <w:color w:val="auto"/>
          <w:sz w:val="24"/>
          <w:highlight w:val="none"/>
        </w:rPr>
        <w:t>，也不得组成新的联合体参加同一项目。</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6.联合体各方应当共同与采购人签订采购合同，就合同约定的事项对采购人承担连带责任。</w:t>
      </w:r>
    </w:p>
    <w:p>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7.磋商</w:t>
      </w:r>
      <w:r>
        <w:rPr>
          <w:color w:val="auto"/>
          <w:sz w:val="24"/>
          <w:highlight w:val="none"/>
        </w:rPr>
        <w:t>时，应以联合体协议中确定的主体方名义</w:t>
      </w:r>
      <w:r>
        <w:rPr>
          <w:rFonts w:hint="eastAsia" w:asciiTheme="minorEastAsia" w:hAnsiTheme="minorEastAsia" w:eastAsiaTheme="minorEastAsia"/>
          <w:color w:val="auto"/>
          <w:sz w:val="24"/>
          <w:highlight w:val="none"/>
        </w:rPr>
        <w:t>磋商</w:t>
      </w:r>
      <w:r>
        <w:rPr>
          <w:color w:val="auto"/>
          <w:sz w:val="24"/>
          <w:highlight w:val="none"/>
        </w:rPr>
        <w:t>，对联合体各方均具有约束力。</w:t>
      </w:r>
    </w:p>
    <w:p>
      <w:pPr>
        <w:snapToGrid w:val="0"/>
        <w:spacing w:line="360" w:lineRule="auto"/>
        <w:ind w:firstLine="482" w:firstLineChars="200"/>
        <w:rPr>
          <w:b/>
          <w:bCs/>
          <w:color w:val="auto"/>
          <w:sz w:val="24"/>
          <w:highlight w:val="none"/>
        </w:rPr>
      </w:pPr>
      <w:r>
        <w:rPr>
          <w:rFonts w:hint="eastAsia"/>
          <w:b/>
          <w:bCs/>
          <w:color w:val="auto"/>
          <w:sz w:val="24"/>
          <w:highlight w:val="none"/>
        </w:rPr>
        <w:t>（五）</w:t>
      </w:r>
      <w:r>
        <w:rPr>
          <w:b/>
          <w:bCs/>
          <w:color w:val="auto"/>
          <w:sz w:val="24"/>
          <w:highlight w:val="none"/>
        </w:rPr>
        <w:t>语言文字以及度量衡单位</w:t>
      </w:r>
    </w:p>
    <w:p>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1</w:t>
      </w:r>
      <w:r>
        <w:rPr>
          <w:rFonts w:hint="eastAsia"/>
          <w:color w:val="auto"/>
          <w:sz w:val="24"/>
          <w:highlight w:val="none"/>
        </w:rPr>
        <w:t>.磋商响应文件以及供应商与采购代理机构就有磋商事宜的所有来往函电，均应以中文汉语书写，除签字、盖章、专用名称等特殊情形外。磋商响应资料提供外文证书或者外国语视听资料的，应当附有中文译本，由翻译机构盖章或者翻译人员签名。</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2.所有计量均采用中国法定的计量单位。</w:t>
      </w:r>
    </w:p>
    <w:p>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3.所有</w:t>
      </w:r>
      <w:r>
        <w:rPr>
          <w:color w:val="auto"/>
          <w:sz w:val="24"/>
          <w:highlight w:val="none"/>
        </w:rPr>
        <w:t>报价一律使用人民币，货币单位：元。</w:t>
      </w:r>
    </w:p>
    <w:p>
      <w:pPr>
        <w:pStyle w:val="38"/>
        <w:tabs>
          <w:tab w:val="left" w:pos="437"/>
        </w:tabs>
        <w:spacing w:line="360" w:lineRule="auto"/>
        <w:ind w:firstLine="482"/>
        <w:rPr>
          <w:b/>
          <w:bCs/>
          <w:color w:val="auto"/>
          <w:sz w:val="24"/>
          <w:szCs w:val="24"/>
          <w:highlight w:val="none"/>
        </w:rPr>
      </w:pPr>
      <w:r>
        <w:rPr>
          <w:rFonts w:hint="eastAsia"/>
          <w:b/>
          <w:bCs/>
          <w:color w:val="auto"/>
          <w:sz w:val="24"/>
          <w:szCs w:val="24"/>
          <w:highlight w:val="none"/>
        </w:rPr>
        <w:t>（六）</w:t>
      </w:r>
      <w:r>
        <w:rPr>
          <w:b/>
          <w:bCs/>
          <w:color w:val="auto"/>
          <w:sz w:val="24"/>
          <w:szCs w:val="24"/>
          <w:highlight w:val="none"/>
        </w:rPr>
        <w:t>现场踏勘</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1.磋商文件规定组织踏勘现场的，采购人按磋商文件规定的时间、地点组织供应商踏勘项目现场。</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2.供应商自行承担踏勘现场发生的责任、风险和自身费用。</w:t>
      </w:r>
    </w:p>
    <w:p>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3.采购人</w:t>
      </w:r>
      <w:r>
        <w:rPr>
          <w:color w:val="auto"/>
          <w:sz w:val="24"/>
          <w:highlight w:val="none"/>
        </w:rPr>
        <w:t>在踏勘现场中介绍的资料和数据等，不构成对</w:t>
      </w:r>
      <w:r>
        <w:rPr>
          <w:rFonts w:hint="eastAsia"/>
          <w:color w:val="auto"/>
          <w:sz w:val="24"/>
          <w:highlight w:val="none"/>
        </w:rPr>
        <w:t>磋商</w:t>
      </w:r>
      <w:r>
        <w:rPr>
          <w:color w:val="auto"/>
          <w:sz w:val="24"/>
          <w:highlight w:val="none"/>
        </w:rPr>
        <w:t>文件的修改或不作为</w:t>
      </w:r>
      <w:r>
        <w:rPr>
          <w:rFonts w:hint="eastAsia"/>
          <w:color w:val="auto"/>
          <w:sz w:val="24"/>
          <w:highlight w:val="none"/>
        </w:rPr>
        <w:t>供应商</w:t>
      </w:r>
      <w:r>
        <w:rPr>
          <w:color w:val="auto"/>
          <w:sz w:val="24"/>
          <w:highlight w:val="none"/>
        </w:rPr>
        <w:t>编制</w:t>
      </w:r>
      <w:r>
        <w:rPr>
          <w:rFonts w:hint="eastAsia"/>
          <w:color w:val="auto"/>
          <w:sz w:val="24"/>
          <w:highlight w:val="none"/>
        </w:rPr>
        <w:t>磋商响应</w:t>
      </w:r>
      <w:r>
        <w:rPr>
          <w:color w:val="auto"/>
          <w:sz w:val="24"/>
          <w:highlight w:val="none"/>
        </w:rPr>
        <w:t>文件的依据。</w:t>
      </w:r>
    </w:p>
    <w:p>
      <w:pPr>
        <w:pStyle w:val="15"/>
        <w:snapToGrid w:val="0"/>
        <w:spacing w:line="360" w:lineRule="auto"/>
        <w:ind w:firstLine="482" w:firstLineChars="200"/>
        <w:rPr>
          <w:rFonts w:hAnsi="宋体"/>
          <w:b/>
          <w:color w:val="auto"/>
          <w:sz w:val="24"/>
          <w:highlight w:val="none"/>
        </w:rPr>
      </w:pPr>
      <w:r>
        <w:rPr>
          <w:rFonts w:hint="eastAsia" w:hAnsi="宋体"/>
          <w:b/>
          <w:color w:val="auto"/>
          <w:sz w:val="24"/>
          <w:highlight w:val="none"/>
        </w:rPr>
        <w:t>（七）特别说明</w:t>
      </w:r>
    </w:p>
    <w:p>
      <w:pPr>
        <w:pStyle w:val="15"/>
        <w:snapToGrid w:val="0"/>
        <w:spacing w:line="360" w:lineRule="auto"/>
        <w:ind w:firstLine="480" w:firstLineChars="200"/>
        <w:rPr>
          <w:rFonts w:hAnsi="宋体"/>
          <w:color w:val="auto"/>
          <w:sz w:val="24"/>
          <w:highlight w:val="none"/>
        </w:rPr>
      </w:pPr>
      <w:r>
        <w:rPr>
          <w:rFonts w:hint="eastAsia" w:hAnsi="宋体"/>
          <w:color w:val="auto"/>
          <w:sz w:val="24"/>
          <w:highlight w:val="none"/>
        </w:rPr>
        <w:t>1.供应商磋商</w:t>
      </w:r>
      <w:r>
        <w:rPr>
          <w:rFonts w:hAnsi="宋体"/>
          <w:color w:val="auto"/>
          <w:sz w:val="24"/>
          <w:highlight w:val="none"/>
        </w:rPr>
        <w:t>所使用的资格、信誉、荣誉、业绩与企业认证必须为本法人所拥有</w:t>
      </w:r>
      <w:r>
        <w:rPr>
          <w:rFonts w:hint="eastAsia" w:hAnsi="宋体"/>
          <w:color w:val="auto"/>
          <w:sz w:val="24"/>
          <w:highlight w:val="none"/>
        </w:rPr>
        <w:t>且所提供的资料都是真实有效的</w:t>
      </w:r>
      <w:r>
        <w:rPr>
          <w:rFonts w:hAnsi="宋体"/>
          <w:color w:val="auto"/>
          <w:sz w:val="24"/>
          <w:highlight w:val="none"/>
        </w:rPr>
        <w:t>。</w:t>
      </w:r>
      <w:r>
        <w:rPr>
          <w:rFonts w:hint="eastAsia" w:hAnsi="宋体"/>
          <w:color w:val="auto"/>
          <w:sz w:val="24"/>
          <w:highlight w:val="none"/>
        </w:rPr>
        <w:t>供应商磋商</w:t>
      </w:r>
      <w:r>
        <w:rPr>
          <w:rFonts w:hAnsi="宋体"/>
          <w:color w:val="auto"/>
          <w:sz w:val="24"/>
          <w:highlight w:val="none"/>
        </w:rPr>
        <w:t>所使用的采购项目实施人员必须为本法人员工。</w:t>
      </w:r>
      <w:r>
        <w:rPr>
          <w:rFonts w:hint="eastAsia" w:hAnsi="宋体"/>
          <w:color w:val="auto"/>
          <w:sz w:val="24"/>
          <w:highlight w:val="none"/>
        </w:rPr>
        <w:t>▲其中涉及资格条件的如非本法人所拥有，则投标无效。</w:t>
      </w:r>
    </w:p>
    <w:p>
      <w:pPr>
        <w:pStyle w:val="38"/>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2.供应商所投产品除磋商文件中明确规定要求“提供官网截图或相应检测报告的证明材料”以外，所有技术参数描述均以响应文件为准。供应商对所投产品技术参数的真实性承担法律责任。项目磋商结束后、质疑期限内，如有质疑供应商认为成交供应商所投产品、响应文件技术参数与采购需求存在重大偏离、错误、甚至造假的情况，如采购文件中未明确规定要求“提供官网截图或相应检测报告的证明材料”的，应提供其他具体有效的证明材料。</w:t>
      </w:r>
    </w:p>
    <w:p>
      <w:pPr>
        <w:pStyle w:val="38"/>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3.本磋商文件中关于电子磋商、响应内容、流程如与政采云系统中最新的内容、操作不一致的，以政采云系统中的要求为准。</w:t>
      </w:r>
    </w:p>
    <w:p>
      <w:pPr>
        <w:pStyle w:val="38"/>
        <w:snapToGrid w:val="0"/>
        <w:spacing w:line="360" w:lineRule="auto"/>
        <w:ind w:firstLine="480"/>
        <w:rPr>
          <w:rFonts w:ascii="宋体" w:hAnsi="宋体"/>
          <w:color w:val="auto"/>
          <w:sz w:val="24"/>
          <w:highlight w:val="none"/>
        </w:rPr>
      </w:pPr>
      <w:r>
        <w:rPr>
          <w:rFonts w:hint="eastAsia" w:ascii="宋体" w:hAnsi="宋体"/>
          <w:color w:val="auto"/>
          <w:sz w:val="24"/>
          <w:highlight w:val="none"/>
        </w:rPr>
        <w:t>4.磋商文件中指出的工艺、材料、设备、服务等标准以及推荐、参照的品牌或型号仅起说明作用（除实质性必须响应的除外），并没有任何限制性。供应商在磋商响应时可以选用替代标准、品牌或型号，但这些替代要实质上满足或超过磋商文件的要求。</w:t>
      </w:r>
    </w:p>
    <w:p>
      <w:pPr>
        <w:pStyle w:val="38"/>
        <w:snapToGrid w:val="0"/>
        <w:spacing w:line="360" w:lineRule="auto"/>
        <w:rPr>
          <w:rFonts w:ascii="宋体" w:hAnsi="宋体"/>
          <w:color w:val="auto"/>
          <w:sz w:val="24"/>
          <w:highlight w:val="none"/>
        </w:rPr>
      </w:pPr>
      <w:r>
        <w:rPr>
          <w:rFonts w:hint="eastAsia" w:ascii="宋体" w:hAnsi="宋体" w:cs="宋体"/>
          <w:bCs/>
          <w:color w:val="auto"/>
          <w:szCs w:val="21"/>
          <w:highlight w:val="none"/>
        </w:rPr>
        <w:t>▲</w:t>
      </w:r>
      <w:r>
        <w:rPr>
          <w:rFonts w:hint="eastAsia" w:ascii="宋体" w:hAnsi="宋体"/>
          <w:color w:val="auto"/>
          <w:sz w:val="24"/>
          <w:highlight w:val="none"/>
        </w:rPr>
        <w:t>5.供应商在政府采购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38"/>
        <w:snapToGrid w:val="0"/>
        <w:spacing w:line="360" w:lineRule="auto"/>
        <w:rPr>
          <w:rFonts w:ascii="宋体" w:hAnsi="宋体"/>
          <w:color w:val="auto"/>
          <w:sz w:val="24"/>
          <w:highlight w:val="none"/>
        </w:rPr>
      </w:pPr>
      <w:r>
        <w:rPr>
          <w:rFonts w:hint="eastAsia" w:ascii="宋体" w:hAnsi="宋体" w:cs="宋体"/>
          <w:bCs/>
          <w:color w:val="auto"/>
          <w:szCs w:val="21"/>
          <w:highlight w:val="none"/>
        </w:rPr>
        <w:t>▲</w:t>
      </w:r>
      <w:r>
        <w:rPr>
          <w:rFonts w:hint="eastAsia" w:ascii="宋体" w:hAnsi="宋体"/>
          <w:color w:val="auto"/>
          <w:sz w:val="24"/>
          <w:highlight w:val="none"/>
        </w:rPr>
        <w:t>6.供应商不得相互串通投标报价，不得妨碍其他供应商的公平竞争，不得损害采购人或其他供应商的合法权益，供应商不得以向采购人、评标委员会成员行贿或者采取其他不正当手段谋取成交。</w:t>
      </w:r>
    </w:p>
    <w:p>
      <w:pPr>
        <w:pStyle w:val="38"/>
        <w:snapToGrid w:val="0"/>
        <w:spacing w:line="360" w:lineRule="auto"/>
        <w:rPr>
          <w:rFonts w:ascii="宋体" w:hAnsi="宋体"/>
          <w:color w:val="auto"/>
          <w:sz w:val="24"/>
          <w:highlight w:val="none"/>
        </w:rPr>
      </w:pPr>
      <w:r>
        <w:rPr>
          <w:rFonts w:hint="eastAsia" w:ascii="宋体" w:hAnsi="宋体" w:cs="宋体"/>
          <w:bCs/>
          <w:color w:val="auto"/>
          <w:szCs w:val="21"/>
          <w:highlight w:val="none"/>
        </w:rPr>
        <w:t>▲</w:t>
      </w:r>
      <w:r>
        <w:rPr>
          <w:rFonts w:hint="eastAsia" w:ascii="宋体" w:hAnsi="宋体"/>
          <w:color w:val="auto"/>
          <w:sz w:val="24"/>
          <w:highlight w:val="none"/>
        </w:rPr>
        <w:t>7.为采购项目提供整体设计、规范编制或者项目管理、监理、检测等服务的供应商，不得再参加该采购项目的其他采购活动。</w:t>
      </w:r>
    </w:p>
    <w:p>
      <w:pPr>
        <w:pStyle w:val="38"/>
        <w:snapToGrid w:val="0"/>
        <w:spacing w:line="360" w:lineRule="auto"/>
        <w:ind w:firstLine="480"/>
        <w:rPr>
          <w:rFonts w:ascii="宋体" w:hAnsi="宋体"/>
          <w:color w:val="auto"/>
          <w:sz w:val="24"/>
          <w:highlight w:val="none"/>
        </w:rPr>
      </w:pPr>
      <w:r>
        <w:rPr>
          <w:rFonts w:hint="eastAsia" w:ascii="宋体" w:hAnsi="宋体"/>
          <w:color w:val="auto"/>
          <w:sz w:val="24"/>
          <w:highlight w:val="none"/>
        </w:rPr>
        <w:t>8.响应文件格式中的表格式样可以根据项目差别做适当调整,但应当保持表格样式基本形态不变。</w:t>
      </w:r>
    </w:p>
    <w:p>
      <w:pPr>
        <w:pStyle w:val="38"/>
        <w:snapToGrid w:val="0"/>
        <w:spacing w:line="360" w:lineRule="auto"/>
        <w:rPr>
          <w:rFonts w:ascii="宋体" w:hAnsi="宋体"/>
          <w:color w:val="auto"/>
          <w:sz w:val="24"/>
          <w:highlight w:val="none"/>
        </w:rPr>
      </w:pPr>
      <w:r>
        <w:rPr>
          <w:rFonts w:hint="eastAsia" w:ascii="宋体" w:hAnsi="宋体" w:cs="宋体"/>
          <w:bCs/>
          <w:color w:val="auto"/>
          <w:szCs w:val="21"/>
          <w:highlight w:val="none"/>
        </w:rPr>
        <w:t>▲</w:t>
      </w:r>
      <w:r>
        <w:rPr>
          <w:rFonts w:hint="eastAsia" w:ascii="宋体" w:hAnsi="宋体"/>
          <w:color w:val="auto"/>
          <w:sz w:val="24"/>
          <w:highlight w:val="none"/>
        </w:rPr>
        <w:t>9.单位负责人为同一人或者存在直接控股、管理关系的不同供应商，不得参加同一合同项下的政府采购活动。电子交易平台运营机构，以及与该机构有直接控股或者管理关系可能影响采购公正性的任何单位和个人，不得在该平台进行的政府采购项目电子交易中投标、响应和代理政府采购项目。</w:t>
      </w:r>
    </w:p>
    <w:p>
      <w:pPr>
        <w:pStyle w:val="38"/>
        <w:snapToGrid w:val="0"/>
        <w:spacing w:line="360" w:lineRule="auto"/>
        <w:rPr>
          <w:rFonts w:ascii="宋体" w:hAnsi="宋体"/>
          <w:color w:val="auto"/>
          <w:sz w:val="24"/>
          <w:highlight w:val="none"/>
        </w:rPr>
      </w:pPr>
      <w:r>
        <w:rPr>
          <w:rFonts w:hint="eastAsia" w:ascii="宋体" w:hAnsi="宋体" w:cs="宋体"/>
          <w:bCs/>
          <w:color w:val="auto"/>
          <w:szCs w:val="21"/>
          <w:highlight w:val="none"/>
        </w:rPr>
        <w:t>▲</w:t>
      </w:r>
      <w:r>
        <w:rPr>
          <w:rFonts w:hint="eastAsia" w:ascii="宋体" w:hAnsi="宋体"/>
          <w:color w:val="auto"/>
          <w:sz w:val="24"/>
          <w:highlight w:val="none"/>
        </w:rPr>
        <w:t>10.供应商在参与政府采购活动中所签署的一切文件，包括但不限于签到表、《政府采购活动现场确认声明书》等文件，特别是有关利害关系应如实填写、如实披露，供应商授权参与政府采购的人员视为应当知道与采购人、其他供应商之间的利害关系。如未如实披露，则视为提供虚假材料，由供应商承担不利后果。</w:t>
      </w:r>
    </w:p>
    <w:p>
      <w:pPr>
        <w:pStyle w:val="38"/>
        <w:snapToGrid w:val="0"/>
        <w:spacing w:line="360" w:lineRule="auto"/>
        <w:ind w:firstLine="480"/>
        <w:rPr>
          <w:rFonts w:ascii="宋体" w:hAnsi="宋体"/>
          <w:color w:val="auto"/>
          <w:sz w:val="24"/>
          <w:highlight w:val="none"/>
        </w:rPr>
      </w:pPr>
      <w:r>
        <w:rPr>
          <w:rFonts w:hint="eastAsia" w:ascii="宋体" w:hAnsi="宋体"/>
          <w:color w:val="auto"/>
          <w:sz w:val="24"/>
          <w:highlight w:val="none"/>
        </w:rPr>
        <w:t>11.本项目不允许转包、分包（不含劳务分包）。</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三、磋商文件</w:t>
      </w:r>
    </w:p>
    <w:p>
      <w:pPr>
        <w:pStyle w:val="38"/>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（一）磋商文件由磋商文件总目录所列内容组成。</w:t>
      </w:r>
    </w:p>
    <w:p>
      <w:pPr>
        <w:pStyle w:val="38"/>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（二）供应商在规定的时间内未对磋商文件提出疑问、质疑或要求澄清的，将视其为无异议。</w:t>
      </w:r>
    </w:p>
    <w:p>
      <w:pPr>
        <w:pStyle w:val="38"/>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（三）对磋商文件中描述有歧义或前后不一致的地方，磋商小组有权进行评判，但对同一条款的评判应适用于每个供应商。</w:t>
      </w:r>
    </w:p>
    <w:p>
      <w:pPr>
        <w:pStyle w:val="38"/>
        <w:snapToGrid w:val="0"/>
        <w:spacing w:line="360" w:lineRule="auto"/>
        <w:ind w:firstLine="480"/>
        <w:rPr>
          <w:rFonts w:asciiTheme="minorEastAsia" w:hAnsiTheme="minorEastAsia" w:eastAsiaTheme="minorEastAsia"/>
          <w:color w:val="auto"/>
          <w:kern w:val="0"/>
          <w:sz w:val="24"/>
          <w:highlight w:val="none"/>
        </w:rPr>
      </w:pPr>
      <w:r>
        <w:rPr>
          <w:rFonts w:hint="eastAsia" w:asciiTheme="minorEastAsia" w:hAnsiTheme="minorEastAsia" w:eastAsiaTheme="minorEastAsia" w:cstheme="minorBidi"/>
          <w:color w:val="auto"/>
          <w:sz w:val="24"/>
          <w:highlight w:val="none"/>
        </w:rPr>
        <w:t>（四）采购组织机构对磋商文件进行必要的澄清更正的，澄清或者修改的内容可能影响磋商文件编制的，于磋商截止时间的5日前在浙江省政府采购网上以更正公告的形式通知各潜在的响应供应商。不足5日的，采购人或者采购组织机构应当顺延提交响应文件的截止时间。</w:t>
      </w:r>
    </w:p>
    <w:p>
      <w:pPr>
        <w:tabs>
          <w:tab w:val="left" w:pos="1418"/>
        </w:tabs>
        <w:autoSpaceDE w:val="0"/>
        <w:autoSpaceDN w:val="0"/>
        <w:adjustRightIn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四、响应文件</w:t>
      </w:r>
    </w:p>
    <w:p>
      <w:pPr>
        <w:pStyle w:val="7"/>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（一）响应文件的编制</w:t>
      </w:r>
    </w:p>
    <w:p>
      <w:pPr>
        <w:pStyle w:val="7"/>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color w:val="auto"/>
          <w:kern w:val="0"/>
          <w:sz w:val="24"/>
          <w:highlight w:val="none"/>
        </w:rPr>
        <w:t>供应商接到磋商文件后，按照采购组织机构的要求提供：磋商响应文件</w:t>
      </w:r>
      <w:r>
        <w:rPr>
          <w:rFonts w:hint="eastAsia" w:asciiTheme="minorEastAsia" w:hAnsiTheme="minorEastAsia" w:eastAsiaTheme="minorEastAsia"/>
          <w:color w:val="auto"/>
          <w:kern w:val="0"/>
          <w:sz w:val="24"/>
          <w:highlight w:val="none"/>
          <w:lang w:val="zh-CN"/>
        </w:rPr>
        <w:t>。【特别提示：如在磋商响应时有要求提供资料原件的，将原件扫描放入响应文件。】</w:t>
      </w:r>
      <w:r>
        <w:rPr>
          <w:rFonts w:hint="eastAsia" w:asciiTheme="minorEastAsia" w:hAnsiTheme="minorEastAsia" w:eastAsiaTheme="minorEastAsia"/>
          <w:bCs/>
          <w:color w:val="auto"/>
          <w:kern w:val="0"/>
          <w:sz w:val="24"/>
          <w:highlight w:val="none"/>
        </w:rPr>
        <w:t>本磋商文件中若有多标项的，若参与多标项磋商的，则按每个标项分别独立编制磋商响应文件。</w:t>
      </w:r>
    </w:p>
    <w:p>
      <w:pPr>
        <w:snapToGrid w:val="0"/>
        <w:spacing w:line="360" w:lineRule="auto"/>
        <w:ind w:firstLine="482" w:firstLineChars="200"/>
        <w:rPr>
          <w:rFonts w:ascii="宋体" w:hAnsi="宋体"/>
          <w:color w:val="auto"/>
          <w:kern w:val="0"/>
          <w:sz w:val="24"/>
          <w:highlight w:val="none"/>
        </w:rPr>
      </w:pPr>
      <w:r>
        <w:rPr>
          <w:rFonts w:hint="eastAsia" w:ascii="宋体" w:hAnsi="宋体"/>
          <w:b/>
          <w:color w:val="auto"/>
          <w:sz w:val="24"/>
          <w:highlight w:val="none"/>
        </w:rPr>
        <w:t>1.资格证明内容的组成：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b/>
          <w:color w:val="auto"/>
          <w:sz w:val="24"/>
          <w:highlight w:val="none"/>
        </w:rPr>
        <w:t>▲</w:t>
      </w:r>
      <w:r>
        <w:rPr>
          <w:rFonts w:hint="eastAsia" w:ascii="宋体" w:hAnsi="宋体" w:cs="宋体"/>
          <w:color w:val="auto"/>
          <w:sz w:val="24"/>
          <w:highlight w:val="none"/>
        </w:rPr>
        <w:t>磋商声明书（格式见附件）；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b/>
          <w:color w:val="auto"/>
          <w:sz w:val="24"/>
          <w:highlight w:val="none"/>
        </w:rPr>
        <w:t>▲</w:t>
      </w:r>
      <w:r>
        <w:rPr>
          <w:rFonts w:hint="eastAsia" w:ascii="宋体" w:hAnsi="宋体" w:cs="宋体"/>
          <w:color w:val="auto"/>
          <w:sz w:val="24"/>
          <w:highlight w:val="none"/>
        </w:rPr>
        <w:t>授权委托书（格式见附件，法定代表人或负责人亲自办理磋商事宜的，则仅需提供身份证扫描件或影印件，无需提交本授权书)；</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b/>
          <w:color w:val="auto"/>
          <w:sz w:val="24"/>
          <w:highlight w:val="none"/>
        </w:rPr>
        <w:t>▲</w:t>
      </w:r>
      <w:r>
        <w:rPr>
          <w:rFonts w:hint="eastAsia" w:ascii="宋体" w:hAnsi="宋体" w:cs="宋体"/>
          <w:color w:val="auto"/>
          <w:sz w:val="24"/>
          <w:highlight w:val="none"/>
        </w:rPr>
        <w:t>法人或者其他组织的营业执照等证明文件；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b/>
          <w:color w:val="auto"/>
          <w:sz w:val="24"/>
          <w:highlight w:val="none"/>
        </w:rPr>
        <w:t>▲</w:t>
      </w:r>
      <w:r>
        <w:rPr>
          <w:rFonts w:hint="eastAsia" w:ascii="宋体" w:hAnsi="宋体" w:cs="宋体"/>
          <w:color w:val="auto"/>
          <w:sz w:val="24"/>
          <w:highlight w:val="none"/>
        </w:rPr>
        <w:t>符合参与政府采购活动的资格条件、具备良好的商业信誉和健全的财务会计制度并且没有税收缴纳、社会保障等方面的失信记录的承诺函（格式见附件）；</w:t>
      </w:r>
    </w:p>
    <w:p>
      <w:pPr>
        <w:pStyle w:val="7"/>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b/>
          <w:color w:val="auto"/>
          <w:sz w:val="24"/>
          <w:highlight w:val="none"/>
        </w:rPr>
        <w:t>▲</w:t>
      </w:r>
      <w:r>
        <w:rPr>
          <w:rFonts w:hint="eastAsia" w:ascii="宋体" w:hAnsi="宋体" w:cs="宋体"/>
          <w:color w:val="auto"/>
          <w:sz w:val="24"/>
          <w:highlight w:val="none"/>
        </w:rPr>
        <w:t>具备履行合同所必需的设备和专业技术能力的承诺函(格式见附件)；</w:t>
      </w:r>
    </w:p>
    <w:p>
      <w:pPr>
        <w:snapToGrid w:val="0"/>
        <w:spacing w:line="360" w:lineRule="auto"/>
        <w:ind w:firstLine="480" w:firstLineChars="200"/>
        <w:rPr>
          <w:rFonts w:ascii="宋体" w:hAnsi="宋体"/>
          <w:color w:val="auto"/>
          <w:kern w:val="0"/>
          <w:sz w:val="24"/>
          <w:highlight w:val="none"/>
        </w:rPr>
      </w:pPr>
      <w:bookmarkStart w:id="63" w:name="OLE_LINK91"/>
      <w:bookmarkStart w:id="64" w:name="OLE_LINK92"/>
      <w:r>
        <w:rPr>
          <w:rFonts w:hint="eastAsia" w:ascii="宋体" w:hAnsi="宋体"/>
          <w:color w:val="auto"/>
          <w:kern w:val="0"/>
          <w:sz w:val="24"/>
          <w:highlight w:val="none"/>
        </w:rPr>
        <w:t>（6）</w:t>
      </w:r>
      <w:r>
        <w:rPr>
          <w:rFonts w:hint="eastAsia" w:ascii="宋体" w:hAnsi="宋体" w:cs="宋体"/>
          <w:b/>
          <w:color w:val="auto"/>
          <w:sz w:val="24"/>
          <w:highlight w:val="none"/>
        </w:rPr>
        <w:t>▲</w:t>
      </w:r>
      <w:bookmarkStart w:id="65" w:name="OLE_LINK54"/>
      <w:bookmarkStart w:id="66" w:name="OLE_LINK55"/>
      <w:r>
        <w:rPr>
          <w:rFonts w:hint="eastAsia" w:ascii="宋体" w:hAnsi="宋体"/>
          <w:color w:val="auto"/>
          <w:kern w:val="0"/>
          <w:sz w:val="24"/>
          <w:highlight w:val="none"/>
        </w:rPr>
        <w:t>《</w:t>
      </w:r>
      <w:bookmarkStart w:id="67" w:name="OLE_LINK56"/>
      <w:r>
        <w:rPr>
          <w:rFonts w:hint="eastAsia" w:ascii="宋体" w:hAnsi="宋体"/>
          <w:color w:val="auto"/>
          <w:kern w:val="0"/>
          <w:sz w:val="24"/>
          <w:highlight w:val="none"/>
        </w:rPr>
        <w:t>建筑业企业资质证书</w:t>
      </w:r>
      <w:bookmarkEnd w:id="67"/>
      <w:r>
        <w:rPr>
          <w:rFonts w:hint="eastAsia" w:ascii="宋体" w:hAnsi="宋体"/>
          <w:color w:val="auto"/>
          <w:kern w:val="0"/>
          <w:sz w:val="24"/>
          <w:highlight w:val="none"/>
        </w:rPr>
        <w:t>》扫描件</w:t>
      </w:r>
      <w:bookmarkEnd w:id="65"/>
      <w:bookmarkEnd w:id="66"/>
      <w:r>
        <w:rPr>
          <w:rFonts w:hint="eastAsia" w:ascii="宋体" w:hAnsi="宋体"/>
          <w:color w:val="auto"/>
          <w:kern w:val="0"/>
          <w:sz w:val="24"/>
          <w:highlight w:val="none"/>
        </w:rPr>
        <w:t>或影印件（若为住房和城乡建设部同意企业资质电子化试点的省、市可提供企业电子资质证书或网页截图），《建筑业企业资质证书》上的有关内容均以全国建筑市场监管公共服务平台查询网址：</w:t>
      </w:r>
      <w:r>
        <w:rPr>
          <w:rFonts w:ascii="宋体" w:hAnsi="宋体"/>
          <w:color w:val="auto"/>
          <w:kern w:val="0"/>
          <w:sz w:val="24"/>
          <w:highlight w:val="none"/>
        </w:rPr>
        <w:t>http://jzsc.mohurd.gov.cn/</w:t>
      </w:r>
      <w:r>
        <w:rPr>
          <w:rFonts w:hint="eastAsia" w:ascii="宋体" w:hAnsi="宋体"/>
          <w:color w:val="auto"/>
          <w:kern w:val="0"/>
          <w:sz w:val="24"/>
          <w:highlight w:val="none"/>
        </w:rPr>
        <w:t>中查询结果为准。</w:t>
      </w:r>
    </w:p>
    <w:p>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（7）</w:t>
      </w:r>
      <w:r>
        <w:rPr>
          <w:rFonts w:hint="eastAsia" w:ascii="宋体" w:hAnsi="宋体" w:cs="宋体"/>
          <w:b/>
          <w:color w:val="auto"/>
          <w:sz w:val="24"/>
          <w:highlight w:val="none"/>
        </w:rPr>
        <w:t>▲</w:t>
      </w:r>
      <w:r>
        <w:rPr>
          <w:rFonts w:hint="eastAsia" w:ascii="宋体" w:hAnsi="宋体" w:cs="宋体"/>
          <w:color w:val="auto"/>
          <w:sz w:val="24"/>
          <w:highlight w:val="none"/>
        </w:rPr>
        <w:t>供应商</w:t>
      </w:r>
      <w:r>
        <w:rPr>
          <w:rFonts w:hint="eastAsia" w:ascii="宋体" w:hAnsi="宋体"/>
          <w:color w:val="auto"/>
          <w:kern w:val="0"/>
          <w:sz w:val="24"/>
          <w:highlight w:val="none"/>
        </w:rPr>
        <w:t>在响应截止当周或前一周的周一在“浙江省建筑市场监管公共服务系统”</w:t>
      </w:r>
      <w:r>
        <w:rPr>
          <w:rFonts w:hint="eastAsia" w:ascii="宋体" w:hAnsi="宋体" w:cs="宋体"/>
          <w:color w:val="auto"/>
          <w:kern w:val="0"/>
          <w:sz w:val="24"/>
          <w:highlight w:val="none"/>
        </w:rPr>
        <w:t>上动态核查结果处于“合格”状态</w:t>
      </w:r>
      <w:r>
        <w:rPr>
          <w:rFonts w:hint="eastAsia" w:ascii="宋体" w:hAnsi="宋体"/>
          <w:color w:val="auto"/>
          <w:kern w:val="0"/>
          <w:sz w:val="24"/>
          <w:highlight w:val="none"/>
        </w:rPr>
        <w:t>证明扫描件或影印件。</w:t>
      </w:r>
    </w:p>
    <w:p>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（8）</w:t>
      </w:r>
      <w:bookmarkStart w:id="68" w:name="OLE_LINK10"/>
      <w:bookmarkStart w:id="69" w:name="OLE_LINK9"/>
      <w:r>
        <w:rPr>
          <w:rFonts w:hint="eastAsia" w:ascii="宋体" w:hAnsi="宋体" w:cs="宋体"/>
          <w:b/>
          <w:color w:val="auto"/>
          <w:sz w:val="24"/>
          <w:highlight w:val="none"/>
        </w:rPr>
        <w:t>▲</w:t>
      </w:r>
      <w:bookmarkEnd w:id="68"/>
      <w:bookmarkEnd w:id="69"/>
      <w:r>
        <w:rPr>
          <w:rFonts w:hint="eastAsia" w:ascii="宋体" w:hAnsi="宋体"/>
          <w:color w:val="auto"/>
          <w:kern w:val="0"/>
          <w:sz w:val="24"/>
          <w:highlight w:val="none"/>
        </w:rPr>
        <w:t>安全生产许可证副本扫描件或影印件；</w:t>
      </w:r>
    </w:p>
    <w:p>
      <w:pPr>
        <w:snapToGri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（9）</w:t>
      </w:r>
      <w:r>
        <w:rPr>
          <w:rFonts w:hint="eastAsia" w:ascii="宋体" w:hAnsi="宋体" w:cs="宋体"/>
          <w:b/>
          <w:color w:val="auto"/>
          <w:sz w:val="24"/>
          <w:highlight w:val="none"/>
        </w:rPr>
        <w:t>▲</w:t>
      </w:r>
      <w:r>
        <w:rPr>
          <w:rFonts w:hint="eastAsia" w:ascii="宋体" w:hAnsi="宋体"/>
          <w:color w:val="auto"/>
          <w:kern w:val="0"/>
          <w:sz w:val="24"/>
          <w:highlight w:val="none"/>
        </w:rPr>
        <w:t>如为浙江省省外企业还须还应具有《省外企业进浙承接业务备案证明》扫描件或“浙江省建筑市场监管公共服务系统”对外发布的通过审核形成的备案信息网页截图；</w:t>
      </w:r>
    </w:p>
    <w:bookmarkEnd w:id="63"/>
    <w:bookmarkEnd w:id="64"/>
    <w:p>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（10）</w:t>
      </w:r>
      <w:bookmarkStart w:id="70" w:name="OLE_LINK12"/>
      <w:bookmarkStart w:id="71" w:name="OLE_LINK11"/>
      <w:r>
        <w:rPr>
          <w:rFonts w:hint="eastAsia" w:ascii="宋体" w:hAnsi="宋体" w:cs="宋体"/>
          <w:b/>
          <w:color w:val="auto"/>
          <w:sz w:val="24"/>
          <w:highlight w:val="none"/>
        </w:rPr>
        <w:t>▲</w:t>
      </w:r>
      <w:bookmarkEnd w:id="70"/>
      <w:bookmarkEnd w:id="71"/>
      <w:r>
        <w:rPr>
          <w:rFonts w:hint="eastAsia" w:ascii="宋体" w:hAnsi="宋体" w:cs="宋体"/>
          <w:color w:val="auto"/>
          <w:sz w:val="24"/>
          <w:highlight w:val="none"/>
        </w:rPr>
        <w:t>落实政府采购政策需满足资格要求声明函等[提供中小企业声明函（格式见附件）或残疾人福利性单位声明函（格式见附件）或监狱企业证明文件]；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w:t>
      </w:r>
      <w:r>
        <w:rPr>
          <w:rFonts w:hint="eastAsia" w:ascii="宋体" w:hAnsi="宋体"/>
          <w:color w:val="auto"/>
          <w:kern w:val="0"/>
          <w:sz w:val="24"/>
          <w:highlight w:val="none"/>
        </w:rPr>
        <w:t>需要说明的其他资料（如有）。</w:t>
      </w:r>
    </w:p>
    <w:p>
      <w:pPr>
        <w:snapToGrid w:val="0"/>
        <w:spacing w:line="360" w:lineRule="auto"/>
        <w:ind w:firstLine="482" w:firstLineChars="200"/>
        <w:rPr>
          <w:rFonts w:ascii="宋体" w:hAnsi="宋体" w:cs="宋体"/>
          <w:color w:val="auto"/>
          <w:sz w:val="24"/>
          <w:highlight w:val="none"/>
          <w:u w:val="single"/>
        </w:rPr>
      </w:pPr>
      <w:r>
        <w:rPr>
          <w:rFonts w:hint="eastAsia" w:ascii="宋体" w:hAnsi="宋体"/>
          <w:b/>
          <w:color w:val="auto"/>
          <w:sz w:val="24"/>
          <w:highlight w:val="none"/>
        </w:rPr>
        <w:t>2.商务与技术内容的组成：</w:t>
      </w:r>
    </w:p>
    <w:p>
      <w:pPr>
        <w:pStyle w:val="7"/>
        <w:widowControl/>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（1）评分索引表（格式见附件）</w:t>
      </w:r>
      <w:r>
        <w:rPr>
          <w:rFonts w:hint="eastAsia" w:ascii="宋体" w:hAnsi="宋体" w:cs="宋体"/>
          <w:color w:val="auto"/>
          <w:sz w:val="24"/>
          <w:highlight w:val="none"/>
        </w:rPr>
        <w:t>；</w:t>
      </w:r>
    </w:p>
    <w:p>
      <w:pPr>
        <w:pStyle w:val="7"/>
        <w:widowControl/>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（2）投标函（格式见附件）</w:t>
      </w:r>
      <w:r>
        <w:rPr>
          <w:rFonts w:hint="eastAsia" w:ascii="宋体" w:hAnsi="宋体" w:cs="宋体"/>
          <w:color w:val="auto"/>
          <w:sz w:val="24"/>
          <w:highlight w:val="none"/>
        </w:rPr>
        <w:t>；</w:t>
      </w:r>
    </w:p>
    <w:p>
      <w:pPr>
        <w:pStyle w:val="7"/>
        <w:widowControl/>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（3）供应商基本情况表（</w:t>
      </w:r>
      <w:r>
        <w:rPr>
          <w:rFonts w:ascii="宋体" w:hAnsi="宋体"/>
          <w:color w:val="auto"/>
          <w:sz w:val="24"/>
          <w:highlight w:val="none"/>
        </w:rPr>
        <w:t>格式</w:t>
      </w:r>
      <w:r>
        <w:rPr>
          <w:rFonts w:hint="eastAsia" w:ascii="宋体" w:hAnsi="宋体"/>
          <w:color w:val="auto"/>
          <w:sz w:val="24"/>
          <w:highlight w:val="none"/>
        </w:rPr>
        <w:t>见附件）</w:t>
      </w:r>
      <w:r>
        <w:rPr>
          <w:rFonts w:hint="eastAsia" w:ascii="宋体" w:hAnsi="宋体" w:cs="宋体"/>
          <w:color w:val="auto"/>
          <w:sz w:val="24"/>
          <w:highlight w:val="none"/>
        </w:rPr>
        <w:t>；</w:t>
      </w:r>
    </w:p>
    <w:p>
      <w:pPr>
        <w:pStyle w:val="7"/>
        <w:widowControl/>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（4）《证书、证明材料一览表》（</w:t>
      </w:r>
      <w:r>
        <w:rPr>
          <w:rFonts w:ascii="宋体" w:hAnsi="宋体"/>
          <w:color w:val="auto"/>
          <w:sz w:val="24"/>
          <w:highlight w:val="none"/>
        </w:rPr>
        <w:t>格式</w:t>
      </w:r>
      <w:r>
        <w:rPr>
          <w:rFonts w:hint="eastAsia" w:ascii="宋体" w:hAnsi="宋体"/>
          <w:color w:val="auto"/>
          <w:sz w:val="24"/>
          <w:highlight w:val="none"/>
        </w:rPr>
        <w:t>见附件）</w:t>
      </w:r>
      <w:r>
        <w:rPr>
          <w:rFonts w:hint="eastAsia" w:ascii="宋体" w:hAnsi="宋体" w:cs="宋体"/>
          <w:color w:val="auto"/>
          <w:sz w:val="24"/>
          <w:highlight w:val="none"/>
        </w:rPr>
        <w:t>；</w:t>
      </w:r>
    </w:p>
    <w:p>
      <w:pPr>
        <w:pStyle w:val="7"/>
        <w:widowControl/>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（5）《项目组成员一览表》（</w:t>
      </w:r>
      <w:r>
        <w:rPr>
          <w:rFonts w:ascii="宋体" w:hAnsi="宋体"/>
          <w:color w:val="auto"/>
          <w:sz w:val="24"/>
          <w:highlight w:val="none"/>
        </w:rPr>
        <w:t>格式</w:t>
      </w:r>
      <w:r>
        <w:rPr>
          <w:rFonts w:hint="eastAsia" w:ascii="宋体" w:hAnsi="宋体"/>
          <w:color w:val="auto"/>
          <w:sz w:val="24"/>
          <w:highlight w:val="none"/>
        </w:rPr>
        <w:t>见附件）及相关证明材料</w:t>
      </w:r>
      <w:r>
        <w:rPr>
          <w:rFonts w:hint="eastAsia" w:ascii="宋体" w:hAnsi="宋体" w:cs="宋体"/>
          <w:color w:val="auto"/>
          <w:sz w:val="24"/>
          <w:highlight w:val="none"/>
        </w:rPr>
        <w:t>；</w:t>
      </w:r>
    </w:p>
    <w:p>
      <w:pPr>
        <w:pStyle w:val="7"/>
        <w:widowControl/>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（6）</w:t>
      </w:r>
      <w:r>
        <w:rPr>
          <w:rFonts w:hint="eastAsia" w:ascii="宋体" w:hAnsi="宋体" w:cs="宋体"/>
          <w:b/>
          <w:color w:val="auto"/>
          <w:sz w:val="24"/>
          <w:highlight w:val="none"/>
        </w:rPr>
        <w:t>▲</w:t>
      </w:r>
      <w:r>
        <w:rPr>
          <w:rFonts w:hint="eastAsia" w:ascii="宋体" w:hAnsi="宋体" w:cs="宋体"/>
          <w:color w:val="auto"/>
          <w:sz w:val="24"/>
          <w:highlight w:val="none"/>
        </w:rPr>
        <w:t>项目负责人的建造师注册证书扫描件或影印件，若为住房和城乡建设部同意的建设领域从业人员有关证书电子化试点的省、市，可只提供电子证书影印件或网页截图；若委派项目负责人为一级建造师的，须提供电子证书。一级建造师注册证书须执行住房和城乡建设部的文件（建办市[2021]40号）的相关规定。一级建造师电子证书打印后，应在个人签名处手写本人签名，未手写签名或与签名图像笔迹不一致的，该电子证书无效；</w:t>
      </w:r>
    </w:p>
    <w:p>
      <w:pPr>
        <w:pStyle w:val="7"/>
        <w:widowControl/>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（7）</w:t>
      </w:r>
      <w:r>
        <w:rPr>
          <w:rFonts w:hint="eastAsia" w:ascii="宋体" w:hAnsi="宋体" w:cs="宋体"/>
          <w:b/>
          <w:color w:val="auto"/>
          <w:sz w:val="24"/>
          <w:highlight w:val="none"/>
        </w:rPr>
        <w:t>▲</w:t>
      </w:r>
      <w:r>
        <w:rPr>
          <w:rFonts w:hint="eastAsia" w:ascii="宋体" w:hAnsi="宋体"/>
          <w:color w:val="auto"/>
          <w:sz w:val="24"/>
          <w:highlight w:val="none"/>
        </w:rPr>
        <w:t>商务与技术</w:t>
      </w:r>
      <w:r>
        <w:rPr>
          <w:rFonts w:ascii="宋体" w:hAnsi="宋体"/>
          <w:color w:val="auto"/>
          <w:sz w:val="24"/>
          <w:highlight w:val="none"/>
        </w:rPr>
        <w:t>需求响应表（填制时对应第</w:t>
      </w:r>
      <w:r>
        <w:rPr>
          <w:rFonts w:hint="eastAsia" w:ascii="宋体" w:hAnsi="宋体"/>
          <w:color w:val="auto"/>
          <w:sz w:val="24"/>
          <w:highlight w:val="none"/>
        </w:rPr>
        <w:t>三章</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格式</w:t>
      </w:r>
      <w:r>
        <w:rPr>
          <w:rFonts w:hint="eastAsia" w:ascii="宋体" w:hAnsi="宋体"/>
          <w:color w:val="auto"/>
          <w:sz w:val="24"/>
          <w:highlight w:val="none"/>
        </w:rPr>
        <w:t>见附件）；</w:t>
      </w:r>
    </w:p>
    <w:p>
      <w:pPr>
        <w:pStyle w:val="7"/>
        <w:widowControl/>
        <w:adjustRightInd w:val="0"/>
        <w:snapToGri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（8）</w:t>
      </w:r>
      <w:r>
        <w:rPr>
          <w:rFonts w:ascii="宋体" w:hAnsi="宋体"/>
          <w:color w:val="auto"/>
          <w:kern w:val="0"/>
          <w:sz w:val="24"/>
          <w:highlight w:val="none"/>
        </w:rPr>
        <w:t>《类似项目实施情况一览表》（</w:t>
      </w:r>
      <w:r>
        <w:rPr>
          <w:rFonts w:ascii="宋体" w:hAnsi="宋体"/>
          <w:color w:val="auto"/>
          <w:sz w:val="24"/>
          <w:highlight w:val="none"/>
        </w:rPr>
        <w:t>格式</w:t>
      </w:r>
      <w:r>
        <w:rPr>
          <w:rFonts w:hint="eastAsia" w:ascii="宋体" w:hAnsi="宋体"/>
          <w:color w:val="auto"/>
          <w:sz w:val="24"/>
          <w:highlight w:val="none"/>
        </w:rPr>
        <w:t>见附件</w:t>
      </w:r>
      <w:r>
        <w:rPr>
          <w:rFonts w:ascii="宋体" w:hAnsi="宋体"/>
          <w:color w:val="auto"/>
          <w:kern w:val="0"/>
          <w:sz w:val="24"/>
          <w:highlight w:val="none"/>
        </w:rPr>
        <w:t>）及相关证明材料；</w:t>
      </w:r>
    </w:p>
    <w:p>
      <w:pPr>
        <w:pStyle w:val="7"/>
        <w:widowControl/>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（9）对应评审方法磋商供应商认为需要提供的其他资料或需要说明的其他内容（如有，格式自拟）。</w:t>
      </w:r>
    </w:p>
    <w:p>
      <w:pPr>
        <w:autoSpaceDE w:val="0"/>
        <w:autoSpaceDN w:val="0"/>
        <w:adjustRightInd w:val="0"/>
        <w:spacing w:line="360" w:lineRule="auto"/>
        <w:ind w:left="426" w:firstLine="65" w:firstLineChars="27"/>
        <w:rPr>
          <w:rFonts w:ascii="宋体" w:hAnsi="宋体"/>
          <w:b/>
          <w:color w:val="auto"/>
          <w:kern w:val="0"/>
          <w:sz w:val="24"/>
          <w:highlight w:val="none"/>
        </w:rPr>
      </w:pPr>
      <w:r>
        <w:rPr>
          <w:rFonts w:hint="eastAsia" w:ascii="宋体" w:hAnsi="宋体"/>
          <w:b/>
          <w:color w:val="auto"/>
          <w:kern w:val="0"/>
          <w:sz w:val="24"/>
          <w:highlight w:val="none"/>
        </w:rPr>
        <w:t>3.报价内容的组成</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w:t>
      </w:r>
      <w:r>
        <w:rPr>
          <w:rFonts w:hint="eastAsia" w:ascii="宋体" w:hAnsi="宋体" w:cs="宋体"/>
          <w:b/>
          <w:color w:val="auto"/>
          <w:sz w:val="24"/>
          <w:highlight w:val="none"/>
        </w:rPr>
        <w:t>▲</w:t>
      </w:r>
      <w:r>
        <w:rPr>
          <w:rFonts w:hint="eastAsia" w:asciiTheme="minorEastAsia" w:hAnsiTheme="minorEastAsia" w:eastAsiaTheme="minorEastAsia"/>
          <w:color w:val="auto"/>
          <w:kern w:val="0"/>
          <w:sz w:val="24"/>
          <w:highlight w:val="none"/>
        </w:rPr>
        <w:t>首次报价一览表（</w:t>
      </w:r>
      <w:r>
        <w:rPr>
          <w:rFonts w:asciiTheme="minorEastAsia" w:hAnsiTheme="minorEastAsia" w:eastAsiaTheme="minorEastAsia" w:cstheme="minorBidi"/>
          <w:color w:val="auto"/>
          <w:sz w:val="24"/>
          <w:highlight w:val="none"/>
        </w:rPr>
        <w:t>格式</w:t>
      </w:r>
      <w:r>
        <w:rPr>
          <w:rFonts w:hint="eastAsia" w:asciiTheme="minorEastAsia" w:hAnsiTheme="minorEastAsia" w:eastAsiaTheme="minorEastAsia" w:cstheme="minorBidi"/>
          <w:color w:val="auto"/>
          <w:sz w:val="24"/>
          <w:highlight w:val="none"/>
        </w:rPr>
        <w:t>见附件</w:t>
      </w:r>
      <w:r>
        <w:rPr>
          <w:rFonts w:hint="eastAsia" w:asciiTheme="minorEastAsia" w:hAnsiTheme="minorEastAsia" w:eastAsiaTheme="minorEastAsia"/>
          <w:color w:val="auto"/>
          <w:kern w:val="0"/>
          <w:sz w:val="24"/>
          <w:highlight w:val="none"/>
        </w:rPr>
        <w:t>）；</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（2）针对报价供应商认为其他需要说明的内容（如有）。</w:t>
      </w:r>
    </w:p>
    <w:p>
      <w:pPr>
        <w:pStyle w:val="7"/>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（二）报价</w:t>
      </w:r>
    </w:p>
    <w:p>
      <w:pPr>
        <w:pStyle w:val="7"/>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1.供应商应按照采购需求内容、责任范围以及合同条款进行报价。并按规定的格式报出总价。总价中不得包含磋商文件要求以外的内容，否则，在评审时不予核减。</w:t>
      </w:r>
    </w:p>
    <w:p>
      <w:pPr>
        <w:pStyle w:val="7"/>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2.磋商报价包括本项目采购需求和投入使用的所有费用，</w:t>
      </w:r>
      <w:r>
        <w:rPr>
          <w:rFonts w:hint="eastAsia" w:ascii="宋体" w:hAnsi="宋体" w:cs="宋体"/>
          <w:color w:val="auto"/>
          <w:kern w:val="0"/>
          <w:sz w:val="24"/>
          <w:highlight w:val="none"/>
        </w:rPr>
        <w:t>包括</w:t>
      </w:r>
      <w:r>
        <w:rPr>
          <w:rFonts w:hint="eastAsia" w:asciiTheme="minorEastAsia" w:hAnsiTheme="minorEastAsia" w:eastAsiaTheme="minorEastAsia"/>
          <w:bCs/>
          <w:color w:val="auto"/>
          <w:kern w:val="0"/>
          <w:sz w:val="24"/>
          <w:highlight w:val="none"/>
        </w:rPr>
        <w:t>分部分项工程费、措施项目费、其他项目费、规费和税金等</w:t>
      </w:r>
      <w:r>
        <w:rPr>
          <w:rFonts w:hint="eastAsia" w:ascii="宋体" w:hAnsi="宋体" w:cs="宋体"/>
          <w:color w:val="auto"/>
          <w:kern w:val="0"/>
          <w:sz w:val="24"/>
          <w:highlight w:val="none"/>
        </w:rPr>
        <w:t>完成磋商文件规定的所有工作内容的所有费用</w:t>
      </w:r>
      <w:r>
        <w:rPr>
          <w:rFonts w:hint="eastAsia" w:asciiTheme="minorEastAsia" w:hAnsiTheme="minorEastAsia" w:eastAsiaTheme="minorEastAsia"/>
          <w:bCs/>
          <w:color w:val="auto"/>
          <w:kern w:val="0"/>
          <w:sz w:val="24"/>
          <w:highlight w:val="none"/>
        </w:rPr>
        <w:t>。</w:t>
      </w:r>
      <w:r>
        <w:rPr>
          <w:rFonts w:hint="eastAsia" w:ascii="宋体" w:hAnsi="宋体"/>
          <w:bCs/>
          <w:color w:val="auto"/>
          <w:kern w:val="0"/>
          <w:sz w:val="24"/>
          <w:highlight w:val="none"/>
        </w:rPr>
        <w:t>供应商应根据采购人提供的全套施工图纸、技术资料、预算以及本工程实际情况和自身的综合实力，竞报投标报价</w:t>
      </w:r>
      <w:r>
        <w:rPr>
          <w:rFonts w:hint="eastAsia" w:asciiTheme="minorEastAsia" w:hAnsiTheme="minorEastAsia" w:eastAsiaTheme="minorEastAsia"/>
          <w:bCs/>
          <w:color w:val="auto"/>
          <w:kern w:val="0"/>
          <w:sz w:val="24"/>
          <w:highlight w:val="none"/>
        </w:rPr>
        <w:t>。</w:t>
      </w:r>
    </w:p>
    <w:p>
      <w:pPr>
        <w:pStyle w:val="7"/>
        <w:spacing w:line="360" w:lineRule="auto"/>
        <w:ind w:firstLine="480" w:firstLineChars="200"/>
        <w:rPr>
          <w:rFonts w:ascii="宋体" w:hAnsi="宋体"/>
          <w:b/>
          <w:bCs/>
          <w:color w:val="auto"/>
          <w:kern w:val="0"/>
          <w:sz w:val="24"/>
          <w:highlight w:val="none"/>
        </w:rPr>
      </w:pPr>
      <w:r>
        <w:rPr>
          <w:rFonts w:hint="eastAsia" w:ascii="宋体" w:hAnsi="宋体"/>
          <w:bCs/>
          <w:color w:val="auto"/>
          <w:kern w:val="0"/>
          <w:sz w:val="24"/>
          <w:highlight w:val="none"/>
        </w:rPr>
        <w:t>3.</w:t>
      </w:r>
      <w:r>
        <w:rPr>
          <w:rFonts w:hint="eastAsia" w:ascii="宋体" w:hAnsi="宋体"/>
          <w:b/>
          <w:bCs/>
          <w:color w:val="auto"/>
          <w:kern w:val="0"/>
          <w:sz w:val="24"/>
          <w:highlight w:val="none"/>
        </w:rPr>
        <w:t>本工程采用一般计税法，税率为9%，供应商如为小规模纳税人，应承担税率不同产生的风险。</w:t>
      </w:r>
    </w:p>
    <w:p>
      <w:pPr>
        <w:pStyle w:val="7"/>
        <w:spacing w:line="360" w:lineRule="auto"/>
        <w:ind w:firstLine="480" w:firstLineChars="200"/>
        <w:rPr>
          <w:rFonts w:asciiTheme="minorEastAsia" w:hAnsiTheme="minorEastAsia" w:eastAsiaTheme="minorEastAsia"/>
          <w:bCs/>
          <w:color w:val="auto"/>
          <w:kern w:val="0"/>
          <w:sz w:val="24"/>
          <w:highlight w:val="none"/>
        </w:rPr>
      </w:pPr>
      <w:r>
        <w:rPr>
          <w:rFonts w:hint="eastAsia" w:ascii="宋体" w:hAnsi="宋体"/>
          <w:bCs/>
          <w:color w:val="auto"/>
          <w:kern w:val="0"/>
          <w:sz w:val="24"/>
          <w:highlight w:val="none"/>
        </w:rPr>
        <w:t>▲4</w:t>
      </w:r>
      <w:r>
        <w:rPr>
          <w:rFonts w:hint="eastAsia" w:asciiTheme="minorEastAsia" w:hAnsiTheme="minorEastAsia" w:eastAsiaTheme="minorEastAsia"/>
          <w:bCs/>
          <w:color w:val="auto"/>
          <w:kern w:val="0"/>
          <w:sz w:val="24"/>
          <w:highlight w:val="none"/>
        </w:rPr>
        <w:t>.磋商报价不得为选择性报价和附有条件的报价。</w:t>
      </w:r>
    </w:p>
    <w:p>
      <w:pPr>
        <w:pStyle w:val="7"/>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（三）响应文件的有效期</w:t>
      </w:r>
    </w:p>
    <w:p>
      <w:pPr>
        <w:pStyle w:val="7"/>
        <w:spacing w:line="360" w:lineRule="auto"/>
        <w:ind w:firstLine="480" w:firstLineChars="200"/>
        <w:rPr>
          <w:rFonts w:ascii="宋体" w:hAnsi="宋体"/>
          <w:color w:val="auto"/>
          <w:sz w:val="24"/>
          <w:highlight w:val="none"/>
          <w:lang w:val="en-GB"/>
        </w:rPr>
      </w:pPr>
      <w:r>
        <w:rPr>
          <w:rFonts w:hint="eastAsia" w:ascii="宋体" w:hAnsi="宋体"/>
          <w:color w:val="auto"/>
          <w:sz w:val="24"/>
          <w:highlight w:val="none"/>
        </w:rPr>
        <w:t>1.响应文件有效期为磋商</w:t>
      </w:r>
      <w:r>
        <w:rPr>
          <w:rFonts w:hint="eastAsia" w:ascii="宋体" w:hAnsi="宋体"/>
          <w:color w:val="auto"/>
          <w:sz w:val="24"/>
          <w:highlight w:val="none"/>
          <w:lang w:val="en-GB"/>
        </w:rPr>
        <w:t>截止日起90天。</w:t>
      </w:r>
    </w:p>
    <w:p>
      <w:pPr>
        <w:pStyle w:val="7"/>
        <w:spacing w:line="360" w:lineRule="auto"/>
        <w:ind w:firstLine="480" w:firstLineChars="200"/>
        <w:rPr>
          <w:rFonts w:ascii="宋体" w:hAnsi="宋体"/>
          <w:color w:val="auto"/>
          <w:sz w:val="24"/>
          <w:highlight w:val="none"/>
          <w:lang w:val="en-GB"/>
        </w:rPr>
      </w:pPr>
      <w:r>
        <w:rPr>
          <w:rFonts w:hint="eastAsia" w:ascii="宋体" w:hAnsi="宋体"/>
          <w:color w:val="auto"/>
          <w:sz w:val="24"/>
          <w:highlight w:val="none"/>
        </w:rPr>
        <w:t>2.</w:t>
      </w:r>
      <w:r>
        <w:rPr>
          <w:rFonts w:hint="eastAsia" w:ascii="宋体" w:hAnsi="宋体"/>
          <w:color w:val="auto"/>
          <w:sz w:val="24"/>
          <w:highlight w:val="none"/>
          <w:lang w:val="en-GB"/>
        </w:rPr>
        <w:t>在特殊情况下，采购人可与</w:t>
      </w:r>
      <w:r>
        <w:rPr>
          <w:rFonts w:hint="eastAsia" w:ascii="宋体" w:hAnsi="宋体"/>
          <w:color w:val="auto"/>
          <w:sz w:val="24"/>
          <w:highlight w:val="none"/>
        </w:rPr>
        <w:t>供应商</w:t>
      </w:r>
      <w:r>
        <w:rPr>
          <w:rFonts w:hint="eastAsia" w:ascii="宋体" w:hAnsi="宋体"/>
          <w:color w:val="auto"/>
          <w:sz w:val="24"/>
          <w:highlight w:val="none"/>
          <w:lang w:val="en-GB"/>
        </w:rPr>
        <w:t>协商延长</w:t>
      </w:r>
      <w:r>
        <w:rPr>
          <w:rFonts w:hint="eastAsia" w:ascii="宋体" w:hAnsi="宋体"/>
          <w:color w:val="auto"/>
          <w:sz w:val="24"/>
          <w:highlight w:val="none"/>
        </w:rPr>
        <w:t>响应</w:t>
      </w:r>
      <w:r>
        <w:rPr>
          <w:rFonts w:hint="eastAsia" w:ascii="宋体" w:hAnsi="宋体"/>
          <w:color w:val="auto"/>
          <w:sz w:val="24"/>
          <w:highlight w:val="none"/>
          <w:lang w:val="en-GB"/>
        </w:rPr>
        <w:t>文件的有效期，这种要求和答复均以书面形式进行。</w:t>
      </w:r>
    </w:p>
    <w:p>
      <w:pPr>
        <w:pStyle w:val="7"/>
        <w:spacing w:line="360" w:lineRule="auto"/>
        <w:ind w:firstLine="480" w:firstLineChars="200"/>
        <w:rPr>
          <w:rFonts w:ascii="宋体" w:hAnsi="宋体"/>
          <w:color w:val="auto"/>
          <w:sz w:val="24"/>
          <w:highlight w:val="none"/>
        </w:rPr>
      </w:pPr>
      <w:bookmarkStart w:id="72" w:name="_Toc92976594"/>
      <w:bookmarkStart w:id="73" w:name="_Toc8754"/>
      <w:r>
        <w:rPr>
          <w:rFonts w:hint="eastAsia" w:ascii="宋体" w:hAnsi="宋体"/>
          <w:color w:val="auto"/>
          <w:sz w:val="24"/>
          <w:highlight w:val="none"/>
        </w:rPr>
        <w:t>3.成交供应商</w:t>
      </w:r>
      <w:r>
        <w:rPr>
          <w:rFonts w:ascii="宋体" w:hAnsi="宋体"/>
          <w:color w:val="auto"/>
          <w:sz w:val="24"/>
          <w:highlight w:val="none"/>
        </w:rPr>
        <w:t>的</w:t>
      </w:r>
      <w:r>
        <w:rPr>
          <w:rFonts w:hint="eastAsia" w:ascii="宋体" w:hAnsi="宋体"/>
          <w:color w:val="auto"/>
          <w:sz w:val="24"/>
          <w:highlight w:val="none"/>
        </w:rPr>
        <w:t>磋商响应文件</w:t>
      </w:r>
      <w:r>
        <w:rPr>
          <w:rFonts w:ascii="宋体" w:hAnsi="宋体"/>
          <w:color w:val="auto"/>
          <w:sz w:val="24"/>
          <w:highlight w:val="none"/>
        </w:rPr>
        <w:t>自开标之日起至合同履行完毕均应保持有效。</w:t>
      </w:r>
      <w:bookmarkEnd w:id="72"/>
      <w:bookmarkEnd w:id="73"/>
    </w:p>
    <w:p>
      <w:pPr>
        <w:autoSpaceDE w:val="0"/>
        <w:autoSpaceDN w:val="0"/>
        <w:adjustRightInd w:val="0"/>
        <w:spacing w:line="360" w:lineRule="auto"/>
        <w:ind w:firstLine="482" w:firstLineChars="200"/>
        <w:rPr>
          <w:rFonts w:asciiTheme="minorEastAsia" w:hAnsiTheme="minorEastAsia"/>
          <w:b/>
          <w:bCs/>
          <w:color w:val="auto"/>
          <w:sz w:val="24"/>
          <w:highlight w:val="none"/>
        </w:rPr>
      </w:pPr>
      <w:bookmarkStart w:id="74" w:name="_Toc14235"/>
      <w:bookmarkStart w:id="75" w:name="_Toc92976595"/>
      <w:r>
        <w:rPr>
          <w:rFonts w:hint="eastAsia" w:asciiTheme="minorEastAsia" w:hAnsiTheme="minorEastAsia"/>
          <w:b/>
          <w:bCs/>
          <w:color w:val="auto"/>
          <w:sz w:val="24"/>
          <w:highlight w:val="none"/>
        </w:rPr>
        <w:t>（四）响应文件的签署</w:t>
      </w:r>
      <w:bookmarkEnd w:id="74"/>
      <w:bookmarkEnd w:id="75"/>
    </w:p>
    <w:p>
      <w:pPr>
        <w:pStyle w:val="7"/>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1.</w:t>
      </w:r>
      <w:r>
        <w:rPr>
          <w:rFonts w:hint="eastAsia" w:ascii="宋体" w:hAnsi="宋体" w:cs="宋体"/>
          <w:b/>
          <w:color w:val="auto"/>
          <w:sz w:val="24"/>
          <w:highlight w:val="none"/>
        </w:rPr>
        <w:t xml:space="preserve"> ▲</w:t>
      </w:r>
      <w:r>
        <w:rPr>
          <w:rFonts w:hint="eastAsia" w:asciiTheme="minorEastAsia" w:hAnsiTheme="minorEastAsia" w:eastAsiaTheme="minorEastAsia"/>
          <w:bCs/>
          <w:color w:val="auto"/>
          <w:kern w:val="0"/>
          <w:sz w:val="24"/>
          <w:highlight w:val="none"/>
        </w:rPr>
        <w:t>响应文件需由法定代表人或经其正式授权的代表签字或盖章（本项目如允许联合体且供应商是联合体的，联合体牵头单位应盖章，并签署联合体牵头单位法定代表人或经其正式授权的代表的全名）。授权代表须出具书面授权证明，其《法定代表人授权书》应附在磋商响应文件中。</w:t>
      </w:r>
    </w:p>
    <w:p>
      <w:pPr>
        <w:pStyle w:val="7"/>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2.响应文件中所有的插字、涂改和增删，必须由法定代表人或经其正式授权的代表在旁边签字或盖章才有效。</w:t>
      </w:r>
    </w:p>
    <w:p>
      <w:pPr>
        <w:autoSpaceDE w:val="0"/>
        <w:autoSpaceDN w:val="0"/>
        <w:adjustRightInd w:val="0"/>
        <w:spacing w:line="360" w:lineRule="auto"/>
        <w:ind w:firstLine="482" w:firstLineChars="200"/>
        <w:rPr>
          <w:rFonts w:asciiTheme="minorEastAsia" w:hAnsiTheme="minorEastAsia"/>
          <w:b/>
          <w:bCs/>
          <w:color w:val="auto"/>
          <w:sz w:val="24"/>
          <w:highlight w:val="none"/>
        </w:rPr>
      </w:pPr>
      <w:r>
        <w:rPr>
          <w:rFonts w:hint="eastAsia" w:asciiTheme="minorEastAsia" w:hAnsiTheme="minorEastAsia"/>
          <w:b/>
          <w:bCs/>
          <w:color w:val="auto"/>
          <w:sz w:val="24"/>
          <w:highlight w:val="none"/>
        </w:rPr>
        <w:t>（五）</w:t>
      </w:r>
      <w:r>
        <w:rPr>
          <w:rFonts w:hint="eastAsia" w:asciiTheme="minorEastAsia" w:hAnsiTheme="minorEastAsia" w:eastAsiaTheme="minorEastAsia"/>
          <w:b/>
          <w:color w:val="auto"/>
          <w:kern w:val="0"/>
          <w:sz w:val="24"/>
          <w:highlight w:val="none"/>
        </w:rPr>
        <w:t>响应</w:t>
      </w:r>
      <w:r>
        <w:rPr>
          <w:rFonts w:hint="eastAsia" w:asciiTheme="minorEastAsia" w:hAnsiTheme="minorEastAsia" w:eastAsiaTheme="minorEastAsia"/>
          <w:b/>
          <w:bCs/>
          <w:color w:val="auto"/>
          <w:sz w:val="24"/>
          <w:highlight w:val="none"/>
        </w:rPr>
        <w:t>文件</w:t>
      </w:r>
      <w:r>
        <w:rPr>
          <w:rFonts w:hint="eastAsia" w:asciiTheme="minorEastAsia" w:hAnsiTheme="minorEastAsia"/>
          <w:b/>
          <w:bCs/>
          <w:color w:val="auto"/>
          <w:sz w:val="24"/>
          <w:highlight w:val="none"/>
        </w:rPr>
        <w:t>的递交要求</w:t>
      </w:r>
    </w:p>
    <w:p>
      <w:pPr>
        <w:tabs>
          <w:tab w:val="left" w:pos="1418"/>
        </w:tabs>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ajorEastAsia" w:hAnsiTheme="majorEastAsia" w:eastAsiaTheme="majorEastAsia" w:cstheme="majorEastAsia"/>
          <w:color w:val="auto"/>
          <w:sz w:val="24"/>
          <w:highlight w:val="none"/>
        </w:rPr>
        <w:t>按照前附表要求提交，</w:t>
      </w:r>
      <w:r>
        <w:rPr>
          <w:rFonts w:hint="eastAsia" w:asciiTheme="minorEastAsia" w:hAnsiTheme="minorEastAsia" w:eastAsiaTheme="minorEastAsia"/>
          <w:color w:val="auto"/>
          <w:kern w:val="0"/>
          <w:sz w:val="24"/>
          <w:highlight w:val="none"/>
        </w:rPr>
        <w:t>如采购组织机构延长截止时间和磋商时间，采购组织机构和供应商的权利和义务将受到新的截止时间和磋商时间的约束。</w:t>
      </w:r>
    </w:p>
    <w:p>
      <w:pPr>
        <w:pStyle w:val="7"/>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（六）演示（本项目不适用）</w:t>
      </w:r>
    </w:p>
    <w:p>
      <w:pPr>
        <w:pStyle w:val="7"/>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若需要演示的，供应商应提前做好演示准备（包括演示设备）。</w:t>
      </w:r>
    </w:p>
    <w:p>
      <w:pPr>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kern w:val="0"/>
          <w:sz w:val="24"/>
          <w:highlight w:val="none"/>
        </w:rPr>
        <w:t>五、</w:t>
      </w:r>
      <w:r>
        <w:rPr>
          <w:rFonts w:hint="eastAsia" w:asciiTheme="minorEastAsia" w:hAnsiTheme="minorEastAsia" w:eastAsiaTheme="minorEastAsia"/>
          <w:b/>
          <w:color w:val="auto"/>
          <w:sz w:val="24"/>
          <w:highlight w:val="none"/>
        </w:rPr>
        <w:t>磋商</w:t>
      </w:r>
      <w:r>
        <w:rPr>
          <w:rFonts w:asciiTheme="minorEastAsia" w:hAnsiTheme="minorEastAsia" w:eastAsiaTheme="minorEastAsia"/>
          <w:b/>
          <w:color w:val="auto"/>
          <w:sz w:val="24"/>
          <w:highlight w:val="none"/>
        </w:rPr>
        <w:t>程序</w:t>
      </w:r>
    </w:p>
    <w:p>
      <w:pPr>
        <w:pStyle w:val="7"/>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（一）磋商开始时间到后，主持人准时组织磋商；</w:t>
      </w:r>
    </w:p>
    <w:p>
      <w:pPr>
        <w:pStyle w:val="7"/>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（二）宣布磋商纪律；</w:t>
      </w:r>
    </w:p>
    <w:p>
      <w:pPr>
        <w:pStyle w:val="7"/>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（三）宣布采购组织机构工作人员；</w:t>
      </w:r>
    </w:p>
    <w:p>
      <w:pPr>
        <w:pStyle w:val="7"/>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（四）供应商登录政采云平台，用“项目采购-开标评标”功能对响应文件进行在线解密。在线解密响应文件时间为磋商时间起半个小时内；</w:t>
      </w:r>
    </w:p>
    <w:p>
      <w:pPr>
        <w:pStyle w:val="7"/>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（五）采购组织机构工作人员当众宣布磋商响应供应商名称和磋商文件规定的需要宣布的其他内容；</w:t>
      </w:r>
    </w:p>
    <w:p>
      <w:pPr>
        <w:pStyle w:val="7"/>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（六）磋商(详见第四章)；</w:t>
      </w:r>
    </w:p>
    <w:p>
      <w:pPr>
        <w:pStyle w:val="15"/>
        <w:snapToGrid w:val="0"/>
        <w:spacing w:line="360" w:lineRule="auto"/>
        <w:ind w:firstLine="480" w:firstLineChars="200"/>
        <w:rPr>
          <w:rFonts w:hAnsi="宋体" w:cs="宋体"/>
          <w:color w:val="auto"/>
          <w:sz w:val="24"/>
          <w:highlight w:val="none"/>
        </w:rPr>
      </w:pPr>
      <w:r>
        <w:rPr>
          <w:rFonts w:hint="eastAsia" w:hAnsi="宋体" w:cs="宋体"/>
          <w:bCs/>
          <w:color w:val="auto"/>
          <w:sz w:val="24"/>
          <w:highlight w:val="none"/>
        </w:rPr>
        <w:t>（七）磋商结果公告。</w:t>
      </w:r>
    </w:p>
    <w:p>
      <w:pPr>
        <w:pStyle w:val="7"/>
        <w:spacing w:line="360" w:lineRule="auto"/>
        <w:ind w:firstLine="482" w:firstLineChars="200"/>
        <w:rPr>
          <w:b/>
          <w:bCs/>
          <w:color w:val="auto"/>
          <w:sz w:val="24"/>
          <w:szCs w:val="24"/>
          <w:highlight w:val="none"/>
        </w:rPr>
      </w:pPr>
      <w:r>
        <w:rPr>
          <w:rFonts w:hint="eastAsia"/>
          <w:b/>
          <w:bCs/>
          <w:color w:val="auto"/>
          <w:sz w:val="24"/>
          <w:szCs w:val="24"/>
          <w:highlight w:val="none"/>
        </w:rPr>
        <w:t>六、磋商异议</w:t>
      </w:r>
    </w:p>
    <w:p>
      <w:pPr>
        <w:pStyle w:val="7"/>
        <w:spacing w:line="360" w:lineRule="auto"/>
        <w:ind w:firstLine="480" w:firstLineChars="200"/>
        <w:rPr>
          <w:color w:val="auto"/>
          <w:sz w:val="24"/>
          <w:szCs w:val="24"/>
          <w:highlight w:val="none"/>
        </w:rPr>
      </w:pPr>
      <w:r>
        <w:rPr>
          <w:rFonts w:hint="eastAsia"/>
          <w:color w:val="auto"/>
          <w:sz w:val="24"/>
          <w:szCs w:val="24"/>
          <w:highlight w:val="none"/>
        </w:rPr>
        <w:t>供应商代表对磋商过程和磋商结果有质疑，可以在知道或者应知其权益受到损害之日起7个工作日内，以书面形式一次性针对同一环节向采购人、采购代理机构提出质疑。</w:t>
      </w:r>
    </w:p>
    <w:p>
      <w:pPr>
        <w:pStyle w:val="26"/>
        <w:spacing w:before="0" w:beforeAutospacing="0" w:after="0" w:afterAutospacing="0" w:line="360" w:lineRule="auto"/>
        <w:ind w:firstLine="482" w:firstLineChars="200"/>
        <w:jc w:val="both"/>
        <w:rPr>
          <w:rFonts w:hint="default" w:asciiTheme="minorEastAsia" w:hAnsiTheme="minorEastAsia"/>
          <w:b/>
          <w:color w:val="auto"/>
          <w:highlight w:val="none"/>
        </w:rPr>
      </w:pPr>
      <w:r>
        <w:rPr>
          <w:rFonts w:asciiTheme="minorEastAsia" w:hAnsiTheme="minorEastAsia" w:eastAsiaTheme="minorEastAsia"/>
          <w:b/>
          <w:color w:val="auto"/>
          <w:highlight w:val="none"/>
        </w:rPr>
        <w:t>七、</w:t>
      </w:r>
      <w:r>
        <w:rPr>
          <w:b/>
          <w:color w:val="auto"/>
          <w:highlight w:val="none"/>
        </w:rPr>
        <w:t>磋商结果确定</w:t>
      </w:r>
    </w:p>
    <w:p>
      <w:pPr>
        <w:pStyle w:val="26"/>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（一）</w:t>
      </w:r>
      <w:r>
        <w:rPr>
          <w:color w:val="auto"/>
          <w:highlight w:val="none"/>
        </w:rPr>
        <w:t>确定成交供应商。</w:t>
      </w:r>
      <w:r>
        <w:rPr>
          <w:rFonts w:asciiTheme="minorEastAsia" w:hAnsiTheme="minorEastAsia" w:eastAsiaTheme="minorEastAsia"/>
          <w:color w:val="auto"/>
          <w:highlight w:val="none"/>
        </w:rPr>
        <w:t>磋商小组根据采购单位的</w:t>
      </w:r>
      <w:r>
        <w:rPr>
          <w:color w:val="auto"/>
          <w:highlight w:val="none"/>
        </w:rPr>
        <w:t>《授权意见确认书》</w:t>
      </w:r>
      <w:r>
        <w:rPr>
          <w:rFonts w:asciiTheme="minorEastAsia" w:hAnsiTheme="minorEastAsia" w:eastAsiaTheme="minorEastAsia"/>
          <w:color w:val="auto"/>
          <w:highlight w:val="none"/>
        </w:rPr>
        <w:t>，推荐成交候选人或确定成交供应商。其中推荐成交候选人的，采购组织机构在评审结束后2个工作日内将评审报告送采购人，采购人自收到评审报告之日起5个工作日内在评审报告推荐的成交候选人中确定成交供应商。</w:t>
      </w:r>
    </w:p>
    <w:p>
      <w:pPr>
        <w:spacing w:line="360" w:lineRule="auto"/>
        <w:ind w:firstLine="480" w:firstLineChars="200"/>
        <w:rPr>
          <w:rFonts w:ascii="宋体" w:hAnsi="宋体"/>
          <w:color w:val="auto"/>
          <w:kern w:val="0"/>
          <w:sz w:val="24"/>
          <w:highlight w:val="none"/>
        </w:rPr>
      </w:pPr>
      <w:r>
        <w:rPr>
          <w:rFonts w:hint="eastAsia" w:asciiTheme="minorEastAsia" w:hAnsiTheme="minorEastAsia" w:eastAsiaTheme="minorEastAsia"/>
          <w:color w:val="auto"/>
          <w:sz w:val="24"/>
          <w:highlight w:val="none"/>
        </w:rPr>
        <w:t>（二）</w:t>
      </w:r>
      <w:r>
        <w:rPr>
          <w:rFonts w:hint="eastAsia" w:ascii="宋体" w:hAnsi="宋体"/>
          <w:color w:val="auto"/>
          <w:kern w:val="0"/>
          <w:sz w:val="24"/>
          <w:highlight w:val="none"/>
        </w:rPr>
        <w:t>发布成交结果公告。采购组织机构自成交供应商</w:t>
      </w:r>
      <w:r>
        <w:rPr>
          <w:rFonts w:ascii="宋体" w:hAnsi="宋体"/>
          <w:color w:val="auto"/>
          <w:kern w:val="0"/>
          <w:sz w:val="24"/>
          <w:highlight w:val="none"/>
        </w:rPr>
        <w:t>确定</w:t>
      </w:r>
      <w:r>
        <w:rPr>
          <w:rFonts w:hint="eastAsia" w:ascii="宋体" w:hAnsi="宋体"/>
          <w:color w:val="auto"/>
          <w:kern w:val="0"/>
          <w:sz w:val="24"/>
          <w:highlight w:val="none"/>
        </w:rPr>
        <w:t>之日起</w:t>
      </w:r>
      <w:r>
        <w:rPr>
          <w:rFonts w:ascii="宋体" w:hAnsi="宋体"/>
          <w:color w:val="auto"/>
          <w:kern w:val="0"/>
          <w:sz w:val="24"/>
          <w:highlight w:val="none"/>
        </w:rPr>
        <w:t>2个工作日内</w:t>
      </w:r>
      <w:r>
        <w:rPr>
          <w:rFonts w:hint="eastAsia" w:ascii="宋体" w:hAnsi="宋体"/>
          <w:color w:val="auto"/>
          <w:kern w:val="0"/>
          <w:sz w:val="24"/>
          <w:highlight w:val="none"/>
        </w:rPr>
        <w:t>，</w:t>
      </w:r>
      <w:r>
        <w:rPr>
          <w:rFonts w:ascii="宋体" w:hAnsi="宋体"/>
          <w:color w:val="auto"/>
          <w:kern w:val="0"/>
          <w:sz w:val="24"/>
          <w:highlight w:val="none"/>
        </w:rPr>
        <w:t>在</w:t>
      </w:r>
      <w:r>
        <w:rPr>
          <w:rFonts w:hint="eastAsia" w:ascii="宋体" w:hAnsi="宋体"/>
          <w:color w:val="auto"/>
          <w:kern w:val="0"/>
          <w:sz w:val="24"/>
          <w:highlight w:val="none"/>
        </w:rPr>
        <w:t>浙江</w:t>
      </w:r>
      <w:r>
        <w:rPr>
          <w:rFonts w:ascii="宋体" w:hAnsi="宋体"/>
          <w:color w:val="auto"/>
          <w:kern w:val="0"/>
          <w:sz w:val="24"/>
          <w:highlight w:val="none"/>
        </w:rPr>
        <w:t>省</w:t>
      </w:r>
      <w:r>
        <w:rPr>
          <w:rFonts w:hint="eastAsia" w:ascii="宋体" w:hAnsi="宋体"/>
          <w:color w:val="auto"/>
          <w:kern w:val="0"/>
          <w:sz w:val="24"/>
          <w:highlight w:val="none"/>
        </w:rPr>
        <w:t>政府采购</w:t>
      </w:r>
      <w:r>
        <w:rPr>
          <w:rFonts w:ascii="宋体" w:hAnsi="宋体"/>
          <w:color w:val="auto"/>
          <w:kern w:val="0"/>
          <w:sz w:val="24"/>
          <w:highlight w:val="none"/>
        </w:rPr>
        <w:t>网</w:t>
      </w:r>
      <w:r>
        <w:rPr>
          <w:rFonts w:hint="eastAsia" w:ascii="宋体" w:hAnsi="宋体"/>
          <w:color w:val="auto"/>
          <w:kern w:val="0"/>
          <w:sz w:val="24"/>
          <w:highlight w:val="none"/>
        </w:rPr>
        <w:t>上</w:t>
      </w:r>
      <w:r>
        <w:rPr>
          <w:rFonts w:ascii="宋体" w:hAnsi="宋体"/>
          <w:color w:val="auto"/>
          <w:kern w:val="0"/>
          <w:sz w:val="24"/>
          <w:highlight w:val="none"/>
        </w:rPr>
        <w:t>公告</w:t>
      </w:r>
      <w:r>
        <w:rPr>
          <w:rFonts w:hint="eastAsia" w:ascii="宋体" w:hAnsi="宋体"/>
          <w:color w:val="auto"/>
          <w:kern w:val="0"/>
          <w:sz w:val="24"/>
          <w:highlight w:val="none"/>
        </w:rPr>
        <w:t>成交结果，成交</w:t>
      </w:r>
      <w:r>
        <w:rPr>
          <w:color w:val="auto"/>
          <w:sz w:val="24"/>
          <w:highlight w:val="none"/>
        </w:rPr>
        <w:t>结果公告期为 1 个工作日</w:t>
      </w:r>
      <w:r>
        <w:rPr>
          <w:rFonts w:hint="eastAsia" w:ascii="宋体" w:hAnsi="宋体"/>
          <w:color w:val="auto"/>
          <w:kern w:val="0"/>
          <w:sz w:val="24"/>
          <w:highlight w:val="none"/>
        </w:rPr>
        <w:t>。</w:t>
      </w:r>
    </w:p>
    <w:p>
      <w:pPr>
        <w:pStyle w:val="8"/>
        <w:spacing w:line="360" w:lineRule="auto"/>
        <w:ind w:firstLine="480" w:firstLineChars="200"/>
        <w:jc w:val="both"/>
        <w:rPr>
          <w:color w:val="auto"/>
          <w:highlight w:val="none"/>
        </w:rPr>
      </w:pPr>
      <w:r>
        <w:rPr>
          <w:rFonts w:hint="eastAsia" w:ascii="宋体" w:hAnsi="宋体"/>
          <w:color w:val="auto"/>
          <w:kern w:val="0"/>
          <w:sz w:val="24"/>
          <w:highlight w:val="none"/>
        </w:rPr>
        <w:t>（三）发放成交通知书。采购组织机构在发布成交结果公告的同时，</w:t>
      </w:r>
      <w:r>
        <w:rPr>
          <w:rFonts w:hint="eastAsia"/>
          <w:color w:val="auto"/>
          <w:sz w:val="24"/>
          <w:highlight w:val="none"/>
        </w:rPr>
        <w:t>通过政采云平台向成交供应商发放成交通知书</w:t>
      </w:r>
      <w:r>
        <w:rPr>
          <w:rFonts w:hint="eastAsia" w:ascii="宋体" w:hAnsi="宋体"/>
          <w:color w:val="auto"/>
          <w:kern w:val="0"/>
          <w:sz w:val="24"/>
          <w:highlight w:val="none"/>
        </w:rPr>
        <w:t>。</w:t>
      </w:r>
    </w:p>
    <w:p>
      <w:pPr>
        <w:spacing w:line="360" w:lineRule="auto"/>
        <w:ind w:firstLine="482" w:firstLineChars="200"/>
        <w:rPr>
          <w:rFonts w:ascii="宋体" w:hAnsi="宋体"/>
          <w:color w:val="auto"/>
          <w:kern w:val="0"/>
          <w:sz w:val="24"/>
          <w:highlight w:val="none"/>
        </w:rPr>
      </w:pPr>
      <w:r>
        <w:rPr>
          <w:rFonts w:hint="eastAsia" w:asciiTheme="minorEastAsia" w:hAnsiTheme="minorEastAsia" w:eastAsiaTheme="minorEastAsia"/>
          <w:b/>
          <w:color w:val="auto"/>
          <w:sz w:val="24"/>
          <w:highlight w:val="none"/>
        </w:rPr>
        <w:t>八</w:t>
      </w:r>
      <w:r>
        <w:rPr>
          <w:rFonts w:asciiTheme="minorEastAsia" w:hAnsiTheme="minorEastAsia" w:eastAsiaTheme="minorEastAsia"/>
          <w:b/>
          <w:color w:val="auto"/>
          <w:sz w:val="24"/>
          <w:highlight w:val="none"/>
        </w:rPr>
        <w:t>、</w:t>
      </w:r>
      <w:r>
        <w:rPr>
          <w:rFonts w:hint="eastAsia" w:ascii="宋体" w:hAnsi="宋体"/>
          <w:b/>
          <w:color w:val="auto"/>
          <w:kern w:val="0"/>
          <w:sz w:val="24"/>
          <w:highlight w:val="none"/>
        </w:rPr>
        <w:t>合同签订及公告</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（一）签订合同</w:t>
      </w:r>
    </w:p>
    <w:p>
      <w:pPr>
        <w:spacing w:line="360" w:lineRule="auto"/>
        <w:ind w:firstLine="420" w:firstLineChars="200"/>
        <w:rPr>
          <w:color w:val="auto"/>
          <w:highlight w:val="none"/>
        </w:rPr>
      </w:pPr>
      <w:r>
        <w:rPr>
          <w:color w:val="auto"/>
          <w:highlight w:val="none"/>
        </w:rPr>
        <w:t>1.采购人应当自成交通知书发出之日起30日内，按照磋商文件和成交供应商响应文件内容要求，与成交供应商签订书面合同或者电子合同。所签订的合同不得对磋商文件确定的事项和成交供应商响应文件作实质性修改。</w:t>
      </w:r>
    </w:p>
    <w:p>
      <w:pPr>
        <w:pStyle w:val="26"/>
        <w:spacing w:before="0" w:beforeAutospacing="0" w:after="0" w:afterAutospacing="0" w:line="360" w:lineRule="auto"/>
        <w:ind w:firstLine="480" w:firstLineChars="200"/>
        <w:jc w:val="both"/>
        <w:rPr>
          <w:rFonts w:hint="default"/>
          <w:color w:val="auto"/>
          <w:highlight w:val="none"/>
        </w:rPr>
      </w:pPr>
      <w:r>
        <w:rPr>
          <w:color w:val="auto"/>
          <w:highlight w:val="none"/>
        </w:rPr>
        <w:t>2.采购人不得向成交供应商提出任何不合理的要求作为签订合同的条件。</w:t>
      </w:r>
    </w:p>
    <w:p>
      <w:pPr>
        <w:pStyle w:val="26"/>
        <w:spacing w:before="0" w:beforeAutospacing="0" w:after="0" w:afterAutospacing="0" w:line="360" w:lineRule="auto"/>
        <w:ind w:firstLine="480" w:firstLineChars="200"/>
        <w:jc w:val="both"/>
        <w:rPr>
          <w:rFonts w:hint="default"/>
          <w:color w:val="auto"/>
          <w:highlight w:val="none"/>
        </w:rPr>
      </w:pPr>
      <w:r>
        <w:rPr>
          <w:color w:val="auto"/>
          <w:highlight w:val="none"/>
        </w:rPr>
        <w:t>3.成交供应商无故拖延、拒签合同的,将取消成交资格。</w:t>
      </w:r>
    </w:p>
    <w:p>
      <w:pPr>
        <w:pStyle w:val="26"/>
        <w:spacing w:before="0" w:beforeAutospacing="0" w:after="0" w:afterAutospacing="0" w:line="360" w:lineRule="auto"/>
        <w:ind w:firstLine="480" w:firstLineChars="200"/>
        <w:jc w:val="both"/>
        <w:rPr>
          <w:rFonts w:hint="default"/>
          <w:color w:val="auto"/>
          <w:highlight w:val="none"/>
        </w:rPr>
      </w:pPr>
      <w:r>
        <w:rPr>
          <w:color w:val="auto"/>
          <w:highlight w:val="none"/>
        </w:rPr>
        <w:t>4.成交供应商拒绝与采购人签订合同的，采购人可以按照评审报告推荐的成交候选人名单排序，确定下一候选人为成交供应商，也可以重新开展政府采购活动。同时，拒绝与采购人签订合同的供应商，由同级财政部门依法作出处理。</w:t>
      </w:r>
    </w:p>
    <w:p>
      <w:pPr>
        <w:pStyle w:val="26"/>
        <w:spacing w:before="0" w:beforeAutospacing="0" w:after="0" w:afterAutospacing="0" w:line="360" w:lineRule="auto"/>
        <w:ind w:firstLine="480" w:firstLineChars="200"/>
        <w:jc w:val="both"/>
        <w:rPr>
          <w:rFonts w:hint="default"/>
          <w:color w:val="auto"/>
          <w:highlight w:val="none"/>
        </w:rPr>
      </w:pPr>
      <w:r>
        <w:rPr>
          <w:color w:val="auto"/>
          <w:highlight w:val="none"/>
        </w:rPr>
        <w:t>5.询问或者质疑事项可能影响成交结果的，采购人应当暂停签订合同，已经签订合同的，应当中止履行合同。</w:t>
      </w:r>
    </w:p>
    <w:p>
      <w:pPr>
        <w:pStyle w:val="26"/>
        <w:spacing w:before="0" w:beforeAutospacing="0" w:after="0" w:afterAutospacing="0" w:line="360" w:lineRule="auto"/>
        <w:ind w:firstLine="482" w:firstLineChars="200"/>
        <w:jc w:val="both"/>
        <w:rPr>
          <w:rFonts w:hint="default" w:cs="仿宋_GB2312"/>
          <w:b/>
          <w:color w:val="auto"/>
          <w:highlight w:val="none"/>
        </w:rPr>
      </w:pPr>
      <w:r>
        <w:rPr>
          <w:b/>
          <w:color w:val="auto"/>
          <w:highlight w:val="none"/>
        </w:rPr>
        <w:t>（二）合同公告及备案</w:t>
      </w:r>
    </w:p>
    <w:p>
      <w:pPr>
        <w:pStyle w:val="12"/>
        <w:spacing w:after="0" w:line="360" w:lineRule="auto"/>
        <w:ind w:left="0" w:leftChars="0" w:firstLine="480" w:firstLineChars="200"/>
        <w:rPr>
          <w:rFonts w:ascii="宋体" w:hAnsi="宋体"/>
          <w:color w:val="auto"/>
          <w:sz w:val="24"/>
          <w:highlight w:val="none"/>
        </w:rPr>
      </w:pPr>
      <w:r>
        <w:rPr>
          <w:rFonts w:hint="eastAsia" w:ascii="宋体" w:hAnsi="宋体"/>
          <w:color w:val="auto"/>
          <w:sz w:val="24"/>
          <w:highlight w:val="none"/>
        </w:rPr>
        <w:t>1.采购人应当自政府采购合同签订之日起2个工作日内，</w:t>
      </w:r>
      <w:r>
        <w:rPr>
          <w:rFonts w:ascii="宋体" w:hAnsi="宋体"/>
          <w:color w:val="auto"/>
          <w:kern w:val="0"/>
          <w:sz w:val="24"/>
          <w:highlight w:val="none"/>
        </w:rPr>
        <w:t>在省级以上财政部门指定的</w:t>
      </w:r>
      <w:r>
        <w:rPr>
          <w:rFonts w:hint="eastAsia" w:ascii="宋体" w:hAnsi="宋体"/>
          <w:color w:val="auto"/>
          <w:kern w:val="0"/>
          <w:sz w:val="24"/>
          <w:highlight w:val="none"/>
        </w:rPr>
        <w:t>政府采购信息发布</w:t>
      </w:r>
      <w:r>
        <w:rPr>
          <w:rFonts w:ascii="宋体" w:hAnsi="宋体"/>
          <w:color w:val="auto"/>
          <w:kern w:val="0"/>
          <w:sz w:val="24"/>
          <w:highlight w:val="none"/>
        </w:rPr>
        <w:t>媒体及相关网站</w:t>
      </w:r>
      <w:r>
        <w:rPr>
          <w:rFonts w:hint="eastAsia" w:ascii="宋体" w:hAnsi="宋体"/>
          <w:color w:val="auto"/>
          <w:kern w:val="0"/>
          <w:sz w:val="24"/>
          <w:highlight w:val="none"/>
        </w:rPr>
        <w:t>上</w:t>
      </w:r>
      <w:r>
        <w:rPr>
          <w:rFonts w:ascii="宋体" w:hAnsi="宋体"/>
          <w:color w:val="auto"/>
          <w:kern w:val="0"/>
          <w:sz w:val="24"/>
          <w:highlight w:val="none"/>
        </w:rPr>
        <w:t>公告</w:t>
      </w:r>
      <w:r>
        <w:rPr>
          <w:rFonts w:hint="eastAsia" w:ascii="宋体" w:hAnsi="宋体"/>
          <w:color w:val="auto"/>
          <w:sz w:val="24"/>
          <w:highlight w:val="none"/>
        </w:rPr>
        <w:t>。</w:t>
      </w:r>
    </w:p>
    <w:p>
      <w:pPr>
        <w:pStyle w:val="8"/>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2.采购人应当自政府采购合同签订之日起7个工作日内，</w:t>
      </w:r>
      <w:r>
        <w:rPr>
          <w:rFonts w:hint="eastAsia"/>
          <w:color w:val="auto"/>
          <w:sz w:val="24"/>
          <w:highlight w:val="none"/>
        </w:rPr>
        <w:t>将政府采购合同通过政采云平台提交至</w:t>
      </w:r>
      <w:r>
        <w:rPr>
          <w:rFonts w:hint="eastAsia" w:ascii="宋体" w:hAnsi="宋体"/>
          <w:color w:val="auto"/>
          <w:sz w:val="24"/>
          <w:highlight w:val="none"/>
        </w:rPr>
        <w:t>同级人民政府财政部门备案存档。</w:t>
      </w:r>
    </w:p>
    <w:p>
      <w:pPr>
        <w:pStyle w:val="8"/>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九、询问、质疑与投诉</w:t>
      </w:r>
    </w:p>
    <w:p>
      <w:pPr>
        <w:pStyle w:val="8"/>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（一）询问</w:t>
      </w:r>
    </w:p>
    <w:p>
      <w:pPr>
        <w:pStyle w:val="8"/>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磋商供应商对政府采购活动事项（磋商文件、采购过程和成交结果）有疑问的，可以向采购人或采购</w:t>
      </w:r>
      <w:r>
        <w:rPr>
          <w:rFonts w:hint="eastAsia" w:asciiTheme="minorEastAsia" w:hAnsiTheme="minorEastAsia" w:eastAsiaTheme="minorEastAsia" w:cstheme="minorBidi"/>
          <w:color w:val="auto"/>
          <w:sz w:val="24"/>
          <w:highlight w:val="none"/>
        </w:rPr>
        <w:t>组织</w:t>
      </w:r>
      <w:r>
        <w:rPr>
          <w:rFonts w:hint="eastAsia" w:ascii="宋体" w:hAnsi="宋体"/>
          <w:color w:val="auto"/>
          <w:sz w:val="24"/>
          <w:highlight w:val="none"/>
        </w:rPr>
        <w:t>机构提出询问，采购人或采购</w:t>
      </w:r>
      <w:r>
        <w:rPr>
          <w:rFonts w:hint="eastAsia" w:asciiTheme="minorEastAsia" w:hAnsiTheme="minorEastAsia" w:eastAsiaTheme="minorEastAsia" w:cstheme="minorBidi"/>
          <w:color w:val="auto"/>
          <w:sz w:val="24"/>
          <w:highlight w:val="none"/>
        </w:rPr>
        <w:t>组织</w:t>
      </w:r>
      <w:r>
        <w:rPr>
          <w:rFonts w:hint="eastAsia" w:ascii="宋体" w:hAnsi="宋体"/>
          <w:color w:val="auto"/>
          <w:sz w:val="24"/>
          <w:highlight w:val="none"/>
        </w:rPr>
        <w:t>机构将及时作出答复，但答复的内容不涉及商业秘密。询问可以口头方式提出，也可以书面方式提出。联系方式见第一章“磋商邀请”中“采购人、采购</w:t>
      </w:r>
      <w:r>
        <w:rPr>
          <w:rFonts w:hint="eastAsia" w:asciiTheme="minorEastAsia" w:hAnsiTheme="minorEastAsia" w:eastAsiaTheme="minorEastAsia" w:cstheme="minorBidi"/>
          <w:color w:val="auto"/>
          <w:sz w:val="24"/>
          <w:highlight w:val="none"/>
        </w:rPr>
        <w:t>组织</w:t>
      </w:r>
      <w:r>
        <w:rPr>
          <w:rFonts w:hint="eastAsia" w:ascii="宋体" w:hAnsi="宋体"/>
          <w:color w:val="auto"/>
          <w:sz w:val="24"/>
          <w:highlight w:val="none"/>
        </w:rPr>
        <w:t>机构的名称、地址和联系方式”。</w:t>
      </w:r>
    </w:p>
    <w:p>
      <w:pPr>
        <w:pStyle w:val="8"/>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（二）质疑</w:t>
      </w:r>
    </w:p>
    <w:p>
      <w:pPr>
        <w:pStyle w:val="8"/>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1.报名本项目的供应商认为磋商文件、采购过程和成交结果使自己的权益受到损害的，以书面形式或政采云平台的质疑系统一次性针对同一环节向采购人或采购组织机构书面提出质疑：</w:t>
      </w:r>
    </w:p>
    <w:p>
      <w:pPr>
        <w:pStyle w:val="8"/>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（1）供应商认为磋商文件的内容损害其权益的，应当自采购文件获取之日或采购文件公告期限届满之日起7个工作日内提出质疑；</w:t>
      </w:r>
    </w:p>
    <w:p>
      <w:pPr>
        <w:pStyle w:val="8"/>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（2）供应商对采购过程提出质疑的，应当在各采购程序环节结束之日起7个工作日内提出质疑；</w:t>
      </w:r>
    </w:p>
    <w:p>
      <w:pPr>
        <w:pStyle w:val="8"/>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（3）供应商对成交结果提出质疑的，应当在成交结果公告期限届满之日起7个工作日内提出质疑；</w:t>
      </w:r>
    </w:p>
    <w:p>
      <w:pPr>
        <w:pStyle w:val="8"/>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2.采购人或采购</w:t>
      </w:r>
      <w:r>
        <w:rPr>
          <w:rFonts w:hint="eastAsia" w:asciiTheme="minorEastAsia" w:hAnsiTheme="minorEastAsia" w:eastAsiaTheme="minorEastAsia" w:cstheme="minorBidi"/>
          <w:color w:val="auto"/>
          <w:sz w:val="24"/>
          <w:highlight w:val="none"/>
        </w:rPr>
        <w:t>组织</w:t>
      </w:r>
      <w:r>
        <w:rPr>
          <w:rFonts w:hint="eastAsia" w:ascii="宋体" w:hAnsi="宋体"/>
          <w:color w:val="auto"/>
          <w:sz w:val="24"/>
          <w:highlight w:val="none"/>
        </w:rPr>
        <w:t>机构在收到磋商供应商的书面质疑后7个工作日内作出答复，并以书面形式通知质疑磋商供应商和其他有关磋商供应商，但答复内容不涉及商业秘密。</w:t>
      </w:r>
    </w:p>
    <w:p>
      <w:pPr>
        <w:pStyle w:val="8"/>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8"/>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（三）投诉</w:t>
      </w:r>
    </w:p>
    <w:p>
      <w:pPr>
        <w:pStyle w:val="8"/>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磋商供应商对采购人或采购</w:t>
      </w:r>
      <w:r>
        <w:rPr>
          <w:rFonts w:hint="eastAsia" w:asciiTheme="minorEastAsia" w:hAnsiTheme="minorEastAsia" w:eastAsiaTheme="minorEastAsia" w:cstheme="minorBidi"/>
          <w:color w:val="auto"/>
          <w:sz w:val="24"/>
          <w:highlight w:val="none"/>
        </w:rPr>
        <w:t>组织</w:t>
      </w:r>
      <w:r>
        <w:rPr>
          <w:rFonts w:hint="eastAsia" w:ascii="宋体" w:hAnsi="宋体"/>
          <w:color w:val="auto"/>
          <w:sz w:val="24"/>
          <w:highlight w:val="none"/>
        </w:rPr>
        <w:t>机构的质疑答复不满意或在规定时间内未得到答复的，可以在答复期满后15个工作日内，向同级政府采购监督管理机构投诉。</w:t>
      </w:r>
    </w:p>
    <w:p>
      <w:pPr>
        <w:pStyle w:val="8"/>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十、澄清与错误修正</w:t>
      </w:r>
    </w:p>
    <w:p>
      <w:pPr>
        <w:pStyle w:val="8"/>
        <w:spacing w:line="360" w:lineRule="auto"/>
        <w:ind w:firstLine="480" w:firstLineChars="200"/>
        <w:jc w:val="both"/>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一</w:t>
      </w:r>
      <w:r>
        <w:rPr>
          <w:rFonts w:ascii="宋体" w:hAnsi="宋体"/>
          <w:color w:val="auto"/>
          <w:sz w:val="24"/>
          <w:highlight w:val="none"/>
        </w:rPr>
        <w:t>）澄清问题的形式</w:t>
      </w:r>
    </w:p>
    <w:p>
      <w:pPr>
        <w:pStyle w:val="8"/>
        <w:spacing w:line="360" w:lineRule="auto"/>
        <w:ind w:firstLine="480" w:firstLineChars="200"/>
        <w:jc w:val="both"/>
        <w:rPr>
          <w:rFonts w:ascii="宋体" w:hAnsi="宋体"/>
          <w:color w:val="auto"/>
          <w:sz w:val="24"/>
          <w:highlight w:val="none"/>
        </w:rPr>
      </w:pPr>
      <w:r>
        <w:rPr>
          <w:rFonts w:ascii="宋体" w:hAnsi="宋体"/>
          <w:color w:val="auto"/>
          <w:sz w:val="24"/>
          <w:highlight w:val="none"/>
        </w:rPr>
        <w:t>磋商供应商的澄清、说明或者补正应当采用线上形式或期限内书面形式递交，并加盖公章，或者由法定代理人或其授权的代表签字，并不得超出磋商响应文件的范围或者改变磋商响应文件的实质性内容。</w:t>
      </w:r>
    </w:p>
    <w:p>
      <w:pPr>
        <w:pStyle w:val="8"/>
        <w:spacing w:line="360" w:lineRule="auto"/>
        <w:ind w:firstLine="480" w:firstLineChars="200"/>
        <w:jc w:val="both"/>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二</w:t>
      </w:r>
      <w:r>
        <w:rPr>
          <w:rFonts w:ascii="宋体" w:hAnsi="宋体"/>
          <w:color w:val="auto"/>
          <w:sz w:val="24"/>
          <w:highlight w:val="none"/>
        </w:rPr>
        <w:t>）错误修正</w:t>
      </w:r>
    </w:p>
    <w:p>
      <w:pPr>
        <w:pStyle w:val="8"/>
        <w:spacing w:line="360" w:lineRule="auto"/>
        <w:ind w:firstLine="480" w:firstLineChars="200"/>
        <w:jc w:val="both"/>
        <w:rPr>
          <w:rFonts w:ascii="宋体" w:hAnsi="宋体"/>
          <w:color w:val="auto"/>
          <w:sz w:val="24"/>
          <w:highlight w:val="none"/>
        </w:rPr>
      </w:pPr>
      <w:r>
        <w:rPr>
          <w:rFonts w:ascii="宋体" w:hAnsi="宋体"/>
          <w:color w:val="auto"/>
          <w:sz w:val="24"/>
          <w:highlight w:val="none"/>
        </w:rPr>
        <w:t>磋商响应文件报价出现前后不一致的，除磋商采购文件另有规定外，按照下列规定修正：</w:t>
      </w:r>
    </w:p>
    <w:p>
      <w:pPr>
        <w:pStyle w:val="8"/>
        <w:spacing w:line="360" w:lineRule="auto"/>
        <w:ind w:firstLine="480" w:firstLineChars="200"/>
        <w:jc w:val="both"/>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磋商响应文件中首次报价一览表内容与磋商响应文件中相应内容不一致的，以首次报价一览表为准；</w:t>
      </w:r>
    </w:p>
    <w:p>
      <w:pPr>
        <w:pStyle w:val="8"/>
        <w:spacing w:line="360" w:lineRule="auto"/>
        <w:ind w:firstLine="480" w:firstLineChars="200"/>
        <w:jc w:val="both"/>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大写金额和小写金额不一致的，以大写金额为准；</w:t>
      </w:r>
    </w:p>
    <w:p>
      <w:pPr>
        <w:pStyle w:val="8"/>
        <w:spacing w:line="360" w:lineRule="auto"/>
        <w:ind w:firstLine="480" w:firstLineChars="200"/>
        <w:jc w:val="both"/>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单价金额小数点或者百分比有明显错位的，以首次报价一览表的总价为准，并修改单价；</w:t>
      </w:r>
    </w:p>
    <w:p>
      <w:pPr>
        <w:pStyle w:val="8"/>
        <w:spacing w:line="360" w:lineRule="auto"/>
        <w:ind w:firstLine="480" w:firstLineChars="200"/>
        <w:jc w:val="both"/>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w:t>
      </w:r>
      <w:r>
        <w:rPr>
          <w:rFonts w:ascii="宋体" w:hAnsi="宋体"/>
          <w:color w:val="auto"/>
          <w:sz w:val="24"/>
          <w:highlight w:val="none"/>
        </w:rPr>
        <w:t>总价金额与按单价汇总金额不一致的，以单价金额计算结果为准。</w:t>
      </w:r>
    </w:p>
    <w:p>
      <w:pPr>
        <w:pStyle w:val="8"/>
        <w:spacing w:line="360" w:lineRule="auto"/>
        <w:ind w:firstLine="480" w:firstLineChars="200"/>
        <w:jc w:val="both"/>
        <w:rPr>
          <w:rFonts w:asciiTheme="minorEastAsia" w:hAnsiTheme="minorEastAsia" w:eastAsiaTheme="minorEastAsia"/>
          <w:b/>
          <w:color w:val="auto"/>
          <w:sz w:val="36"/>
          <w:szCs w:val="36"/>
          <w:highlight w:val="none"/>
        </w:rPr>
      </w:pPr>
      <w:r>
        <w:rPr>
          <w:rFonts w:ascii="宋体" w:hAnsi="宋体"/>
          <w:color w:val="auto"/>
          <w:sz w:val="24"/>
          <w:highlight w:val="none"/>
        </w:rPr>
        <w:t>▲同时出现两种以上不一致的，按照前款规定的顺序修正。修正应当采用线上确认，或在期限内以书面形式递交，并加盖公章，或者由法定代表人或其授权的代表签字。修正后的报价经磋商供应商确认后产生约束力，磋商供应商不确认或未在规定时间内进行有效澄清的，将终止磋商。</w:t>
      </w:r>
    </w:p>
    <w:p>
      <w:pPr>
        <w:pStyle w:val="8"/>
        <w:spacing w:line="360" w:lineRule="auto"/>
        <w:ind w:firstLine="723" w:firstLineChars="200"/>
        <w:jc w:val="both"/>
        <w:rPr>
          <w:rFonts w:asciiTheme="minorEastAsia" w:hAnsiTheme="minorEastAsia" w:eastAsiaTheme="minorEastAsia"/>
          <w:b/>
          <w:color w:val="auto"/>
          <w:sz w:val="36"/>
          <w:szCs w:val="36"/>
          <w:highlight w:val="none"/>
        </w:rPr>
      </w:pPr>
    </w:p>
    <w:p>
      <w:pPr>
        <w:pStyle w:val="8"/>
        <w:spacing w:line="360" w:lineRule="auto"/>
        <w:ind w:firstLine="723" w:firstLineChars="200"/>
        <w:jc w:val="both"/>
        <w:rPr>
          <w:rFonts w:asciiTheme="minorEastAsia" w:hAnsiTheme="minorEastAsia" w:eastAsiaTheme="minorEastAsia"/>
          <w:b/>
          <w:color w:val="auto"/>
          <w:sz w:val="36"/>
          <w:szCs w:val="36"/>
          <w:highlight w:val="none"/>
        </w:rPr>
      </w:pPr>
    </w:p>
    <w:p>
      <w:pPr>
        <w:pStyle w:val="8"/>
        <w:spacing w:line="360" w:lineRule="auto"/>
        <w:ind w:firstLine="723" w:firstLineChars="200"/>
        <w:jc w:val="both"/>
        <w:rPr>
          <w:rFonts w:asciiTheme="minorEastAsia" w:hAnsiTheme="minorEastAsia" w:eastAsiaTheme="minorEastAsia"/>
          <w:b/>
          <w:color w:val="auto"/>
          <w:sz w:val="36"/>
          <w:szCs w:val="36"/>
          <w:highlight w:val="none"/>
        </w:rPr>
      </w:pPr>
    </w:p>
    <w:p>
      <w:pPr>
        <w:numPr>
          <w:ilvl w:val="0"/>
          <w:numId w:val="4"/>
        </w:numPr>
        <w:spacing w:line="360" w:lineRule="auto"/>
        <w:jc w:val="center"/>
        <w:outlineLvl w:val="0"/>
        <w:rPr>
          <w:rFonts w:asciiTheme="minorEastAsia" w:hAnsiTheme="minorEastAsia" w:eastAsiaTheme="minorEastAsia"/>
          <w:b/>
          <w:color w:val="auto"/>
          <w:sz w:val="36"/>
          <w:szCs w:val="36"/>
          <w:highlight w:val="none"/>
        </w:rPr>
      </w:pPr>
      <w:bookmarkStart w:id="76" w:name="_Toc101280594"/>
      <w:r>
        <w:rPr>
          <w:rFonts w:hint="eastAsia" w:asciiTheme="minorEastAsia" w:hAnsiTheme="minorEastAsia" w:eastAsiaTheme="minorEastAsia"/>
          <w:b/>
          <w:color w:val="auto"/>
          <w:sz w:val="36"/>
          <w:szCs w:val="36"/>
          <w:highlight w:val="none"/>
        </w:rPr>
        <w:t>项目需求</w:t>
      </w:r>
      <w:bookmarkEnd w:id="76"/>
    </w:p>
    <w:p>
      <w:pPr>
        <w:tabs>
          <w:tab w:val="left" w:pos="8280"/>
        </w:tabs>
        <w:autoSpaceDE w:val="0"/>
        <w:autoSpaceDN w:val="0"/>
        <w:adjustRightInd w:val="0"/>
        <w:spacing w:line="360" w:lineRule="auto"/>
        <w:ind w:right="25"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一、项目一览表</w:t>
      </w:r>
    </w:p>
    <w:tbl>
      <w:tblPr>
        <w:tblStyle w:val="29"/>
        <w:tblW w:w="95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2040"/>
        <w:gridCol w:w="795"/>
        <w:gridCol w:w="930"/>
        <w:gridCol w:w="1470"/>
        <w:gridCol w:w="1620"/>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jc w:val="center"/>
        </w:trPr>
        <w:tc>
          <w:tcPr>
            <w:tcW w:w="1058" w:type="dxa"/>
            <w:vAlign w:val="center"/>
          </w:tcPr>
          <w:p>
            <w:pPr>
              <w:tabs>
                <w:tab w:val="left" w:pos="8280"/>
              </w:tabs>
              <w:autoSpaceDE w:val="0"/>
              <w:autoSpaceDN w:val="0"/>
              <w:adjustRightInd w:val="0"/>
              <w:jc w:val="center"/>
              <w:rPr>
                <w:rFonts w:ascii="宋体" w:hAnsi="宋体" w:cs="宋体"/>
                <w:b/>
                <w:color w:val="auto"/>
                <w:sz w:val="24"/>
                <w:highlight w:val="none"/>
              </w:rPr>
            </w:pPr>
            <w:r>
              <w:rPr>
                <w:rFonts w:hint="eastAsia" w:ascii="宋体" w:hAnsi="宋体" w:cs="宋体"/>
                <w:b/>
                <w:color w:val="auto"/>
                <w:sz w:val="24"/>
                <w:highlight w:val="none"/>
              </w:rPr>
              <w:t>标项号</w:t>
            </w:r>
          </w:p>
        </w:tc>
        <w:tc>
          <w:tcPr>
            <w:tcW w:w="2040" w:type="dxa"/>
            <w:vAlign w:val="center"/>
          </w:tcPr>
          <w:p>
            <w:pPr>
              <w:tabs>
                <w:tab w:val="left" w:pos="8280"/>
              </w:tabs>
              <w:autoSpaceDE w:val="0"/>
              <w:autoSpaceDN w:val="0"/>
              <w:adjustRightInd w:val="0"/>
              <w:ind w:firstLine="120" w:firstLineChars="50"/>
              <w:jc w:val="center"/>
              <w:rPr>
                <w:rFonts w:ascii="宋体" w:hAnsi="宋体" w:cs="宋体"/>
                <w:b/>
                <w:color w:val="auto"/>
                <w:sz w:val="24"/>
                <w:highlight w:val="none"/>
              </w:rPr>
            </w:pPr>
            <w:r>
              <w:rPr>
                <w:rFonts w:hint="eastAsia" w:ascii="宋体" w:hAnsi="宋体" w:cs="宋体"/>
                <w:b/>
                <w:color w:val="auto"/>
                <w:sz w:val="24"/>
                <w:highlight w:val="none"/>
              </w:rPr>
              <w:t>标项名称</w:t>
            </w:r>
          </w:p>
        </w:tc>
        <w:tc>
          <w:tcPr>
            <w:tcW w:w="795" w:type="dxa"/>
            <w:vAlign w:val="center"/>
          </w:tcPr>
          <w:p>
            <w:pPr>
              <w:tabs>
                <w:tab w:val="left" w:pos="8280"/>
              </w:tabs>
              <w:autoSpaceDE w:val="0"/>
              <w:autoSpaceDN w:val="0"/>
              <w:adjustRightInd w:val="0"/>
              <w:jc w:val="center"/>
              <w:rPr>
                <w:rFonts w:ascii="宋体" w:hAnsi="宋体" w:cs="宋体"/>
                <w:b/>
                <w:color w:val="auto"/>
                <w:sz w:val="24"/>
                <w:highlight w:val="none"/>
              </w:rPr>
            </w:pPr>
            <w:r>
              <w:rPr>
                <w:rFonts w:hint="eastAsia" w:ascii="宋体" w:hAnsi="宋体" w:cs="宋体"/>
                <w:b/>
                <w:color w:val="auto"/>
                <w:kern w:val="0"/>
                <w:sz w:val="24"/>
                <w:highlight w:val="none"/>
              </w:rPr>
              <w:t>数量</w:t>
            </w:r>
          </w:p>
        </w:tc>
        <w:tc>
          <w:tcPr>
            <w:tcW w:w="930" w:type="dxa"/>
            <w:vAlign w:val="center"/>
          </w:tcPr>
          <w:p>
            <w:pPr>
              <w:tabs>
                <w:tab w:val="left" w:pos="8280"/>
              </w:tabs>
              <w:autoSpaceDE w:val="0"/>
              <w:autoSpaceDN w:val="0"/>
              <w:adjustRightInd w:val="0"/>
              <w:jc w:val="center"/>
              <w:rPr>
                <w:rFonts w:ascii="宋体" w:hAnsi="宋体" w:cs="宋体"/>
                <w:b/>
                <w:color w:val="auto"/>
                <w:sz w:val="24"/>
                <w:highlight w:val="none"/>
              </w:rPr>
            </w:pPr>
            <w:r>
              <w:rPr>
                <w:rFonts w:hint="eastAsia" w:ascii="宋体" w:hAnsi="宋体" w:cs="宋体"/>
                <w:b/>
                <w:color w:val="auto"/>
                <w:sz w:val="24"/>
                <w:highlight w:val="none"/>
              </w:rPr>
              <w:t>单位</w:t>
            </w:r>
          </w:p>
        </w:tc>
        <w:tc>
          <w:tcPr>
            <w:tcW w:w="1470" w:type="dxa"/>
            <w:vAlign w:val="center"/>
          </w:tcPr>
          <w:p>
            <w:pPr>
              <w:jc w:val="center"/>
              <w:rPr>
                <w:rFonts w:ascii="宋体" w:hAnsi="宋体" w:cs="宋体"/>
                <w:b/>
                <w:color w:val="auto"/>
                <w:sz w:val="24"/>
                <w:highlight w:val="none"/>
              </w:rPr>
            </w:pPr>
            <w:bookmarkStart w:id="77" w:name="OLE_LINK111"/>
            <w:bookmarkStart w:id="78" w:name="OLE_LINK112"/>
            <w:r>
              <w:rPr>
                <w:rFonts w:hint="eastAsia" w:asciiTheme="minorEastAsia" w:hAnsiTheme="minorEastAsia" w:eastAsiaTheme="minorEastAsia" w:cstheme="minorEastAsia"/>
                <w:b/>
                <w:color w:val="auto"/>
                <w:sz w:val="24"/>
                <w:highlight w:val="none"/>
              </w:rPr>
              <w:t>最高限价</w:t>
            </w:r>
            <w:bookmarkEnd w:id="77"/>
            <w:bookmarkEnd w:id="78"/>
            <w:r>
              <w:rPr>
                <w:rFonts w:hint="eastAsia" w:asciiTheme="minorEastAsia" w:hAnsiTheme="minorEastAsia" w:eastAsiaTheme="minorEastAsia" w:cstheme="minorEastAsia"/>
                <w:b/>
                <w:color w:val="auto"/>
                <w:sz w:val="24"/>
                <w:highlight w:val="none"/>
              </w:rPr>
              <w:t>（万元）</w:t>
            </w:r>
          </w:p>
        </w:tc>
        <w:tc>
          <w:tcPr>
            <w:tcW w:w="1620" w:type="dxa"/>
            <w:vAlign w:val="center"/>
          </w:tcPr>
          <w:p>
            <w:pPr>
              <w:adjustRightInd w:val="0"/>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工期</w:t>
            </w:r>
          </w:p>
        </w:tc>
        <w:tc>
          <w:tcPr>
            <w:tcW w:w="1683" w:type="dxa"/>
            <w:vAlign w:val="center"/>
          </w:tcPr>
          <w:p>
            <w:pPr>
              <w:widowControl/>
              <w:jc w:val="center"/>
              <w:rPr>
                <w:rFonts w:ascii="宋体" w:hAnsi="宋体" w:cs="宋体"/>
                <w:b/>
                <w:color w:val="auto"/>
                <w:sz w:val="24"/>
                <w:highlight w:val="none"/>
              </w:rPr>
            </w:pPr>
            <w:r>
              <w:rPr>
                <w:rFonts w:hint="eastAsia" w:ascii="宋体" w:hAnsi="宋体" w:cs="宋体"/>
                <w:b/>
                <w:color w:val="auto"/>
                <w:sz w:val="24"/>
                <w:highlight w:val="none"/>
              </w:rPr>
              <w:t>建设地点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8" w:hRule="atLeast"/>
          <w:jc w:val="center"/>
        </w:trPr>
        <w:tc>
          <w:tcPr>
            <w:tcW w:w="1058" w:type="dxa"/>
            <w:vAlign w:val="center"/>
          </w:tcPr>
          <w:p>
            <w:pPr>
              <w:tabs>
                <w:tab w:val="left" w:pos="8280"/>
              </w:tabs>
              <w:autoSpaceDE w:val="0"/>
              <w:autoSpaceDN w:val="0"/>
              <w:adjustRightInd w:val="0"/>
              <w:jc w:val="center"/>
              <w:rPr>
                <w:rFonts w:ascii="宋体" w:hAnsi="宋体" w:cs="宋体"/>
                <w:color w:val="auto"/>
                <w:sz w:val="24"/>
                <w:highlight w:val="none"/>
              </w:rPr>
            </w:pPr>
            <w:r>
              <w:rPr>
                <w:rFonts w:hint="eastAsia" w:ascii="宋体" w:hAnsi="宋体" w:cs="宋体"/>
                <w:color w:val="auto"/>
                <w:sz w:val="24"/>
                <w:highlight w:val="none"/>
              </w:rPr>
              <w:t>1</w:t>
            </w:r>
          </w:p>
        </w:tc>
        <w:tc>
          <w:tcPr>
            <w:tcW w:w="2040" w:type="dxa"/>
            <w:vAlign w:val="center"/>
          </w:tcPr>
          <w:p>
            <w:pPr>
              <w:tabs>
                <w:tab w:val="left" w:pos="8280"/>
              </w:tabs>
              <w:autoSpaceDE w:val="0"/>
              <w:autoSpaceDN w:val="0"/>
              <w:adjustRightInd w:val="0"/>
              <w:jc w:val="center"/>
              <w:rPr>
                <w:rFonts w:ascii="宋体" w:hAnsi="宋体" w:cs="宋体"/>
                <w:color w:val="auto"/>
                <w:sz w:val="24"/>
                <w:highlight w:val="none"/>
              </w:rPr>
            </w:pPr>
            <w:r>
              <w:rPr>
                <w:rFonts w:hint="eastAsia" w:ascii="宋体" w:hAnsi="宋体" w:cs="宋体"/>
                <w:color w:val="auto"/>
                <w:sz w:val="24"/>
                <w:highlight w:val="none"/>
              </w:rPr>
              <w:t>台州市第一中学食堂二楼备餐间、洗碗间和新疆班卫生间改造工程项目</w:t>
            </w:r>
          </w:p>
        </w:tc>
        <w:tc>
          <w:tcPr>
            <w:tcW w:w="795" w:type="dxa"/>
            <w:vAlign w:val="center"/>
          </w:tcPr>
          <w:p>
            <w:pPr>
              <w:tabs>
                <w:tab w:val="left" w:pos="8280"/>
              </w:tabs>
              <w:autoSpaceDE w:val="0"/>
              <w:autoSpaceDN w:val="0"/>
              <w:adjustRightInd w:val="0"/>
              <w:jc w:val="center"/>
              <w:rPr>
                <w:rFonts w:ascii="宋体" w:hAnsi="宋体" w:cs="宋体"/>
                <w:color w:val="auto"/>
                <w:sz w:val="24"/>
                <w:highlight w:val="none"/>
              </w:rPr>
            </w:pPr>
            <w:r>
              <w:rPr>
                <w:rFonts w:hint="eastAsia" w:ascii="宋体" w:hAnsi="宋体" w:cs="宋体"/>
                <w:color w:val="auto"/>
                <w:sz w:val="24"/>
                <w:highlight w:val="none"/>
              </w:rPr>
              <w:t>1</w:t>
            </w:r>
          </w:p>
        </w:tc>
        <w:tc>
          <w:tcPr>
            <w:tcW w:w="930" w:type="dxa"/>
            <w:vAlign w:val="center"/>
          </w:tcPr>
          <w:p>
            <w:pPr>
              <w:tabs>
                <w:tab w:val="left" w:pos="8280"/>
              </w:tabs>
              <w:autoSpaceDE w:val="0"/>
              <w:autoSpaceDN w:val="0"/>
              <w:adjustRightInd w:val="0"/>
              <w:jc w:val="center"/>
              <w:rPr>
                <w:rFonts w:ascii="宋体" w:hAnsi="宋体" w:cs="宋体"/>
                <w:color w:val="auto"/>
                <w:sz w:val="24"/>
                <w:highlight w:val="none"/>
              </w:rPr>
            </w:pPr>
            <w:r>
              <w:rPr>
                <w:rFonts w:ascii="宋体" w:hAnsi="宋体" w:cs="宋体"/>
                <w:color w:val="auto"/>
                <w:sz w:val="24"/>
                <w:highlight w:val="none"/>
              </w:rPr>
              <w:t>项</w:t>
            </w:r>
          </w:p>
        </w:tc>
        <w:tc>
          <w:tcPr>
            <w:tcW w:w="1470" w:type="dxa"/>
            <w:vAlign w:val="center"/>
          </w:tcPr>
          <w:p>
            <w:pPr>
              <w:tabs>
                <w:tab w:val="left" w:pos="8280"/>
              </w:tabs>
              <w:autoSpaceDE w:val="0"/>
              <w:autoSpaceDN w:val="0"/>
              <w:adjustRightInd w:val="0"/>
              <w:jc w:val="center"/>
              <w:rPr>
                <w:rFonts w:ascii="宋体" w:hAnsi="宋体" w:cs="宋体"/>
                <w:color w:val="auto"/>
                <w:sz w:val="24"/>
                <w:highlight w:val="none"/>
              </w:rPr>
            </w:pPr>
            <w:r>
              <w:rPr>
                <w:rFonts w:hint="eastAsia" w:ascii="宋体" w:hAnsi="宋体" w:cs="宋体"/>
                <w:b/>
                <w:color w:val="auto"/>
                <w:sz w:val="24"/>
                <w:highlight w:val="none"/>
              </w:rPr>
              <w:t>76</w:t>
            </w:r>
            <w:r>
              <w:rPr>
                <w:rFonts w:hint="eastAsia" w:ascii="宋体" w:hAnsi="宋体" w:cs="宋体"/>
                <w:b/>
                <w:color w:val="auto"/>
                <w:sz w:val="24"/>
                <w:highlight w:val="none"/>
                <w:lang w:val="en-US" w:eastAsia="zh-CN"/>
              </w:rPr>
              <w:t>.</w:t>
            </w:r>
            <w:r>
              <w:rPr>
                <w:rFonts w:hint="eastAsia" w:ascii="宋体" w:hAnsi="宋体" w:cs="宋体"/>
                <w:b/>
                <w:color w:val="auto"/>
                <w:sz w:val="24"/>
                <w:highlight w:val="none"/>
              </w:rPr>
              <w:t>8786</w:t>
            </w:r>
          </w:p>
        </w:tc>
        <w:tc>
          <w:tcPr>
            <w:tcW w:w="1620" w:type="dxa"/>
            <w:vAlign w:val="center"/>
          </w:tcPr>
          <w:p>
            <w:pPr>
              <w:autoSpaceDE w:val="0"/>
              <w:autoSpaceDN w:val="0"/>
              <w:adjustRightInd w:val="0"/>
              <w:snapToGrid w:val="0"/>
              <w:jc w:val="center"/>
              <w:rPr>
                <w:rFonts w:ascii="宋体" w:hAnsi="宋体" w:cs="宋体"/>
                <w:color w:val="auto"/>
                <w:sz w:val="24"/>
                <w:highlight w:val="none"/>
              </w:rPr>
            </w:pPr>
            <w:bookmarkStart w:id="79" w:name="OLE_LINK144"/>
            <w:bookmarkStart w:id="80" w:name="OLE_LINK145"/>
            <w:bookmarkStart w:id="81" w:name="OLE_LINK35"/>
            <w:bookmarkStart w:id="82" w:name="OLE_LINK36"/>
            <w:r>
              <w:rPr>
                <w:rFonts w:hint="eastAsia" w:asciiTheme="minorEastAsia" w:hAnsiTheme="minorEastAsia" w:eastAsiaTheme="minorEastAsia" w:cstheme="minorEastAsia"/>
                <w:b/>
                <w:color w:val="auto"/>
                <w:sz w:val="24"/>
                <w:highlight w:val="none"/>
              </w:rPr>
              <w:t>不超过</w:t>
            </w:r>
            <w:bookmarkEnd w:id="79"/>
            <w:bookmarkEnd w:id="80"/>
            <w:r>
              <w:rPr>
                <w:rFonts w:hint="eastAsia" w:asciiTheme="minorEastAsia" w:hAnsiTheme="minorEastAsia" w:eastAsiaTheme="minorEastAsia" w:cstheme="minorEastAsia"/>
                <w:b/>
                <w:color w:val="auto"/>
                <w:sz w:val="24"/>
                <w:highlight w:val="none"/>
              </w:rPr>
              <w:t>30日历天</w:t>
            </w:r>
            <w:bookmarkEnd w:id="81"/>
            <w:bookmarkEnd w:id="82"/>
          </w:p>
        </w:tc>
        <w:tc>
          <w:tcPr>
            <w:tcW w:w="1683" w:type="dxa"/>
            <w:vAlign w:val="center"/>
          </w:tcPr>
          <w:p>
            <w:pPr>
              <w:widowControl/>
              <w:jc w:val="center"/>
              <w:rPr>
                <w:rFonts w:ascii="宋体" w:hAnsi="宋体" w:cs="宋体"/>
                <w:color w:val="auto"/>
                <w:sz w:val="24"/>
                <w:highlight w:val="none"/>
              </w:rPr>
            </w:pPr>
            <w:r>
              <w:rPr>
                <w:rFonts w:hint="eastAsia" w:ascii="宋体" w:hAnsi="宋体" w:cs="宋体"/>
                <w:color w:val="auto"/>
                <w:sz w:val="24"/>
                <w:highlight w:val="none"/>
              </w:rPr>
              <w:t>台州市第一中学内</w:t>
            </w:r>
          </w:p>
        </w:tc>
      </w:tr>
    </w:tbl>
    <w:p>
      <w:pPr>
        <w:pStyle w:val="28"/>
        <w:spacing w:after="0" w:line="360" w:lineRule="auto"/>
        <w:ind w:left="0" w:leftChars="0" w:firstLine="482" w:firstLineChars="200"/>
        <w:rPr>
          <w:rFonts w:ascii="宋体" w:hAnsi="宋体" w:cs="宋体"/>
          <w:b/>
          <w:color w:val="auto"/>
          <w:sz w:val="24"/>
          <w:highlight w:val="none"/>
        </w:rPr>
      </w:pPr>
      <w:r>
        <w:rPr>
          <w:rFonts w:hint="eastAsia" w:ascii="宋体" w:hAnsi="宋体" w:cs="宋体"/>
          <w:b/>
          <w:color w:val="auto"/>
          <w:sz w:val="24"/>
          <w:highlight w:val="none"/>
        </w:rPr>
        <w:t>注：</w:t>
      </w:r>
      <w:bookmarkStart w:id="83" w:name="OLE_LINK6"/>
      <w:r>
        <w:rPr>
          <w:rFonts w:hint="eastAsia" w:ascii="宋体" w:hAnsi="宋体" w:cs="宋体"/>
          <w:b/>
          <w:color w:val="auto"/>
          <w:sz w:val="24"/>
          <w:highlight w:val="none"/>
        </w:rPr>
        <w:t>本项目施工图预算为873620元</w:t>
      </w:r>
      <w:r>
        <w:rPr>
          <w:rFonts w:hint="eastAsia" w:ascii="宋体" w:hAnsi="宋体" w:cs="宋体"/>
          <w:b/>
          <w:color w:val="auto"/>
          <w:sz w:val="24"/>
          <w:highlight w:val="none"/>
        </w:rPr>
        <w:t>（其中食堂二楼备餐间、洗碗间385158元，新疆班卫生间改造工程488462元）</w:t>
      </w:r>
      <w:r>
        <w:rPr>
          <w:rFonts w:hint="eastAsia" w:ascii="宋体" w:hAnsi="宋体" w:cs="宋体"/>
          <w:b/>
          <w:color w:val="auto"/>
          <w:sz w:val="24"/>
          <w:highlight w:val="none"/>
        </w:rPr>
        <w:t>，最高投标限价：768786元（施工图预算价×88%)。</w:t>
      </w:r>
    </w:p>
    <w:bookmarkEnd w:id="83"/>
    <w:p>
      <w:pPr>
        <w:spacing w:before="120" w:beforeLines="50"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二、技术需求</w:t>
      </w:r>
    </w:p>
    <w:p>
      <w:pPr>
        <w:spacing w:line="360" w:lineRule="auto"/>
        <w:ind w:firstLine="482" w:firstLineChars="200"/>
        <w:rPr>
          <w:rFonts w:asciiTheme="minorEastAsia" w:hAnsiTheme="minorEastAsia" w:eastAsiaTheme="minorEastAsia"/>
          <w:b/>
          <w:color w:val="auto"/>
          <w:sz w:val="24"/>
          <w:highlight w:val="none"/>
        </w:rPr>
      </w:pPr>
      <w:bookmarkStart w:id="84" w:name="_Toc442181514"/>
      <w:bookmarkStart w:id="85" w:name="_Toc8780"/>
      <w:bookmarkStart w:id="86" w:name="_Toc357768544"/>
      <w:bookmarkStart w:id="87" w:name="_Toc392754199"/>
      <w:bookmarkStart w:id="88" w:name="_Toc157410883"/>
      <w:r>
        <w:rPr>
          <w:rFonts w:hint="eastAsia" w:asciiTheme="minorEastAsia" w:hAnsiTheme="minorEastAsia" w:eastAsiaTheme="minorEastAsia"/>
          <w:b/>
          <w:color w:val="auto"/>
          <w:sz w:val="24"/>
          <w:highlight w:val="none"/>
        </w:rPr>
        <w:t>（一）</w:t>
      </w:r>
      <w:bookmarkEnd w:id="84"/>
      <w:bookmarkEnd w:id="85"/>
      <w:bookmarkEnd w:id="86"/>
      <w:bookmarkEnd w:id="87"/>
      <w:r>
        <w:rPr>
          <w:rFonts w:hint="eastAsia" w:asciiTheme="minorEastAsia" w:hAnsiTheme="minorEastAsia" w:eastAsiaTheme="minorEastAsia"/>
          <w:b/>
          <w:color w:val="auto"/>
          <w:sz w:val="24"/>
          <w:highlight w:val="none"/>
        </w:rPr>
        <w:t>工程内容</w:t>
      </w:r>
    </w:p>
    <w:p>
      <w:pPr>
        <w:pStyle w:val="77"/>
        <w:adjustRightInd w:val="0"/>
        <w:snapToGrid w:val="0"/>
        <w:spacing w:line="360" w:lineRule="auto"/>
        <w:ind w:firstLine="480"/>
        <w:rPr>
          <w:rFonts w:ascii="宋体" w:hAnsi="宋体" w:cs="Times New Roman"/>
          <w:color w:val="auto"/>
          <w:sz w:val="24"/>
          <w:szCs w:val="24"/>
          <w:highlight w:val="none"/>
        </w:rPr>
      </w:pPr>
      <w:bookmarkStart w:id="89" w:name="OLE_LINK22"/>
      <w:r>
        <w:rPr>
          <w:rFonts w:hint="eastAsia" w:ascii="宋体" w:hAnsi="宋体" w:cs="Times New Roman"/>
          <w:color w:val="auto"/>
          <w:sz w:val="24"/>
          <w:szCs w:val="24"/>
          <w:highlight w:val="none"/>
        </w:rPr>
        <w:t>本项目包括：①台州市第一中学二楼食堂备餐间、洗碗间等改造；②台州一中新疆班卫生间改造。</w:t>
      </w:r>
    </w:p>
    <w:p>
      <w:pPr>
        <w:pStyle w:val="77"/>
        <w:adjustRightInd w:val="0"/>
        <w:snapToGrid w:val="0"/>
        <w:spacing w:line="360" w:lineRule="auto"/>
        <w:ind w:firstLine="480"/>
        <w:rPr>
          <w:rFonts w:ascii="宋体" w:hAnsi="宋体" w:cs="Times New Roman"/>
          <w:color w:val="auto"/>
          <w:sz w:val="24"/>
          <w:szCs w:val="24"/>
          <w:highlight w:val="none"/>
        </w:rPr>
      </w:pPr>
      <w:r>
        <w:rPr>
          <w:rFonts w:hint="eastAsia" w:ascii="宋体" w:hAnsi="宋体" w:cs="Times New Roman"/>
          <w:color w:val="auto"/>
          <w:sz w:val="24"/>
          <w:szCs w:val="24"/>
          <w:highlight w:val="none"/>
        </w:rPr>
        <w:t>1.</w:t>
      </w:r>
      <w:bookmarkStart w:id="90" w:name="OLE_LINK27"/>
      <w:bookmarkStart w:id="91" w:name="OLE_LINK28"/>
      <w:r>
        <w:rPr>
          <w:rFonts w:hint="eastAsia" w:ascii="宋体" w:hAnsi="宋体" w:cs="Times New Roman"/>
          <w:color w:val="auto"/>
          <w:sz w:val="24"/>
          <w:szCs w:val="24"/>
          <w:highlight w:val="none"/>
        </w:rPr>
        <w:t>二楼食堂备餐间、洗碗间等改造，</w:t>
      </w:r>
      <w:bookmarkEnd w:id="90"/>
      <w:bookmarkEnd w:id="91"/>
      <w:r>
        <w:rPr>
          <w:rFonts w:hint="eastAsia" w:ascii="宋体" w:hAnsi="宋体" w:cs="Times New Roman"/>
          <w:color w:val="auto"/>
          <w:sz w:val="24"/>
          <w:szCs w:val="24"/>
          <w:highlight w:val="none"/>
        </w:rPr>
        <w:t>工程内容为拆除工程、室外隔油池、二层更衣室、备餐间、消洗间等改造及水电安装工程等，</w:t>
      </w:r>
      <w:bookmarkStart w:id="92" w:name="OLE_LINK26"/>
      <w:bookmarkStart w:id="93" w:name="OLE_LINK20"/>
      <w:bookmarkStart w:id="94" w:name="OLE_LINK21"/>
      <w:r>
        <w:rPr>
          <w:rFonts w:hint="eastAsia" w:ascii="宋体" w:hAnsi="宋体" w:cs="Times New Roman"/>
          <w:color w:val="auto"/>
          <w:sz w:val="24"/>
          <w:szCs w:val="24"/>
          <w:highlight w:val="none"/>
        </w:rPr>
        <w:t>详见采购人提供的图纸及预算书</w:t>
      </w:r>
      <w:bookmarkStart w:id="95" w:name="OLE_LINK16"/>
      <w:bookmarkStart w:id="96" w:name="OLE_LINK15"/>
      <w:r>
        <w:rPr>
          <w:rFonts w:hint="eastAsia" w:ascii="宋体" w:hAnsi="宋体" w:cs="Times New Roman"/>
          <w:color w:val="auto"/>
          <w:sz w:val="24"/>
          <w:szCs w:val="24"/>
          <w:highlight w:val="none"/>
        </w:rPr>
        <w:t>（详招标文件附件一）</w:t>
      </w:r>
      <w:bookmarkEnd w:id="95"/>
      <w:bookmarkEnd w:id="96"/>
      <w:r>
        <w:rPr>
          <w:rFonts w:hint="eastAsia" w:ascii="宋体" w:hAnsi="宋体" w:cs="Times New Roman"/>
          <w:color w:val="auto"/>
          <w:sz w:val="24"/>
          <w:szCs w:val="24"/>
          <w:highlight w:val="none"/>
        </w:rPr>
        <w:t>；</w:t>
      </w:r>
      <w:bookmarkEnd w:id="92"/>
      <w:bookmarkEnd w:id="93"/>
      <w:bookmarkEnd w:id="94"/>
    </w:p>
    <w:p>
      <w:pPr>
        <w:pStyle w:val="77"/>
        <w:adjustRightInd w:val="0"/>
        <w:snapToGrid w:val="0"/>
        <w:spacing w:line="360" w:lineRule="auto"/>
        <w:ind w:firstLine="480"/>
        <w:rPr>
          <w:rFonts w:ascii="宋体" w:hAnsi="宋体" w:cs="Times New Roman"/>
          <w:color w:val="auto"/>
          <w:sz w:val="24"/>
          <w:szCs w:val="24"/>
          <w:highlight w:val="none"/>
        </w:rPr>
      </w:pPr>
      <w:r>
        <w:rPr>
          <w:rFonts w:hint="eastAsia" w:ascii="宋体" w:hAnsi="宋体" w:cs="Times New Roman"/>
          <w:color w:val="auto"/>
          <w:sz w:val="24"/>
          <w:szCs w:val="24"/>
          <w:highlight w:val="none"/>
        </w:rPr>
        <w:t>2.</w:t>
      </w:r>
      <w:r>
        <w:rPr>
          <w:rFonts w:hint="eastAsia"/>
          <w:color w:val="auto"/>
          <w:highlight w:val="none"/>
        </w:rPr>
        <w:t xml:space="preserve"> </w:t>
      </w:r>
      <w:bookmarkStart w:id="97" w:name="OLE_LINK29"/>
      <w:r>
        <w:rPr>
          <w:rFonts w:hint="eastAsia" w:ascii="宋体" w:hAnsi="宋体" w:cs="Times New Roman"/>
          <w:color w:val="auto"/>
          <w:sz w:val="24"/>
          <w:szCs w:val="24"/>
          <w:highlight w:val="none"/>
        </w:rPr>
        <w:t>新疆班卫生间改造，工程内容</w:t>
      </w:r>
      <w:bookmarkEnd w:id="97"/>
      <w:bookmarkStart w:id="98" w:name="OLE_LINK19"/>
      <w:r>
        <w:rPr>
          <w:rFonts w:hint="eastAsia" w:ascii="宋体" w:hAnsi="宋体" w:cs="Times New Roman"/>
          <w:color w:val="auto"/>
          <w:sz w:val="24"/>
          <w:szCs w:val="24"/>
          <w:highlight w:val="none"/>
        </w:rPr>
        <w:t>为</w:t>
      </w:r>
      <w:bookmarkEnd w:id="98"/>
      <w:r>
        <w:rPr>
          <w:rFonts w:hint="eastAsia" w:ascii="宋体" w:hAnsi="宋体" w:cs="Times New Roman"/>
          <w:color w:val="auto"/>
          <w:sz w:val="24"/>
          <w:szCs w:val="24"/>
          <w:highlight w:val="none"/>
        </w:rPr>
        <w:t>新疆班卫生间装修改造、水电安装等，详见采购人提供的图纸及预算书</w:t>
      </w:r>
      <w:bookmarkStart w:id="99" w:name="OLE_LINK18"/>
      <w:bookmarkStart w:id="100" w:name="OLE_LINK17"/>
      <w:r>
        <w:rPr>
          <w:rFonts w:hint="eastAsia" w:ascii="宋体" w:hAnsi="宋体" w:cs="Times New Roman"/>
          <w:color w:val="auto"/>
          <w:sz w:val="24"/>
          <w:szCs w:val="24"/>
          <w:highlight w:val="none"/>
        </w:rPr>
        <w:t>（详招标文件附件二）</w:t>
      </w:r>
      <w:bookmarkEnd w:id="99"/>
      <w:bookmarkEnd w:id="100"/>
      <w:r>
        <w:rPr>
          <w:rFonts w:hint="eastAsia" w:ascii="宋体" w:hAnsi="宋体" w:cs="Times New Roman"/>
          <w:color w:val="auto"/>
          <w:sz w:val="24"/>
          <w:szCs w:val="24"/>
          <w:highlight w:val="none"/>
        </w:rPr>
        <w:t>；</w:t>
      </w:r>
    </w:p>
    <w:bookmarkEnd w:id="89"/>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（二）技术规范及标准</w:t>
      </w:r>
    </w:p>
    <w:p>
      <w:pPr>
        <w:pStyle w:val="76"/>
        <w:spacing w:line="360" w:lineRule="auto"/>
        <w:ind w:firstLine="480"/>
        <w:rPr>
          <w:rFonts w:ascii="Times New Roman"/>
          <w:color w:val="auto"/>
          <w:highlight w:val="none"/>
        </w:rPr>
      </w:pPr>
      <w:r>
        <w:rPr>
          <w:rFonts w:hint="eastAsia" w:hAnsi="宋体"/>
          <w:color w:val="auto"/>
          <w:szCs w:val="24"/>
          <w:highlight w:val="none"/>
        </w:rPr>
        <w:t>1.依据设计施工图纸和技术文件要求，本工程项目的材料、设备、施工必须达到以下现行中华人民共和国及省、市、行业的一切有关法规、规范的要求，如下述标准及规范要求有出入则以较严格者为准。</w:t>
      </w:r>
    </w:p>
    <w:p>
      <w:pPr>
        <w:pStyle w:val="76"/>
        <w:spacing w:line="360" w:lineRule="auto"/>
        <w:ind w:firstLine="480"/>
        <w:rPr>
          <w:rFonts w:ascii="Times New Roman"/>
          <w:color w:val="auto"/>
          <w:highlight w:val="none"/>
        </w:rPr>
      </w:pPr>
      <w:r>
        <w:rPr>
          <w:rFonts w:hint="eastAsia" w:ascii="Times New Roman"/>
          <w:color w:val="auto"/>
          <w:highlight w:val="none"/>
        </w:rPr>
        <w:t>《建筑给水排水设计规范》GB50015-2003（2009年版）</w:t>
      </w:r>
    </w:p>
    <w:p>
      <w:pPr>
        <w:pStyle w:val="76"/>
        <w:spacing w:line="360" w:lineRule="auto"/>
        <w:ind w:firstLine="480"/>
        <w:rPr>
          <w:rFonts w:ascii="Times New Roman"/>
          <w:color w:val="auto"/>
          <w:highlight w:val="none"/>
        </w:rPr>
      </w:pPr>
      <w:r>
        <w:rPr>
          <w:rFonts w:hint="eastAsia" w:ascii="Times New Roman"/>
          <w:color w:val="auto"/>
          <w:highlight w:val="none"/>
        </w:rPr>
        <w:t>《建筑给水排水及采暖工程施工质量验收规范》（GB50242-2002）</w:t>
      </w:r>
    </w:p>
    <w:p>
      <w:pPr>
        <w:pStyle w:val="76"/>
        <w:spacing w:line="360" w:lineRule="auto"/>
        <w:ind w:firstLine="480"/>
        <w:rPr>
          <w:rFonts w:ascii="Times New Roman"/>
          <w:color w:val="auto"/>
          <w:highlight w:val="none"/>
        </w:rPr>
      </w:pPr>
      <w:r>
        <w:rPr>
          <w:rFonts w:hint="eastAsia" w:ascii="Times New Roman"/>
          <w:color w:val="auto"/>
          <w:highlight w:val="none"/>
        </w:rPr>
        <w:t>《建筑灭火器配置设计规范》GB50140-2005（2005 年版）</w:t>
      </w:r>
    </w:p>
    <w:p>
      <w:pPr>
        <w:pStyle w:val="76"/>
        <w:spacing w:line="360" w:lineRule="auto"/>
        <w:ind w:firstLine="480"/>
        <w:rPr>
          <w:rFonts w:ascii="Times New Roman"/>
          <w:color w:val="auto"/>
          <w:highlight w:val="none"/>
        </w:rPr>
      </w:pPr>
      <w:r>
        <w:rPr>
          <w:rFonts w:hint="eastAsia" w:ascii="Times New Roman"/>
          <w:color w:val="auto"/>
          <w:highlight w:val="none"/>
        </w:rPr>
        <w:t>《建筑给水排水及采暖工程施工质量验收规范》（GB 50242-2002）</w:t>
      </w:r>
    </w:p>
    <w:p>
      <w:pPr>
        <w:pStyle w:val="76"/>
        <w:spacing w:line="360" w:lineRule="auto"/>
        <w:ind w:firstLine="480"/>
        <w:rPr>
          <w:rFonts w:ascii="Times New Roman"/>
          <w:color w:val="auto"/>
          <w:highlight w:val="none"/>
        </w:rPr>
      </w:pPr>
      <w:r>
        <w:rPr>
          <w:rFonts w:hint="eastAsia" w:ascii="Times New Roman"/>
          <w:color w:val="auto"/>
          <w:highlight w:val="none"/>
        </w:rPr>
        <w:t>《建筑装修工程施工及验收规范》（GB.50210-2001）</w:t>
      </w:r>
    </w:p>
    <w:p>
      <w:pPr>
        <w:pStyle w:val="76"/>
        <w:spacing w:line="360" w:lineRule="auto"/>
        <w:ind w:firstLine="480"/>
        <w:rPr>
          <w:rFonts w:ascii="Times New Roman"/>
          <w:color w:val="auto"/>
          <w:highlight w:val="none"/>
        </w:rPr>
      </w:pPr>
      <w:r>
        <w:rPr>
          <w:rFonts w:hint="eastAsia" w:ascii="Times New Roman"/>
          <w:color w:val="auto"/>
          <w:highlight w:val="none"/>
        </w:rPr>
        <w:t>《建筑内部装修防火规范》（GB50222-95）</w:t>
      </w:r>
    </w:p>
    <w:p>
      <w:pPr>
        <w:pStyle w:val="76"/>
        <w:spacing w:line="360" w:lineRule="auto"/>
        <w:ind w:firstLine="480"/>
        <w:rPr>
          <w:rFonts w:ascii="Times New Roman"/>
          <w:color w:val="auto"/>
          <w:highlight w:val="none"/>
        </w:rPr>
      </w:pPr>
      <w:r>
        <w:rPr>
          <w:rFonts w:hint="eastAsia" w:ascii="Times New Roman"/>
          <w:color w:val="auto"/>
          <w:highlight w:val="none"/>
        </w:rPr>
        <w:t>《安全防范工程技术规范》（GB. 50348-2004）</w:t>
      </w:r>
    </w:p>
    <w:p>
      <w:pPr>
        <w:pStyle w:val="76"/>
        <w:spacing w:line="360" w:lineRule="auto"/>
        <w:ind w:firstLine="480"/>
        <w:rPr>
          <w:rFonts w:ascii="Times New Roman"/>
          <w:color w:val="auto"/>
          <w:highlight w:val="none"/>
        </w:rPr>
      </w:pPr>
      <w:r>
        <w:rPr>
          <w:rFonts w:hint="eastAsia" w:ascii="Times New Roman"/>
          <w:color w:val="auto"/>
          <w:highlight w:val="none"/>
        </w:rPr>
        <w:t>《建设电气安装工程质量检验评定标准》（GB50303-2002）</w:t>
      </w:r>
    </w:p>
    <w:p>
      <w:pPr>
        <w:pStyle w:val="76"/>
        <w:spacing w:line="360" w:lineRule="auto"/>
        <w:ind w:firstLine="480"/>
        <w:rPr>
          <w:rFonts w:ascii="Times New Roman"/>
          <w:color w:val="auto"/>
          <w:highlight w:val="none"/>
        </w:rPr>
      </w:pPr>
      <w:r>
        <w:rPr>
          <w:rFonts w:hint="eastAsia" w:ascii="Times New Roman"/>
          <w:color w:val="auto"/>
          <w:highlight w:val="none"/>
        </w:rPr>
        <w:t>其他国家及地方有关设计规范、规定</w:t>
      </w:r>
    </w:p>
    <w:p>
      <w:pPr>
        <w:pStyle w:val="76"/>
        <w:spacing w:line="360" w:lineRule="auto"/>
        <w:ind w:firstLine="480"/>
        <w:rPr>
          <w:rFonts w:hAnsi="宋体"/>
          <w:color w:val="auto"/>
          <w:szCs w:val="24"/>
          <w:highlight w:val="none"/>
        </w:rPr>
      </w:pPr>
      <w:r>
        <w:rPr>
          <w:rFonts w:hint="eastAsia" w:hAnsi="宋体"/>
          <w:color w:val="auto"/>
          <w:szCs w:val="24"/>
          <w:highlight w:val="none"/>
        </w:rPr>
        <w:t>……</w:t>
      </w:r>
    </w:p>
    <w:p>
      <w:pPr>
        <w:pStyle w:val="76"/>
        <w:spacing w:line="360" w:lineRule="auto"/>
        <w:ind w:firstLine="480"/>
        <w:rPr>
          <w:rFonts w:hAnsi="宋体"/>
          <w:color w:val="auto"/>
          <w:szCs w:val="24"/>
          <w:highlight w:val="none"/>
        </w:rPr>
      </w:pPr>
      <w:r>
        <w:rPr>
          <w:rFonts w:hint="eastAsia" w:hAnsi="宋体"/>
          <w:color w:val="auto"/>
          <w:szCs w:val="24"/>
          <w:highlight w:val="none"/>
        </w:rPr>
        <w:t>2.以上技术规范由供应商自备，如有不足之处或未能达到国家最新标准时，供应商应使施工及选用的设备和材料符合最新版本的国家标准、规范。</w:t>
      </w:r>
    </w:p>
    <w:p>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（三）材料质量要求</w:t>
      </w:r>
    </w:p>
    <w:p>
      <w:pPr>
        <w:pStyle w:val="76"/>
        <w:spacing w:line="360" w:lineRule="auto"/>
        <w:ind w:firstLine="480"/>
        <w:rPr>
          <w:rFonts w:hAnsi="宋体"/>
          <w:color w:val="auto"/>
          <w:szCs w:val="24"/>
          <w:highlight w:val="none"/>
        </w:rPr>
      </w:pPr>
      <w:r>
        <w:rPr>
          <w:rFonts w:hint="eastAsia" w:hAnsi="宋体"/>
          <w:color w:val="auto"/>
          <w:szCs w:val="24"/>
          <w:highlight w:val="none"/>
        </w:rPr>
        <w:t>1.材料选择</w:t>
      </w:r>
    </w:p>
    <w:p>
      <w:pPr>
        <w:pStyle w:val="76"/>
        <w:spacing w:line="360" w:lineRule="auto"/>
        <w:ind w:firstLine="480"/>
        <w:rPr>
          <w:rFonts w:hAnsi="宋体"/>
          <w:color w:val="auto"/>
          <w:szCs w:val="24"/>
          <w:highlight w:val="none"/>
        </w:rPr>
      </w:pPr>
      <w:r>
        <w:rPr>
          <w:rFonts w:hint="eastAsia" w:hAnsi="宋体"/>
          <w:color w:val="auto"/>
          <w:szCs w:val="24"/>
          <w:highlight w:val="none"/>
        </w:rPr>
        <w:t>（</w:t>
      </w:r>
      <w:r>
        <w:rPr>
          <w:rFonts w:hAnsi="宋体"/>
          <w:color w:val="auto"/>
          <w:szCs w:val="24"/>
          <w:highlight w:val="none"/>
        </w:rPr>
        <w:t>1</w:t>
      </w:r>
      <w:r>
        <w:rPr>
          <w:rFonts w:hint="eastAsia" w:hAnsi="宋体"/>
          <w:color w:val="auto"/>
          <w:szCs w:val="24"/>
          <w:highlight w:val="none"/>
        </w:rPr>
        <w:t>）合同中“主要设备材料备选品牌一览表</w:t>
      </w:r>
      <w:r>
        <w:rPr>
          <w:rFonts w:hAnsi="宋体"/>
          <w:color w:val="auto"/>
          <w:szCs w:val="24"/>
          <w:highlight w:val="none"/>
        </w:rPr>
        <w:t>”</w:t>
      </w:r>
      <w:r>
        <w:rPr>
          <w:rFonts w:hint="eastAsia" w:hAnsi="宋体"/>
          <w:color w:val="auto"/>
          <w:szCs w:val="24"/>
          <w:highlight w:val="none"/>
        </w:rPr>
        <w:t>，供应商在磋商响应时必须按表中所列的备选品牌之一进行报价（如投标响应优于文件要求的，按响应文件承诺为准，如低于文件要求的，按文件要求执行）。</w:t>
      </w:r>
    </w:p>
    <w:p>
      <w:pPr>
        <w:pStyle w:val="76"/>
        <w:spacing w:line="360" w:lineRule="auto"/>
        <w:ind w:firstLine="480"/>
        <w:rPr>
          <w:rFonts w:hAnsi="宋体"/>
          <w:color w:val="auto"/>
          <w:szCs w:val="24"/>
          <w:highlight w:val="none"/>
        </w:rPr>
      </w:pPr>
      <w:r>
        <w:rPr>
          <w:rFonts w:hint="eastAsia" w:hAnsi="宋体"/>
          <w:color w:val="auto"/>
          <w:szCs w:val="24"/>
          <w:highlight w:val="none"/>
        </w:rPr>
        <w:t>（</w:t>
      </w:r>
      <w:r>
        <w:rPr>
          <w:rFonts w:hAnsi="宋体"/>
          <w:color w:val="auto"/>
          <w:szCs w:val="24"/>
          <w:highlight w:val="none"/>
        </w:rPr>
        <w:t>2</w:t>
      </w:r>
      <w:r>
        <w:rPr>
          <w:rFonts w:hint="eastAsia" w:hAnsi="宋体"/>
          <w:color w:val="auto"/>
          <w:szCs w:val="24"/>
          <w:highlight w:val="none"/>
        </w:rPr>
        <w:t>）本采购文件涉及的其他主要材料及零星材料，各供应商须根据设计施工图的要求中高档的用材标准进行选材并报价，所有建筑材料要求采用在行业内有一定知名度的品牌，并符合环保要求，严禁选择不合设计要求的低档材料进行报价及组织施工实施。</w:t>
      </w:r>
    </w:p>
    <w:p>
      <w:pPr>
        <w:pStyle w:val="76"/>
        <w:spacing w:line="360" w:lineRule="auto"/>
        <w:ind w:firstLine="480"/>
        <w:rPr>
          <w:rFonts w:hAnsi="宋体"/>
          <w:color w:val="auto"/>
          <w:szCs w:val="24"/>
          <w:highlight w:val="none"/>
        </w:rPr>
      </w:pPr>
      <w:r>
        <w:rPr>
          <w:rFonts w:hint="eastAsia" w:hAnsi="宋体"/>
          <w:color w:val="auto"/>
          <w:szCs w:val="24"/>
          <w:highlight w:val="none"/>
        </w:rPr>
        <w:t>2.材料的质量保证</w:t>
      </w:r>
    </w:p>
    <w:p>
      <w:pPr>
        <w:pStyle w:val="76"/>
        <w:spacing w:line="360" w:lineRule="auto"/>
        <w:ind w:firstLine="480"/>
        <w:rPr>
          <w:rFonts w:hAnsi="宋体"/>
          <w:color w:val="auto"/>
          <w:szCs w:val="24"/>
          <w:highlight w:val="none"/>
        </w:rPr>
      </w:pPr>
      <w:r>
        <w:rPr>
          <w:rFonts w:hint="eastAsia" w:hAnsi="宋体"/>
          <w:color w:val="auto"/>
          <w:szCs w:val="24"/>
          <w:highlight w:val="none"/>
        </w:rPr>
        <w:t>（</w:t>
      </w:r>
      <w:r>
        <w:rPr>
          <w:rFonts w:hAnsi="宋体"/>
          <w:color w:val="auto"/>
          <w:szCs w:val="24"/>
          <w:highlight w:val="none"/>
        </w:rPr>
        <w:t>1</w:t>
      </w:r>
      <w:r>
        <w:rPr>
          <w:rFonts w:hint="eastAsia" w:hAnsi="宋体"/>
          <w:color w:val="auto"/>
          <w:szCs w:val="24"/>
          <w:highlight w:val="none"/>
        </w:rPr>
        <w:t>）在免费保修期内，中标供应商对有缺陷的部位必须无偿地给予修理与更换，并承担一切由此引起的对采购人或第三者的直接损失，除非该缺陷是由于人为破坏或合同规定的不可抗力因素造成的损坏。</w:t>
      </w:r>
    </w:p>
    <w:p>
      <w:pPr>
        <w:pStyle w:val="76"/>
        <w:spacing w:line="360" w:lineRule="auto"/>
        <w:ind w:firstLine="480"/>
        <w:rPr>
          <w:rFonts w:hAnsi="宋体"/>
          <w:color w:val="auto"/>
          <w:szCs w:val="24"/>
          <w:highlight w:val="none"/>
        </w:rPr>
      </w:pPr>
      <w:r>
        <w:rPr>
          <w:rFonts w:hint="eastAsia" w:hAnsi="宋体"/>
          <w:color w:val="auto"/>
          <w:szCs w:val="24"/>
          <w:highlight w:val="none"/>
        </w:rPr>
        <w:t>（</w:t>
      </w:r>
      <w:r>
        <w:rPr>
          <w:rFonts w:hAnsi="宋体"/>
          <w:color w:val="auto"/>
          <w:szCs w:val="24"/>
          <w:highlight w:val="none"/>
        </w:rPr>
        <w:t>2</w:t>
      </w:r>
      <w:r>
        <w:rPr>
          <w:rFonts w:hint="eastAsia" w:hAnsi="宋体"/>
          <w:color w:val="auto"/>
          <w:szCs w:val="24"/>
          <w:highlight w:val="none"/>
        </w:rPr>
        <w:t>）中标供应必须对所承包的工程的质量负全部责任，其责任不因其他材料生产商提供的保证书而减轻或更改。</w:t>
      </w:r>
    </w:p>
    <w:p>
      <w:pPr>
        <w:pStyle w:val="76"/>
        <w:spacing w:line="360" w:lineRule="auto"/>
        <w:ind w:firstLine="480"/>
        <w:rPr>
          <w:rFonts w:hAnsi="宋体"/>
          <w:color w:val="auto"/>
          <w:szCs w:val="24"/>
          <w:highlight w:val="none"/>
        </w:rPr>
      </w:pPr>
      <w:r>
        <w:rPr>
          <w:rFonts w:hint="eastAsia" w:hAnsi="宋体"/>
          <w:color w:val="auto"/>
          <w:szCs w:val="24"/>
          <w:highlight w:val="none"/>
        </w:rPr>
        <w:t>（</w:t>
      </w:r>
      <w:r>
        <w:rPr>
          <w:rFonts w:hAnsi="宋体"/>
          <w:color w:val="auto"/>
          <w:szCs w:val="24"/>
          <w:highlight w:val="none"/>
        </w:rPr>
        <w:t>3</w:t>
      </w:r>
      <w:r>
        <w:rPr>
          <w:rFonts w:hint="eastAsia" w:hAnsi="宋体"/>
          <w:color w:val="auto"/>
          <w:szCs w:val="24"/>
          <w:highlight w:val="none"/>
        </w:rPr>
        <w:t>）材料检验结果证明其有害物质含量指标超标的产品不得在工程上使用。</w:t>
      </w:r>
    </w:p>
    <w:p>
      <w:pPr>
        <w:pStyle w:val="76"/>
        <w:spacing w:line="360" w:lineRule="auto"/>
        <w:ind w:firstLine="480"/>
        <w:rPr>
          <w:rFonts w:hAnsi="宋体"/>
          <w:color w:val="auto"/>
          <w:szCs w:val="24"/>
          <w:highlight w:val="none"/>
        </w:rPr>
      </w:pPr>
      <w:r>
        <w:rPr>
          <w:rFonts w:hint="eastAsia" w:hAnsi="宋体"/>
          <w:color w:val="auto"/>
          <w:szCs w:val="24"/>
          <w:highlight w:val="none"/>
        </w:rPr>
        <w:t>3.供应要求</w:t>
      </w:r>
    </w:p>
    <w:p>
      <w:pPr>
        <w:pStyle w:val="76"/>
        <w:spacing w:line="360" w:lineRule="auto"/>
        <w:ind w:firstLine="480"/>
        <w:rPr>
          <w:rFonts w:hAnsi="宋体"/>
          <w:color w:val="auto"/>
          <w:szCs w:val="24"/>
          <w:highlight w:val="none"/>
        </w:rPr>
      </w:pPr>
      <w:r>
        <w:rPr>
          <w:rFonts w:hint="eastAsia" w:hAnsi="宋体"/>
          <w:color w:val="auto"/>
          <w:szCs w:val="24"/>
          <w:highlight w:val="none"/>
        </w:rPr>
        <w:t>（</w:t>
      </w:r>
      <w:r>
        <w:rPr>
          <w:rFonts w:hAnsi="宋体"/>
          <w:color w:val="auto"/>
          <w:szCs w:val="24"/>
          <w:highlight w:val="none"/>
        </w:rPr>
        <w:t>1</w:t>
      </w:r>
      <w:r>
        <w:rPr>
          <w:rFonts w:hint="eastAsia" w:hAnsi="宋体"/>
          <w:color w:val="auto"/>
          <w:szCs w:val="24"/>
          <w:highlight w:val="none"/>
        </w:rPr>
        <w:t>）本次承包范围内的建筑施工材料均由中标供应商根据本采购文件、设计图纸和国家有关规定的具体要求进行采购、运输、检验、保管，但采购人保留变更和指定材料的权利；所有建筑材料须有产品合格证和质量保证书，应先送样品，样品经设计方、监理方、采购人确认与采购要求一致后封存，批量供应时应与样品一致，并经相关部门检验合格后方可使用。</w:t>
      </w:r>
    </w:p>
    <w:p>
      <w:pPr>
        <w:pStyle w:val="76"/>
        <w:spacing w:line="360" w:lineRule="auto"/>
        <w:ind w:firstLine="480"/>
        <w:rPr>
          <w:rFonts w:hAnsi="宋体"/>
          <w:color w:val="auto"/>
          <w:szCs w:val="24"/>
          <w:highlight w:val="none"/>
        </w:rPr>
      </w:pPr>
      <w:r>
        <w:rPr>
          <w:rFonts w:hint="eastAsia" w:hAnsi="宋体"/>
          <w:color w:val="auto"/>
          <w:szCs w:val="24"/>
          <w:highlight w:val="none"/>
        </w:rPr>
        <w:t>（</w:t>
      </w:r>
      <w:r>
        <w:rPr>
          <w:rFonts w:hAnsi="宋体"/>
          <w:color w:val="auto"/>
          <w:szCs w:val="24"/>
          <w:highlight w:val="none"/>
        </w:rPr>
        <w:t>2</w:t>
      </w:r>
      <w:r>
        <w:rPr>
          <w:rFonts w:hint="eastAsia" w:hAnsi="宋体"/>
          <w:color w:val="auto"/>
          <w:szCs w:val="24"/>
          <w:highlight w:val="none"/>
        </w:rPr>
        <w:t>）由中标供应商采购的主要建筑材料，当中标供应商选定的产品质量达不到设计要求和预期质量目标时，采购人保留更换的权利，且中标价不予调整。</w:t>
      </w:r>
    </w:p>
    <w:p>
      <w:pPr>
        <w:spacing w:line="360" w:lineRule="auto"/>
        <w:ind w:firstLine="482" w:firstLineChars="200"/>
        <w:rPr>
          <w:rFonts w:asciiTheme="minorEastAsia" w:hAnsiTheme="minorEastAsia" w:eastAsiaTheme="minorEastAsia"/>
          <w:b/>
          <w:color w:val="auto"/>
          <w:sz w:val="24"/>
          <w:highlight w:val="none"/>
        </w:rPr>
      </w:pPr>
      <w:bookmarkStart w:id="101" w:name="OLE_LINK50"/>
      <w:bookmarkStart w:id="102" w:name="OLE_LINK51"/>
      <w:r>
        <w:rPr>
          <w:rFonts w:hint="eastAsia" w:asciiTheme="minorEastAsia" w:hAnsiTheme="minorEastAsia" w:eastAsiaTheme="minorEastAsia"/>
          <w:b/>
          <w:color w:val="auto"/>
          <w:sz w:val="24"/>
          <w:highlight w:val="none"/>
        </w:rPr>
        <w:t>（四）工程管理的要求</w:t>
      </w:r>
    </w:p>
    <w:bookmarkEnd w:id="101"/>
    <w:bookmarkEnd w:id="102"/>
    <w:p>
      <w:pPr>
        <w:widowControl/>
        <w:spacing w:line="360" w:lineRule="auto"/>
        <w:ind w:firstLine="420" w:firstLineChars="200"/>
        <w:jc w:val="left"/>
        <w:rPr>
          <w:rFonts w:ascii="宋体" w:hAnsi="宋体" w:cs="宋体"/>
          <w:b/>
          <w:color w:val="auto"/>
          <w:kern w:val="0"/>
          <w:sz w:val="24"/>
          <w:highlight w:val="none"/>
        </w:rPr>
      </w:pPr>
      <w:r>
        <w:rPr>
          <w:rFonts w:hint="eastAsia" w:asciiTheme="minorEastAsia" w:hAnsiTheme="minorEastAsia" w:eastAsiaTheme="minorEastAsia"/>
          <w:color w:val="auto"/>
          <w:highlight w:val="none"/>
        </w:rPr>
        <w:t>▲</w:t>
      </w:r>
      <w:r>
        <w:rPr>
          <w:rFonts w:hint="eastAsia" w:ascii="宋体" w:hAnsi="宋体"/>
          <w:b/>
          <w:color w:val="auto"/>
          <w:sz w:val="24"/>
          <w:highlight w:val="none"/>
        </w:rPr>
        <w:t>1.</w:t>
      </w:r>
      <w:r>
        <w:rPr>
          <w:rFonts w:hint="eastAsia" w:ascii="宋体" w:hAnsi="宋体" w:cs="宋体"/>
          <w:b/>
          <w:color w:val="auto"/>
          <w:kern w:val="0"/>
          <w:sz w:val="24"/>
          <w:highlight w:val="none"/>
        </w:rPr>
        <w:t>拟派的项目负责人应具备以下要求：</w:t>
      </w:r>
    </w:p>
    <w:p>
      <w:pPr>
        <w:adjustRightInd w:val="0"/>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kern w:val="0"/>
          <w:sz w:val="24"/>
          <w:highlight w:val="none"/>
        </w:rPr>
        <w:t>应具有建筑工程专业注册建造师二级及以上资格（建造师临时执业证书无效）；</w:t>
      </w:r>
    </w:p>
    <w:p>
      <w:pPr>
        <w:pStyle w:val="77"/>
        <w:spacing w:line="360" w:lineRule="auto"/>
        <w:ind w:firstLine="480"/>
        <w:rPr>
          <w:rFonts w:ascii="宋体" w:hAnsi="宋体" w:cs="Times New Roman"/>
          <w:color w:val="auto"/>
          <w:sz w:val="24"/>
          <w:szCs w:val="24"/>
          <w:highlight w:val="none"/>
        </w:rPr>
      </w:pPr>
      <w:r>
        <w:rPr>
          <w:rFonts w:hint="eastAsia" w:ascii="宋体" w:hAnsi="宋体" w:cs="Times New Roman"/>
          <w:color w:val="auto"/>
          <w:sz w:val="24"/>
          <w:szCs w:val="24"/>
          <w:highlight w:val="none"/>
        </w:rPr>
        <w:t>2.本工程发包范围内的工程项目，未经采购人同意一律不得分包。一经发现立即取消承包资格，作违约处理，并承担由此引起的一切经济损失。</w:t>
      </w:r>
    </w:p>
    <w:p>
      <w:pPr>
        <w:pStyle w:val="77"/>
        <w:spacing w:line="360" w:lineRule="auto"/>
        <w:ind w:firstLine="480"/>
        <w:rPr>
          <w:color w:val="auto"/>
          <w:highlight w:val="none"/>
        </w:rPr>
      </w:pPr>
      <w:r>
        <w:rPr>
          <w:rFonts w:hint="eastAsia" w:ascii="宋体" w:hAnsi="宋体" w:cs="Times New Roman"/>
          <w:color w:val="auto"/>
          <w:sz w:val="24"/>
          <w:szCs w:val="24"/>
          <w:highlight w:val="none"/>
        </w:rPr>
        <w:t>3.中标供应商应严格按已确认设计图纸和施工技术方案组织施工，并无条件地接受采购人委托的监理单位对施工质量的监督和管理。在项目施工过程中，中标供应商应严格控制造价，变更造价及时申报，工程结算造价不得超过合同总额的10%，否则不予认可。</w:t>
      </w:r>
    </w:p>
    <w:bookmarkEnd w:id="88"/>
    <w:p>
      <w:pPr>
        <w:tabs>
          <w:tab w:val="left" w:pos="8280"/>
        </w:tabs>
        <w:autoSpaceDE w:val="0"/>
        <w:autoSpaceDN w:val="0"/>
        <w:adjustRightInd w:val="0"/>
        <w:spacing w:line="360" w:lineRule="auto"/>
        <w:ind w:right="25" w:firstLine="482" w:firstLineChars="200"/>
        <w:rPr>
          <w:rFonts w:ascii="宋体" w:hAnsi="宋体" w:cs="宋体"/>
          <w:b/>
          <w:color w:val="auto"/>
          <w:sz w:val="24"/>
          <w:highlight w:val="none"/>
        </w:rPr>
      </w:pPr>
      <w:r>
        <w:rPr>
          <w:rFonts w:hint="eastAsia" w:ascii="宋体" w:hAnsi="宋体" w:cs="宋体"/>
          <w:b/>
          <w:color w:val="auto"/>
          <w:sz w:val="24"/>
          <w:highlight w:val="none"/>
        </w:rPr>
        <w:t>三、商务需求</w:t>
      </w:r>
    </w:p>
    <w:p>
      <w:pPr>
        <w:pStyle w:val="9"/>
        <w:spacing w:line="360" w:lineRule="auto"/>
        <w:ind w:firstLine="482" w:firstLineChars="200"/>
        <w:rPr>
          <w:rFonts w:ascii="宋体" w:hAnsi="宋体" w:cs="宋体"/>
          <w:b/>
          <w:color w:val="auto"/>
          <w:highlight w:val="none"/>
        </w:rPr>
      </w:pPr>
      <w:r>
        <w:rPr>
          <w:rFonts w:hint="eastAsia" w:ascii="宋体" w:hAnsi="宋体" w:cs="宋体"/>
          <w:b/>
          <w:color w:val="auto"/>
          <w:highlight w:val="none"/>
        </w:rPr>
        <w:t>(一）报价要求：</w:t>
      </w:r>
    </w:p>
    <w:p>
      <w:pPr>
        <w:pStyle w:val="9"/>
        <w:spacing w:line="360" w:lineRule="auto"/>
        <w:ind w:firstLine="480" w:firstLineChars="200"/>
        <w:rPr>
          <w:rFonts w:ascii="宋体" w:hAnsi="宋体" w:cs="Arial"/>
          <w:color w:val="auto"/>
          <w:highlight w:val="none"/>
        </w:rPr>
      </w:pPr>
      <w:r>
        <w:rPr>
          <w:rFonts w:hint="eastAsia" w:ascii="宋体" w:hAnsi="宋体" w:cs="Arial"/>
          <w:color w:val="auto"/>
          <w:highlight w:val="none"/>
        </w:rPr>
        <w:t>1.报价要求：本项目采用固定结算率，结算时工程量按实计算，单价按照施工图预算的计量依据、组价方式、取费标准、工料机单价等进行计算，最后乘以结算率。</w:t>
      </w:r>
      <w:r>
        <w:rPr>
          <w:rFonts w:hint="eastAsia" w:ascii="宋体" w:hAnsi="宋体"/>
          <w:color w:val="auto"/>
          <w:kern w:val="0"/>
          <w:highlight w:val="none"/>
        </w:rPr>
        <w:t>供应商的报价应是采购文件所确定的采购需求内全部工作内容的表现。包括分部分项工程费、措施项目费、其他项目费、规费和税金等。供应商应根据采购人提供的全套施工图纸、技术资料、预算以及本工程实际情况和自身的综合实力，竞报投标报价。</w:t>
      </w:r>
    </w:p>
    <w:p>
      <w:pPr>
        <w:pStyle w:val="77"/>
        <w:spacing w:line="360" w:lineRule="auto"/>
        <w:ind w:firstLine="480"/>
        <w:rPr>
          <w:rFonts w:ascii="宋体" w:hAnsi="宋体" w:cs="Arial"/>
          <w:color w:val="auto"/>
          <w:sz w:val="24"/>
          <w:szCs w:val="24"/>
          <w:highlight w:val="none"/>
        </w:rPr>
      </w:pPr>
      <w:r>
        <w:rPr>
          <w:rFonts w:hint="eastAsia" w:ascii="宋体" w:hAnsi="宋体" w:cs="Arial"/>
          <w:color w:val="auto"/>
          <w:sz w:val="24"/>
          <w:szCs w:val="24"/>
          <w:highlight w:val="none"/>
        </w:rPr>
        <w:t>2.本工程在施工过程中中标人须听从采购人安排，进场施工时需做好配合交叉施工事宜及其他与本工程施工相关的工作，相关费用在报价时综合考虑，不再另计。</w:t>
      </w:r>
    </w:p>
    <w:p>
      <w:pPr>
        <w:snapToGrid w:val="0"/>
        <w:spacing w:line="360" w:lineRule="auto"/>
        <w:ind w:firstLine="480" w:firstLineChars="200"/>
        <w:jc w:val="left"/>
        <w:rPr>
          <w:rFonts w:ascii="宋体" w:hAnsi="宋体"/>
          <w:color w:val="auto"/>
          <w:kern w:val="0"/>
          <w:highlight w:val="none"/>
        </w:rPr>
      </w:pPr>
      <w:r>
        <w:rPr>
          <w:rFonts w:hint="eastAsia" w:ascii="宋体" w:hAnsi="宋体" w:cs="Arial"/>
          <w:color w:val="auto"/>
          <w:sz w:val="24"/>
          <w:highlight w:val="none"/>
        </w:rPr>
        <w:t>3.供应商自行踏勘现场，采购人按现场地交付，施工过程中用水、电转接费用由成交供应商</w:t>
      </w:r>
      <w:r>
        <w:rPr>
          <w:rFonts w:hint="eastAsia" w:ascii="宋体" w:hAnsi="宋体" w:cs="Arial"/>
          <w:color w:val="auto"/>
          <w:sz w:val="24"/>
          <w:highlight w:val="none"/>
        </w:rPr>
        <w:t>自行解决</w:t>
      </w:r>
      <w:r>
        <w:rPr>
          <w:rFonts w:hint="eastAsia" w:ascii="宋体" w:hAnsi="宋体" w:cs="Arial"/>
          <w:color w:val="auto"/>
          <w:sz w:val="24"/>
          <w:highlight w:val="none"/>
        </w:rPr>
        <w:t>，在报价时综合考虑，实际发生时不再另行计费。</w:t>
      </w:r>
    </w:p>
    <w:p>
      <w:pPr>
        <w:pStyle w:val="9"/>
        <w:spacing w:line="360" w:lineRule="auto"/>
        <w:ind w:firstLine="482" w:firstLineChars="200"/>
        <w:rPr>
          <w:rFonts w:ascii="宋体" w:hAnsi="宋体"/>
          <w:b/>
          <w:bCs/>
          <w:color w:val="auto"/>
          <w:kern w:val="0"/>
          <w:highlight w:val="none"/>
        </w:rPr>
      </w:pPr>
      <w:r>
        <w:rPr>
          <w:rFonts w:hint="eastAsia" w:ascii="宋体" w:hAnsi="宋体"/>
          <w:b/>
          <w:bCs/>
          <w:color w:val="auto"/>
          <w:kern w:val="0"/>
          <w:highlight w:val="none"/>
        </w:rPr>
        <w:t>（二）工期及建设地点</w:t>
      </w:r>
    </w:p>
    <w:p>
      <w:pPr>
        <w:pStyle w:val="9"/>
        <w:spacing w:line="360" w:lineRule="auto"/>
        <w:ind w:firstLine="480" w:firstLineChars="200"/>
        <w:rPr>
          <w:rFonts w:ascii="宋体" w:hAnsi="宋体"/>
          <w:color w:val="auto"/>
          <w:kern w:val="0"/>
          <w:highlight w:val="none"/>
        </w:rPr>
      </w:pPr>
      <w:bookmarkStart w:id="103" w:name="OLE_LINK3"/>
      <w:bookmarkStart w:id="104" w:name="OLE_LINK4"/>
      <w:r>
        <w:rPr>
          <w:rFonts w:hint="eastAsia" w:asciiTheme="minorEastAsia" w:hAnsiTheme="minorEastAsia" w:eastAsiaTheme="minorEastAsia"/>
          <w:color w:val="auto"/>
          <w:highlight w:val="none"/>
        </w:rPr>
        <w:t>▲</w:t>
      </w:r>
      <w:bookmarkEnd w:id="103"/>
      <w:bookmarkEnd w:id="104"/>
      <w:r>
        <w:rPr>
          <w:rFonts w:hint="eastAsia" w:ascii="宋体" w:hAnsi="宋体"/>
          <w:color w:val="auto"/>
          <w:kern w:val="0"/>
          <w:highlight w:val="none"/>
        </w:rPr>
        <w:t>工期：</w:t>
      </w:r>
      <w:r>
        <w:rPr>
          <w:rFonts w:hint="eastAsia" w:ascii="宋体" w:hAnsi="宋体"/>
          <w:b/>
          <w:color w:val="auto"/>
          <w:highlight w:val="none"/>
        </w:rPr>
        <w:t>不超过30日历天</w:t>
      </w:r>
      <w:r>
        <w:rPr>
          <w:rFonts w:hint="eastAsia" w:ascii="宋体" w:hAnsi="宋体"/>
          <w:color w:val="auto"/>
          <w:kern w:val="0"/>
          <w:highlight w:val="none"/>
        </w:rPr>
        <w:t>。</w:t>
      </w:r>
    </w:p>
    <w:p>
      <w:pPr>
        <w:pStyle w:val="9"/>
        <w:spacing w:line="360" w:lineRule="auto"/>
        <w:ind w:firstLine="480" w:firstLineChars="200"/>
        <w:rPr>
          <w:rFonts w:ascii="宋体" w:hAnsi="宋体"/>
          <w:color w:val="auto"/>
          <w:kern w:val="0"/>
          <w:highlight w:val="none"/>
        </w:rPr>
      </w:pPr>
      <w:r>
        <w:rPr>
          <w:rFonts w:hint="eastAsia" w:ascii="宋体" w:hAnsi="宋体"/>
          <w:color w:val="auto"/>
          <w:kern w:val="0"/>
          <w:highlight w:val="none"/>
        </w:rPr>
        <w:t>建设地点：</w:t>
      </w:r>
      <w:r>
        <w:rPr>
          <w:rFonts w:hint="eastAsia" w:ascii="宋体" w:hAnsi="宋体"/>
          <w:color w:val="auto"/>
          <w:kern w:val="0"/>
          <w:highlight w:val="none"/>
        </w:rPr>
        <w:t>分别位于</w:t>
      </w:r>
      <w:r>
        <w:rPr>
          <w:rFonts w:hint="eastAsia" w:ascii="宋体" w:hAnsi="宋体" w:cs="宋体"/>
          <w:color w:val="auto"/>
          <w:highlight w:val="none"/>
        </w:rPr>
        <w:t>台州市第一中学和台州市第一中学新疆班内。</w:t>
      </w:r>
    </w:p>
    <w:p>
      <w:pPr>
        <w:pStyle w:val="21"/>
        <w:spacing w:line="360" w:lineRule="auto"/>
        <w:ind w:firstLine="482" w:firstLineChars="200"/>
        <w:rPr>
          <w:rFonts w:ascii="宋体" w:hAnsi="宋体"/>
          <w:b/>
          <w:bCs/>
          <w:color w:val="auto"/>
          <w:kern w:val="0"/>
          <w:sz w:val="24"/>
          <w:highlight w:val="none"/>
        </w:rPr>
      </w:pPr>
      <w:r>
        <w:rPr>
          <w:rFonts w:hint="eastAsia" w:ascii="宋体" w:hAnsi="宋体"/>
          <w:b/>
          <w:bCs/>
          <w:color w:val="auto"/>
          <w:kern w:val="0"/>
          <w:sz w:val="24"/>
          <w:highlight w:val="none"/>
        </w:rPr>
        <w:t>（三）质量标准及质量保修期</w:t>
      </w:r>
    </w:p>
    <w:p>
      <w:pPr>
        <w:pStyle w:val="21"/>
        <w:spacing w:line="360" w:lineRule="auto"/>
        <w:ind w:firstLine="480" w:firstLineChars="200"/>
        <w:rPr>
          <w:rFonts w:ascii="宋体" w:hAnsi="宋体"/>
          <w:color w:val="auto"/>
          <w:kern w:val="0"/>
          <w:sz w:val="24"/>
          <w:highlight w:val="none"/>
        </w:rPr>
      </w:pPr>
      <w:r>
        <w:rPr>
          <w:rFonts w:hint="eastAsia" w:asciiTheme="minorEastAsia" w:hAnsiTheme="minorEastAsia" w:eastAsiaTheme="minorEastAsia"/>
          <w:color w:val="auto"/>
          <w:sz w:val="24"/>
          <w:highlight w:val="none"/>
        </w:rPr>
        <w:t>▲</w:t>
      </w:r>
      <w:r>
        <w:rPr>
          <w:rFonts w:hint="eastAsia" w:ascii="宋体" w:hAnsi="宋体"/>
          <w:b/>
          <w:bCs/>
          <w:color w:val="auto"/>
          <w:kern w:val="0"/>
          <w:sz w:val="24"/>
          <w:highlight w:val="none"/>
        </w:rPr>
        <w:t>质量标准：</w:t>
      </w:r>
      <w:r>
        <w:rPr>
          <w:rFonts w:hint="eastAsia" w:ascii="宋体" w:hAnsi="宋体"/>
          <w:color w:val="auto"/>
          <w:kern w:val="0"/>
          <w:sz w:val="24"/>
          <w:highlight w:val="none"/>
        </w:rPr>
        <w:t>合格</w:t>
      </w:r>
    </w:p>
    <w:p>
      <w:pPr>
        <w:snapToGrid w:val="0"/>
        <w:spacing w:line="360" w:lineRule="auto"/>
        <w:ind w:firstLine="482" w:firstLineChars="200"/>
        <w:jc w:val="left"/>
        <w:rPr>
          <w:rFonts w:ascii="宋体" w:hAnsi="宋体"/>
          <w:color w:val="auto"/>
          <w:kern w:val="0"/>
          <w:sz w:val="24"/>
          <w:highlight w:val="none"/>
        </w:rPr>
      </w:pPr>
      <w:r>
        <w:rPr>
          <w:rFonts w:hint="eastAsia" w:ascii="宋体" w:hAnsi="宋体" w:cs="Arial"/>
          <w:b/>
          <w:bCs/>
          <w:color w:val="auto"/>
          <w:sz w:val="24"/>
          <w:highlight w:val="none"/>
        </w:rPr>
        <w:t>质量保修期：按合同附件《工程质量保修书》约定</w:t>
      </w:r>
      <w:r>
        <w:rPr>
          <w:rFonts w:hint="eastAsia" w:ascii="宋体" w:hAnsi="宋体"/>
          <w:color w:val="auto"/>
          <w:kern w:val="0"/>
          <w:sz w:val="24"/>
          <w:highlight w:val="none"/>
        </w:rPr>
        <w:t>。</w:t>
      </w:r>
    </w:p>
    <w:p>
      <w:pPr>
        <w:pStyle w:val="77"/>
        <w:spacing w:line="360" w:lineRule="auto"/>
        <w:ind w:firstLine="480"/>
        <w:rPr>
          <w:rFonts w:ascii="宋体" w:hAnsi="宋体" w:cs="Arial"/>
          <w:color w:val="auto"/>
          <w:sz w:val="24"/>
          <w:szCs w:val="24"/>
          <w:highlight w:val="none"/>
        </w:rPr>
      </w:pPr>
      <w:r>
        <w:rPr>
          <w:rFonts w:hint="eastAsia" w:ascii="宋体" w:hAnsi="宋体" w:cs="Arial"/>
          <w:color w:val="auto"/>
          <w:sz w:val="24"/>
          <w:szCs w:val="24"/>
          <w:highlight w:val="none"/>
        </w:rPr>
        <w:t>（1）在免费保修期内，成交供应商对有缺陷的部位必须无偿地给予修理与更换，并承担一切由此引起的对采购人或第三方的直接损失，除非该缺陷是由于人为破坏或合同规定的不可抗因素造成的损坏。</w:t>
      </w:r>
    </w:p>
    <w:p>
      <w:pPr>
        <w:pStyle w:val="77"/>
        <w:spacing w:line="360" w:lineRule="auto"/>
        <w:ind w:firstLine="480"/>
        <w:rPr>
          <w:rFonts w:ascii="宋体" w:hAnsi="宋体" w:cs="Arial"/>
          <w:color w:val="auto"/>
          <w:sz w:val="24"/>
          <w:szCs w:val="24"/>
          <w:highlight w:val="none"/>
        </w:rPr>
      </w:pPr>
      <w:r>
        <w:rPr>
          <w:rFonts w:hint="eastAsia" w:ascii="宋体" w:hAnsi="宋体" w:cs="Arial"/>
          <w:color w:val="auto"/>
          <w:sz w:val="24"/>
          <w:szCs w:val="24"/>
          <w:highlight w:val="none"/>
        </w:rPr>
        <w:t>（2）成交供应商必须对所承揽的工程的质量负全部责任，其责任不因其他材料生产商提供的保证书而减轻或更改。</w:t>
      </w:r>
    </w:p>
    <w:p>
      <w:pPr>
        <w:pStyle w:val="77"/>
        <w:spacing w:line="360" w:lineRule="auto"/>
        <w:ind w:firstLine="480"/>
        <w:rPr>
          <w:rFonts w:ascii="宋体" w:hAnsi="宋体"/>
          <w:b/>
          <w:color w:val="auto"/>
          <w:sz w:val="24"/>
          <w:szCs w:val="24"/>
          <w:highlight w:val="none"/>
        </w:rPr>
      </w:pPr>
      <w:r>
        <w:rPr>
          <w:rFonts w:hint="eastAsia" w:ascii="宋体" w:hAnsi="宋体" w:cs="Arial"/>
          <w:color w:val="auto"/>
          <w:sz w:val="24"/>
          <w:szCs w:val="24"/>
          <w:highlight w:val="none"/>
        </w:rPr>
        <w:t>（3）材料检验结果证明其有害物质含量指标超标的产品不得在工程上使用。</w:t>
      </w:r>
    </w:p>
    <w:p>
      <w:pPr>
        <w:snapToGrid w:val="0"/>
        <w:spacing w:line="360" w:lineRule="auto"/>
        <w:ind w:firstLine="482" w:firstLineChars="200"/>
        <w:jc w:val="left"/>
        <w:rPr>
          <w:rFonts w:ascii="宋体" w:hAnsi="宋体" w:cs="Arial"/>
          <w:color w:val="auto"/>
          <w:sz w:val="24"/>
          <w:highlight w:val="none"/>
        </w:rPr>
      </w:pPr>
      <w:r>
        <w:rPr>
          <w:rFonts w:hint="eastAsia" w:ascii="宋体" w:hAnsi="宋体" w:cs="Arial"/>
          <w:b/>
          <w:bCs/>
          <w:color w:val="auto"/>
          <w:sz w:val="24"/>
          <w:highlight w:val="none"/>
        </w:rPr>
        <w:t>（四）付款条件：</w:t>
      </w:r>
      <w:r>
        <w:rPr>
          <w:rFonts w:hint="eastAsia" w:ascii="宋体" w:hAnsi="宋体" w:cs="Arial"/>
          <w:color w:val="auto"/>
          <w:sz w:val="24"/>
          <w:highlight w:val="none"/>
        </w:rPr>
        <w:t>合同签订并人员、机械设备进场后7日历天内支付合同总价的40%作为预付款，同时供应商需提交相应金额的预付款担保（预付款担保可以用银行、保险公司、融资担保公司出具的预付款保函）；工程竣工验收合格后付至合同价款的85%；成交供应商结算报送并经发包人或相关部门审核后，付至审定金额的100%(采购人支付完成最后工程结算付款前，成交供应商提供质量保证金保函)。</w:t>
      </w:r>
    </w:p>
    <w:p>
      <w:pPr>
        <w:snapToGrid w:val="0"/>
        <w:spacing w:line="360" w:lineRule="auto"/>
        <w:jc w:val="left"/>
        <w:rPr>
          <w:rFonts w:ascii="宋体" w:hAnsi="宋体" w:cs="Arial"/>
          <w:color w:val="auto"/>
          <w:sz w:val="24"/>
          <w:highlight w:val="none"/>
        </w:rPr>
      </w:pPr>
      <w:r>
        <w:rPr>
          <w:rFonts w:hint="eastAsia" w:ascii="宋体" w:hAnsi="宋体" w:cs="Arial"/>
          <w:color w:val="auto"/>
          <w:sz w:val="24"/>
          <w:highlight w:val="none"/>
        </w:rPr>
        <w:t>　　</w:t>
      </w:r>
      <w:r>
        <w:rPr>
          <w:rFonts w:hint="eastAsia" w:ascii="宋体" w:hAnsi="宋体" w:cs="Arial"/>
          <w:b/>
          <w:bCs/>
          <w:color w:val="auto"/>
          <w:sz w:val="24"/>
          <w:highlight w:val="none"/>
        </w:rPr>
        <w:t>（五）履约保证金：</w:t>
      </w:r>
      <w:r>
        <w:rPr>
          <w:rFonts w:hint="eastAsia" w:ascii="宋体" w:hAnsi="宋体" w:cs="Arial"/>
          <w:color w:val="auto"/>
          <w:sz w:val="24"/>
          <w:highlight w:val="none"/>
        </w:rPr>
        <w:t>成交供应商须提交合同总价2%的履约担保，履约保证金可以用银行保函、保险机构保证保险保单和融资担保公司保函或现金。履约保证金如为现金的，在项目通过竣工验收合格且扣除相应的违约责任后，14天内无息退还。采用保单保函的，应保证其有效期超过项目履行期届满之日【30】日。</w:t>
      </w:r>
    </w:p>
    <w:p>
      <w:pPr>
        <w:pStyle w:val="28"/>
        <w:rPr>
          <w:color w:val="auto"/>
          <w:highlight w:val="none"/>
        </w:rPr>
      </w:pPr>
    </w:p>
    <w:p>
      <w:pPr>
        <w:pStyle w:val="28"/>
        <w:rPr>
          <w:color w:val="auto"/>
          <w:highlight w:val="none"/>
        </w:rPr>
      </w:pPr>
    </w:p>
    <w:p>
      <w:pPr>
        <w:widowControl/>
        <w:jc w:val="left"/>
        <w:rPr>
          <w:color w:val="auto"/>
          <w:highlight w:val="none"/>
        </w:rPr>
      </w:pPr>
      <w:r>
        <w:rPr>
          <w:color w:val="auto"/>
          <w:highlight w:val="none"/>
        </w:rPr>
        <w:br w:type="page"/>
      </w:r>
    </w:p>
    <w:p>
      <w:pPr>
        <w:rPr>
          <w:color w:val="auto"/>
          <w:highlight w:val="none"/>
        </w:rPr>
      </w:pPr>
    </w:p>
    <w:p>
      <w:pPr>
        <w:numPr>
          <w:ilvl w:val="0"/>
          <w:numId w:val="4"/>
        </w:numPr>
        <w:spacing w:line="360" w:lineRule="auto"/>
        <w:jc w:val="center"/>
        <w:outlineLvl w:val="0"/>
        <w:rPr>
          <w:rFonts w:asciiTheme="minorEastAsia" w:hAnsiTheme="minorEastAsia" w:eastAsiaTheme="minorEastAsia"/>
          <w:b/>
          <w:color w:val="auto"/>
          <w:sz w:val="36"/>
          <w:szCs w:val="36"/>
          <w:highlight w:val="none"/>
        </w:rPr>
      </w:pPr>
      <w:bookmarkStart w:id="105" w:name="_Toc101280595"/>
      <w:r>
        <w:rPr>
          <w:rFonts w:hint="eastAsia" w:asciiTheme="minorEastAsia" w:hAnsiTheme="minorEastAsia" w:eastAsiaTheme="minorEastAsia"/>
          <w:b/>
          <w:color w:val="auto"/>
          <w:sz w:val="36"/>
          <w:szCs w:val="36"/>
          <w:highlight w:val="none"/>
        </w:rPr>
        <w:t>磋商</w:t>
      </w:r>
      <w:bookmarkEnd w:id="105"/>
    </w:p>
    <w:p>
      <w:pPr>
        <w:spacing w:line="360" w:lineRule="auto"/>
        <w:ind w:firstLine="482"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一、磋商原则</w:t>
      </w:r>
    </w:p>
    <w:p>
      <w:pPr>
        <w:spacing w:line="360" w:lineRule="auto"/>
        <w:ind w:firstLine="480"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color w:val="auto"/>
          <w:sz w:val="24"/>
          <w:highlight w:val="none"/>
        </w:rPr>
        <w:t>磋商小组必须按照客观、公正、审慎的原则，根据磋商文件规定的评审程序、评审方法和评审标准进行独立评审。未实质性响应磋商文件的响应文件按无效响应处理，磋商小组应当告知提交响应文件的供应商。</w:t>
      </w:r>
    </w:p>
    <w:p>
      <w:pPr>
        <w:spacing w:line="360" w:lineRule="auto"/>
        <w:ind w:firstLine="482"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二、评审方法</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综合评分法,是指响应文件满足磋商文件全部实质性要求且按照评审因素的量化指标评审得分最高的供应商为成交候选人的评标方法。</w:t>
      </w:r>
    </w:p>
    <w:p>
      <w:pPr>
        <w:pStyle w:val="15"/>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bCs/>
          <w:color w:val="auto"/>
          <w:sz w:val="24"/>
          <w:highlight w:val="none"/>
        </w:rPr>
        <w:t>三、磋商小组</w:t>
      </w:r>
    </w:p>
    <w:p>
      <w:pPr>
        <w:pStyle w:val="7"/>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（一）</w:t>
      </w:r>
      <w:r>
        <w:rPr>
          <w:rFonts w:hint="eastAsia" w:asciiTheme="minorEastAsia" w:hAnsiTheme="minorEastAsia" w:eastAsiaTheme="minorEastAsia" w:cstheme="minorBidi"/>
          <w:color w:val="auto"/>
          <w:sz w:val="24"/>
          <w:szCs w:val="24"/>
          <w:highlight w:val="none"/>
        </w:rPr>
        <w:t>磋商小组</w:t>
      </w:r>
      <w:r>
        <w:rPr>
          <w:rFonts w:asciiTheme="minorEastAsia" w:hAnsiTheme="minorEastAsia" w:eastAsiaTheme="minorEastAsia"/>
          <w:color w:val="auto"/>
          <w:sz w:val="24"/>
          <w:szCs w:val="24"/>
          <w:highlight w:val="none"/>
        </w:rPr>
        <w:t>由</w:t>
      </w:r>
      <w:r>
        <w:rPr>
          <w:rFonts w:hint="eastAsia" w:asciiTheme="minorEastAsia" w:hAnsiTheme="minorEastAsia" w:eastAsiaTheme="minorEastAsia"/>
          <w:color w:val="auto"/>
          <w:sz w:val="24"/>
          <w:szCs w:val="24"/>
          <w:highlight w:val="none"/>
        </w:rPr>
        <w:t>采购人代表和评审专家共3人以上单数</w:t>
      </w:r>
      <w:r>
        <w:rPr>
          <w:rFonts w:asciiTheme="minorEastAsia" w:hAnsiTheme="minorEastAsia" w:eastAsiaTheme="minorEastAsia"/>
          <w:color w:val="auto"/>
          <w:sz w:val="24"/>
          <w:szCs w:val="24"/>
          <w:highlight w:val="none"/>
        </w:rPr>
        <w:t>组成</w:t>
      </w:r>
      <w:r>
        <w:rPr>
          <w:rFonts w:hint="eastAsia" w:asciiTheme="minorEastAsia" w:hAnsiTheme="minorEastAsia" w:eastAsiaTheme="minorEastAsia"/>
          <w:color w:val="auto"/>
          <w:sz w:val="24"/>
          <w:szCs w:val="24"/>
          <w:highlight w:val="none"/>
        </w:rPr>
        <w:t>。</w:t>
      </w:r>
    </w:p>
    <w:p>
      <w:pPr>
        <w:pStyle w:val="7"/>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（二）</w:t>
      </w:r>
      <w:r>
        <w:rPr>
          <w:rFonts w:hint="eastAsia" w:asciiTheme="minorEastAsia" w:hAnsiTheme="minorEastAsia" w:eastAsiaTheme="minorEastAsia" w:cstheme="minorBidi"/>
          <w:color w:val="auto"/>
          <w:sz w:val="24"/>
          <w:szCs w:val="24"/>
          <w:highlight w:val="none"/>
        </w:rPr>
        <w:t>磋商小组</w:t>
      </w:r>
      <w:r>
        <w:rPr>
          <w:rFonts w:hint="eastAsia" w:asciiTheme="minorEastAsia" w:hAnsiTheme="minorEastAsia" w:eastAsiaTheme="minorEastAsia"/>
          <w:color w:val="auto"/>
          <w:sz w:val="24"/>
          <w:szCs w:val="24"/>
          <w:highlight w:val="none"/>
        </w:rPr>
        <w:t>成员</w:t>
      </w:r>
      <w:r>
        <w:rPr>
          <w:rFonts w:hint="eastAsia" w:cs="宋体" w:asciiTheme="minorEastAsia" w:hAnsiTheme="minorEastAsia" w:eastAsiaTheme="minorEastAsia"/>
          <w:color w:val="auto"/>
          <w:sz w:val="24"/>
          <w:szCs w:val="24"/>
          <w:highlight w:val="none"/>
        </w:rPr>
        <w:t>与参与磋商的供应商</w:t>
      </w:r>
      <w:r>
        <w:rPr>
          <w:rFonts w:hint="eastAsia" w:asciiTheme="minorEastAsia" w:hAnsiTheme="minorEastAsia" w:eastAsiaTheme="minorEastAsia"/>
          <w:color w:val="auto"/>
          <w:sz w:val="24"/>
          <w:szCs w:val="24"/>
          <w:highlight w:val="none"/>
        </w:rPr>
        <w:t>有下列情形之一的，应当回避：</w:t>
      </w:r>
    </w:p>
    <w:p>
      <w:pPr>
        <w:pStyle w:val="7"/>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1.参加采购活动前3年内与供应商存在劳动关系；</w:t>
      </w:r>
    </w:p>
    <w:p>
      <w:pPr>
        <w:pStyle w:val="7"/>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2.参加采购活动前3年内担任供应商的董事、监事；</w:t>
      </w:r>
    </w:p>
    <w:p>
      <w:pPr>
        <w:pStyle w:val="7"/>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3.参加采购活动前3年内是供应商的控股股东或者实际控制人；</w:t>
      </w:r>
    </w:p>
    <w:p>
      <w:pPr>
        <w:pStyle w:val="7"/>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4.与供应商的法定代表人或者负责人有夫妻、直系血亲、三代以内旁系血亲或者近姻亲关系；</w:t>
      </w:r>
    </w:p>
    <w:p>
      <w:pPr>
        <w:pStyle w:val="7"/>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5.与供应商有其他可能影响政府采购活动公平、公正进行的关系。</w:t>
      </w:r>
    </w:p>
    <w:p>
      <w:pPr>
        <w:pStyle w:val="7"/>
        <w:spacing w:line="360" w:lineRule="auto"/>
        <w:ind w:firstLine="480" w:firstLineChars="200"/>
        <w:rPr>
          <w:rFonts w:asciiTheme="minorEastAsia" w:hAnsiTheme="minorEastAsia" w:eastAsiaTheme="minorEastAsia"/>
          <w:color w:val="auto"/>
          <w:sz w:val="24"/>
          <w:szCs w:val="24"/>
          <w:highlight w:val="none"/>
        </w:rPr>
      </w:pPr>
      <w:r>
        <w:rPr>
          <w:rFonts w:hint="eastAsia" w:ascii="宋体" w:hAnsi="宋体"/>
          <w:color w:val="auto"/>
          <w:sz w:val="24"/>
          <w:szCs w:val="24"/>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7"/>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（三）</w:t>
      </w:r>
      <w:r>
        <w:rPr>
          <w:rFonts w:hint="eastAsia" w:asciiTheme="minorEastAsia" w:hAnsiTheme="minorEastAsia" w:eastAsiaTheme="minorEastAsia" w:cstheme="minorBidi"/>
          <w:color w:val="auto"/>
          <w:sz w:val="24"/>
          <w:szCs w:val="24"/>
          <w:highlight w:val="none"/>
        </w:rPr>
        <w:t>磋商小组</w:t>
      </w:r>
      <w:r>
        <w:rPr>
          <w:rFonts w:hint="eastAsia" w:asciiTheme="minorEastAsia" w:hAnsiTheme="minorEastAsia" w:eastAsiaTheme="minorEastAsia"/>
          <w:color w:val="auto"/>
          <w:sz w:val="24"/>
          <w:szCs w:val="24"/>
          <w:highlight w:val="none"/>
        </w:rPr>
        <w:t>负责具体评审事务，并独立履行下列职责：</w:t>
      </w:r>
    </w:p>
    <w:p>
      <w:pPr>
        <w:pStyle w:val="7"/>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1.审查、评价响应文件是否符合磋商文件的商务、技术等实质性要求；</w:t>
      </w:r>
    </w:p>
    <w:p>
      <w:pPr>
        <w:pStyle w:val="7"/>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2.要求供应商对响应文件有关事项作出澄清或者说明；</w:t>
      </w:r>
    </w:p>
    <w:p>
      <w:pPr>
        <w:pStyle w:val="7"/>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3.对响应文件进行比较和评价；</w:t>
      </w:r>
    </w:p>
    <w:p>
      <w:pPr>
        <w:pStyle w:val="7"/>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4.确定成交候选人名单，以及根据采购人委托直接确定成交供应商；</w:t>
      </w:r>
    </w:p>
    <w:p>
      <w:pPr>
        <w:pStyle w:val="7"/>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5.向采购人、采购</w:t>
      </w:r>
      <w:r>
        <w:rPr>
          <w:rFonts w:hint="eastAsia" w:asciiTheme="minorEastAsia" w:hAnsiTheme="minorEastAsia" w:eastAsiaTheme="minorEastAsia" w:cstheme="minorBidi"/>
          <w:color w:val="auto"/>
          <w:sz w:val="24"/>
          <w:szCs w:val="24"/>
          <w:highlight w:val="none"/>
        </w:rPr>
        <w:t>组织</w:t>
      </w:r>
      <w:r>
        <w:rPr>
          <w:rFonts w:hint="eastAsia" w:asciiTheme="minorEastAsia" w:hAnsiTheme="minorEastAsia" w:eastAsiaTheme="minorEastAsia"/>
          <w:color w:val="auto"/>
          <w:sz w:val="24"/>
          <w:szCs w:val="24"/>
          <w:highlight w:val="none"/>
        </w:rPr>
        <w:t>机构或者有关部门报告评审中发现的违法行为；</w:t>
      </w:r>
    </w:p>
    <w:p>
      <w:pPr>
        <w:pStyle w:val="7"/>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6.法律法规规定的其他职责。</w:t>
      </w:r>
    </w:p>
    <w:p>
      <w:pPr>
        <w:spacing w:line="360" w:lineRule="auto"/>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四、磋商要求</w:t>
      </w:r>
    </w:p>
    <w:p>
      <w:pPr>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（一）采购人、采购代理机构不得对磋商小组中的评审专家作倾向性、误导性的解释或者说明。</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（二）磋商小组所有成员应当集中与单一供应商分别进行磋商，并给予所有参加磋商的供应商平等的磋商机会。</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（三）在磋商过程中，磋商小组可以根据磋商文件和磋商情况实质性变动采购需求中的技术、服务要求以及合同草案条款，但不得变动磋商文件中的其他内容。实质性变动的内容，须经采购人代表确认。</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（四）对磋商文件作出的实质性变动是磋商文件的有效组成部分，磋商小组应当及时以书面形式同时通知所有参加磋商的供应商。</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（五）供应商应当按照磋商文件的变动情况和磋商小组的要求重新提交响应文件，并由其法定代表人或授权代表签字或者加盖公章。</w:t>
      </w:r>
    </w:p>
    <w:p>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（六）已提交响应文件的供应商，在提交最后报价之前，可以根据磋商情况退出磋商。</w:t>
      </w:r>
    </w:p>
    <w:p>
      <w:pPr>
        <w:pStyle w:val="26"/>
        <w:spacing w:before="0" w:beforeAutospacing="0" w:after="0" w:afterAutospacing="0" w:line="360" w:lineRule="auto"/>
        <w:ind w:firstLine="482" w:firstLineChars="200"/>
        <w:jc w:val="both"/>
        <w:rPr>
          <w:rFonts w:hint="default" w:asciiTheme="minorEastAsia" w:hAnsiTheme="minorEastAsia" w:eastAsiaTheme="minorEastAsia"/>
          <w:b/>
          <w:color w:val="auto"/>
          <w:highlight w:val="none"/>
        </w:rPr>
      </w:pPr>
      <w:r>
        <w:rPr>
          <w:rFonts w:asciiTheme="minorEastAsia" w:hAnsiTheme="minorEastAsia" w:eastAsiaTheme="minorEastAsia"/>
          <w:b/>
          <w:color w:val="auto"/>
          <w:highlight w:val="none"/>
        </w:rPr>
        <w:t>五、无效响应情形</w:t>
      </w:r>
    </w:p>
    <w:p>
      <w:pPr>
        <w:adjustRightInd w:val="0"/>
        <w:snapToGrid w:val="0"/>
        <w:spacing w:line="360" w:lineRule="auto"/>
        <w:ind w:firstLine="480"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（一）</w:t>
      </w:r>
      <w:r>
        <w:rPr>
          <w:rFonts w:hint="eastAsia" w:asciiTheme="minorEastAsia" w:hAnsiTheme="minorEastAsia" w:eastAsiaTheme="minorEastAsia"/>
          <w:color w:val="auto"/>
          <w:kern w:val="0"/>
          <w:sz w:val="24"/>
          <w:highlight w:val="none"/>
        </w:rPr>
        <w:t>报价文件中报价的货物或服务跟商务与技术文件中的响应的货物或服务出现重大偏差的；</w:t>
      </w:r>
    </w:p>
    <w:p>
      <w:pPr>
        <w:pStyle w:val="26"/>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（二）不具备磋商文件中规定的资格要求的；</w:t>
      </w:r>
      <w:r>
        <w:rPr>
          <w:rFonts w:hint="default" w:asciiTheme="minorEastAsia" w:hAnsiTheme="minorEastAsia" w:eastAsiaTheme="minorEastAsia"/>
          <w:color w:val="auto"/>
          <w:highlight w:val="none"/>
        </w:rPr>
        <w:tab/>
      </w:r>
    </w:p>
    <w:p>
      <w:pPr>
        <w:pStyle w:val="26"/>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（三）响应文件含有采购人不能接受的附加条件的；</w:t>
      </w:r>
    </w:p>
    <w:p>
      <w:pPr>
        <w:pStyle w:val="8"/>
        <w:spacing w:line="360" w:lineRule="auto"/>
        <w:ind w:firstLine="480" w:firstLineChars="200"/>
        <w:jc w:val="both"/>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sz w:val="24"/>
          <w:highlight w:val="none"/>
        </w:rPr>
        <w:t>（四）</w:t>
      </w:r>
      <w:r>
        <w:rPr>
          <w:rFonts w:hint="eastAsia" w:asciiTheme="minorEastAsia" w:hAnsiTheme="minorEastAsia" w:eastAsiaTheme="minorEastAsia"/>
          <w:color w:val="auto"/>
          <w:kern w:val="0"/>
          <w:sz w:val="24"/>
          <w:highlight w:val="none"/>
        </w:rPr>
        <w:t>磋商小组认为供应商的报价明显低于其他通过符合性审查供应商的报价，有可能影响产品质量或者不能诚信履约的，供应商在限定的时间内不能证明其报价合理性的，磋商小组应当将其作为无效响应处理；</w:t>
      </w:r>
    </w:p>
    <w:p>
      <w:pPr>
        <w:pStyle w:val="26"/>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xml:space="preserve">（五）报价超过磋商文件中规定的预算金额/最高限(单)价； </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sz w:val="24"/>
          <w:highlight w:val="none"/>
        </w:rPr>
        <w:t>（六）</w:t>
      </w:r>
      <w:r>
        <w:rPr>
          <w:rFonts w:hint="eastAsia" w:asciiTheme="minorEastAsia" w:hAnsiTheme="minorEastAsia" w:eastAsiaTheme="minorEastAsia"/>
          <w:color w:val="auto"/>
          <w:kern w:val="0"/>
          <w:sz w:val="24"/>
          <w:highlight w:val="none"/>
        </w:rPr>
        <w:t>响应参数未如实填写；</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sz w:val="24"/>
          <w:highlight w:val="none"/>
        </w:rPr>
        <w:t>（七）响应文件</w:t>
      </w:r>
      <w:r>
        <w:rPr>
          <w:rFonts w:hint="eastAsia" w:asciiTheme="minorEastAsia" w:hAnsiTheme="minorEastAsia" w:eastAsiaTheme="minorEastAsia"/>
          <w:color w:val="auto"/>
          <w:kern w:val="0"/>
          <w:sz w:val="24"/>
          <w:highlight w:val="none"/>
        </w:rPr>
        <w:t xml:space="preserve">存在虚假材料的； </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（八）</w:t>
      </w:r>
      <w:r>
        <w:rPr>
          <w:rFonts w:asciiTheme="minorEastAsia" w:hAnsiTheme="minorEastAsia" w:eastAsiaTheme="minorEastAsia"/>
          <w:color w:val="auto"/>
          <w:sz w:val="24"/>
          <w:highlight w:val="none"/>
        </w:rPr>
        <w:t>不同</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响应文件</w:t>
      </w:r>
      <w:r>
        <w:rPr>
          <w:rFonts w:asciiTheme="minorEastAsia" w:hAnsiTheme="minorEastAsia" w:eastAsiaTheme="minorEastAsia"/>
          <w:color w:val="auto"/>
          <w:sz w:val="24"/>
          <w:highlight w:val="none"/>
        </w:rPr>
        <w:t>由同一单位或者个人编制</w:t>
      </w:r>
      <w:r>
        <w:rPr>
          <w:rFonts w:hint="eastAsia" w:asciiTheme="minorEastAsia" w:hAnsiTheme="minorEastAsia" w:eastAsiaTheme="minorEastAsia"/>
          <w:color w:val="auto"/>
          <w:sz w:val="24"/>
          <w:highlight w:val="none"/>
        </w:rPr>
        <w:t>；</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（九）不同供应商委托同一单位或者个人办理磋商事宜；</w:t>
      </w:r>
    </w:p>
    <w:p>
      <w:pPr>
        <w:pStyle w:val="26"/>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（十）不同供应商的响应文件载明的项目管理成员或者联系人员为同一人；</w:t>
      </w:r>
    </w:p>
    <w:p>
      <w:pPr>
        <w:pStyle w:val="26"/>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（十一）不同供应商的响应文件异常一致或者磋商报价呈规律性差异；</w:t>
      </w:r>
    </w:p>
    <w:p>
      <w:pPr>
        <w:pStyle w:val="26"/>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（十二）不同供应商的响应文件相互混装；</w:t>
      </w:r>
    </w:p>
    <w:p>
      <w:pPr>
        <w:pStyle w:val="26"/>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（十三）</w:t>
      </w:r>
      <w:r>
        <w:rPr>
          <w:rFonts w:cs="宋体" w:asciiTheme="minorEastAsia" w:hAnsiTheme="minorEastAsia" w:eastAsiaTheme="minorEastAsia"/>
          <w:color w:val="auto"/>
          <w:highlight w:val="none"/>
        </w:rPr>
        <w:t>实质性要求（磋商文件中打“▲”内容）</w:t>
      </w:r>
      <w:r>
        <w:rPr>
          <w:rFonts w:cs="宋体"/>
          <w:color w:val="auto"/>
          <w:highlight w:val="none"/>
        </w:rPr>
        <w:t>不响应或响应不符合要求的</w:t>
      </w:r>
      <w:r>
        <w:rPr>
          <w:rFonts w:cs="宋体" w:asciiTheme="minorEastAsia" w:hAnsiTheme="minorEastAsia" w:eastAsiaTheme="minorEastAsia"/>
          <w:color w:val="auto"/>
          <w:highlight w:val="none"/>
        </w:rPr>
        <w:t>；</w:t>
      </w:r>
    </w:p>
    <w:p>
      <w:pPr>
        <w:pStyle w:val="7"/>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sz w:val="24"/>
          <w:szCs w:val="24"/>
          <w:highlight w:val="none"/>
        </w:rPr>
        <w:t>（十四）</w:t>
      </w:r>
      <w:r>
        <w:rPr>
          <w:rFonts w:hint="eastAsia" w:cs="宋体" w:asciiTheme="minorEastAsia" w:hAnsiTheme="minorEastAsia" w:eastAsiaTheme="minorEastAsia"/>
          <w:color w:val="auto"/>
          <w:sz w:val="24"/>
          <w:szCs w:val="24"/>
          <w:highlight w:val="none"/>
        </w:rPr>
        <w:t>响应</w:t>
      </w:r>
      <w:r>
        <w:rPr>
          <w:rFonts w:hint="eastAsia" w:asciiTheme="minorEastAsia" w:hAnsiTheme="minorEastAsia" w:eastAsiaTheme="minorEastAsia"/>
          <w:color w:val="auto"/>
          <w:kern w:val="0"/>
          <w:sz w:val="24"/>
          <w:szCs w:val="24"/>
          <w:highlight w:val="none"/>
        </w:rPr>
        <w:t>文件有效期不足的；</w:t>
      </w:r>
    </w:p>
    <w:p>
      <w:pPr>
        <w:pStyle w:val="7"/>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sz w:val="24"/>
          <w:szCs w:val="24"/>
          <w:highlight w:val="none"/>
        </w:rPr>
        <w:t>（十五）</w:t>
      </w:r>
      <w:r>
        <w:rPr>
          <w:rFonts w:hint="eastAsia" w:asciiTheme="minorEastAsia" w:hAnsiTheme="minorEastAsia" w:eastAsiaTheme="minorEastAsia"/>
          <w:color w:val="auto"/>
          <w:kern w:val="0"/>
          <w:sz w:val="24"/>
          <w:szCs w:val="24"/>
          <w:highlight w:val="none"/>
        </w:rPr>
        <w:t>逾期或未按要求提交</w:t>
      </w:r>
      <w:r>
        <w:rPr>
          <w:rFonts w:hint="eastAsia" w:cs="宋体" w:asciiTheme="minorEastAsia" w:hAnsiTheme="minorEastAsia" w:eastAsiaTheme="minorEastAsia"/>
          <w:color w:val="auto"/>
          <w:sz w:val="24"/>
          <w:szCs w:val="24"/>
          <w:highlight w:val="none"/>
        </w:rPr>
        <w:t>响应</w:t>
      </w:r>
      <w:r>
        <w:rPr>
          <w:rFonts w:hint="eastAsia" w:asciiTheme="minorEastAsia" w:hAnsiTheme="minorEastAsia" w:eastAsiaTheme="minorEastAsia"/>
          <w:color w:val="auto"/>
          <w:kern w:val="0"/>
          <w:sz w:val="24"/>
          <w:szCs w:val="24"/>
          <w:highlight w:val="none"/>
        </w:rPr>
        <w:t>文件的。</w:t>
      </w:r>
    </w:p>
    <w:p>
      <w:pPr>
        <w:pStyle w:val="7"/>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sz w:val="24"/>
          <w:szCs w:val="24"/>
          <w:highlight w:val="none"/>
        </w:rPr>
        <w:t>（十六）</w:t>
      </w:r>
      <w:r>
        <w:rPr>
          <w:rFonts w:hint="eastAsia" w:asciiTheme="minorEastAsia" w:hAnsiTheme="minorEastAsia" w:eastAsiaTheme="minorEastAsia"/>
          <w:color w:val="auto"/>
          <w:kern w:val="0"/>
          <w:sz w:val="24"/>
          <w:szCs w:val="24"/>
          <w:highlight w:val="none"/>
        </w:rPr>
        <w:t>其他</w:t>
      </w:r>
      <w:r>
        <w:rPr>
          <w:rFonts w:cs="宋体" w:asciiTheme="minorEastAsia" w:hAnsiTheme="minorEastAsia" w:eastAsiaTheme="minorEastAsia"/>
          <w:color w:val="auto"/>
          <w:sz w:val="24"/>
          <w:szCs w:val="24"/>
          <w:highlight w:val="none"/>
        </w:rPr>
        <w:t>不符合法律、法规相关规定的</w:t>
      </w:r>
      <w:r>
        <w:rPr>
          <w:rFonts w:hint="eastAsia" w:cs="宋体" w:asciiTheme="minorEastAsia" w:hAnsiTheme="minorEastAsia" w:eastAsiaTheme="minorEastAsia"/>
          <w:color w:val="auto"/>
          <w:sz w:val="24"/>
          <w:szCs w:val="24"/>
          <w:highlight w:val="none"/>
        </w:rPr>
        <w:t>。</w:t>
      </w:r>
    </w:p>
    <w:p>
      <w:pPr>
        <w:autoSpaceDE w:val="0"/>
        <w:autoSpaceDN w:val="0"/>
        <w:adjustRightInd w:val="0"/>
        <w:spacing w:line="360" w:lineRule="auto"/>
        <w:ind w:firstLine="482"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b/>
          <w:color w:val="auto"/>
          <w:kern w:val="0"/>
          <w:sz w:val="24"/>
          <w:highlight w:val="none"/>
        </w:rPr>
        <w:t>六、终止磋商情形</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（一）出现影响采购公正的违法、违规行为的；</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（二）磋商小组发现磋商文件存在歧义、重大缺陷导致评审工作无法进行，或者磋商文件内容违反国家有关强制性规定的；</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（三）因重大变故，采购任务取消的；</w:t>
      </w:r>
    </w:p>
    <w:p>
      <w:pPr>
        <w:spacing w:line="360" w:lineRule="auto"/>
        <w:ind w:firstLine="480"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color w:val="auto"/>
          <w:sz w:val="24"/>
          <w:highlight w:val="none"/>
        </w:rPr>
        <w:t>（四）在采购过程中符合磋商要求的供应商或者提交最后报价的供应商不足3家的（市场竞争不充分的科研项目，以及需要扶持的科技成果转化项目，提交最后报价的供应商可以为2家）；</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（五）法律、法规和磋商文件规定的其他导致评审结果无效的。</w:t>
      </w:r>
    </w:p>
    <w:p>
      <w:pPr>
        <w:pStyle w:val="15"/>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七、磋商</w:t>
      </w:r>
      <w:r>
        <w:rPr>
          <w:rFonts w:asciiTheme="minorEastAsia" w:hAnsiTheme="minorEastAsia" w:eastAsiaTheme="minorEastAsia"/>
          <w:b/>
          <w:color w:val="auto"/>
          <w:sz w:val="24"/>
          <w:highlight w:val="none"/>
        </w:rPr>
        <w:t>过程的监控</w:t>
      </w:r>
    </w:p>
    <w:p>
      <w:pPr>
        <w:pStyle w:val="26"/>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本项目磋商过程实行全程录音、录像监控，政府采购监管部门视情进行现场监督，供应商在磋商过程中所进行的试图影响磋商结果的不公正活动，可能导致其磋商响应被拒绝。</w:t>
      </w:r>
    </w:p>
    <w:p>
      <w:pPr>
        <w:pStyle w:val="26"/>
        <w:spacing w:before="0" w:beforeAutospacing="0" w:after="0" w:afterAutospacing="0" w:line="360" w:lineRule="auto"/>
        <w:ind w:firstLine="482" w:firstLineChars="200"/>
        <w:jc w:val="both"/>
        <w:rPr>
          <w:rFonts w:hint="default"/>
          <w:b/>
          <w:bCs/>
          <w:color w:val="auto"/>
          <w:highlight w:val="none"/>
        </w:rPr>
      </w:pPr>
      <w:r>
        <w:rPr>
          <w:rFonts w:asciiTheme="minorEastAsia" w:hAnsiTheme="minorEastAsia" w:eastAsiaTheme="minorEastAsia"/>
          <w:b/>
          <w:bCs/>
          <w:color w:val="auto"/>
          <w:highlight w:val="none"/>
        </w:rPr>
        <w:t>八、</w:t>
      </w:r>
      <w:r>
        <w:rPr>
          <w:b/>
          <w:bCs/>
          <w:color w:val="auto"/>
          <w:highlight w:val="none"/>
        </w:rPr>
        <w:t>政府采购政策落实</w:t>
      </w:r>
    </w:p>
    <w:p>
      <w:pPr>
        <w:pStyle w:val="26"/>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本项目为专门面向中小企业采购项目，不进行小微企业的价格扣除。</w:t>
      </w:r>
      <w:r>
        <w:rPr>
          <w:rFonts w:cs="宋体" w:asciiTheme="minorEastAsia" w:hAnsiTheme="minorEastAsia" w:eastAsiaTheme="minorEastAsia"/>
          <w:color w:val="auto"/>
          <w:highlight w:val="none"/>
        </w:rPr>
        <w:t xml:space="preserve"> </w:t>
      </w:r>
    </w:p>
    <w:p>
      <w:pPr>
        <w:pStyle w:val="15"/>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bCs/>
          <w:color w:val="auto"/>
          <w:sz w:val="24"/>
          <w:highlight w:val="none"/>
        </w:rPr>
        <w:t>九、评审</w:t>
      </w:r>
      <w:r>
        <w:rPr>
          <w:rFonts w:asciiTheme="minorEastAsia" w:hAnsiTheme="minorEastAsia" w:eastAsiaTheme="minorEastAsia"/>
          <w:b/>
          <w:bCs/>
          <w:color w:val="auto"/>
          <w:sz w:val="24"/>
          <w:highlight w:val="none"/>
        </w:rPr>
        <w:t>程序</w:t>
      </w:r>
    </w:p>
    <w:p>
      <w:pPr>
        <w:snapToGrid w:val="0"/>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（一）资格</w:t>
      </w:r>
      <w:r>
        <w:rPr>
          <w:rFonts w:asciiTheme="minorEastAsia" w:hAnsiTheme="minorEastAsia" w:eastAsiaTheme="minorEastAsia"/>
          <w:b/>
          <w:bCs/>
          <w:color w:val="auto"/>
          <w:sz w:val="24"/>
          <w:highlight w:val="none"/>
        </w:rPr>
        <w:t>审查</w:t>
      </w:r>
    </w:p>
    <w:p>
      <w:pPr>
        <w:pStyle w:val="8"/>
        <w:spacing w:line="360" w:lineRule="auto"/>
        <w:ind w:firstLine="480" w:firstLineChars="200"/>
        <w:jc w:val="both"/>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响应文件解密后</w:t>
      </w:r>
      <w:r>
        <w:rPr>
          <w:rFonts w:asciiTheme="minorEastAsia" w:hAnsiTheme="minorEastAsia" w:eastAsiaTheme="minorEastAsia"/>
          <w:color w:val="auto"/>
          <w:sz w:val="24"/>
          <w:highlight w:val="none"/>
        </w:rPr>
        <w:t>，采购人</w:t>
      </w:r>
      <w:r>
        <w:rPr>
          <w:rFonts w:hint="eastAsia" w:asciiTheme="minorEastAsia" w:hAnsiTheme="minorEastAsia" w:eastAsiaTheme="minorEastAsia"/>
          <w:color w:val="auto"/>
          <w:sz w:val="24"/>
          <w:highlight w:val="none"/>
        </w:rPr>
        <w:t>或</w:t>
      </w:r>
      <w:r>
        <w:rPr>
          <w:rFonts w:asciiTheme="minorEastAsia" w:hAnsiTheme="minorEastAsia" w:eastAsiaTheme="minorEastAsia"/>
          <w:color w:val="auto"/>
          <w:sz w:val="24"/>
          <w:highlight w:val="none"/>
        </w:rPr>
        <w:t>采购组织机构依法对</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的资格进行审查，对审查发现无效的进行必要的询标，</w:t>
      </w:r>
      <w:r>
        <w:rPr>
          <w:rFonts w:hint="eastAsia" w:asciiTheme="minorEastAsia" w:hAnsiTheme="minorEastAsia" w:eastAsiaTheme="minorEastAsia"/>
          <w:color w:val="auto"/>
          <w:sz w:val="24"/>
          <w:highlight w:val="none"/>
        </w:rPr>
        <w:t>在政采云平台公布</w:t>
      </w:r>
      <w:r>
        <w:rPr>
          <w:rFonts w:asciiTheme="minorEastAsia" w:hAnsiTheme="minorEastAsia" w:eastAsiaTheme="minorEastAsia"/>
          <w:color w:val="auto"/>
          <w:sz w:val="24"/>
          <w:highlight w:val="none"/>
        </w:rPr>
        <w:t>无效</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名单、</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无效的原因。</w:t>
      </w:r>
    </w:p>
    <w:tbl>
      <w:tblPr>
        <w:tblStyle w:val="29"/>
        <w:tblW w:w="91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79"/>
        <w:gridCol w:w="7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1979" w:type="dxa"/>
            <w:vAlign w:val="center"/>
          </w:tcPr>
          <w:p>
            <w:pPr>
              <w:pStyle w:val="57"/>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具有独立承担民事责任的能力</w:t>
            </w:r>
          </w:p>
        </w:tc>
        <w:tc>
          <w:tcPr>
            <w:tcW w:w="7138" w:type="dxa"/>
            <w:vAlign w:val="center"/>
          </w:tcPr>
          <w:p>
            <w:pPr>
              <w:pStyle w:val="57"/>
              <w:adjustRightInd w:val="0"/>
              <w:snapToGrid w:val="0"/>
              <w:spacing w:line="400" w:lineRule="exact"/>
              <w:ind w:firstLine="420" w:firstLineChars="200"/>
              <w:rPr>
                <w:rFonts w:asciiTheme="minorEastAsia" w:hAnsiTheme="minorEastAsia" w:eastAsiaTheme="minorEastAsia"/>
                <w:color w:val="auto"/>
                <w:szCs w:val="21"/>
                <w:highlight w:val="none"/>
              </w:rPr>
            </w:pPr>
            <w:bookmarkStart w:id="106" w:name="OLE_LINK80"/>
            <w:bookmarkStart w:id="107" w:name="OLE_LINK79"/>
            <w:bookmarkStart w:id="108" w:name="OLE_LINK81"/>
            <w:r>
              <w:rPr>
                <w:rFonts w:hint="eastAsia" w:asciiTheme="minorEastAsia" w:hAnsiTheme="minorEastAsia" w:eastAsiaTheme="minorEastAsia"/>
                <w:color w:val="auto"/>
                <w:szCs w:val="21"/>
                <w:highlight w:val="none"/>
              </w:rPr>
              <w:t>在中华人民共和国境内注册的法人或其他组织或自然人，磋商时提交有效的营业执照（或事业法人登记证或身份证等相关证明）副本扫描件。</w:t>
            </w:r>
            <w:bookmarkEnd w:id="106"/>
            <w:bookmarkEnd w:id="107"/>
            <w:bookmarkEnd w:id="10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1979" w:type="dxa"/>
            <w:shd w:val="clear" w:color="auto" w:fill="F6F6F6"/>
            <w:vAlign w:val="center"/>
          </w:tcPr>
          <w:p>
            <w:pPr>
              <w:pStyle w:val="57"/>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有依法缴纳税收和社会保障资金的良好记录</w:t>
            </w:r>
          </w:p>
        </w:tc>
        <w:tc>
          <w:tcPr>
            <w:tcW w:w="7138" w:type="dxa"/>
            <w:vMerge w:val="restart"/>
            <w:shd w:val="clear" w:color="auto" w:fill="F6F6F6"/>
            <w:vAlign w:val="center"/>
          </w:tcPr>
          <w:p>
            <w:pPr>
              <w:pStyle w:val="57"/>
              <w:adjustRightInd w:val="0"/>
              <w:snapToGrid w:val="0"/>
              <w:spacing w:line="400" w:lineRule="exact"/>
              <w:ind w:firstLine="420" w:firstLineChars="200"/>
              <w:rPr>
                <w:rFonts w:asciiTheme="minorEastAsia" w:hAnsiTheme="minorEastAsia" w:eastAsiaTheme="minorEastAsia"/>
                <w:color w:val="auto"/>
                <w:szCs w:val="21"/>
                <w:highlight w:val="none"/>
              </w:rPr>
            </w:pPr>
            <w:bookmarkStart w:id="109" w:name="OLE_LINK83"/>
            <w:bookmarkStart w:id="110" w:name="OLE_LINK82"/>
            <w:r>
              <w:rPr>
                <w:rFonts w:hint="eastAsia"/>
                <w:color w:val="auto"/>
                <w:szCs w:val="21"/>
                <w:highlight w:val="none"/>
              </w:rPr>
              <w:t>符合参与政府采购活动的资格条件、具备良好的商业信誉和健全的财务会计制度并且没有税收缴纳、社会保障等方面的失信记录的承诺函（格式见附件）</w:t>
            </w:r>
            <w:bookmarkEnd w:id="109"/>
            <w:bookmarkEnd w:id="1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1979" w:type="dxa"/>
            <w:vAlign w:val="center"/>
          </w:tcPr>
          <w:p>
            <w:pPr>
              <w:pStyle w:val="57"/>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具有良好的商业信誉和健全的财务会计制度</w:t>
            </w:r>
          </w:p>
        </w:tc>
        <w:tc>
          <w:tcPr>
            <w:tcW w:w="7138" w:type="dxa"/>
            <w:vMerge w:val="continue"/>
            <w:vAlign w:val="center"/>
          </w:tcPr>
          <w:p>
            <w:pPr>
              <w:pStyle w:val="57"/>
              <w:adjustRightInd w:val="0"/>
              <w:snapToGrid w:val="0"/>
              <w:spacing w:line="400" w:lineRule="exact"/>
              <w:ind w:firstLine="420" w:firstLineChars="200"/>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1979" w:type="dxa"/>
            <w:shd w:val="clear" w:color="auto" w:fill="F6F6F6"/>
            <w:vAlign w:val="center"/>
          </w:tcPr>
          <w:p>
            <w:pPr>
              <w:pStyle w:val="57"/>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履行合同所必需的设备和专业技术能力</w:t>
            </w:r>
          </w:p>
        </w:tc>
        <w:tc>
          <w:tcPr>
            <w:tcW w:w="7138" w:type="dxa"/>
            <w:shd w:val="clear" w:color="auto" w:fill="F6F6F6"/>
            <w:vAlign w:val="center"/>
          </w:tcPr>
          <w:p>
            <w:pPr>
              <w:pStyle w:val="57"/>
              <w:adjustRightInd w:val="0"/>
              <w:snapToGrid w:val="0"/>
              <w:spacing w:line="400" w:lineRule="exact"/>
              <w:ind w:firstLine="420" w:firstLineChars="200"/>
              <w:rPr>
                <w:rFonts w:asciiTheme="minorEastAsia" w:hAnsiTheme="minorEastAsia" w:eastAsiaTheme="minorEastAsia"/>
                <w:color w:val="auto"/>
                <w:szCs w:val="21"/>
                <w:highlight w:val="none"/>
              </w:rPr>
            </w:pPr>
            <w:bookmarkStart w:id="111" w:name="OLE_LINK84"/>
            <w:bookmarkStart w:id="112" w:name="OLE_LINK85"/>
            <w:r>
              <w:rPr>
                <w:rFonts w:hint="eastAsia" w:asciiTheme="minorEastAsia" w:hAnsiTheme="minorEastAsia" w:eastAsiaTheme="minorEastAsia"/>
                <w:color w:val="auto"/>
                <w:szCs w:val="21"/>
                <w:highlight w:val="none"/>
              </w:rPr>
              <w:t>承诺函（格式见附件）</w:t>
            </w:r>
            <w:bookmarkEnd w:id="111"/>
            <w:bookmarkEnd w:id="1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1979" w:type="dxa"/>
            <w:vAlign w:val="center"/>
          </w:tcPr>
          <w:p>
            <w:pPr>
              <w:pStyle w:val="57"/>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参加采购活动前</w:t>
            </w:r>
            <w:r>
              <w:rPr>
                <w:rFonts w:hint="eastAsia" w:asciiTheme="minorEastAsia" w:hAnsiTheme="minorEastAsia" w:eastAsiaTheme="minorEastAsia"/>
                <w:color w:val="auto"/>
                <w:w w:val="110"/>
                <w:szCs w:val="21"/>
                <w:highlight w:val="none"/>
              </w:rPr>
              <w:t>3</w:t>
            </w:r>
            <w:r>
              <w:rPr>
                <w:rFonts w:hint="eastAsia" w:asciiTheme="minorEastAsia" w:hAnsiTheme="minorEastAsia" w:eastAsiaTheme="minorEastAsia"/>
                <w:color w:val="auto"/>
                <w:szCs w:val="21"/>
                <w:highlight w:val="none"/>
              </w:rPr>
              <w:t>年内，在经营活动中没有重大违法记录</w:t>
            </w:r>
          </w:p>
        </w:tc>
        <w:tc>
          <w:tcPr>
            <w:tcW w:w="7138" w:type="dxa"/>
            <w:vAlign w:val="center"/>
          </w:tcPr>
          <w:p>
            <w:pPr>
              <w:pStyle w:val="57"/>
              <w:adjustRightInd w:val="0"/>
              <w:snapToGrid w:val="0"/>
              <w:spacing w:line="400" w:lineRule="exact"/>
              <w:ind w:firstLine="420" w:firstLineChars="200"/>
              <w:rPr>
                <w:rFonts w:asciiTheme="minorEastAsia" w:hAnsiTheme="minorEastAsia" w:eastAsiaTheme="minorEastAsia"/>
                <w:color w:val="auto"/>
                <w:szCs w:val="21"/>
                <w:highlight w:val="none"/>
              </w:rPr>
            </w:pPr>
            <w:bookmarkStart w:id="113" w:name="OLE_LINK86"/>
            <w:bookmarkStart w:id="114" w:name="OLE_LINK88"/>
            <w:bookmarkStart w:id="115" w:name="OLE_LINK87"/>
            <w:r>
              <w:rPr>
                <w:rFonts w:hint="eastAsia" w:asciiTheme="minorEastAsia" w:hAnsiTheme="minorEastAsia" w:eastAsiaTheme="minorEastAsia"/>
                <w:color w:val="auto"/>
                <w:szCs w:val="21"/>
                <w:highlight w:val="none"/>
              </w:rPr>
              <w:t>在磋商声明书（格式见附件）中承诺相关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bookmarkEnd w:id="113"/>
            <w:bookmarkEnd w:id="114"/>
            <w:bookmarkEnd w:id="1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1979" w:type="dxa"/>
            <w:vAlign w:val="center"/>
          </w:tcPr>
          <w:p>
            <w:pPr>
              <w:pStyle w:val="57"/>
              <w:spacing w:line="360" w:lineRule="auto"/>
              <w:ind w:right="146"/>
              <w:rPr>
                <w:rFonts w:asciiTheme="minorEastAsia" w:hAnsiTheme="minorEastAsia" w:eastAsiaTheme="minorEastAsia"/>
                <w:color w:val="auto"/>
                <w:szCs w:val="21"/>
                <w:highlight w:val="none"/>
              </w:rPr>
            </w:pPr>
            <w:r>
              <w:rPr>
                <w:rFonts w:hint="eastAsia"/>
                <w:color w:val="auto"/>
                <w:szCs w:val="21"/>
                <w:highlight w:val="none"/>
              </w:rPr>
              <w:t>信用记录</w:t>
            </w:r>
          </w:p>
        </w:tc>
        <w:tc>
          <w:tcPr>
            <w:tcW w:w="7138" w:type="dxa"/>
            <w:vAlign w:val="center"/>
          </w:tcPr>
          <w:p>
            <w:pPr>
              <w:pStyle w:val="57"/>
              <w:spacing w:line="400" w:lineRule="exact"/>
              <w:ind w:right="147"/>
              <w:rPr>
                <w:color w:val="auto"/>
                <w:szCs w:val="21"/>
                <w:highlight w:val="none"/>
              </w:rPr>
            </w:pPr>
            <w:r>
              <w:rPr>
                <w:rFonts w:hint="eastAsia"/>
                <w:color w:val="auto"/>
                <w:szCs w:val="21"/>
                <w:highlight w:val="none"/>
              </w:rPr>
              <w:t>1.</w:t>
            </w:r>
            <w:r>
              <w:rPr>
                <w:color w:val="auto"/>
                <w:szCs w:val="21"/>
                <w:highlight w:val="none"/>
              </w:rPr>
              <w:t>截止时点：</w:t>
            </w:r>
            <w:r>
              <w:rPr>
                <w:rFonts w:hint="eastAsia"/>
                <w:color w:val="auto"/>
                <w:szCs w:val="21"/>
                <w:highlight w:val="none"/>
              </w:rPr>
              <w:t>开标后评标前</w:t>
            </w:r>
            <w:r>
              <w:rPr>
                <w:color w:val="auto"/>
                <w:szCs w:val="21"/>
                <w:highlight w:val="none"/>
              </w:rPr>
              <w:t>。</w:t>
            </w:r>
          </w:p>
          <w:p>
            <w:pPr>
              <w:pStyle w:val="57"/>
              <w:spacing w:line="400" w:lineRule="exact"/>
              <w:ind w:right="147"/>
              <w:rPr>
                <w:color w:val="auto"/>
                <w:szCs w:val="21"/>
                <w:highlight w:val="none"/>
              </w:rPr>
            </w:pPr>
            <w:r>
              <w:rPr>
                <w:rFonts w:hint="eastAsia"/>
                <w:color w:val="auto"/>
                <w:szCs w:val="21"/>
                <w:highlight w:val="none"/>
              </w:rPr>
              <w:t>2.</w:t>
            </w:r>
            <w:r>
              <w:rPr>
                <w:color w:val="auto"/>
                <w:szCs w:val="21"/>
                <w:highlight w:val="none"/>
              </w:rPr>
              <w:t>信用信息查询记录和证据留存的具体方式：由采购组织机构在规定查询时间内打印信用信息查询记录并归入项目档案。</w:t>
            </w:r>
          </w:p>
          <w:p>
            <w:pPr>
              <w:pStyle w:val="57"/>
              <w:spacing w:line="400" w:lineRule="exact"/>
              <w:ind w:right="147"/>
              <w:rPr>
                <w:color w:val="auto"/>
                <w:szCs w:val="21"/>
                <w:highlight w:val="none"/>
              </w:rPr>
            </w:pPr>
            <w:r>
              <w:rPr>
                <w:rFonts w:hint="eastAsia"/>
                <w:color w:val="auto"/>
                <w:szCs w:val="21"/>
                <w:highlight w:val="none"/>
              </w:rPr>
              <w:t>3.</w:t>
            </w:r>
            <w:r>
              <w:rPr>
                <w:color w:val="auto"/>
                <w:szCs w:val="21"/>
                <w:highlight w:val="none"/>
              </w:rPr>
              <w:t>使用规则</w:t>
            </w:r>
            <w:r>
              <w:rPr>
                <w:rFonts w:hint="eastAsia"/>
                <w:color w:val="auto"/>
                <w:szCs w:val="21"/>
                <w:highlight w:val="none"/>
              </w:rPr>
              <w:t>：投标人</w:t>
            </w:r>
            <w:r>
              <w:rPr>
                <w:color w:val="auto"/>
                <w:szCs w:val="21"/>
                <w:highlight w:val="none"/>
              </w:rPr>
              <w:t>未被列入“信用中国”失信被执行人或重大税收违法失信主体；</w:t>
            </w:r>
            <w:r>
              <w:rPr>
                <w:rFonts w:hint="eastAsia"/>
                <w:color w:val="auto"/>
                <w:szCs w:val="21"/>
                <w:highlight w:val="none"/>
              </w:rPr>
              <w:t>未</w:t>
            </w:r>
            <w:r>
              <w:rPr>
                <w:color w:val="auto"/>
                <w:szCs w:val="21"/>
                <w:highlight w:val="none"/>
              </w:rPr>
              <w:t>处于“中国政府采购网”政府采购严重违法失信行为信息记录中的禁止参加政府采购活动期间。（以联合体形式投标时，联合体各方均须满足该条款）</w:t>
            </w:r>
          </w:p>
          <w:p>
            <w:pPr>
              <w:pStyle w:val="57"/>
              <w:spacing w:line="400" w:lineRule="exact"/>
              <w:ind w:right="147"/>
              <w:rPr>
                <w:color w:val="auto"/>
                <w:kern w:val="0"/>
                <w:szCs w:val="21"/>
                <w:highlight w:val="none"/>
              </w:rPr>
            </w:pPr>
            <w:r>
              <w:rPr>
                <w:rFonts w:hint="eastAsia"/>
                <w:color w:val="auto"/>
                <w:szCs w:val="21"/>
                <w:highlight w:val="none"/>
              </w:rPr>
              <w:t>4</w:t>
            </w:r>
            <w:r>
              <w:rPr>
                <w:color w:val="auto"/>
                <w:szCs w:val="21"/>
                <w:highlight w:val="none"/>
              </w:rPr>
              <w:t>.</w:t>
            </w:r>
            <w:r>
              <w:rPr>
                <w:rFonts w:hint="eastAsia"/>
                <w:color w:val="auto"/>
                <w:szCs w:val="21"/>
                <w:highlight w:val="none"/>
              </w:rPr>
              <w:t>查询渠道：</w:t>
            </w:r>
            <w:r>
              <w:rPr>
                <w:rFonts w:hint="eastAsia"/>
                <w:color w:val="auto"/>
                <w:kern w:val="0"/>
                <w:szCs w:val="21"/>
                <w:highlight w:val="none"/>
              </w:rPr>
              <w:t>“信用中国”（www.creditchina.gov.cn）、中国政府采购网（www.ccgp.gov.cn）</w:t>
            </w:r>
          </w:p>
          <w:p>
            <w:pPr>
              <w:pStyle w:val="57"/>
              <w:spacing w:line="400" w:lineRule="exact"/>
              <w:ind w:right="147"/>
              <w:rPr>
                <w:rFonts w:asciiTheme="minorEastAsia" w:hAnsiTheme="minorEastAsia" w:eastAsiaTheme="minorEastAsia"/>
                <w:b/>
                <w:color w:val="auto"/>
                <w:szCs w:val="21"/>
                <w:highlight w:val="none"/>
              </w:rPr>
            </w:pPr>
            <w:r>
              <w:rPr>
                <w:rFonts w:hint="eastAsia"/>
                <w:b/>
                <w:color w:val="auto"/>
                <w:szCs w:val="21"/>
                <w:highlight w:val="none"/>
              </w:rPr>
              <w:t>注：供应商无须单独提供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1979" w:type="dxa"/>
            <w:shd w:val="clear" w:color="auto" w:fill="F6F6F6"/>
            <w:vAlign w:val="center"/>
          </w:tcPr>
          <w:p>
            <w:pPr>
              <w:pStyle w:val="57"/>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供应商必须符合法律、行政法规规定的其他条件</w:t>
            </w:r>
          </w:p>
        </w:tc>
        <w:tc>
          <w:tcPr>
            <w:tcW w:w="7138" w:type="dxa"/>
            <w:shd w:val="clear" w:color="auto" w:fill="F6F6F6"/>
            <w:vAlign w:val="center"/>
          </w:tcPr>
          <w:p>
            <w:pPr>
              <w:pStyle w:val="57"/>
              <w:spacing w:line="400" w:lineRule="exact"/>
              <w:ind w:right="147"/>
              <w:rPr>
                <w:color w:val="auto"/>
                <w:spacing w:val="-3"/>
                <w:szCs w:val="21"/>
                <w:highlight w:val="none"/>
              </w:rPr>
            </w:pPr>
            <w:r>
              <w:rPr>
                <w:rFonts w:hint="eastAsia"/>
                <w:color w:val="auto"/>
                <w:szCs w:val="21"/>
                <w:highlight w:val="none"/>
              </w:rPr>
              <w:t>1.单位负责人为同一人或者存在直接控股、管理关系的不同供应商，不得参加同一合同项下的政府采购活动</w:t>
            </w:r>
            <w:r>
              <w:rPr>
                <w:rFonts w:hint="eastAsia"/>
                <w:color w:val="auto"/>
                <w:spacing w:val="-3"/>
                <w:szCs w:val="21"/>
                <w:highlight w:val="none"/>
              </w:rPr>
              <w:t>。</w:t>
            </w:r>
          </w:p>
          <w:p>
            <w:pPr>
              <w:pStyle w:val="57"/>
              <w:spacing w:line="400" w:lineRule="exact"/>
              <w:ind w:right="147"/>
              <w:rPr>
                <w:color w:val="auto"/>
                <w:szCs w:val="21"/>
                <w:highlight w:val="none"/>
              </w:rPr>
            </w:pPr>
            <w:r>
              <w:rPr>
                <w:rFonts w:hint="eastAsia"/>
                <w:color w:val="auto"/>
                <w:spacing w:val="-3"/>
                <w:szCs w:val="21"/>
                <w:highlight w:val="none"/>
              </w:rPr>
              <w:t>2.为本项目提供整体设计、规范编制或者项目管理、监理、检测等服务的供应商</w:t>
            </w:r>
            <w:r>
              <w:rPr>
                <w:rFonts w:hint="eastAsia"/>
                <w:color w:val="auto"/>
                <w:spacing w:val="1"/>
                <w:szCs w:val="21"/>
                <w:highlight w:val="none"/>
              </w:rPr>
              <w:t>，不得再参与本项目磋商。</w:t>
            </w:r>
          </w:p>
          <w:p>
            <w:pPr>
              <w:pStyle w:val="57"/>
              <w:spacing w:line="400" w:lineRule="exact"/>
              <w:ind w:right="147"/>
              <w:rPr>
                <w:color w:val="auto"/>
                <w:spacing w:val="1"/>
                <w:szCs w:val="21"/>
                <w:highlight w:val="none"/>
              </w:rPr>
            </w:pPr>
            <w:r>
              <w:rPr>
                <w:rFonts w:hint="eastAsia"/>
                <w:color w:val="auto"/>
                <w:spacing w:val="1"/>
                <w:szCs w:val="21"/>
                <w:highlight w:val="none"/>
              </w:rPr>
              <w:t>3</w:t>
            </w:r>
            <w:r>
              <w:rPr>
                <w:color w:val="auto"/>
                <w:spacing w:val="1"/>
                <w:szCs w:val="21"/>
                <w:highlight w:val="none"/>
              </w:rPr>
              <w:t>.</w:t>
            </w:r>
            <w:r>
              <w:rPr>
                <w:rFonts w:hint="eastAsia"/>
                <w:color w:val="auto"/>
                <w:szCs w:val="21"/>
                <w:highlight w:val="none"/>
              </w:rPr>
              <w:t>电子交易平台运营机构，以及与该机构有直接控股或者管理关系可能影响采购公正性的任何单位和个人，不得在该平台进行的政府采购项目电子交易中投标、响应和代理政府采购项目。</w:t>
            </w:r>
          </w:p>
          <w:p>
            <w:pPr>
              <w:pStyle w:val="57"/>
              <w:spacing w:line="400" w:lineRule="exact"/>
              <w:ind w:right="147"/>
              <w:rPr>
                <w:rFonts w:asciiTheme="minorEastAsia" w:hAnsiTheme="minorEastAsia" w:eastAsiaTheme="minorEastAsia"/>
                <w:color w:val="auto"/>
                <w:szCs w:val="21"/>
                <w:highlight w:val="none"/>
              </w:rPr>
            </w:pPr>
            <w:r>
              <w:rPr>
                <w:rFonts w:hint="eastAsia"/>
                <w:color w:val="auto"/>
                <w:spacing w:val="1"/>
                <w:szCs w:val="21"/>
                <w:highlight w:val="none"/>
              </w:rPr>
              <w:t>4.</w:t>
            </w:r>
            <w:r>
              <w:rPr>
                <w:rFonts w:hint="eastAsia"/>
                <w:color w:val="auto"/>
                <w:szCs w:val="21"/>
                <w:highlight w:val="none"/>
              </w:rPr>
              <w:t>相关承诺要求内容。（以联合体形式参与磋商时，联合体各方均须满足该条款）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1979" w:type="dxa"/>
            <w:vAlign w:val="center"/>
          </w:tcPr>
          <w:p>
            <w:pPr>
              <w:pStyle w:val="57"/>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联合体参与磋商</w:t>
            </w:r>
          </w:p>
        </w:tc>
        <w:tc>
          <w:tcPr>
            <w:tcW w:w="7138" w:type="dxa"/>
            <w:vAlign w:val="center"/>
          </w:tcPr>
          <w:p>
            <w:pPr>
              <w:pStyle w:val="57"/>
              <w:adjustRightInd w:val="0"/>
              <w:snapToGrid w:val="0"/>
              <w:spacing w:line="400" w:lineRule="exact"/>
              <w:ind w:firstLine="420" w:firstLineChars="200"/>
              <w:rPr>
                <w:color w:val="auto"/>
                <w:szCs w:val="21"/>
                <w:highlight w:val="none"/>
              </w:rPr>
            </w:pPr>
            <w:r>
              <w:rPr>
                <w:rFonts w:hint="eastAsia" w:asciiTheme="minorEastAsia" w:hAnsiTheme="minorEastAsia" w:eastAsiaTheme="minorEastAsia"/>
                <w:color w:val="auto"/>
                <w:szCs w:val="21"/>
                <w:highlight w:val="none"/>
              </w:rPr>
              <w:t>本项目不接受联合体参与磋商。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1979" w:type="dxa"/>
            <w:tcBorders>
              <w:bottom w:val="single" w:color="auto" w:sz="4" w:space="0"/>
            </w:tcBorders>
            <w:shd w:val="clear" w:color="auto" w:fill="F6F6F6"/>
            <w:vAlign w:val="center"/>
          </w:tcPr>
          <w:p>
            <w:pPr>
              <w:pStyle w:val="57"/>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特定资格要求</w:t>
            </w:r>
          </w:p>
        </w:tc>
        <w:tc>
          <w:tcPr>
            <w:tcW w:w="7138" w:type="dxa"/>
            <w:tcBorders>
              <w:bottom w:val="single" w:color="auto" w:sz="4" w:space="0"/>
            </w:tcBorders>
            <w:shd w:val="clear" w:color="auto" w:fill="F6F6F6"/>
            <w:vAlign w:val="center"/>
          </w:tcPr>
          <w:p>
            <w:pPr>
              <w:pStyle w:val="57"/>
              <w:adjustRightInd w:val="0"/>
              <w:snapToGrid w:val="0"/>
              <w:spacing w:line="400" w:lineRule="exact"/>
              <w:rPr>
                <w:rFonts w:asciiTheme="minorEastAsia" w:hAnsiTheme="minorEastAsia" w:eastAsiaTheme="minorEastAsia"/>
                <w:b/>
                <w:color w:val="auto"/>
                <w:szCs w:val="21"/>
                <w:highlight w:val="none"/>
              </w:rPr>
            </w:pPr>
            <w:bookmarkStart w:id="116" w:name="OLE_LINK89"/>
            <w:bookmarkStart w:id="117" w:name="OLE_LINK90"/>
            <w:r>
              <w:rPr>
                <w:rFonts w:hint="eastAsia" w:asciiTheme="minorEastAsia" w:hAnsiTheme="minorEastAsia" w:eastAsiaTheme="minorEastAsia"/>
                <w:b/>
                <w:color w:val="auto"/>
                <w:szCs w:val="21"/>
                <w:highlight w:val="none"/>
              </w:rPr>
              <w:t>供应商应同时具备以下要求：</w:t>
            </w:r>
          </w:p>
          <w:p>
            <w:pPr>
              <w:pStyle w:val="57"/>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（1）具有建筑装修装饰工程专业承包二级及以上资质（对应资质应在“浙江省建筑市场监管公共服务系统”上动态核查结果处于“合格”状态）；</w:t>
            </w:r>
          </w:p>
          <w:p>
            <w:pPr>
              <w:pStyle w:val="57"/>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（2）具有有效的企业《安全生产许可证》。</w:t>
            </w:r>
          </w:p>
          <w:p>
            <w:pPr>
              <w:pStyle w:val="57"/>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（3）如为浙江省省外企业还须还应具有《省外企业进浙承接业务备案证明》扫描件或“浙江省建筑市场监管公共服务系统”对外发布的通过审核形成的备案信息网页截图。</w:t>
            </w:r>
          </w:p>
          <w:bookmarkEnd w:id="116"/>
          <w:bookmarkEnd w:id="117"/>
          <w:p>
            <w:pPr>
              <w:pStyle w:val="57"/>
              <w:adjustRightInd w:val="0"/>
              <w:snapToGrid w:val="0"/>
              <w:spacing w:line="400" w:lineRule="exact"/>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1979" w:type="dxa"/>
            <w:shd w:val="clear" w:color="auto" w:fill="auto"/>
            <w:vAlign w:val="center"/>
          </w:tcPr>
          <w:p>
            <w:pPr>
              <w:pStyle w:val="57"/>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法定代表人/负责人资格证明书或法定代表人授权委托书</w:t>
            </w:r>
          </w:p>
        </w:tc>
        <w:tc>
          <w:tcPr>
            <w:tcW w:w="7138" w:type="dxa"/>
            <w:shd w:val="clear" w:color="auto" w:fill="auto"/>
            <w:vAlign w:val="center"/>
          </w:tcPr>
          <w:p>
            <w:pPr>
              <w:pStyle w:val="57"/>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法定代表人/负责人资格证明书（身份证）或法定代表人授权委托书，按对应格式文件签署、盖章。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1979" w:type="dxa"/>
            <w:shd w:val="clear" w:color="auto" w:fill="auto"/>
            <w:vAlign w:val="center"/>
          </w:tcPr>
          <w:p>
            <w:pPr>
              <w:pStyle w:val="57"/>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落实政府采购政策需满足的资格要求</w:t>
            </w:r>
          </w:p>
        </w:tc>
        <w:tc>
          <w:tcPr>
            <w:tcW w:w="7138" w:type="dxa"/>
            <w:shd w:val="clear" w:color="auto" w:fill="auto"/>
            <w:vAlign w:val="center"/>
          </w:tcPr>
          <w:p>
            <w:pPr>
              <w:pStyle w:val="57"/>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提供中小企业声明函（格式见附件）或残疾人福利性单位声明函（格式见附件）或监狱企业证明文件。</w:t>
            </w:r>
          </w:p>
        </w:tc>
      </w:tr>
    </w:tbl>
    <w:p>
      <w:pPr>
        <w:pStyle w:val="8"/>
        <w:spacing w:before="120" w:beforeLines="50" w:line="360" w:lineRule="auto"/>
        <w:ind w:firstLine="482" w:firstLineChars="200"/>
        <w:jc w:val="both"/>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（二）</w:t>
      </w:r>
      <w:r>
        <w:rPr>
          <w:rFonts w:asciiTheme="minorEastAsia" w:hAnsiTheme="minorEastAsia" w:eastAsiaTheme="minorEastAsia"/>
          <w:b/>
          <w:bCs/>
          <w:color w:val="auto"/>
          <w:sz w:val="24"/>
          <w:highlight w:val="none"/>
        </w:rPr>
        <w:t>符合性审查</w:t>
      </w:r>
    </w:p>
    <w:p>
      <w:pPr>
        <w:pStyle w:val="8"/>
        <w:spacing w:line="360" w:lineRule="auto"/>
        <w:ind w:firstLine="480" w:firstLineChars="200"/>
        <w:jc w:val="both"/>
        <w:rPr>
          <w:rFonts w:asciiTheme="minorEastAsia" w:hAnsiTheme="minorEastAsia" w:eastAsiaTheme="minorEastAsia"/>
          <w:color w:val="auto"/>
          <w:sz w:val="24"/>
          <w:highlight w:val="none"/>
        </w:rPr>
      </w:pPr>
      <w:r>
        <w:rPr>
          <w:rFonts w:hint="eastAsia" w:asciiTheme="minorEastAsia" w:hAnsiTheme="minorEastAsia" w:eastAsiaTheme="minorEastAsia" w:cstheme="minorBidi"/>
          <w:color w:val="auto"/>
          <w:sz w:val="24"/>
          <w:highlight w:val="none"/>
        </w:rPr>
        <w:t>磋商小组</w:t>
      </w:r>
      <w:r>
        <w:rPr>
          <w:rFonts w:asciiTheme="minorEastAsia" w:hAnsiTheme="minorEastAsia" w:eastAsiaTheme="minorEastAsia"/>
          <w:color w:val="auto"/>
          <w:sz w:val="24"/>
          <w:highlight w:val="none"/>
        </w:rPr>
        <w:t>应当对符合资格的</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磋商响应</w:t>
      </w:r>
      <w:r>
        <w:rPr>
          <w:rFonts w:asciiTheme="minorEastAsia" w:hAnsiTheme="minorEastAsia" w:eastAsiaTheme="minorEastAsia"/>
          <w:color w:val="auto"/>
          <w:sz w:val="24"/>
          <w:highlight w:val="none"/>
        </w:rPr>
        <w:t>文件进行符合性审查，以确定其是否满足</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文件的实质性要求，对审查发现无效的进行必要的询标，</w:t>
      </w:r>
      <w:r>
        <w:rPr>
          <w:rFonts w:hint="eastAsia" w:asciiTheme="minorEastAsia" w:hAnsiTheme="minorEastAsia" w:eastAsiaTheme="minorEastAsia"/>
          <w:color w:val="auto"/>
          <w:sz w:val="24"/>
          <w:highlight w:val="none"/>
        </w:rPr>
        <w:t>对</w:t>
      </w:r>
      <w:r>
        <w:rPr>
          <w:rFonts w:asciiTheme="minorEastAsia" w:hAnsiTheme="minorEastAsia" w:eastAsiaTheme="minorEastAsia"/>
          <w:color w:val="auto"/>
          <w:sz w:val="24"/>
          <w:highlight w:val="none"/>
        </w:rPr>
        <w:t>无效</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名单</w:t>
      </w:r>
      <w:r>
        <w:rPr>
          <w:rFonts w:hint="eastAsia" w:asciiTheme="minorEastAsia" w:hAnsiTheme="minorEastAsia" w:eastAsiaTheme="minorEastAsia"/>
          <w:color w:val="auto"/>
          <w:sz w:val="24"/>
          <w:highlight w:val="none"/>
        </w:rPr>
        <w:t>及响应</w:t>
      </w:r>
      <w:r>
        <w:rPr>
          <w:rFonts w:asciiTheme="minorEastAsia" w:hAnsiTheme="minorEastAsia" w:eastAsiaTheme="minorEastAsia"/>
          <w:color w:val="auto"/>
          <w:sz w:val="24"/>
          <w:highlight w:val="none"/>
        </w:rPr>
        <w:t>无效原因</w:t>
      </w:r>
      <w:r>
        <w:rPr>
          <w:rFonts w:hint="eastAsia" w:asciiTheme="minorEastAsia" w:hAnsiTheme="minorEastAsia" w:eastAsiaTheme="minorEastAsia"/>
          <w:color w:val="auto"/>
          <w:sz w:val="24"/>
          <w:highlight w:val="none"/>
        </w:rPr>
        <w:t>的公布方式同上。</w:t>
      </w:r>
    </w:p>
    <w:tbl>
      <w:tblPr>
        <w:tblStyle w:val="29"/>
        <w:tblW w:w="91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2"/>
        <w:gridCol w:w="7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7" w:hRule="atLeast"/>
          <w:jc w:val="center"/>
        </w:trPr>
        <w:tc>
          <w:tcPr>
            <w:tcW w:w="1702" w:type="dxa"/>
            <w:vAlign w:val="center"/>
          </w:tcPr>
          <w:p>
            <w:pPr>
              <w:pStyle w:val="57"/>
              <w:spacing w:line="360" w:lineRule="auto"/>
              <w:ind w:right="146"/>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磋商响应文件</w:t>
            </w:r>
          </w:p>
        </w:tc>
        <w:tc>
          <w:tcPr>
            <w:tcW w:w="7476" w:type="dxa"/>
            <w:vAlign w:val="center"/>
          </w:tcPr>
          <w:p>
            <w:pPr>
              <w:pStyle w:val="57"/>
              <w:spacing w:before="48"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磋商响应文件，无重大错漏，并按要求签署、盖章。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7" w:hRule="atLeast"/>
          <w:jc w:val="center"/>
        </w:trPr>
        <w:tc>
          <w:tcPr>
            <w:tcW w:w="1702" w:type="dxa"/>
            <w:vAlign w:val="center"/>
          </w:tcPr>
          <w:p>
            <w:pPr>
              <w:pStyle w:val="57"/>
              <w:spacing w:line="360" w:lineRule="auto"/>
              <w:ind w:right="146"/>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“▲”实质性条款</w:t>
            </w:r>
          </w:p>
        </w:tc>
        <w:tc>
          <w:tcPr>
            <w:tcW w:w="7476" w:type="dxa"/>
            <w:vAlign w:val="center"/>
          </w:tcPr>
          <w:p>
            <w:pPr>
              <w:pStyle w:val="57"/>
              <w:spacing w:before="48"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“▲”实质性条款满足磋商文件要求。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7" w:hRule="atLeast"/>
          <w:jc w:val="center"/>
        </w:trPr>
        <w:tc>
          <w:tcPr>
            <w:tcW w:w="1702" w:type="dxa"/>
            <w:shd w:val="clear" w:color="auto" w:fill="F6F6F6"/>
            <w:vAlign w:val="center"/>
          </w:tcPr>
          <w:p>
            <w:pPr>
              <w:pStyle w:val="57"/>
              <w:spacing w:line="360" w:lineRule="auto"/>
              <w:ind w:right="146"/>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磋商响应有效期</w:t>
            </w:r>
          </w:p>
        </w:tc>
        <w:tc>
          <w:tcPr>
            <w:tcW w:w="7476" w:type="dxa"/>
            <w:shd w:val="clear" w:color="auto" w:fill="F6F6F6"/>
            <w:vAlign w:val="center"/>
          </w:tcPr>
          <w:p>
            <w:pPr>
              <w:pStyle w:val="57"/>
              <w:spacing w:before="48"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磋商有效期为磋商截止日起至少90天。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7" w:hRule="atLeast"/>
          <w:jc w:val="center"/>
        </w:trPr>
        <w:tc>
          <w:tcPr>
            <w:tcW w:w="1702" w:type="dxa"/>
            <w:vAlign w:val="center"/>
          </w:tcPr>
          <w:p>
            <w:pPr>
              <w:pStyle w:val="57"/>
              <w:spacing w:line="360" w:lineRule="auto"/>
              <w:ind w:right="146"/>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附加条件</w:t>
            </w:r>
          </w:p>
        </w:tc>
        <w:tc>
          <w:tcPr>
            <w:tcW w:w="7476" w:type="dxa"/>
            <w:vAlign w:val="center"/>
          </w:tcPr>
          <w:p>
            <w:pPr>
              <w:pStyle w:val="57"/>
              <w:spacing w:before="48"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磋商响应文件未含有采购人不可接受的附加条件。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7" w:hRule="atLeast"/>
          <w:jc w:val="center"/>
        </w:trPr>
        <w:tc>
          <w:tcPr>
            <w:tcW w:w="1702" w:type="dxa"/>
            <w:vAlign w:val="center"/>
          </w:tcPr>
          <w:p>
            <w:pPr>
              <w:pStyle w:val="57"/>
              <w:spacing w:line="360" w:lineRule="auto"/>
              <w:ind w:right="146"/>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其他</w:t>
            </w:r>
          </w:p>
        </w:tc>
        <w:tc>
          <w:tcPr>
            <w:tcW w:w="7476" w:type="dxa"/>
            <w:vAlign w:val="center"/>
          </w:tcPr>
          <w:p>
            <w:pPr>
              <w:pStyle w:val="57"/>
              <w:spacing w:before="48"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不存在采购文件规定的其他无效情形。</w:t>
            </w:r>
          </w:p>
        </w:tc>
      </w:tr>
    </w:tbl>
    <w:p>
      <w:pPr>
        <w:autoSpaceDE w:val="0"/>
        <w:autoSpaceDN w:val="0"/>
        <w:spacing w:before="120" w:beforeLines="50" w:line="360" w:lineRule="auto"/>
        <w:ind w:firstLine="482" w:firstLineChars="200"/>
        <w:rPr>
          <w:rFonts w:asciiTheme="minorEastAsia" w:hAnsiTheme="minorEastAsia" w:eastAsiaTheme="minorEastAsia"/>
          <w:b/>
          <w:bCs/>
          <w:color w:val="auto"/>
          <w:kern w:val="0"/>
          <w:sz w:val="24"/>
          <w:highlight w:val="none"/>
        </w:rPr>
      </w:pPr>
      <w:r>
        <w:rPr>
          <w:rFonts w:hint="eastAsia" w:asciiTheme="minorEastAsia" w:hAnsiTheme="minorEastAsia" w:eastAsiaTheme="minorEastAsia"/>
          <w:b/>
          <w:bCs/>
          <w:color w:val="auto"/>
          <w:kern w:val="0"/>
          <w:sz w:val="24"/>
          <w:highlight w:val="none"/>
        </w:rPr>
        <w:t>（三）</w:t>
      </w:r>
      <w:r>
        <w:rPr>
          <w:rFonts w:hint="eastAsia" w:asciiTheme="minorEastAsia" w:hAnsiTheme="minorEastAsia" w:eastAsiaTheme="minorEastAsia"/>
          <w:b/>
          <w:color w:val="auto"/>
          <w:sz w:val="24"/>
          <w:highlight w:val="none"/>
        </w:rPr>
        <w:t>商务与技术</w:t>
      </w:r>
      <w:r>
        <w:rPr>
          <w:rFonts w:hint="eastAsia" w:asciiTheme="minorEastAsia" w:hAnsiTheme="minorEastAsia" w:eastAsiaTheme="minorEastAsia"/>
          <w:b/>
          <w:bCs/>
          <w:color w:val="auto"/>
          <w:sz w:val="24"/>
          <w:highlight w:val="none"/>
        </w:rPr>
        <w:t>及价格评审</w:t>
      </w:r>
    </w:p>
    <w:p>
      <w:pPr>
        <w:autoSpaceDE w:val="0"/>
        <w:autoSpaceDN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kern w:val="0"/>
          <w:sz w:val="24"/>
          <w:highlight w:val="none"/>
        </w:rPr>
        <w:t>本项目评审方法为综合评分法，总计100分，评</w:t>
      </w:r>
      <w:r>
        <w:rPr>
          <w:rFonts w:hint="eastAsia" w:asciiTheme="minorEastAsia" w:hAnsiTheme="minorEastAsia" w:eastAsiaTheme="minorEastAsia"/>
          <w:color w:val="auto"/>
          <w:sz w:val="24"/>
          <w:highlight w:val="none"/>
        </w:rPr>
        <w:t>审</w:t>
      </w:r>
      <w:r>
        <w:rPr>
          <w:rFonts w:hint="eastAsia" w:asciiTheme="minorEastAsia" w:hAnsiTheme="minorEastAsia" w:eastAsiaTheme="minorEastAsia"/>
          <w:color w:val="auto"/>
          <w:kern w:val="0"/>
          <w:sz w:val="24"/>
          <w:highlight w:val="none"/>
        </w:rPr>
        <w:t>按以下标准及要求进行：</w:t>
      </w:r>
    </w:p>
    <w:p>
      <w:pPr>
        <w:autoSpaceDE w:val="0"/>
        <w:autoSpaceDN w:val="0"/>
        <w:adjustRightInd w:val="0"/>
        <w:spacing w:line="360" w:lineRule="auto"/>
        <w:ind w:right="85"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rPr>
        <w:t>1.评分标准</w:t>
      </w:r>
    </w:p>
    <w:tbl>
      <w:tblPr>
        <w:tblStyle w:val="29"/>
        <w:tblW w:w="1003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70"/>
        <w:gridCol w:w="8238"/>
        <w:gridCol w:w="7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7" w:hRule="atLeast"/>
          <w:tblHeader/>
          <w:jc w:val="center"/>
        </w:trPr>
        <w:tc>
          <w:tcPr>
            <w:tcW w:w="1070" w:type="dxa"/>
            <w:shd w:val="pct20" w:color="auto" w:fill="auto"/>
            <w:vAlign w:val="center"/>
          </w:tcPr>
          <w:p>
            <w:pPr>
              <w:widowControl/>
              <w:jc w:val="center"/>
              <w:rPr>
                <w:rFonts w:ascii="宋体" w:hAnsi="宋体" w:cs="宋体"/>
                <w:b/>
                <w:color w:val="auto"/>
                <w:szCs w:val="21"/>
                <w:highlight w:val="none"/>
              </w:rPr>
            </w:pPr>
            <w:bookmarkStart w:id="118" w:name="OLE_LINK116"/>
            <w:bookmarkStart w:id="119" w:name="OLE_LINK33"/>
            <w:bookmarkStart w:id="120" w:name="OLE_LINK34"/>
            <w:r>
              <w:rPr>
                <w:rFonts w:hint="eastAsia" w:ascii="宋体" w:hAnsi="宋体" w:cs="宋体"/>
                <w:b/>
                <w:color w:val="auto"/>
                <w:szCs w:val="21"/>
                <w:highlight w:val="none"/>
              </w:rPr>
              <w:t>评分</w:t>
            </w:r>
          </w:p>
          <w:p>
            <w:pPr>
              <w:widowControl/>
              <w:jc w:val="center"/>
              <w:rPr>
                <w:rFonts w:ascii="宋体" w:hAnsi="宋体" w:cs="宋体"/>
                <w:b/>
                <w:bCs/>
                <w:color w:val="auto"/>
                <w:szCs w:val="21"/>
                <w:highlight w:val="none"/>
              </w:rPr>
            </w:pPr>
            <w:r>
              <w:rPr>
                <w:rFonts w:hint="eastAsia" w:ascii="宋体" w:hAnsi="宋体" w:cs="宋体"/>
                <w:b/>
                <w:color w:val="auto"/>
                <w:szCs w:val="21"/>
                <w:highlight w:val="none"/>
              </w:rPr>
              <w:t>项目</w:t>
            </w:r>
          </w:p>
        </w:tc>
        <w:tc>
          <w:tcPr>
            <w:tcW w:w="8238" w:type="dxa"/>
            <w:shd w:val="pct20" w:color="auto" w:fill="auto"/>
            <w:vAlign w:val="center"/>
          </w:tcPr>
          <w:p>
            <w:pPr>
              <w:widowControl/>
              <w:jc w:val="center"/>
              <w:rPr>
                <w:rFonts w:ascii="宋体" w:hAnsi="宋体" w:cs="宋体"/>
                <w:b/>
                <w:color w:val="auto"/>
                <w:szCs w:val="21"/>
                <w:highlight w:val="none"/>
              </w:rPr>
            </w:pPr>
            <w:r>
              <w:rPr>
                <w:rFonts w:hint="eastAsia" w:ascii="宋体" w:hAnsi="宋体" w:cs="宋体"/>
                <w:b/>
                <w:color w:val="auto"/>
                <w:szCs w:val="21"/>
                <w:highlight w:val="none"/>
              </w:rPr>
              <w:t>评分细则</w:t>
            </w:r>
          </w:p>
        </w:tc>
        <w:tc>
          <w:tcPr>
            <w:tcW w:w="722" w:type="dxa"/>
            <w:shd w:val="pct20" w:color="auto" w:fill="auto"/>
            <w:vAlign w:val="center"/>
          </w:tcPr>
          <w:p>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0" w:hRule="atLeast"/>
          <w:jc w:val="center"/>
        </w:trPr>
        <w:tc>
          <w:tcPr>
            <w:tcW w:w="1070" w:type="dxa"/>
            <w:tcBorders>
              <w:top w:val="single" w:color="auto" w:sz="4" w:space="0"/>
            </w:tcBorders>
            <w:vAlign w:val="center"/>
          </w:tcPr>
          <w:p>
            <w:pPr>
              <w:widowControl/>
              <w:jc w:val="center"/>
              <w:rPr>
                <w:rFonts w:ascii="宋体" w:hAnsi="宋体" w:cs="宋体"/>
                <w:color w:val="auto"/>
                <w:szCs w:val="21"/>
                <w:highlight w:val="none"/>
              </w:rPr>
            </w:pPr>
            <w:bookmarkStart w:id="121" w:name="_Hlk199947983"/>
            <w:bookmarkStart w:id="122" w:name="OLE_LINK31" w:colFirst="1" w:colLast="2"/>
            <w:r>
              <w:rPr>
                <w:rFonts w:hint="eastAsia" w:ascii="宋体" w:hAnsi="宋体" w:cs="宋体"/>
                <w:bCs/>
                <w:color w:val="auto"/>
                <w:szCs w:val="21"/>
                <w:highlight w:val="none"/>
              </w:rPr>
              <w:t>响应供应商</w:t>
            </w:r>
            <w:r>
              <w:rPr>
                <w:rFonts w:hint="eastAsia" w:ascii="宋体" w:hAnsi="宋体" w:cs="宋体"/>
                <w:color w:val="auto"/>
                <w:szCs w:val="21"/>
                <w:highlight w:val="none"/>
              </w:rPr>
              <w:t>资信</w:t>
            </w:r>
          </w:p>
        </w:tc>
        <w:tc>
          <w:tcPr>
            <w:tcW w:w="8238" w:type="dxa"/>
            <w:vAlign w:val="center"/>
          </w:tcPr>
          <w:p>
            <w:pPr>
              <w:tabs>
                <w:tab w:val="center" w:pos="3289"/>
              </w:tabs>
              <w:rPr>
                <w:rFonts w:ascii="宋体" w:hAnsi="宋体" w:cs="宋体"/>
                <w:b/>
                <w:color w:val="auto"/>
                <w:szCs w:val="21"/>
                <w:highlight w:val="none"/>
              </w:rPr>
            </w:pPr>
            <w:r>
              <w:rPr>
                <w:rFonts w:hint="eastAsia" w:ascii="宋体" w:hAnsi="宋体" w:cs="宋体"/>
                <w:b/>
                <w:color w:val="auto"/>
                <w:szCs w:val="21"/>
                <w:highlight w:val="none"/>
              </w:rPr>
              <w:t>客观分：</w:t>
            </w:r>
          </w:p>
          <w:p>
            <w:pPr>
              <w:tabs>
                <w:tab w:val="center" w:pos="3289"/>
              </w:tabs>
              <w:rPr>
                <w:rFonts w:ascii="宋体" w:hAnsi="宋体" w:cs="宋体"/>
                <w:b/>
                <w:color w:val="auto"/>
                <w:szCs w:val="21"/>
                <w:highlight w:val="none"/>
              </w:rPr>
            </w:pPr>
            <w:r>
              <w:rPr>
                <w:rFonts w:hint="eastAsia" w:ascii="宋体" w:hAnsi="宋体" w:cs="宋体"/>
                <w:bCs/>
                <w:color w:val="auto"/>
                <w:szCs w:val="21"/>
                <w:highlight w:val="none"/>
              </w:rPr>
              <w:t>响应供应商</w:t>
            </w:r>
            <w:r>
              <w:rPr>
                <w:rFonts w:hint="eastAsia" w:ascii="宋体" w:hAnsi="宋体" w:cs="宋体"/>
                <w:color w:val="auto"/>
                <w:szCs w:val="21"/>
                <w:highlight w:val="none"/>
              </w:rPr>
              <w:t>具有环境管理体系认证证书、职业健康安全管理体系认证证书、质量管理体系认证证书的，每提供其中一个证书得1分（本项最多得3分）。</w:t>
            </w:r>
          </w:p>
          <w:p>
            <w:pPr>
              <w:adjustRightInd w:val="0"/>
              <w:snapToGrid w:val="0"/>
              <w:rPr>
                <w:rFonts w:ascii="宋体" w:hAnsi="宋体" w:cs="宋体"/>
                <w:b/>
                <w:color w:val="auto"/>
                <w:szCs w:val="21"/>
                <w:highlight w:val="none"/>
              </w:rPr>
            </w:pPr>
            <w:r>
              <w:rPr>
                <w:rFonts w:hint="eastAsia" w:ascii="宋体" w:hAnsi="宋体" w:cs="宋体"/>
                <w:b/>
                <w:color w:val="auto"/>
                <w:szCs w:val="21"/>
                <w:highlight w:val="none"/>
              </w:rPr>
              <w:t>注：需提供有效证书影印件或扫描件和在全国认证认可信息公共服务平台(http://cx.cnca.cn/CertECloud/result/skipResultList）查询到有效的相关证书信息截图，否则不得分。</w:t>
            </w:r>
          </w:p>
        </w:tc>
        <w:tc>
          <w:tcPr>
            <w:tcW w:w="722" w:type="dxa"/>
            <w:vAlign w:val="center"/>
          </w:tcPr>
          <w:p>
            <w:pPr>
              <w:widowControl/>
              <w:jc w:val="center"/>
              <w:rPr>
                <w:rFonts w:ascii="宋体" w:hAnsi="宋体" w:cs="宋体"/>
                <w:color w:val="auto"/>
                <w:szCs w:val="21"/>
                <w:highlight w:val="none"/>
              </w:rPr>
            </w:pPr>
            <w:r>
              <w:rPr>
                <w:rFonts w:hint="eastAsia" w:ascii="宋体" w:hAnsi="宋体" w:cs="宋体"/>
                <w:color w:val="auto"/>
                <w:szCs w:val="21"/>
                <w:highlight w:val="none"/>
              </w:rPr>
              <w:t>0-3</w:t>
            </w:r>
          </w:p>
        </w:tc>
      </w:tr>
      <w:bookmarkEnd w:id="12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05" w:hRule="atLeast"/>
          <w:jc w:val="center"/>
        </w:trPr>
        <w:tc>
          <w:tcPr>
            <w:tcW w:w="1070" w:type="dxa"/>
            <w:tcBorders>
              <w:top w:val="single" w:color="auto" w:sz="4" w:space="0"/>
            </w:tcBorders>
            <w:vAlign w:val="center"/>
          </w:tcPr>
          <w:p>
            <w:pPr>
              <w:widowControl/>
              <w:adjustRightInd w:val="0"/>
              <w:snapToGrid w:val="0"/>
              <w:jc w:val="center"/>
              <w:rPr>
                <w:rFonts w:ascii="宋体" w:hAnsi="宋体" w:cs="宋体"/>
                <w:color w:val="auto"/>
                <w:szCs w:val="21"/>
                <w:highlight w:val="none"/>
              </w:rPr>
            </w:pPr>
            <w:bookmarkStart w:id="123" w:name="_Hlk199947998"/>
            <w:r>
              <w:rPr>
                <w:rFonts w:hint="eastAsia" w:ascii="宋体" w:hAnsi="宋体" w:cs="宋体"/>
                <w:bCs/>
                <w:color w:val="auto"/>
                <w:szCs w:val="21"/>
                <w:highlight w:val="none"/>
              </w:rPr>
              <w:t>响应供应商</w:t>
            </w:r>
            <w:r>
              <w:rPr>
                <w:rFonts w:hint="eastAsia" w:ascii="宋体" w:hAnsi="宋体" w:cs="宋体"/>
                <w:color w:val="auto"/>
                <w:szCs w:val="21"/>
                <w:highlight w:val="none"/>
              </w:rPr>
              <w:t>业绩</w:t>
            </w:r>
          </w:p>
        </w:tc>
        <w:tc>
          <w:tcPr>
            <w:tcW w:w="8238" w:type="dxa"/>
            <w:vAlign w:val="center"/>
          </w:tcPr>
          <w:p>
            <w:pPr>
              <w:adjustRightInd w:val="0"/>
              <w:snapToGrid w:val="0"/>
              <w:rPr>
                <w:rFonts w:ascii="宋体" w:hAnsi="宋体" w:cs="宋体"/>
                <w:b/>
                <w:color w:val="auto"/>
                <w:szCs w:val="21"/>
                <w:highlight w:val="none"/>
              </w:rPr>
            </w:pPr>
            <w:r>
              <w:rPr>
                <w:rFonts w:hint="eastAsia" w:ascii="宋体" w:hAnsi="宋体" w:cs="宋体"/>
                <w:b/>
                <w:color w:val="auto"/>
                <w:szCs w:val="21"/>
                <w:highlight w:val="none"/>
              </w:rPr>
              <w:t>客观分：</w:t>
            </w:r>
          </w:p>
          <w:p>
            <w:pPr>
              <w:adjustRightInd w:val="0"/>
              <w:snapToGrid w:val="0"/>
              <w:rPr>
                <w:rFonts w:ascii="宋体" w:hAnsi="宋体" w:cs="宋体"/>
                <w:color w:val="auto"/>
                <w:szCs w:val="21"/>
                <w:highlight w:val="none"/>
              </w:rPr>
            </w:pPr>
            <w:r>
              <w:rPr>
                <w:rFonts w:hint="eastAsia" w:ascii="宋体" w:hAnsi="宋体" w:cs="宋体"/>
                <w:color w:val="auto"/>
                <w:szCs w:val="21"/>
                <w:highlight w:val="none"/>
              </w:rPr>
              <w:t>供应商自2022年1月1日以来（以合同签订时间为准）承担过同类项目</w:t>
            </w:r>
            <w:bookmarkStart w:id="124" w:name="OLE_LINK32"/>
            <w:r>
              <w:rPr>
                <w:rFonts w:hint="eastAsia" w:ascii="宋体" w:hAnsi="宋体" w:cs="宋体"/>
                <w:color w:val="auto"/>
                <w:szCs w:val="21"/>
                <w:highlight w:val="none"/>
              </w:rPr>
              <w:t>（装修或改造）</w:t>
            </w:r>
            <w:bookmarkEnd w:id="124"/>
            <w:r>
              <w:rPr>
                <w:rFonts w:hint="eastAsia" w:ascii="宋体" w:hAnsi="宋体" w:cs="宋体"/>
                <w:color w:val="auto"/>
                <w:szCs w:val="21"/>
                <w:highlight w:val="none"/>
              </w:rPr>
              <w:t>施工业绩的，每个得1分，最高得3分。</w:t>
            </w:r>
          </w:p>
          <w:p>
            <w:pPr>
              <w:adjustRightInd w:val="0"/>
              <w:snapToGrid w:val="0"/>
              <w:rPr>
                <w:rFonts w:ascii="宋体" w:hAnsi="宋体" w:cs="宋体"/>
                <w:b/>
                <w:color w:val="auto"/>
                <w:szCs w:val="21"/>
                <w:highlight w:val="none"/>
              </w:rPr>
            </w:pPr>
            <w:r>
              <w:rPr>
                <w:rFonts w:hint="eastAsia" w:ascii="宋体" w:hAnsi="宋体" w:cs="宋体"/>
                <w:b/>
                <w:color w:val="auto"/>
                <w:szCs w:val="21"/>
                <w:highlight w:val="none"/>
              </w:rPr>
              <w:t>注：</w:t>
            </w:r>
            <w:r>
              <w:rPr>
                <w:rFonts w:hint="eastAsia" w:ascii="宋体" w:hAnsi="宋体" w:cs="宋体"/>
                <w:b/>
                <w:bCs/>
                <w:color w:val="auto"/>
                <w:szCs w:val="21"/>
                <w:highlight w:val="none"/>
              </w:rPr>
              <w:t>附合同</w:t>
            </w:r>
            <w:r>
              <w:rPr>
                <w:rFonts w:hint="eastAsia" w:ascii="宋体" w:hAnsi="宋体" w:cs="宋体"/>
                <w:b/>
                <w:bCs/>
                <w:color w:val="auto"/>
                <w:szCs w:val="21"/>
                <w:highlight w:val="none"/>
                <w:lang w:eastAsia="zh-Hans"/>
              </w:rPr>
              <w:t>和竣工证明材料</w:t>
            </w:r>
            <w:r>
              <w:rPr>
                <w:rFonts w:hint="eastAsia" w:ascii="宋体" w:hAnsi="宋体" w:cs="宋体"/>
                <w:b/>
                <w:color w:val="auto"/>
                <w:szCs w:val="21"/>
                <w:highlight w:val="none"/>
              </w:rPr>
              <w:t>影印件或扫描件</w:t>
            </w:r>
            <w:r>
              <w:rPr>
                <w:rFonts w:hint="eastAsia" w:ascii="宋体" w:hAnsi="宋体" w:cs="宋体"/>
                <w:b/>
                <w:bCs/>
                <w:color w:val="auto"/>
                <w:szCs w:val="21"/>
                <w:highlight w:val="none"/>
              </w:rPr>
              <w:t>，未提供的不得分。</w:t>
            </w:r>
          </w:p>
        </w:tc>
        <w:tc>
          <w:tcPr>
            <w:tcW w:w="722" w:type="dxa"/>
            <w:vAlign w:val="center"/>
          </w:tcPr>
          <w:p>
            <w:pPr>
              <w:widowControl/>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0-3</w:t>
            </w:r>
          </w:p>
        </w:tc>
      </w:tr>
      <w:bookmarkEnd w:id="123"/>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5" w:hRule="atLeast"/>
          <w:jc w:val="center"/>
        </w:trPr>
        <w:tc>
          <w:tcPr>
            <w:tcW w:w="1070" w:type="dxa"/>
            <w:tcBorders>
              <w:bottom w:val="single" w:color="auto" w:sz="4" w:space="0"/>
            </w:tcBorders>
            <w:vAlign w:val="center"/>
          </w:tcPr>
          <w:p>
            <w:pPr>
              <w:spacing w:line="360" w:lineRule="auto"/>
              <w:jc w:val="center"/>
              <w:rPr>
                <w:rFonts w:ascii="宋体" w:hAnsi="宋体" w:cs="宋体"/>
                <w:b/>
                <w:bCs/>
                <w:color w:val="auto"/>
                <w:szCs w:val="21"/>
                <w:highlight w:val="none"/>
              </w:rPr>
            </w:pPr>
            <w:bookmarkStart w:id="125" w:name="_Hlk199948018"/>
            <w:r>
              <w:rPr>
                <w:rFonts w:hint="eastAsia" w:ascii="宋体" w:hAnsi="宋体" w:cs="宋体"/>
                <w:color w:val="auto"/>
                <w:szCs w:val="21"/>
                <w:highlight w:val="none"/>
              </w:rPr>
              <w:t>管理人员配置</w:t>
            </w:r>
          </w:p>
        </w:tc>
        <w:tc>
          <w:tcPr>
            <w:tcW w:w="8238" w:type="dxa"/>
            <w:vAlign w:val="center"/>
          </w:tcPr>
          <w:p>
            <w:pPr>
              <w:adjustRightInd w:val="0"/>
              <w:snapToGrid w:val="0"/>
              <w:rPr>
                <w:rFonts w:ascii="宋体" w:hAnsi="宋体" w:cs="宋体"/>
                <w:b/>
                <w:color w:val="auto"/>
                <w:szCs w:val="21"/>
                <w:highlight w:val="none"/>
              </w:rPr>
            </w:pPr>
            <w:r>
              <w:rPr>
                <w:rFonts w:hint="eastAsia" w:ascii="宋体" w:hAnsi="宋体" w:cs="宋体"/>
                <w:b/>
                <w:color w:val="auto"/>
                <w:szCs w:val="21"/>
                <w:highlight w:val="none"/>
              </w:rPr>
              <w:t>主观分：</w:t>
            </w:r>
          </w:p>
          <w:p>
            <w:pPr>
              <w:pStyle w:val="78"/>
              <w:spacing w:line="240" w:lineRule="auto"/>
              <w:ind w:firstLine="0" w:firstLineChars="0"/>
              <w:jc w:val="both"/>
              <w:rPr>
                <w:rFonts w:hint="default" w:hAnsi="宋体" w:cs="宋体"/>
                <w:color w:val="auto"/>
                <w:kern w:val="2"/>
                <w:sz w:val="21"/>
                <w:szCs w:val="24"/>
                <w:highlight w:val="none"/>
              </w:rPr>
            </w:pPr>
            <w:r>
              <w:rPr>
                <w:rFonts w:hAnsi="宋体" w:cs="宋体"/>
                <w:color w:val="auto"/>
                <w:kern w:val="2"/>
                <w:sz w:val="21"/>
                <w:szCs w:val="24"/>
                <w:highlight w:val="none"/>
              </w:rPr>
              <w:t>根据本项目的特点派驻现场的工程技术管理人员的专业配置是否齐全（同时提供岗位证书和响应供应商为其缴纳的社保证明扫描件或影印件的证明材料），分三档打分。</w:t>
            </w:r>
          </w:p>
          <w:p>
            <w:pPr>
              <w:pStyle w:val="78"/>
              <w:spacing w:line="240" w:lineRule="auto"/>
              <w:ind w:firstLine="0" w:firstLineChars="0"/>
              <w:jc w:val="both"/>
              <w:rPr>
                <w:rFonts w:hint="default" w:hAnsi="宋体" w:cs="宋体"/>
                <w:color w:val="auto"/>
                <w:kern w:val="2"/>
                <w:sz w:val="21"/>
                <w:szCs w:val="24"/>
                <w:highlight w:val="none"/>
              </w:rPr>
            </w:pPr>
            <w:r>
              <w:rPr>
                <w:rFonts w:hAnsi="宋体" w:cs="宋体"/>
                <w:color w:val="auto"/>
                <w:kern w:val="2"/>
                <w:sz w:val="21"/>
                <w:szCs w:val="24"/>
                <w:highlight w:val="none"/>
              </w:rPr>
              <w:t>第一档：人员专业配置齐全、能满足项目实施需求的得6-8分；</w:t>
            </w:r>
          </w:p>
          <w:p>
            <w:pPr>
              <w:pStyle w:val="78"/>
              <w:spacing w:line="240" w:lineRule="auto"/>
              <w:ind w:firstLine="0" w:firstLineChars="0"/>
              <w:jc w:val="both"/>
              <w:rPr>
                <w:rFonts w:hint="default" w:hAnsi="宋体" w:cs="宋体"/>
                <w:color w:val="auto"/>
                <w:kern w:val="2"/>
                <w:sz w:val="21"/>
                <w:szCs w:val="24"/>
                <w:highlight w:val="none"/>
              </w:rPr>
            </w:pPr>
            <w:r>
              <w:rPr>
                <w:rFonts w:hAnsi="宋体" w:cs="宋体"/>
                <w:color w:val="auto"/>
                <w:kern w:val="2"/>
                <w:sz w:val="21"/>
                <w:szCs w:val="24"/>
                <w:highlight w:val="none"/>
              </w:rPr>
              <w:t>第二档：人员专业配置较齐全、能满足项目实施需求的得3.9-5.9分；</w:t>
            </w:r>
          </w:p>
          <w:p>
            <w:pPr>
              <w:pStyle w:val="78"/>
              <w:spacing w:line="240" w:lineRule="auto"/>
              <w:ind w:firstLine="0" w:firstLineChars="0"/>
              <w:jc w:val="both"/>
              <w:rPr>
                <w:rFonts w:hint="default" w:hAnsi="宋体" w:cs="宋体"/>
                <w:color w:val="auto"/>
                <w:kern w:val="2"/>
                <w:sz w:val="21"/>
                <w:szCs w:val="24"/>
                <w:highlight w:val="none"/>
              </w:rPr>
            </w:pPr>
            <w:r>
              <w:rPr>
                <w:rFonts w:hAnsi="宋体" w:cs="宋体"/>
                <w:color w:val="auto"/>
                <w:kern w:val="2"/>
                <w:sz w:val="21"/>
                <w:szCs w:val="24"/>
                <w:highlight w:val="none"/>
              </w:rPr>
              <w:t>第三档：人员专业配置不齐全、但能基本满足项目实施需求的得1.8-3.8分；</w:t>
            </w:r>
          </w:p>
          <w:p>
            <w:pPr>
              <w:adjustRightInd w:val="0"/>
              <w:snapToGrid w:val="0"/>
              <w:rPr>
                <w:rFonts w:ascii="宋体" w:hAnsi="宋体" w:cs="宋体"/>
                <w:color w:val="auto"/>
                <w:highlight w:val="none"/>
              </w:rPr>
            </w:pPr>
            <w:r>
              <w:rPr>
                <w:rFonts w:hint="eastAsia" w:ascii="宋体" w:hAnsi="宋体" w:cs="宋体"/>
                <w:color w:val="auto"/>
                <w:highlight w:val="none"/>
              </w:rPr>
              <w:t>未提供该项内容不得分。</w:t>
            </w:r>
          </w:p>
        </w:tc>
        <w:tc>
          <w:tcPr>
            <w:tcW w:w="72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0-8</w:t>
            </w:r>
          </w:p>
        </w:tc>
      </w:tr>
      <w:bookmarkEnd w:id="125"/>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81" w:hRule="atLeast"/>
          <w:jc w:val="center"/>
        </w:trPr>
        <w:tc>
          <w:tcPr>
            <w:tcW w:w="1070" w:type="dxa"/>
            <w:tcBorders>
              <w:bottom w:val="single" w:color="auto" w:sz="4" w:space="0"/>
            </w:tcBorders>
            <w:vAlign w:val="center"/>
          </w:tcPr>
          <w:p>
            <w:pPr>
              <w:adjustRightInd w:val="0"/>
              <w:snapToGrid w:val="0"/>
              <w:jc w:val="center"/>
              <w:rPr>
                <w:rFonts w:ascii="宋体" w:hAnsi="宋体" w:cs="宋体"/>
                <w:color w:val="auto"/>
                <w:szCs w:val="21"/>
                <w:highlight w:val="none"/>
              </w:rPr>
            </w:pPr>
            <w:bookmarkStart w:id="126" w:name="OLE_LINK57"/>
            <w:bookmarkStart w:id="127" w:name="OLE_LINK53"/>
            <w:bookmarkStart w:id="128" w:name="_Hlk199948048"/>
            <w:r>
              <w:rPr>
                <w:rFonts w:hint="eastAsia" w:ascii="宋体" w:hAnsi="宋体" w:cs="宋体"/>
                <w:color w:val="auto"/>
                <w:highlight w:val="none"/>
              </w:rPr>
              <w:t>各专业工种的配置和劳动力的投入</w:t>
            </w:r>
            <w:bookmarkEnd w:id="126"/>
            <w:bookmarkEnd w:id="127"/>
          </w:p>
        </w:tc>
        <w:tc>
          <w:tcPr>
            <w:tcW w:w="8238" w:type="dxa"/>
            <w:vAlign w:val="center"/>
          </w:tcPr>
          <w:p>
            <w:pPr>
              <w:adjustRightInd w:val="0"/>
              <w:snapToGrid w:val="0"/>
              <w:rPr>
                <w:rFonts w:ascii="宋体" w:hAnsi="宋体" w:cs="宋体"/>
                <w:b/>
                <w:color w:val="auto"/>
                <w:szCs w:val="21"/>
                <w:highlight w:val="none"/>
              </w:rPr>
            </w:pPr>
            <w:r>
              <w:rPr>
                <w:rFonts w:hint="eastAsia" w:ascii="宋体" w:hAnsi="宋体" w:cs="宋体"/>
                <w:b/>
                <w:color w:val="auto"/>
                <w:szCs w:val="21"/>
                <w:highlight w:val="none"/>
              </w:rPr>
              <w:t>主观分：</w:t>
            </w:r>
          </w:p>
          <w:p>
            <w:pPr>
              <w:pStyle w:val="78"/>
              <w:spacing w:line="240" w:lineRule="auto"/>
              <w:ind w:firstLine="0" w:firstLineChars="0"/>
              <w:jc w:val="both"/>
              <w:rPr>
                <w:rFonts w:hint="default" w:hAnsi="宋体" w:cs="宋体"/>
                <w:color w:val="auto"/>
                <w:kern w:val="2"/>
                <w:sz w:val="21"/>
                <w:szCs w:val="24"/>
                <w:highlight w:val="none"/>
              </w:rPr>
            </w:pPr>
            <w:bookmarkStart w:id="129" w:name="OLE_LINK59"/>
            <w:bookmarkStart w:id="130" w:name="OLE_LINK58"/>
            <w:r>
              <w:rPr>
                <w:rFonts w:hAnsi="宋体" w:cs="宋体"/>
                <w:color w:val="auto"/>
                <w:kern w:val="2"/>
                <w:sz w:val="21"/>
                <w:szCs w:val="24"/>
                <w:highlight w:val="none"/>
              </w:rPr>
              <w:t>根据本项目的特点各专业工种的配置和劳动力的投入是否能满足工程需要，分三档打分。</w:t>
            </w:r>
          </w:p>
          <w:p>
            <w:pPr>
              <w:pStyle w:val="78"/>
              <w:spacing w:line="240" w:lineRule="auto"/>
              <w:ind w:firstLine="0" w:firstLineChars="0"/>
              <w:jc w:val="both"/>
              <w:rPr>
                <w:rFonts w:hint="default" w:hAnsi="宋体" w:cs="宋体"/>
                <w:color w:val="auto"/>
                <w:kern w:val="2"/>
                <w:sz w:val="21"/>
                <w:szCs w:val="24"/>
                <w:highlight w:val="none"/>
              </w:rPr>
            </w:pPr>
            <w:r>
              <w:rPr>
                <w:rFonts w:hAnsi="宋体" w:cs="宋体"/>
                <w:color w:val="auto"/>
                <w:kern w:val="2"/>
                <w:sz w:val="21"/>
                <w:szCs w:val="24"/>
                <w:highlight w:val="none"/>
              </w:rPr>
              <w:t>第一档：各专业工种的配置和劳动力的投入能满足项目实施需求的得5-8分；</w:t>
            </w:r>
          </w:p>
          <w:p>
            <w:pPr>
              <w:pStyle w:val="78"/>
              <w:spacing w:line="240" w:lineRule="auto"/>
              <w:ind w:firstLine="0" w:firstLineChars="0"/>
              <w:jc w:val="both"/>
              <w:rPr>
                <w:rFonts w:hint="default" w:hAnsi="宋体" w:cs="宋体"/>
                <w:color w:val="auto"/>
                <w:kern w:val="2"/>
                <w:sz w:val="21"/>
                <w:szCs w:val="24"/>
                <w:highlight w:val="none"/>
              </w:rPr>
            </w:pPr>
            <w:r>
              <w:rPr>
                <w:rFonts w:hAnsi="宋体" w:cs="宋体"/>
                <w:color w:val="auto"/>
                <w:kern w:val="2"/>
                <w:sz w:val="21"/>
                <w:szCs w:val="24"/>
                <w:highlight w:val="none"/>
              </w:rPr>
              <w:t>第二档：各专业工种的配置和劳动力的投入能基本满足项目实施需求的得1.9-4.9分；</w:t>
            </w:r>
          </w:p>
          <w:p>
            <w:pPr>
              <w:pStyle w:val="78"/>
              <w:spacing w:line="240" w:lineRule="auto"/>
              <w:ind w:firstLine="0" w:firstLineChars="0"/>
              <w:jc w:val="both"/>
              <w:rPr>
                <w:rFonts w:hint="default" w:hAnsi="宋体" w:cs="宋体"/>
                <w:b/>
                <w:color w:val="auto"/>
                <w:szCs w:val="21"/>
                <w:highlight w:val="none"/>
              </w:rPr>
            </w:pPr>
            <w:r>
              <w:rPr>
                <w:rFonts w:hAnsi="宋体" w:cs="宋体"/>
                <w:color w:val="auto"/>
                <w:kern w:val="2"/>
                <w:sz w:val="21"/>
                <w:szCs w:val="24"/>
                <w:highlight w:val="none"/>
              </w:rPr>
              <w:t>第三档：各专业工种的配置和劳动力的投入不能满足项目实施需求或未提供该项内容的0分。</w:t>
            </w:r>
            <w:bookmarkEnd w:id="129"/>
            <w:bookmarkEnd w:id="130"/>
          </w:p>
        </w:tc>
        <w:tc>
          <w:tcPr>
            <w:tcW w:w="72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0-8</w:t>
            </w:r>
          </w:p>
        </w:tc>
      </w:tr>
      <w:bookmarkEnd w:id="128"/>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83" w:hRule="atLeast"/>
          <w:jc w:val="center"/>
        </w:trPr>
        <w:tc>
          <w:tcPr>
            <w:tcW w:w="1070" w:type="dxa"/>
            <w:tcBorders>
              <w:bottom w:val="single" w:color="auto" w:sz="4" w:space="0"/>
            </w:tcBorders>
            <w:vAlign w:val="center"/>
          </w:tcPr>
          <w:p>
            <w:pPr>
              <w:adjustRightInd w:val="0"/>
              <w:snapToGrid w:val="0"/>
              <w:jc w:val="center"/>
              <w:rPr>
                <w:rFonts w:ascii="宋体" w:hAnsi="宋体" w:cs="宋体"/>
                <w:color w:val="auto"/>
                <w:highlight w:val="none"/>
              </w:rPr>
            </w:pPr>
            <w:bookmarkStart w:id="131" w:name="_Hlk199948063"/>
            <w:r>
              <w:rPr>
                <w:rFonts w:hint="eastAsia" w:ascii="宋体" w:hAnsi="宋体" w:cs="宋体"/>
                <w:color w:val="auto"/>
                <w:szCs w:val="21"/>
                <w:highlight w:val="none"/>
              </w:rPr>
              <w:t>施工进度保证措施</w:t>
            </w:r>
          </w:p>
        </w:tc>
        <w:tc>
          <w:tcPr>
            <w:tcW w:w="8238" w:type="dxa"/>
            <w:vAlign w:val="center"/>
          </w:tcPr>
          <w:p>
            <w:pPr>
              <w:adjustRightInd w:val="0"/>
              <w:snapToGrid w:val="0"/>
              <w:rPr>
                <w:rFonts w:ascii="宋体" w:hAnsi="宋体" w:cs="宋体"/>
                <w:b/>
                <w:color w:val="auto"/>
                <w:szCs w:val="21"/>
                <w:highlight w:val="none"/>
              </w:rPr>
            </w:pPr>
            <w:r>
              <w:rPr>
                <w:rFonts w:hint="eastAsia" w:ascii="宋体" w:hAnsi="宋体" w:cs="宋体"/>
                <w:b/>
                <w:color w:val="auto"/>
                <w:szCs w:val="21"/>
                <w:highlight w:val="none"/>
              </w:rPr>
              <w:t>主观分：</w:t>
            </w:r>
          </w:p>
          <w:p>
            <w:pPr>
              <w:adjustRightInd w:val="0"/>
              <w:snapToGrid w:val="0"/>
              <w:rPr>
                <w:rFonts w:ascii="宋体" w:hAnsi="宋体" w:cs="宋体"/>
                <w:color w:val="auto"/>
                <w:highlight w:val="none"/>
              </w:rPr>
            </w:pPr>
            <w:bookmarkStart w:id="132" w:name="OLE_LINK49"/>
            <w:bookmarkStart w:id="133" w:name="OLE_LINK52"/>
            <w:r>
              <w:rPr>
                <w:rFonts w:hint="eastAsia" w:ascii="宋体" w:hAnsi="宋体" w:cs="宋体"/>
                <w:color w:val="auto"/>
                <w:highlight w:val="none"/>
              </w:rPr>
              <w:t>根据提供的施工进度计划、关键节点和线路的保证措施是否具有针对性和可行性，分三档打分。</w:t>
            </w:r>
          </w:p>
          <w:p>
            <w:pPr>
              <w:adjustRightInd w:val="0"/>
              <w:snapToGrid w:val="0"/>
              <w:rPr>
                <w:rFonts w:ascii="宋体" w:hAnsi="宋体" w:cs="宋体"/>
                <w:color w:val="auto"/>
                <w:highlight w:val="none"/>
              </w:rPr>
            </w:pPr>
            <w:r>
              <w:rPr>
                <w:rFonts w:hint="eastAsia" w:ascii="宋体" w:hAnsi="宋体" w:cs="宋体"/>
                <w:color w:val="auto"/>
                <w:highlight w:val="none"/>
              </w:rPr>
              <w:t>第一档：施工进度计划、关键节点和线路设置合理，工程进度保证措施</w:t>
            </w:r>
            <w:r>
              <w:rPr>
                <w:rFonts w:hint="eastAsia" w:ascii="宋体" w:hAnsi="宋体" w:cs="宋体"/>
                <w:color w:val="auto"/>
                <w:szCs w:val="21"/>
                <w:highlight w:val="none"/>
              </w:rPr>
              <w:t>可行性强</w:t>
            </w:r>
            <w:r>
              <w:rPr>
                <w:rFonts w:hint="eastAsia" w:ascii="宋体" w:hAnsi="宋体" w:cs="宋体"/>
                <w:color w:val="auto"/>
                <w:highlight w:val="none"/>
              </w:rPr>
              <w:t>的得7-10分；</w:t>
            </w:r>
          </w:p>
          <w:p>
            <w:pPr>
              <w:adjustRightInd w:val="0"/>
              <w:snapToGrid w:val="0"/>
              <w:rPr>
                <w:rFonts w:ascii="宋体" w:hAnsi="宋体" w:cs="宋体"/>
                <w:color w:val="auto"/>
                <w:highlight w:val="none"/>
              </w:rPr>
            </w:pPr>
            <w:r>
              <w:rPr>
                <w:rFonts w:hint="eastAsia" w:ascii="宋体" w:hAnsi="宋体" w:cs="宋体"/>
                <w:color w:val="auto"/>
                <w:highlight w:val="none"/>
              </w:rPr>
              <w:t>第二档：施工进度计划、关键节点和线路设置较合理，工程进度保证措施</w:t>
            </w:r>
            <w:r>
              <w:rPr>
                <w:rFonts w:hint="eastAsia" w:ascii="宋体" w:hAnsi="宋体" w:cs="宋体"/>
                <w:color w:val="auto"/>
                <w:szCs w:val="21"/>
                <w:highlight w:val="none"/>
              </w:rPr>
              <w:t>可行性较强</w:t>
            </w:r>
            <w:r>
              <w:rPr>
                <w:rFonts w:hint="eastAsia" w:ascii="宋体" w:hAnsi="宋体" w:cs="宋体"/>
                <w:color w:val="auto"/>
                <w:highlight w:val="none"/>
              </w:rPr>
              <w:t>的得3.9-6.9分；</w:t>
            </w:r>
          </w:p>
          <w:p>
            <w:pPr>
              <w:adjustRightInd w:val="0"/>
              <w:snapToGrid w:val="0"/>
              <w:rPr>
                <w:rFonts w:ascii="宋体" w:hAnsi="宋体" w:cs="宋体"/>
                <w:color w:val="auto"/>
                <w:highlight w:val="none"/>
              </w:rPr>
            </w:pPr>
            <w:r>
              <w:rPr>
                <w:rFonts w:hint="eastAsia" w:ascii="宋体" w:hAnsi="宋体" w:cs="宋体"/>
                <w:color w:val="auto"/>
                <w:highlight w:val="none"/>
              </w:rPr>
              <w:t>第三档：施工进度计划、关键节点和线路设置较普通，工程进度保证措施</w:t>
            </w:r>
            <w:r>
              <w:rPr>
                <w:rFonts w:hint="eastAsia" w:ascii="宋体" w:hAnsi="宋体" w:cs="宋体"/>
                <w:color w:val="auto"/>
                <w:szCs w:val="21"/>
                <w:highlight w:val="none"/>
              </w:rPr>
              <w:t>可行性差</w:t>
            </w:r>
            <w:r>
              <w:rPr>
                <w:rFonts w:hint="eastAsia" w:ascii="宋体" w:hAnsi="宋体" w:cs="宋体"/>
                <w:color w:val="auto"/>
                <w:highlight w:val="none"/>
              </w:rPr>
              <w:t>的得1.8-3.8分；</w:t>
            </w:r>
          </w:p>
          <w:p>
            <w:pPr>
              <w:adjustRightInd w:val="0"/>
              <w:snapToGrid w:val="0"/>
              <w:rPr>
                <w:rFonts w:ascii="宋体" w:hAnsi="宋体" w:cs="宋体"/>
                <w:b/>
                <w:color w:val="auto"/>
                <w:szCs w:val="21"/>
                <w:highlight w:val="none"/>
              </w:rPr>
            </w:pPr>
            <w:r>
              <w:rPr>
                <w:rFonts w:hint="eastAsia" w:ascii="宋体" w:hAnsi="宋体" w:cs="宋体"/>
                <w:color w:val="auto"/>
                <w:highlight w:val="none"/>
              </w:rPr>
              <w:t>未提供该项内容不得分。</w:t>
            </w:r>
            <w:bookmarkEnd w:id="132"/>
            <w:bookmarkEnd w:id="133"/>
          </w:p>
        </w:tc>
        <w:tc>
          <w:tcPr>
            <w:tcW w:w="72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0-10</w:t>
            </w:r>
          </w:p>
        </w:tc>
      </w:tr>
      <w:bookmarkEnd w:id="13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31" w:hRule="atLeast"/>
          <w:jc w:val="center"/>
        </w:trPr>
        <w:tc>
          <w:tcPr>
            <w:tcW w:w="1070" w:type="dxa"/>
            <w:tcBorders>
              <w:bottom w:val="single" w:color="auto" w:sz="4" w:space="0"/>
            </w:tcBorders>
            <w:vAlign w:val="center"/>
          </w:tcPr>
          <w:p>
            <w:pPr>
              <w:adjustRightInd w:val="0"/>
              <w:snapToGrid w:val="0"/>
              <w:jc w:val="center"/>
              <w:rPr>
                <w:rFonts w:ascii="宋体" w:hAnsi="宋体" w:cs="宋体"/>
                <w:color w:val="auto"/>
                <w:szCs w:val="21"/>
                <w:highlight w:val="none"/>
              </w:rPr>
            </w:pPr>
            <w:bookmarkStart w:id="134" w:name="_Hlk199948082"/>
            <w:r>
              <w:rPr>
                <w:rFonts w:hint="eastAsia" w:ascii="宋体" w:hAnsi="宋体" w:cs="宋体"/>
                <w:color w:val="auto"/>
                <w:highlight w:val="none"/>
              </w:rPr>
              <w:t>投入本项目产品技术性能</w:t>
            </w:r>
          </w:p>
        </w:tc>
        <w:tc>
          <w:tcPr>
            <w:tcW w:w="8238" w:type="dxa"/>
            <w:vAlign w:val="center"/>
          </w:tcPr>
          <w:p>
            <w:pPr>
              <w:adjustRightInd w:val="0"/>
              <w:snapToGrid w:val="0"/>
              <w:rPr>
                <w:rFonts w:ascii="宋体" w:hAnsi="宋体" w:cs="宋体"/>
                <w:b/>
                <w:color w:val="auto"/>
                <w:szCs w:val="21"/>
                <w:highlight w:val="none"/>
              </w:rPr>
            </w:pPr>
            <w:r>
              <w:rPr>
                <w:rFonts w:hint="eastAsia" w:ascii="宋体" w:hAnsi="宋体" w:cs="宋体"/>
                <w:b/>
                <w:color w:val="auto"/>
                <w:szCs w:val="21"/>
                <w:highlight w:val="none"/>
              </w:rPr>
              <w:t>主观分：</w:t>
            </w:r>
          </w:p>
          <w:p>
            <w:pPr>
              <w:pStyle w:val="78"/>
              <w:spacing w:line="240" w:lineRule="auto"/>
              <w:ind w:firstLine="0" w:firstLineChars="0"/>
              <w:jc w:val="both"/>
              <w:rPr>
                <w:rFonts w:hint="default" w:hAnsi="宋体" w:cs="宋体"/>
                <w:color w:val="auto"/>
                <w:kern w:val="2"/>
                <w:sz w:val="21"/>
                <w:szCs w:val="24"/>
                <w:highlight w:val="none"/>
              </w:rPr>
            </w:pPr>
            <w:r>
              <w:rPr>
                <w:rFonts w:hAnsi="宋体" w:cs="宋体"/>
                <w:color w:val="auto"/>
                <w:kern w:val="2"/>
                <w:sz w:val="21"/>
                <w:szCs w:val="24"/>
                <w:highlight w:val="none"/>
              </w:rPr>
              <w:t>根据供应商拟投入本项目的材料设备[</w:t>
            </w:r>
            <w:bookmarkStart w:id="135" w:name="OLE_LINK30"/>
            <w:r>
              <w:rPr>
                <w:rFonts w:hAnsi="宋体" w:cs="宋体"/>
                <w:color w:val="auto"/>
                <w:kern w:val="2"/>
                <w:sz w:val="21"/>
                <w:szCs w:val="24"/>
                <w:highlight w:val="none"/>
              </w:rPr>
              <w:t>包含但不限于</w:t>
            </w:r>
            <w:bookmarkStart w:id="136" w:name="OLE_LINK23"/>
            <w:r>
              <w:rPr>
                <w:rFonts w:hAnsi="宋体" w:cs="宋体"/>
                <w:color w:val="auto"/>
                <w:kern w:val="2"/>
                <w:sz w:val="21"/>
                <w:szCs w:val="24"/>
                <w:highlight w:val="none"/>
              </w:rPr>
              <w:t>水泥、乳胶漆、灯具、开关、插座、板材、电线电缆、管材管件、瓷砖、铝扣板、轻钢龙骨、</w:t>
            </w:r>
            <w:r>
              <w:rPr>
                <w:rFonts w:ascii="Times New Roman"/>
                <w:color w:val="auto"/>
                <w:kern w:val="2"/>
                <w:sz w:val="21"/>
                <w:szCs w:val="24"/>
                <w:highlight w:val="none"/>
              </w:rPr>
              <w:t>人造石、</w:t>
            </w:r>
            <w:r>
              <w:rPr>
                <w:rFonts w:hAnsi="宋体" w:cs="宋体"/>
                <w:color w:val="auto"/>
                <w:kern w:val="2"/>
                <w:sz w:val="21"/>
                <w:szCs w:val="24"/>
                <w:highlight w:val="none"/>
              </w:rPr>
              <w:t>防水</w:t>
            </w:r>
            <w:bookmarkEnd w:id="136"/>
            <w:r>
              <w:rPr>
                <w:rFonts w:hAnsi="宋体" w:cs="宋体"/>
                <w:color w:val="auto"/>
                <w:kern w:val="2"/>
                <w:sz w:val="21"/>
                <w:szCs w:val="24"/>
                <w:highlight w:val="none"/>
              </w:rPr>
              <w:t>材料</w:t>
            </w:r>
            <w:r>
              <w:rPr>
                <w:rFonts w:hAnsi="宋体" w:cs="宋体"/>
                <w:color w:val="auto"/>
                <w:kern w:val="2"/>
                <w:sz w:val="21"/>
                <w:szCs w:val="24"/>
                <w:highlight w:val="none"/>
              </w:rPr>
              <w:t>等</w:t>
            </w:r>
            <w:bookmarkEnd w:id="135"/>
            <w:r>
              <w:rPr>
                <w:rFonts w:hAnsi="宋体" w:cs="宋体"/>
                <w:color w:val="auto"/>
                <w:kern w:val="2"/>
                <w:sz w:val="21"/>
                <w:szCs w:val="24"/>
                <w:highlight w:val="none"/>
              </w:rPr>
              <w:t>]打分，品牌选择符合招标文件要求、技术性能稳定、产品质量稳定、可靠性好、材料技术性能均优的得13分，材料设备存在品牌、技术性能、产品质量、可靠性、材料技术性等存在缺陷的每项材料扣1分，未提供该项内容不得分。</w:t>
            </w:r>
          </w:p>
        </w:tc>
        <w:tc>
          <w:tcPr>
            <w:tcW w:w="72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0-13</w:t>
            </w:r>
          </w:p>
        </w:tc>
      </w:tr>
      <w:bookmarkEnd w:id="134"/>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579" w:hRule="atLeast"/>
          <w:jc w:val="center"/>
        </w:trPr>
        <w:tc>
          <w:tcPr>
            <w:tcW w:w="1070" w:type="dxa"/>
            <w:tcBorders>
              <w:bottom w:val="single" w:color="auto" w:sz="4" w:space="0"/>
            </w:tcBorders>
            <w:vAlign w:val="center"/>
          </w:tcPr>
          <w:p>
            <w:pPr>
              <w:adjustRightInd w:val="0"/>
              <w:snapToGrid w:val="0"/>
              <w:jc w:val="center"/>
              <w:rPr>
                <w:rFonts w:ascii="宋体" w:hAnsi="宋体" w:cs="宋体"/>
                <w:color w:val="auto"/>
                <w:szCs w:val="21"/>
                <w:highlight w:val="none"/>
              </w:rPr>
            </w:pPr>
            <w:bookmarkStart w:id="137" w:name="_Hlk199948108"/>
            <w:r>
              <w:rPr>
                <w:rFonts w:hint="eastAsia" w:ascii="宋体" w:hAnsi="宋体" w:cs="宋体"/>
                <w:color w:val="auto"/>
                <w:szCs w:val="21"/>
                <w:highlight w:val="none"/>
              </w:rPr>
              <w:t>技术方案和质量保证措施</w:t>
            </w:r>
          </w:p>
        </w:tc>
        <w:tc>
          <w:tcPr>
            <w:tcW w:w="8238" w:type="dxa"/>
            <w:vAlign w:val="center"/>
          </w:tcPr>
          <w:p>
            <w:pPr>
              <w:adjustRightInd w:val="0"/>
              <w:snapToGrid w:val="0"/>
              <w:rPr>
                <w:rFonts w:ascii="宋体" w:hAnsi="宋体" w:cs="宋体"/>
                <w:b/>
                <w:color w:val="auto"/>
                <w:szCs w:val="21"/>
                <w:highlight w:val="none"/>
              </w:rPr>
            </w:pPr>
            <w:r>
              <w:rPr>
                <w:rFonts w:hint="eastAsia" w:ascii="宋体" w:hAnsi="宋体" w:cs="宋体"/>
                <w:b/>
                <w:color w:val="auto"/>
                <w:szCs w:val="21"/>
                <w:highlight w:val="none"/>
              </w:rPr>
              <w:t>主观分：</w:t>
            </w:r>
          </w:p>
          <w:p>
            <w:pPr>
              <w:adjustRightInd w:val="0"/>
              <w:snapToGrid w:val="0"/>
              <w:rPr>
                <w:rFonts w:ascii="宋体" w:hAnsi="宋体" w:cs="宋体"/>
                <w:color w:val="auto"/>
                <w:highlight w:val="none"/>
              </w:rPr>
            </w:pPr>
            <w:r>
              <w:rPr>
                <w:rFonts w:hint="eastAsia" w:ascii="宋体" w:hAnsi="宋体" w:cs="宋体"/>
                <w:color w:val="auto"/>
                <w:highlight w:val="none"/>
              </w:rPr>
              <w:t>根据供应商提供的技术方案和质量保证措施是否具有针对性和科学性，分三档打分。</w:t>
            </w:r>
          </w:p>
          <w:p>
            <w:pPr>
              <w:adjustRightInd w:val="0"/>
              <w:snapToGrid w:val="0"/>
              <w:rPr>
                <w:rFonts w:ascii="宋体" w:hAnsi="宋体" w:cs="宋体"/>
                <w:color w:val="auto"/>
                <w:highlight w:val="none"/>
              </w:rPr>
            </w:pPr>
            <w:bookmarkStart w:id="138" w:name="OLE_LINK61"/>
            <w:bookmarkStart w:id="139" w:name="OLE_LINK60"/>
            <w:r>
              <w:rPr>
                <w:rFonts w:hint="eastAsia" w:ascii="宋体" w:hAnsi="宋体" w:cs="宋体"/>
                <w:color w:val="auto"/>
                <w:highlight w:val="none"/>
              </w:rPr>
              <w:t>第一档：技术方案和</w:t>
            </w:r>
            <w:r>
              <w:rPr>
                <w:rFonts w:hint="eastAsia" w:ascii="宋体" w:hAnsi="宋体" w:cs="宋体"/>
                <w:color w:val="auto"/>
                <w:szCs w:val="21"/>
                <w:highlight w:val="none"/>
              </w:rPr>
              <w:t>质量保证</w:t>
            </w:r>
            <w:r>
              <w:rPr>
                <w:rFonts w:hint="eastAsia" w:ascii="宋体" w:hAnsi="宋体" w:cs="宋体"/>
                <w:color w:val="auto"/>
                <w:highlight w:val="none"/>
              </w:rPr>
              <w:t>措施可行性强的、科学合理的得6-8分；</w:t>
            </w:r>
          </w:p>
          <w:p>
            <w:pPr>
              <w:adjustRightInd w:val="0"/>
              <w:snapToGrid w:val="0"/>
              <w:rPr>
                <w:rFonts w:ascii="宋体" w:hAnsi="宋体" w:cs="宋体"/>
                <w:color w:val="auto"/>
                <w:highlight w:val="none"/>
              </w:rPr>
            </w:pPr>
            <w:r>
              <w:rPr>
                <w:rFonts w:hint="eastAsia" w:ascii="宋体" w:hAnsi="宋体" w:cs="宋体"/>
                <w:color w:val="auto"/>
                <w:highlight w:val="none"/>
              </w:rPr>
              <w:t>第二档：技术方案和</w:t>
            </w:r>
            <w:r>
              <w:rPr>
                <w:rFonts w:hint="eastAsia" w:ascii="宋体" w:hAnsi="宋体" w:cs="宋体"/>
                <w:color w:val="auto"/>
                <w:szCs w:val="21"/>
                <w:highlight w:val="none"/>
              </w:rPr>
              <w:t>质量保证</w:t>
            </w:r>
            <w:r>
              <w:rPr>
                <w:rFonts w:hint="eastAsia" w:ascii="宋体" w:hAnsi="宋体" w:cs="宋体"/>
                <w:color w:val="auto"/>
                <w:highlight w:val="none"/>
              </w:rPr>
              <w:t>措施可行性较强的、较科学合理的得3.9-5.9分；</w:t>
            </w:r>
          </w:p>
          <w:p>
            <w:pPr>
              <w:adjustRightInd w:val="0"/>
              <w:snapToGrid w:val="0"/>
              <w:rPr>
                <w:rFonts w:ascii="宋体" w:hAnsi="宋体" w:cs="宋体"/>
                <w:color w:val="auto"/>
                <w:highlight w:val="none"/>
              </w:rPr>
            </w:pPr>
            <w:r>
              <w:rPr>
                <w:rFonts w:hint="eastAsia" w:ascii="宋体" w:hAnsi="宋体" w:cs="宋体"/>
                <w:color w:val="auto"/>
                <w:highlight w:val="none"/>
              </w:rPr>
              <w:t>第三档：技术方案和</w:t>
            </w:r>
            <w:r>
              <w:rPr>
                <w:rFonts w:hint="eastAsia" w:ascii="宋体" w:hAnsi="宋体" w:cs="宋体"/>
                <w:color w:val="auto"/>
                <w:szCs w:val="21"/>
                <w:highlight w:val="none"/>
              </w:rPr>
              <w:t>质量保证</w:t>
            </w:r>
            <w:r>
              <w:rPr>
                <w:rFonts w:hint="eastAsia" w:ascii="宋体" w:hAnsi="宋体" w:cs="宋体"/>
                <w:color w:val="auto"/>
                <w:highlight w:val="none"/>
              </w:rPr>
              <w:t>措施可行性低的得1.8-3.8分。</w:t>
            </w:r>
          </w:p>
          <w:p>
            <w:pPr>
              <w:adjustRightInd w:val="0"/>
              <w:snapToGrid w:val="0"/>
              <w:rPr>
                <w:rFonts w:ascii="宋体" w:hAnsi="宋体" w:cs="宋体"/>
                <w:b/>
                <w:color w:val="auto"/>
                <w:szCs w:val="21"/>
                <w:highlight w:val="none"/>
              </w:rPr>
            </w:pPr>
            <w:r>
              <w:rPr>
                <w:rFonts w:hint="eastAsia" w:ascii="宋体" w:hAnsi="宋体" w:cs="宋体"/>
                <w:color w:val="auto"/>
                <w:highlight w:val="none"/>
              </w:rPr>
              <w:t>未提供该项内容不得分。</w:t>
            </w:r>
            <w:bookmarkEnd w:id="138"/>
            <w:bookmarkEnd w:id="139"/>
          </w:p>
        </w:tc>
        <w:tc>
          <w:tcPr>
            <w:tcW w:w="72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0-8</w:t>
            </w:r>
          </w:p>
        </w:tc>
      </w:tr>
      <w:bookmarkEnd w:id="137"/>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540" w:hRule="atLeast"/>
          <w:jc w:val="center"/>
        </w:trPr>
        <w:tc>
          <w:tcPr>
            <w:tcW w:w="1070" w:type="dxa"/>
            <w:tcBorders>
              <w:bottom w:val="single" w:color="auto" w:sz="4" w:space="0"/>
            </w:tcBorders>
            <w:vAlign w:val="center"/>
          </w:tcPr>
          <w:p>
            <w:pPr>
              <w:adjustRightInd w:val="0"/>
              <w:snapToGrid w:val="0"/>
              <w:jc w:val="center"/>
              <w:rPr>
                <w:rFonts w:ascii="宋体" w:hAnsi="宋体" w:cs="宋体"/>
                <w:b/>
                <w:bCs/>
                <w:color w:val="auto"/>
                <w:szCs w:val="21"/>
                <w:highlight w:val="none"/>
              </w:rPr>
            </w:pPr>
            <w:bookmarkStart w:id="140" w:name="_Hlk199948118"/>
            <w:r>
              <w:rPr>
                <w:rFonts w:hint="eastAsia" w:ascii="宋体" w:hAnsi="宋体" w:cs="宋体"/>
                <w:color w:val="auto"/>
                <w:szCs w:val="21"/>
                <w:highlight w:val="none"/>
              </w:rPr>
              <w:t>安全文明施工保证措施</w:t>
            </w:r>
          </w:p>
        </w:tc>
        <w:tc>
          <w:tcPr>
            <w:tcW w:w="8238" w:type="dxa"/>
            <w:vAlign w:val="center"/>
          </w:tcPr>
          <w:p>
            <w:pPr>
              <w:adjustRightInd w:val="0"/>
              <w:snapToGrid w:val="0"/>
              <w:rPr>
                <w:rFonts w:ascii="宋体" w:hAnsi="宋体" w:cs="宋体"/>
                <w:b/>
                <w:color w:val="auto"/>
                <w:szCs w:val="21"/>
                <w:highlight w:val="none"/>
              </w:rPr>
            </w:pPr>
            <w:r>
              <w:rPr>
                <w:rFonts w:hint="eastAsia" w:ascii="宋体" w:hAnsi="宋体" w:cs="宋体"/>
                <w:b/>
                <w:color w:val="auto"/>
                <w:szCs w:val="21"/>
                <w:highlight w:val="none"/>
              </w:rPr>
              <w:t>主观分：</w:t>
            </w:r>
          </w:p>
          <w:p>
            <w:pPr>
              <w:adjustRightInd w:val="0"/>
              <w:snapToGrid w:val="0"/>
              <w:rPr>
                <w:rFonts w:ascii="宋体" w:hAnsi="宋体" w:cs="宋体"/>
                <w:color w:val="auto"/>
                <w:highlight w:val="none"/>
              </w:rPr>
            </w:pPr>
            <w:r>
              <w:rPr>
                <w:rFonts w:hint="eastAsia" w:ascii="宋体" w:hAnsi="宋体" w:cs="宋体"/>
                <w:color w:val="auto"/>
                <w:highlight w:val="none"/>
              </w:rPr>
              <w:t>根据供应商提供的安全文明施工方案和保证措施是否具有针对性和科学性，分三档打分。</w:t>
            </w:r>
          </w:p>
          <w:p>
            <w:pPr>
              <w:adjustRightInd w:val="0"/>
              <w:snapToGrid w:val="0"/>
              <w:rPr>
                <w:rFonts w:ascii="宋体" w:hAnsi="宋体" w:cs="宋体"/>
                <w:color w:val="auto"/>
                <w:highlight w:val="none"/>
              </w:rPr>
            </w:pPr>
            <w:bookmarkStart w:id="141" w:name="OLE_LINK74"/>
            <w:bookmarkStart w:id="142" w:name="OLE_LINK75"/>
            <w:r>
              <w:rPr>
                <w:rFonts w:hint="eastAsia" w:ascii="宋体" w:hAnsi="宋体" w:cs="宋体"/>
                <w:color w:val="auto"/>
                <w:highlight w:val="none"/>
              </w:rPr>
              <w:t>第一档：安全文明施工方案和</w:t>
            </w:r>
            <w:r>
              <w:rPr>
                <w:rFonts w:hint="eastAsia" w:ascii="宋体" w:hAnsi="宋体" w:cs="宋体"/>
                <w:color w:val="auto"/>
                <w:szCs w:val="21"/>
                <w:highlight w:val="none"/>
              </w:rPr>
              <w:t>保证</w:t>
            </w:r>
            <w:r>
              <w:rPr>
                <w:rFonts w:hint="eastAsia" w:ascii="宋体" w:hAnsi="宋体" w:cs="宋体"/>
                <w:color w:val="auto"/>
                <w:highlight w:val="none"/>
              </w:rPr>
              <w:t>措施可行性强的、科学合理的得6-8分；</w:t>
            </w:r>
          </w:p>
          <w:p>
            <w:pPr>
              <w:adjustRightInd w:val="0"/>
              <w:snapToGrid w:val="0"/>
              <w:rPr>
                <w:rFonts w:ascii="宋体" w:hAnsi="宋体" w:cs="宋体"/>
                <w:color w:val="auto"/>
                <w:highlight w:val="none"/>
              </w:rPr>
            </w:pPr>
            <w:r>
              <w:rPr>
                <w:rFonts w:hint="eastAsia" w:ascii="宋体" w:hAnsi="宋体" w:cs="宋体"/>
                <w:color w:val="auto"/>
                <w:highlight w:val="none"/>
              </w:rPr>
              <w:t>第二档：安全文明施工方案和</w:t>
            </w:r>
            <w:r>
              <w:rPr>
                <w:rFonts w:hint="eastAsia" w:ascii="宋体" w:hAnsi="宋体" w:cs="宋体"/>
                <w:color w:val="auto"/>
                <w:szCs w:val="21"/>
                <w:highlight w:val="none"/>
              </w:rPr>
              <w:t>保证</w:t>
            </w:r>
            <w:r>
              <w:rPr>
                <w:rFonts w:hint="eastAsia" w:ascii="宋体" w:hAnsi="宋体" w:cs="宋体"/>
                <w:color w:val="auto"/>
                <w:highlight w:val="none"/>
              </w:rPr>
              <w:t>措施可行性较强的、较科学合理的得3.9-5.9分；</w:t>
            </w:r>
          </w:p>
          <w:p>
            <w:pPr>
              <w:adjustRightInd w:val="0"/>
              <w:snapToGrid w:val="0"/>
              <w:rPr>
                <w:rFonts w:ascii="宋体" w:hAnsi="宋体" w:cs="宋体"/>
                <w:color w:val="auto"/>
                <w:highlight w:val="none"/>
              </w:rPr>
            </w:pPr>
            <w:r>
              <w:rPr>
                <w:rFonts w:hint="eastAsia" w:ascii="宋体" w:hAnsi="宋体" w:cs="宋体"/>
                <w:color w:val="auto"/>
                <w:highlight w:val="none"/>
              </w:rPr>
              <w:t>第三档：安全文明施工方案和</w:t>
            </w:r>
            <w:r>
              <w:rPr>
                <w:rFonts w:hint="eastAsia" w:ascii="宋体" w:hAnsi="宋体" w:cs="宋体"/>
                <w:color w:val="auto"/>
                <w:szCs w:val="21"/>
                <w:highlight w:val="none"/>
              </w:rPr>
              <w:t>保证</w:t>
            </w:r>
            <w:r>
              <w:rPr>
                <w:rFonts w:hint="eastAsia" w:ascii="宋体" w:hAnsi="宋体" w:cs="宋体"/>
                <w:color w:val="auto"/>
                <w:highlight w:val="none"/>
              </w:rPr>
              <w:t>措施可行性低的得1.8-3.8分。</w:t>
            </w:r>
          </w:p>
          <w:bookmarkEnd w:id="141"/>
          <w:bookmarkEnd w:id="142"/>
          <w:p>
            <w:pPr>
              <w:adjustRightInd w:val="0"/>
              <w:snapToGrid w:val="0"/>
              <w:rPr>
                <w:rFonts w:ascii="宋体" w:hAnsi="宋体" w:cs="宋体"/>
                <w:color w:val="auto"/>
                <w:kern w:val="0"/>
                <w:szCs w:val="21"/>
                <w:highlight w:val="none"/>
              </w:rPr>
            </w:pPr>
            <w:r>
              <w:rPr>
                <w:rFonts w:hint="eastAsia" w:ascii="宋体" w:hAnsi="宋体" w:cs="宋体"/>
                <w:color w:val="auto"/>
                <w:highlight w:val="none"/>
              </w:rPr>
              <w:t>未提供该项内容不得分。</w:t>
            </w:r>
          </w:p>
        </w:tc>
        <w:tc>
          <w:tcPr>
            <w:tcW w:w="72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0-8</w:t>
            </w:r>
          </w:p>
        </w:tc>
      </w:tr>
      <w:bookmarkEnd w:id="140"/>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1" w:hRule="atLeast"/>
          <w:jc w:val="center"/>
        </w:trPr>
        <w:tc>
          <w:tcPr>
            <w:tcW w:w="1070" w:type="dxa"/>
            <w:vAlign w:val="center"/>
          </w:tcPr>
          <w:p>
            <w:pPr>
              <w:adjustRightInd w:val="0"/>
              <w:snapToGrid w:val="0"/>
              <w:jc w:val="center"/>
              <w:rPr>
                <w:rFonts w:ascii="宋体" w:hAnsi="宋体" w:cs="宋体"/>
                <w:b/>
                <w:bCs/>
                <w:color w:val="auto"/>
                <w:szCs w:val="21"/>
                <w:highlight w:val="none"/>
              </w:rPr>
            </w:pPr>
            <w:bookmarkStart w:id="143" w:name="_Hlk199948145"/>
            <w:r>
              <w:rPr>
                <w:rFonts w:hint="eastAsia" w:ascii="宋体" w:hAnsi="宋体" w:cs="宋体"/>
                <w:color w:val="auto"/>
                <w:szCs w:val="21"/>
                <w:highlight w:val="none"/>
              </w:rPr>
              <w:t>质量保修期响应时间的承诺</w:t>
            </w:r>
          </w:p>
        </w:tc>
        <w:tc>
          <w:tcPr>
            <w:tcW w:w="8238" w:type="dxa"/>
            <w:vAlign w:val="center"/>
          </w:tcPr>
          <w:p>
            <w:pPr>
              <w:adjustRightInd w:val="0"/>
              <w:snapToGrid w:val="0"/>
              <w:rPr>
                <w:rFonts w:ascii="宋体" w:hAnsi="宋体" w:cs="宋体"/>
                <w:b/>
                <w:bCs/>
                <w:color w:val="auto"/>
                <w:szCs w:val="21"/>
                <w:highlight w:val="none"/>
              </w:rPr>
            </w:pPr>
            <w:r>
              <w:rPr>
                <w:rFonts w:hint="eastAsia" w:ascii="宋体" w:hAnsi="宋体" w:cs="宋体"/>
                <w:b/>
                <w:bCs/>
                <w:color w:val="auto"/>
                <w:szCs w:val="21"/>
                <w:highlight w:val="none"/>
              </w:rPr>
              <w:t>主观分：</w:t>
            </w:r>
          </w:p>
          <w:p>
            <w:pPr>
              <w:adjustRightInd w:val="0"/>
              <w:snapToGrid w:val="0"/>
              <w:rPr>
                <w:rFonts w:ascii="宋体" w:hAnsi="宋体" w:cs="宋体"/>
                <w:color w:val="auto"/>
                <w:szCs w:val="21"/>
                <w:highlight w:val="none"/>
              </w:rPr>
            </w:pPr>
            <w:r>
              <w:rPr>
                <w:rFonts w:hint="eastAsia" w:ascii="宋体" w:hAnsi="宋体" w:cs="宋体"/>
                <w:color w:val="auto"/>
                <w:szCs w:val="21"/>
                <w:highlight w:val="none"/>
              </w:rPr>
              <w:t>根据供应商拟定的保修服务方案，提供后期免费维修承诺，根据维修方案是否及时、完整合理、长效可行，分三档打分。</w:t>
            </w:r>
          </w:p>
          <w:p>
            <w:pPr>
              <w:adjustRightInd w:val="0"/>
              <w:snapToGrid w:val="0"/>
              <w:rPr>
                <w:rFonts w:ascii="宋体" w:hAnsi="宋体" w:cs="宋体"/>
                <w:color w:val="auto"/>
                <w:szCs w:val="21"/>
                <w:highlight w:val="none"/>
              </w:rPr>
            </w:pPr>
            <w:r>
              <w:rPr>
                <w:rFonts w:hint="eastAsia" w:ascii="宋体" w:hAnsi="宋体" w:cs="宋体"/>
                <w:color w:val="auto"/>
                <w:szCs w:val="21"/>
                <w:highlight w:val="none"/>
              </w:rPr>
              <w:t>第一档：维修响应时间≤2小时，质保服务方案长效可行的得</w:t>
            </w:r>
            <w:r>
              <w:rPr>
                <w:rFonts w:hint="eastAsia" w:ascii="宋体" w:hAnsi="宋体" w:cs="宋体"/>
                <w:color w:val="auto"/>
                <w:highlight w:val="none"/>
              </w:rPr>
              <w:t>6-9</w:t>
            </w:r>
            <w:r>
              <w:rPr>
                <w:rFonts w:hint="eastAsia" w:ascii="宋体" w:hAnsi="宋体" w:cs="宋体"/>
                <w:color w:val="auto"/>
                <w:szCs w:val="21"/>
                <w:highlight w:val="none"/>
              </w:rPr>
              <w:t>分；</w:t>
            </w:r>
          </w:p>
          <w:p>
            <w:pPr>
              <w:adjustRightInd w:val="0"/>
              <w:snapToGrid w:val="0"/>
              <w:rPr>
                <w:rFonts w:ascii="宋体" w:hAnsi="宋体" w:cs="宋体"/>
                <w:color w:val="auto"/>
                <w:szCs w:val="21"/>
                <w:highlight w:val="none"/>
              </w:rPr>
            </w:pPr>
            <w:r>
              <w:rPr>
                <w:rFonts w:hint="eastAsia" w:ascii="宋体" w:hAnsi="宋体" w:cs="宋体"/>
                <w:color w:val="auto"/>
                <w:szCs w:val="21"/>
                <w:highlight w:val="none"/>
              </w:rPr>
              <w:t>第二档：2小时＜维修响应时间≤8小时，质保服务方案合理有可操作性的得</w:t>
            </w:r>
            <w:r>
              <w:rPr>
                <w:rFonts w:hint="eastAsia" w:ascii="宋体" w:hAnsi="宋体" w:cs="宋体"/>
                <w:color w:val="auto"/>
                <w:highlight w:val="none"/>
              </w:rPr>
              <w:t>3.9-5.9</w:t>
            </w:r>
            <w:r>
              <w:rPr>
                <w:rFonts w:hint="eastAsia" w:ascii="宋体" w:hAnsi="宋体" w:cs="宋体"/>
                <w:color w:val="auto"/>
                <w:szCs w:val="21"/>
                <w:highlight w:val="none"/>
              </w:rPr>
              <w:t>分；</w:t>
            </w:r>
          </w:p>
          <w:p>
            <w:pPr>
              <w:adjustRightInd w:val="0"/>
              <w:snapToGrid w:val="0"/>
              <w:rPr>
                <w:rFonts w:ascii="宋体" w:hAnsi="宋体" w:cs="宋体"/>
                <w:color w:val="auto"/>
                <w:szCs w:val="21"/>
                <w:highlight w:val="none"/>
              </w:rPr>
            </w:pPr>
            <w:r>
              <w:rPr>
                <w:rFonts w:hint="eastAsia" w:ascii="宋体" w:hAnsi="宋体" w:cs="宋体"/>
                <w:color w:val="auto"/>
                <w:szCs w:val="21"/>
                <w:highlight w:val="none"/>
              </w:rPr>
              <w:t>第三档：维修时间＞8小时，质保服务方案操作性较低且无实质性承诺的得</w:t>
            </w:r>
            <w:r>
              <w:rPr>
                <w:rFonts w:hint="eastAsia" w:ascii="宋体" w:hAnsi="宋体" w:cs="宋体"/>
                <w:color w:val="auto"/>
                <w:highlight w:val="none"/>
              </w:rPr>
              <w:t>1.8-3.8</w:t>
            </w:r>
            <w:r>
              <w:rPr>
                <w:rFonts w:hint="eastAsia" w:ascii="宋体" w:hAnsi="宋体" w:cs="宋体"/>
                <w:color w:val="auto"/>
                <w:szCs w:val="21"/>
                <w:highlight w:val="none"/>
              </w:rPr>
              <w:t>分；</w:t>
            </w:r>
          </w:p>
          <w:p>
            <w:pPr>
              <w:adjustRightInd w:val="0"/>
              <w:snapToGrid w:val="0"/>
              <w:rPr>
                <w:rFonts w:ascii="宋体" w:hAnsi="宋体" w:cs="宋体"/>
                <w:color w:val="auto"/>
                <w:szCs w:val="21"/>
                <w:highlight w:val="none"/>
              </w:rPr>
            </w:pPr>
            <w:r>
              <w:rPr>
                <w:rFonts w:hint="eastAsia" w:ascii="宋体" w:hAnsi="宋体" w:cs="宋体"/>
                <w:bCs/>
                <w:color w:val="auto"/>
                <w:szCs w:val="21"/>
                <w:highlight w:val="none"/>
              </w:rPr>
              <w:t>未提供该项内容不得分。</w:t>
            </w:r>
          </w:p>
        </w:tc>
        <w:tc>
          <w:tcPr>
            <w:tcW w:w="722" w:type="dxa"/>
            <w:vAlign w:val="center"/>
          </w:tcPr>
          <w:p>
            <w:pPr>
              <w:widowControl/>
              <w:jc w:val="center"/>
              <w:rPr>
                <w:rFonts w:ascii="宋体" w:hAnsi="宋体" w:cs="宋体"/>
                <w:color w:val="auto"/>
                <w:szCs w:val="21"/>
                <w:highlight w:val="none"/>
              </w:rPr>
            </w:pPr>
            <w:r>
              <w:rPr>
                <w:rFonts w:hint="eastAsia" w:ascii="宋体" w:hAnsi="宋体" w:cs="宋体"/>
                <w:color w:val="auto"/>
                <w:szCs w:val="21"/>
                <w:highlight w:val="none"/>
              </w:rPr>
              <w:t>0-9</w:t>
            </w:r>
          </w:p>
        </w:tc>
      </w:tr>
      <w:bookmarkEnd w:id="122"/>
      <w:bookmarkEnd w:id="143"/>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1" w:hRule="atLeast"/>
          <w:jc w:val="center"/>
        </w:trPr>
        <w:tc>
          <w:tcPr>
            <w:tcW w:w="1070" w:type="dxa"/>
            <w:vAlign w:val="center"/>
          </w:tcPr>
          <w:p>
            <w:pPr>
              <w:widowControl/>
              <w:spacing w:line="360" w:lineRule="auto"/>
              <w:jc w:val="left"/>
              <w:rPr>
                <w:rFonts w:ascii="宋体" w:hAnsi="宋体" w:cs="宋体"/>
                <w:b/>
                <w:bCs/>
                <w:color w:val="auto"/>
                <w:szCs w:val="21"/>
                <w:highlight w:val="none"/>
              </w:rPr>
            </w:pPr>
            <w:r>
              <w:rPr>
                <w:rFonts w:hint="eastAsia" w:ascii="宋体" w:hAnsi="宋体" w:cs="宋体"/>
                <w:b/>
                <w:bCs/>
                <w:color w:val="auto"/>
                <w:szCs w:val="21"/>
                <w:highlight w:val="none"/>
              </w:rPr>
              <w:t>价格</w:t>
            </w:r>
          </w:p>
        </w:tc>
        <w:tc>
          <w:tcPr>
            <w:tcW w:w="8238" w:type="dxa"/>
            <w:vAlign w:val="center"/>
          </w:tcPr>
          <w:p>
            <w:pPr>
              <w:widowControl/>
              <w:spacing w:line="23" w:lineRule="atLeast"/>
              <w:jc w:val="left"/>
              <w:rPr>
                <w:rFonts w:ascii="宋体" w:hAnsi="宋体" w:cs="宋体"/>
                <w:color w:val="auto"/>
                <w:szCs w:val="21"/>
                <w:highlight w:val="none"/>
              </w:rPr>
            </w:pPr>
            <w:r>
              <w:rPr>
                <w:rFonts w:hint="eastAsia" w:ascii="宋体" w:hAnsi="宋体" w:cs="宋体"/>
                <w:color w:val="auto"/>
                <w:szCs w:val="21"/>
                <w:highlight w:val="none"/>
              </w:rPr>
              <w:t>以响应合格供应商有效报价中的最终报价最低价为基准价，基准价为30分。报价得分＝（评标基准价/最终报价）×30%×100（小数点后保留2位小数）。</w:t>
            </w:r>
          </w:p>
        </w:tc>
        <w:tc>
          <w:tcPr>
            <w:tcW w:w="722" w:type="dxa"/>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0-30</w:t>
            </w:r>
          </w:p>
        </w:tc>
      </w:tr>
      <w:bookmarkEnd w:id="118"/>
      <w:bookmarkEnd w:id="119"/>
      <w:bookmarkEnd w:id="120"/>
    </w:tbl>
    <w:p>
      <w:pP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注：合同、证书、报告及其他相关证明材料，将原件扫描上传至响应文件，并加盖电子印章。</w:t>
      </w:r>
    </w:p>
    <w:p>
      <w:pPr>
        <w:spacing w:before="120" w:beforeLines="50" w:line="360" w:lineRule="auto"/>
        <w:ind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2.最后报价</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（1）磋商文件能够详细列明采购标的的技术、服务要求的，磋商结束后，磋商小组将要求所有实质性响应的供应商在规定时间内提交最后报价，最后报价是供应商响应文件的有效组成部分。</w:t>
      </w:r>
    </w:p>
    <w:p>
      <w:pPr>
        <w:pStyle w:val="37"/>
        <w:spacing w:line="360" w:lineRule="auto"/>
        <w:ind w:firstLine="480" w:firstLineChars="200"/>
        <w:jc w:val="both"/>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磋商文件不能详细列明采购标的的技术、服务要求的，需经磋商由供应商提供最终设计方案或解决方案的，磋商结束后，磋商小组按照少数服从多数的原则投票推荐3家以上供应商的设计方案或解决方案，并要求其在规定时间内提交最后报价。</w:t>
      </w:r>
    </w:p>
    <w:p>
      <w:pPr>
        <w:pStyle w:val="15"/>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3.评审要求</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(1)磋商小组应当按照磋商文件中规定的评标方法和标准，对符合性审查合格的响应文件的商务部分和技术部分进行综合比较与评价，其中</w:t>
      </w:r>
      <w:r>
        <w:rPr>
          <w:rFonts w:hint="eastAsia" w:asciiTheme="minorEastAsia" w:hAnsiTheme="minorEastAsia" w:eastAsiaTheme="minorEastAsia"/>
          <w:bCs/>
          <w:color w:val="auto"/>
          <w:sz w:val="24"/>
          <w:highlight w:val="none"/>
          <w:lang w:val="zh-CN"/>
        </w:rPr>
        <w:t>客观</w:t>
      </w:r>
      <w:r>
        <w:rPr>
          <w:rFonts w:hint="eastAsia" w:asciiTheme="minorEastAsia" w:hAnsiTheme="minorEastAsia" w:eastAsiaTheme="minorEastAsia"/>
          <w:bCs/>
          <w:color w:val="auto"/>
          <w:sz w:val="24"/>
          <w:highlight w:val="none"/>
        </w:rPr>
        <w:t>评分项的分值</w:t>
      </w:r>
      <w:r>
        <w:rPr>
          <w:rFonts w:hint="eastAsia" w:asciiTheme="minorEastAsia" w:hAnsiTheme="minorEastAsia" w:eastAsiaTheme="minorEastAsia"/>
          <w:bCs/>
          <w:color w:val="auto"/>
          <w:sz w:val="24"/>
          <w:highlight w:val="none"/>
          <w:lang w:val="zh-CN"/>
        </w:rPr>
        <w:t>应当一致。</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（2）对于磋商响应文件中含义不明确、同类问题表述不一致或者有明显文字和计算错误的内容，磋商小组应当要求供应商作出必要的澄清、说明或者补正。</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（3）供应商的澄清（说明或者补正）采用书面形式，并加盖公章（电子印章）或者由法定代表人或授权代表签字，且不得超出磋商响应文件的范围或者改变磋商响应文件的实质性内容。</w:t>
      </w:r>
    </w:p>
    <w:p>
      <w:pPr>
        <w:spacing w:line="360" w:lineRule="auto"/>
        <w:ind w:firstLine="482"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（四）结果汇总及排序</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经磋商确定最终采购需求和提交最后报价的供应商后，由磋商小组采用综合评分法对提交最后报价的供应商的响应文件和最后报价进行综合比较与评价。根据综合评分情况，按评审得分由高到低顺序推荐3名以上成交候选供应商。评审得分相同的，按照最后</w:t>
      </w:r>
      <w:r>
        <w:rPr>
          <w:rFonts w:hint="eastAsia" w:cs="宋体" w:asciiTheme="minorEastAsia" w:hAnsiTheme="minorEastAsia" w:eastAsiaTheme="minorEastAsia"/>
          <w:color w:val="auto"/>
          <w:sz w:val="24"/>
          <w:highlight w:val="none"/>
        </w:rPr>
        <w:t>报价</w:t>
      </w:r>
      <w:r>
        <w:rPr>
          <w:rFonts w:hint="eastAsia" w:cs="宋体" w:asciiTheme="minorEastAsia" w:hAnsiTheme="minorEastAsia" w:eastAsiaTheme="minorEastAsia"/>
          <w:color w:val="auto"/>
          <w:sz w:val="24"/>
          <w:highlight w:val="none"/>
          <w:lang w:val="en-US" w:eastAsia="zh-CN"/>
        </w:rPr>
        <w:t>得分</w:t>
      </w:r>
      <w:r>
        <w:rPr>
          <w:rFonts w:hint="eastAsia" w:cs="宋体" w:asciiTheme="minorEastAsia" w:hAnsiTheme="minorEastAsia" w:eastAsiaTheme="minorEastAsia"/>
          <w:color w:val="auto"/>
          <w:sz w:val="24"/>
          <w:highlight w:val="none"/>
        </w:rPr>
        <w:t>由高到低的顺序推荐。评审得分且最后响应报价相同的，按照“技术方案和质量保证措施”分数由高到低的顺序推荐。</w:t>
      </w:r>
    </w:p>
    <w:p>
      <w:pPr>
        <w:spacing w:line="360" w:lineRule="auto"/>
        <w:ind w:firstLine="482"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（五）编写评审报告</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磋商小组根据全体评审人员签字的原始记录和得分情况编写评审报告。</w:t>
      </w:r>
    </w:p>
    <w:p>
      <w:pPr>
        <w:pStyle w:val="37"/>
        <w:spacing w:line="360" w:lineRule="auto"/>
        <w:ind w:firstLine="200"/>
        <w:jc w:val="both"/>
        <w:rPr>
          <w:rFonts w:asciiTheme="minorEastAsia" w:hAnsiTheme="minorEastAsia" w:eastAsiaTheme="minorEastAsia"/>
          <w:color w:val="auto"/>
          <w:sz w:val="24"/>
          <w:szCs w:val="24"/>
          <w:highlight w:val="none"/>
        </w:rPr>
      </w:pPr>
    </w:p>
    <w:p>
      <w:pPr>
        <w:widowControl/>
        <w:jc w:val="left"/>
        <w:rPr>
          <w:rFonts w:asciiTheme="minorEastAsia" w:hAnsiTheme="minorEastAsia" w:eastAsiaTheme="minorEastAsia"/>
          <w:b/>
          <w:color w:val="auto"/>
          <w:sz w:val="36"/>
          <w:szCs w:val="36"/>
          <w:highlight w:val="none"/>
        </w:rPr>
      </w:pPr>
      <w:bookmarkStart w:id="144" w:name="_Toc101280596"/>
      <w:r>
        <w:rPr>
          <w:rFonts w:asciiTheme="minorEastAsia" w:hAnsiTheme="minorEastAsia" w:eastAsiaTheme="minorEastAsia"/>
          <w:b/>
          <w:color w:val="auto"/>
          <w:sz w:val="36"/>
          <w:szCs w:val="36"/>
          <w:highlight w:val="none"/>
        </w:rPr>
        <w:br w:type="page"/>
      </w:r>
    </w:p>
    <w:p>
      <w:pPr>
        <w:spacing w:line="360" w:lineRule="auto"/>
        <w:jc w:val="center"/>
        <w:outlineLvl w:val="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36"/>
          <w:szCs w:val="36"/>
          <w:highlight w:val="none"/>
        </w:rPr>
        <w:t>第五章  拟签订的合同文本</w:t>
      </w:r>
      <w:bookmarkEnd w:id="144"/>
    </w:p>
    <w:p>
      <w:pPr>
        <w:spacing w:line="420" w:lineRule="exact"/>
        <w:rPr>
          <w:rFonts w:ascii="宋体" w:hAnsi="宋体"/>
          <w:color w:val="auto"/>
          <w:sz w:val="24"/>
          <w:highlight w:val="none"/>
        </w:rPr>
      </w:pPr>
      <w:bookmarkStart w:id="145" w:name="_Toc5481_WPSOffice_Level1"/>
      <w:r>
        <w:rPr>
          <w:rFonts w:hint="eastAsia" w:ascii="宋体" w:hAnsi="宋体"/>
          <w:color w:val="auto"/>
          <w:sz w:val="24"/>
          <w:highlight w:val="none"/>
        </w:rPr>
        <w:t>合同文本采用《建设工程施工合同（示范文本）》（GF-2017-0201）。</w:t>
      </w:r>
    </w:p>
    <w:p>
      <w:pPr>
        <w:spacing w:line="420" w:lineRule="exact"/>
        <w:rPr>
          <w:rFonts w:ascii="宋体" w:hAnsi="宋体"/>
          <w:color w:val="auto"/>
          <w:sz w:val="24"/>
          <w:highlight w:val="none"/>
        </w:rPr>
      </w:pPr>
      <w:r>
        <w:rPr>
          <w:rFonts w:hint="eastAsia" w:ascii="宋体" w:hAnsi="宋体"/>
          <w:color w:val="auto"/>
          <w:sz w:val="24"/>
          <w:highlight w:val="none"/>
        </w:rPr>
        <w:t>合同通用条款采用《建设工程施工合同（示范文本）》的通用条款（GF-2017-0201）。</w:t>
      </w:r>
    </w:p>
    <w:p>
      <w:pPr>
        <w:spacing w:line="420" w:lineRule="exact"/>
        <w:rPr>
          <w:rFonts w:ascii="宋体" w:hAnsi="宋体"/>
          <w:color w:val="auto"/>
          <w:kern w:val="0"/>
          <w:sz w:val="24"/>
          <w:szCs w:val="21"/>
          <w:highlight w:val="none"/>
        </w:rPr>
      </w:pPr>
      <w:r>
        <w:rPr>
          <w:rFonts w:hint="eastAsia" w:ascii="宋体" w:hAnsi="宋体"/>
          <w:color w:val="auto"/>
          <w:sz w:val="24"/>
          <w:highlight w:val="none"/>
        </w:rPr>
        <w:t>合同专用条款中的主要条款将由采购人(发包人)与成交供应商(承包人)根据响应文件签订。</w:t>
      </w:r>
    </w:p>
    <w:p>
      <w:pPr>
        <w:pStyle w:val="79"/>
        <w:ind w:firstLine="640"/>
        <w:jc w:val="center"/>
        <w:rPr>
          <w:b/>
          <w:bCs/>
          <w:color w:val="auto"/>
          <w:sz w:val="32"/>
          <w:szCs w:val="32"/>
          <w:highlight w:val="none"/>
        </w:rPr>
      </w:pPr>
      <w:bookmarkStart w:id="146" w:name="_Toc14613"/>
      <w:bookmarkStart w:id="147" w:name="_Toc18424"/>
      <w:bookmarkStart w:id="148" w:name="_Toc394573945"/>
      <w:bookmarkStart w:id="149" w:name="_Toc437_WPSOffice_Level2"/>
      <w:bookmarkStart w:id="150" w:name="_Toc461025087"/>
      <w:bookmarkStart w:id="151" w:name="_Toc69749207"/>
      <w:bookmarkStart w:id="152" w:name="_Toc464545405"/>
      <w:bookmarkStart w:id="153" w:name="_Toc69749040"/>
      <w:bookmarkStart w:id="154" w:name="_Toc1255"/>
      <w:bookmarkStart w:id="155" w:name="_Toc68093034"/>
      <w:bookmarkStart w:id="156" w:name="_Toc228163249"/>
      <w:r>
        <w:rPr>
          <w:rFonts w:hint="eastAsia"/>
          <w:b/>
          <w:bCs/>
          <w:color w:val="auto"/>
          <w:sz w:val="32"/>
          <w:szCs w:val="32"/>
          <w:highlight w:val="none"/>
        </w:rPr>
        <w:t>第一部分　　合同协议书</w:t>
      </w:r>
      <w:bookmarkEnd w:id="146"/>
      <w:bookmarkEnd w:id="147"/>
      <w:bookmarkEnd w:id="148"/>
      <w:bookmarkEnd w:id="149"/>
      <w:bookmarkEnd w:id="150"/>
      <w:bookmarkEnd w:id="151"/>
      <w:bookmarkEnd w:id="152"/>
      <w:bookmarkEnd w:id="153"/>
      <w:bookmarkEnd w:id="154"/>
      <w:bookmarkEnd w:id="155"/>
    </w:p>
    <w:p>
      <w:pPr>
        <w:spacing w:line="360" w:lineRule="auto"/>
        <w:rPr>
          <w:rFonts w:eastAsia="仿宋_GB2312"/>
          <w:color w:val="auto"/>
          <w:sz w:val="24"/>
          <w:highlight w:val="none"/>
          <w:u w:val="single"/>
        </w:rPr>
      </w:pPr>
    </w:p>
    <w:bookmarkEnd w:id="156"/>
    <w:p>
      <w:pPr>
        <w:spacing w:line="360" w:lineRule="exact"/>
        <w:ind w:firstLine="420" w:firstLineChars="200"/>
        <w:rPr>
          <w:color w:val="auto"/>
          <w:szCs w:val="21"/>
          <w:highlight w:val="none"/>
          <w:u w:val="single"/>
        </w:rPr>
      </w:pPr>
      <w:bookmarkStart w:id="157" w:name="_Toc351203652"/>
      <w:r>
        <w:rPr>
          <w:rFonts w:hint="eastAsia"/>
          <w:color w:val="auto"/>
          <w:szCs w:val="21"/>
          <w:highlight w:val="none"/>
        </w:rPr>
        <w:t>发包人（全称）：</w:t>
      </w:r>
      <w:r>
        <w:rPr>
          <w:rFonts w:hint="eastAsia"/>
          <w:color w:val="auto"/>
          <w:szCs w:val="21"/>
          <w:highlight w:val="none"/>
          <w:u w:val="single"/>
        </w:rPr>
        <w:t xml:space="preserve"> 台州市第一中学 </w:t>
      </w:r>
    </w:p>
    <w:p>
      <w:pPr>
        <w:spacing w:line="360" w:lineRule="exact"/>
        <w:ind w:firstLine="420" w:firstLineChars="200"/>
        <w:rPr>
          <w:color w:val="auto"/>
          <w:szCs w:val="21"/>
          <w:highlight w:val="none"/>
          <w:u w:val="single"/>
        </w:rPr>
      </w:pPr>
      <w:r>
        <w:rPr>
          <w:rFonts w:hint="eastAsia"/>
          <w:color w:val="auto"/>
          <w:szCs w:val="21"/>
          <w:highlight w:val="none"/>
        </w:rPr>
        <w:t>承包人（全称）：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p>
    <w:p>
      <w:pPr>
        <w:spacing w:line="360" w:lineRule="exact"/>
        <w:ind w:firstLine="420" w:firstLineChars="200"/>
        <w:rPr>
          <w:color w:val="auto"/>
          <w:szCs w:val="21"/>
          <w:highlight w:val="none"/>
        </w:rPr>
      </w:pPr>
      <w:r>
        <w:rPr>
          <w:rFonts w:hint="eastAsia"/>
          <w:color w:val="auto"/>
          <w:szCs w:val="21"/>
          <w:highlight w:val="none"/>
        </w:rPr>
        <w:t>根据《中华人民共和国民法典》、《中华人民共和国建筑法》及有关法律规定，遵循平等、自愿、公平和诚实信用的原则，双方就</w:t>
      </w:r>
      <w:r>
        <w:rPr>
          <w:rFonts w:hint="eastAsia"/>
          <w:color w:val="auto"/>
          <w:szCs w:val="21"/>
          <w:highlight w:val="none"/>
          <w:u w:val="single"/>
        </w:rPr>
        <w:t>台州市第一中学食堂二楼备餐间、洗碗间和新疆班卫生间改造工程项目</w:t>
      </w:r>
      <w:r>
        <w:rPr>
          <w:rFonts w:hint="eastAsia"/>
          <w:color w:val="auto"/>
          <w:szCs w:val="21"/>
          <w:highlight w:val="none"/>
          <w:u w:val="single"/>
        </w:rPr>
        <w:t>（   ）</w:t>
      </w:r>
      <w:r>
        <w:rPr>
          <w:rFonts w:hint="eastAsia"/>
          <w:color w:val="auto"/>
          <w:szCs w:val="21"/>
          <w:highlight w:val="none"/>
        </w:rPr>
        <w:t>施工及有关事项协商一致，共同达成如下协议：</w:t>
      </w:r>
    </w:p>
    <w:p>
      <w:pPr>
        <w:spacing w:line="360" w:lineRule="exact"/>
        <w:ind w:firstLine="420" w:firstLineChars="200"/>
        <w:rPr>
          <w:color w:val="auto"/>
          <w:szCs w:val="21"/>
          <w:highlight w:val="none"/>
        </w:rPr>
      </w:pPr>
      <w:r>
        <w:rPr>
          <w:color w:val="auto"/>
          <w:szCs w:val="21"/>
          <w:highlight w:val="none"/>
        </w:rPr>
        <w:t xml:space="preserve"> </w:t>
      </w:r>
      <w:bookmarkStart w:id="158" w:name="_Toc351203481"/>
      <w:r>
        <w:rPr>
          <w:rFonts w:hint="eastAsia"/>
          <w:color w:val="auto"/>
          <w:szCs w:val="21"/>
          <w:highlight w:val="none"/>
        </w:rPr>
        <w:t>一、工程概况</w:t>
      </w:r>
      <w:bookmarkEnd w:id="158"/>
    </w:p>
    <w:p>
      <w:pPr>
        <w:spacing w:line="360" w:lineRule="exact"/>
        <w:ind w:firstLine="420" w:firstLineChars="200"/>
        <w:rPr>
          <w:color w:val="auto"/>
          <w:szCs w:val="21"/>
          <w:highlight w:val="none"/>
          <w:u w:val="single"/>
        </w:rPr>
      </w:pPr>
      <w:r>
        <w:rPr>
          <w:color w:val="auto"/>
          <w:szCs w:val="21"/>
          <w:highlight w:val="none"/>
        </w:rPr>
        <w:t>1.</w:t>
      </w:r>
      <w:r>
        <w:rPr>
          <w:rFonts w:hint="eastAsia"/>
          <w:color w:val="auto"/>
          <w:szCs w:val="21"/>
          <w:highlight w:val="none"/>
        </w:rPr>
        <w:t>工程名称：</w:t>
      </w:r>
      <w:r>
        <w:rPr>
          <w:rFonts w:hint="eastAsia"/>
          <w:color w:val="auto"/>
          <w:szCs w:val="21"/>
          <w:highlight w:val="none"/>
          <w:u w:val="single"/>
        </w:rPr>
        <w:t>台州市第一中学食堂二楼备餐间、洗碗间和新疆班卫生间改造工程项目</w:t>
      </w:r>
      <w:r>
        <w:rPr>
          <w:rFonts w:hint="eastAsia"/>
          <w:color w:val="auto"/>
          <w:szCs w:val="21"/>
          <w:highlight w:val="none"/>
          <w:u w:val="single"/>
        </w:rPr>
        <w:t>（   ）</w:t>
      </w:r>
      <w:r>
        <w:rPr>
          <w:rFonts w:hint="eastAsia"/>
          <w:color w:val="auto"/>
          <w:szCs w:val="21"/>
          <w:highlight w:val="none"/>
        </w:rPr>
        <w:t>。</w:t>
      </w:r>
    </w:p>
    <w:p>
      <w:pPr>
        <w:spacing w:line="360" w:lineRule="exact"/>
        <w:ind w:firstLine="420" w:firstLineChars="200"/>
        <w:rPr>
          <w:color w:val="auto"/>
          <w:szCs w:val="21"/>
          <w:highlight w:val="none"/>
        </w:rPr>
      </w:pPr>
      <w:r>
        <w:rPr>
          <w:color w:val="auto"/>
          <w:szCs w:val="21"/>
          <w:highlight w:val="none"/>
        </w:rPr>
        <w:t>2.</w:t>
      </w:r>
      <w:r>
        <w:rPr>
          <w:rFonts w:hint="eastAsia"/>
          <w:color w:val="auto"/>
          <w:szCs w:val="21"/>
          <w:highlight w:val="none"/>
        </w:rPr>
        <w:t>工程地点：</w:t>
      </w:r>
      <w:r>
        <w:rPr>
          <w:rFonts w:hint="eastAsia"/>
          <w:color w:val="auto"/>
          <w:szCs w:val="21"/>
          <w:highlight w:val="none"/>
          <w:u w:val="single"/>
        </w:rPr>
        <w:t>台州市第一中学内</w:t>
      </w:r>
      <w:r>
        <w:rPr>
          <w:rFonts w:hint="eastAsia"/>
          <w:color w:val="auto"/>
          <w:szCs w:val="21"/>
          <w:highlight w:val="none"/>
          <w:u w:val="single"/>
        </w:rPr>
        <w:t>（台州市第一中学新疆班内）。</w:t>
      </w:r>
    </w:p>
    <w:p>
      <w:pPr>
        <w:spacing w:line="360" w:lineRule="exact"/>
        <w:ind w:firstLine="420" w:firstLineChars="200"/>
        <w:rPr>
          <w:color w:val="auto"/>
          <w:szCs w:val="21"/>
          <w:highlight w:val="none"/>
        </w:rPr>
      </w:pPr>
      <w:r>
        <w:rPr>
          <w:color w:val="auto"/>
          <w:szCs w:val="21"/>
          <w:highlight w:val="none"/>
        </w:rPr>
        <w:t>3.</w:t>
      </w:r>
      <w:r>
        <w:rPr>
          <w:rFonts w:hint="eastAsia"/>
          <w:color w:val="auto"/>
          <w:szCs w:val="21"/>
          <w:highlight w:val="none"/>
        </w:rPr>
        <w:t>工程立项批准文号：</w:t>
      </w:r>
      <w:r>
        <w:rPr>
          <w:rFonts w:hint="eastAsia"/>
          <w:color w:val="auto"/>
          <w:szCs w:val="21"/>
          <w:highlight w:val="none"/>
          <w:u w:val="single"/>
        </w:rPr>
        <w:t xml:space="preserve">                   </w:t>
      </w:r>
      <w:r>
        <w:rPr>
          <w:rFonts w:hint="eastAsia"/>
          <w:color w:val="auto"/>
          <w:szCs w:val="21"/>
          <w:highlight w:val="none"/>
        </w:rPr>
        <w:t>。</w:t>
      </w:r>
    </w:p>
    <w:p>
      <w:pPr>
        <w:spacing w:line="360" w:lineRule="exact"/>
        <w:ind w:firstLine="420" w:firstLineChars="200"/>
        <w:rPr>
          <w:color w:val="auto"/>
          <w:szCs w:val="21"/>
          <w:highlight w:val="none"/>
        </w:rPr>
      </w:pPr>
      <w:r>
        <w:rPr>
          <w:color w:val="auto"/>
          <w:szCs w:val="21"/>
          <w:highlight w:val="none"/>
        </w:rPr>
        <w:t>4.</w:t>
      </w:r>
      <w:r>
        <w:rPr>
          <w:rFonts w:hint="eastAsia"/>
          <w:color w:val="auto"/>
          <w:szCs w:val="21"/>
          <w:highlight w:val="none"/>
        </w:rPr>
        <w:t>资金来源：</w:t>
      </w:r>
      <w:r>
        <w:rPr>
          <w:rFonts w:hint="eastAsia"/>
          <w:color w:val="auto"/>
          <w:szCs w:val="21"/>
          <w:highlight w:val="none"/>
          <w:u w:val="single"/>
        </w:rPr>
        <w:t>财政</w:t>
      </w:r>
      <w:r>
        <w:rPr>
          <w:rFonts w:hint="eastAsia"/>
          <w:color w:val="auto"/>
          <w:szCs w:val="21"/>
          <w:highlight w:val="none"/>
        </w:rPr>
        <w:t>。</w:t>
      </w:r>
    </w:p>
    <w:p>
      <w:pPr>
        <w:spacing w:line="360" w:lineRule="exact"/>
        <w:ind w:firstLine="420" w:firstLineChars="200"/>
        <w:rPr>
          <w:color w:val="auto"/>
          <w:szCs w:val="21"/>
          <w:highlight w:val="none"/>
          <w:u w:val="single"/>
          <w:shd w:val="clear" w:color="auto" w:fill="FFFF00"/>
        </w:rPr>
      </w:pPr>
      <w:r>
        <w:rPr>
          <w:color w:val="auto"/>
          <w:szCs w:val="21"/>
          <w:highlight w:val="none"/>
        </w:rPr>
        <w:t>5.</w:t>
      </w:r>
      <w:r>
        <w:rPr>
          <w:rFonts w:hint="eastAsia"/>
          <w:color w:val="auto"/>
          <w:szCs w:val="21"/>
          <w:highlight w:val="none"/>
        </w:rPr>
        <w:t>工程内容：</w:t>
      </w:r>
      <w:r>
        <w:rPr>
          <w:rFonts w:hint="eastAsia"/>
          <w:color w:val="auto"/>
          <w:szCs w:val="21"/>
          <w:highlight w:val="none"/>
          <w:u w:val="single"/>
        </w:rPr>
        <w:t>二楼食堂备餐间、洗碗间等改造，工程内容为拆除工程、室外隔油池、二层更衣室、备餐间、消洗间等改造及水电安装工程等</w:t>
      </w:r>
      <w:r>
        <w:rPr>
          <w:rFonts w:hint="eastAsia"/>
          <w:color w:val="auto"/>
          <w:szCs w:val="21"/>
          <w:highlight w:val="none"/>
          <w:u w:val="single"/>
        </w:rPr>
        <w:t>（新疆班卫生间改造，工程内容为新疆班卫生间装修改造、水电安装等）</w:t>
      </w:r>
      <w:r>
        <w:rPr>
          <w:rFonts w:hint="eastAsia"/>
          <w:color w:val="auto"/>
          <w:szCs w:val="21"/>
          <w:highlight w:val="none"/>
          <w:u w:val="single"/>
        </w:rPr>
        <w:t>。</w:t>
      </w:r>
    </w:p>
    <w:p>
      <w:pPr>
        <w:spacing w:line="360" w:lineRule="exact"/>
        <w:ind w:firstLine="420" w:firstLineChars="200"/>
        <w:rPr>
          <w:color w:val="auto"/>
          <w:szCs w:val="21"/>
          <w:highlight w:val="none"/>
        </w:rPr>
      </w:pPr>
      <w:r>
        <w:rPr>
          <w:rFonts w:hint="eastAsia"/>
          <w:color w:val="auto"/>
          <w:szCs w:val="21"/>
          <w:highlight w:val="none"/>
        </w:rPr>
        <w:t>群体工程应附《承包人承揽工程项目一览表》（附件</w:t>
      </w:r>
      <w:r>
        <w:rPr>
          <w:color w:val="auto"/>
          <w:szCs w:val="21"/>
          <w:highlight w:val="none"/>
        </w:rPr>
        <w:t>1</w:t>
      </w:r>
      <w:r>
        <w:rPr>
          <w:rFonts w:hint="eastAsia"/>
          <w:color w:val="auto"/>
          <w:szCs w:val="21"/>
          <w:highlight w:val="none"/>
        </w:rPr>
        <w:t>）。</w:t>
      </w:r>
    </w:p>
    <w:p>
      <w:pPr>
        <w:spacing w:line="360" w:lineRule="exact"/>
        <w:ind w:firstLine="420" w:firstLineChars="200"/>
        <w:rPr>
          <w:color w:val="auto"/>
          <w:szCs w:val="21"/>
          <w:highlight w:val="none"/>
          <w:u w:val="single"/>
        </w:rPr>
      </w:pPr>
      <w:r>
        <w:rPr>
          <w:rFonts w:hint="eastAsia"/>
          <w:color w:val="auto"/>
          <w:szCs w:val="21"/>
          <w:highlight w:val="none"/>
        </w:rPr>
        <w:t>6.工程承包范围：</w:t>
      </w:r>
      <w:bookmarkStart w:id="159" w:name="_Toc351203482"/>
      <w:r>
        <w:rPr>
          <w:rFonts w:hint="eastAsia"/>
          <w:color w:val="auto"/>
          <w:szCs w:val="21"/>
          <w:highlight w:val="none"/>
          <w:u w:val="single"/>
        </w:rPr>
        <w:t>详见发包人提供的图纸及预算书。</w:t>
      </w:r>
    </w:p>
    <w:p>
      <w:pPr>
        <w:spacing w:line="360" w:lineRule="exact"/>
        <w:ind w:firstLine="420" w:firstLineChars="200"/>
        <w:rPr>
          <w:color w:val="auto"/>
          <w:szCs w:val="21"/>
          <w:highlight w:val="none"/>
        </w:rPr>
      </w:pPr>
      <w:r>
        <w:rPr>
          <w:rFonts w:hint="eastAsia"/>
          <w:color w:val="auto"/>
          <w:szCs w:val="21"/>
          <w:highlight w:val="none"/>
        </w:rPr>
        <w:t>二、合同工期</w:t>
      </w:r>
      <w:bookmarkEnd w:id="159"/>
    </w:p>
    <w:p>
      <w:pPr>
        <w:spacing w:line="360" w:lineRule="exact"/>
        <w:ind w:firstLine="420" w:firstLineChars="200"/>
        <w:rPr>
          <w:color w:val="auto"/>
          <w:szCs w:val="21"/>
          <w:highlight w:val="none"/>
        </w:rPr>
      </w:pPr>
      <w:r>
        <w:rPr>
          <w:rFonts w:hint="eastAsia"/>
          <w:color w:val="auto"/>
          <w:szCs w:val="21"/>
          <w:highlight w:val="none"/>
        </w:rPr>
        <w:t>计划开工日期：</w:t>
      </w:r>
      <w:r>
        <w:rPr>
          <w:color w:val="auto"/>
          <w:szCs w:val="21"/>
          <w:highlight w:val="none"/>
          <w:u w:val="single"/>
        </w:rPr>
        <w:t xml:space="preserve">      </w:t>
      </w:r>
      <w:r>
        <w:rPr>
          <w:rFonts w:hint="eastAsia"/>
          <w:color w:val="auto"/>
          <w:szCs w:val="21"/>
          <w:highlight w:val="none"/>
        </w:rPr>
        <w:t>年</w:t>
      </w:r>
      <w:r>
        <w:rPr>
          <w:color w:val="auto"/>
          <w:szCs w:val="21"/>
          <w:highlight w:val="none"/>
          <w:u w:val="single"/>
        </w:rPr>
        <w:t xml:space="preserve">    </w:t>
      </w:r>
      <w:r>
        <w:rPr>
          <w:rFonts w:hint="eastAsia"/>
          <w:color w:val="auto"/>
          <w:szCs w:val="21"/>
          <w:highlight w:val="none"/>
        </w:rPr>
        <w:t>月</w:t>
      </w:r>
      <w:r>
        <w:rPr>
          <w:color w:val="auto"/>
          <w:szCs w:val="21"/>
          <w:highlight w:val="none"/>
          <w:u w:val="single"/>
        </w:rPr>
        <w:t xml:space="preserve">     </w:t>
      </w:r>
      <w:r>
        <w:rPr>
          <w:rFonts w:hint="eastAsia"/>
          <w:color w:val="auto"/>
          <w:szCs w:val="21"/>
          <w:highlight w:val="none"/>
        </w:rPr>
        <w:t>日。</w:t>
      </w:r>
    </w:p>
    <w:p>
      <w:pPr>
        <w:spacing w:line="360" w:lineRule="exact"/>
        <w:ind w:firstLine="420" w:firstLineChars="200"/>
        <w:rPr>
          <w:color w:val="auto"/>
          <w:szCs w:val="21"/>
          <w:highlight w:val="none"/>
        </w:rPr>
      </w:pPr>
      <w:r>
        <w:rPr>
          <w:rFonts w:hint="eastAsia"/>
          <w:color w:val="auto"/>
          <w:szCs w:val="21"/>
          <w:highlight w:val="none"/>
        </w:rPr>
        <w:t>计划竣工日期：</w:t>
      </w:r>
      <w:r>
        <w:rPr>
          <w:color w:val="auto"/>
          <w:szCs w:val="21"/>
          <w:highlight w:val="none"/>
          <w:u w:val="single"/>
        </w:rPr>
        <w:t xml:space="preserve">      </w:t>
      </w:r>
      <w:r>
        <w:rPr>
          <w:rFonts w:hint="eastAsia"/>
          <w:color w:val="auto"/>
          <w:szCs w:val="21"/>
          <w:highlight w:val="none"/>
        </w:rPr>
        <w:t>年</w:t>
      </w:r>
      <w:r>
        <w:rPr>
          <w:color w:val="auto"/>
          <w:szCs w:val="21"/>
          <w:highlight w:val="none"/>
          <w:u w:val="single"/>
        </w:rPr>
        <w:t xml:space="preserve">    </w:t>
      </w:r>
      <w:r>
        <w:rPr>
          <w:rFonts w:hint="eastAsia"/>
          <w:color w:val="auto"/>
          <w:szCs w:val="21"/>
          <w:highlight w:val="none"/>
        </w:rPr>
        <w:t>月</w:t>
      </w:r>
      <w:r>
        <w:rPr>
          <w:color w:val="auto"/>
          <w:szCs w:val="21"/>
          <w:highlight w:val="none"/>
          <w:u w:val="single"/>
        </w:rPr>
        <w:t xml:space="preserve">     </w:t>
      </w:r>
      <w:r>
        <w:rPr>
          <w:rFonts w:hint="eastAsia"/>
          <w:color w:val="auto"/>
          <w:szCs w:val="21"/>
          <w:highlight w:val="none"/>
        </w:rPr>
        <w:t>日。</w:t>
      </w:r>
    </w:p>
    <w:p>
      <w:pPr>
        <w:spacing w:line="360" w:lineRule="exact"/>
        <w:ind w:firstLine="420" w:firstLineChars="200"/>
        <w:rPr>
          <w:color w:val="auto"/>
          <w:szCs w:val="21"/>
          <w:highlight w:val="none"/>
        </w:rPr>
      </w:pPr>
      <w:r>
        <w:rPr>
          <w:rFonts w:hint="eastAsia"/>
          <w:color w:val="auto"/>
          <w:szCs w:val="21"/>
          <w:highlight w:val="none"/>
        </w:rPr>
        <w:t>工期总日历天数：</w:t>
      </w:r>
      <w:r>
        <w:rPr>
          <w:color w:val="auto"/>
          <w:szCs w:val="21"/>
          <w:highlight w:val="none"/>
          <w:u w:val="single"/>
        </w:rPr>
        <w:t xml:space="preserve">         </w:t>
      </w:r>
      <w:r>
        <w:rPr>
          <w:rFonts w:hint="eastAsia"/>
          <w:color w:val="auto"/>
          <w:szCs w:val="21"/>
          <w:highlight w:val="none"/>
        </w:rPr>
        <w:t>天。工期总日历天数与根据前述计划开竣工日期计算的工期天数不一致的，以工期总日历天数为准。</w:t>
      </w:r>
    </w:p>
    <w:p>
      <w:pPr>
        <w:spacing w:line="360" w:lineRule="exact"/>
        <w:ind w:firstLine="420" w:firstLineChars="200"/>
        <w:rPr>
          <w:color w:val="auto"/>
          <w:szCs w:val="21"/>
          <w:highlight w:val="none"/>
        </w:rPr>
      </w:pPr>
      <w:bookmarkStart w:id="160" w:name="_Toc351203483"/>
      <w:r>
        <w:rPr>
          <w:rFonts w:hint="eastAsia"/>
          <w:color w:val="auto"/>
          <w:szCs w:val="21"/>
          <w:highlight w:val="none"/>
        </w:rPr>
        <w:t>三、质量标准</w:t>
      </w:r>
      <w:bookmarkEnd w:id="160"/>
    </w:p>
    <w:p>
      <w:pPr>
        <w:spacing w:line="360" w:lineRule="exact"/>
        <w:ind w:firstLine="420" w:firstLineChars="200"/>
        <w:rPr>
          <w:color w:val="auto"/>
          <w:szCs w:val="21"/>
          <w:highlight w:val="none"/>
        </w:rPr>
      </w:pPr>
      <w:r>
        <w:rPr>
          <w:rFonts w:hint="eastAsia"/>
          <w:color w:val="auto"/>
          <w:szCs w:val="21"/>
          <w:highlight w:val="none"/>
        </w:rPr>
        <w:t>工程质量符合</w:t>
      </w:r>
      <w:r>
        <w:rPr>
          <w:color w:val="auto"/>
          <w:szCs w:val="21"/>
          <w:highlight w:val="none"/>
          <w:u w:val="single"/>
        </w:rPr>
        <w:t xml:space="preserve"> </w:t>
      </w:r>
      <w:r>
        <w:rPr>
          <w:rFonts w:hint="eastAsia"/>
          <w:color w:val="auto"/>
          <w:szCs w:val="21"/>
          <w:highlight w:val="none"/>
          <w:u w:val="single"/>
        </w:rPr>
        <w:t>合格</w:t>
      </w:r>
      <w:r>
        <w:rPr>
          <w:color w:val="auto"/>
          <w:szCs w:val="21"/>
          <w:highlight w:val="none"/>
          <w:u w:val="single"/>
        </w:rPr>
        <w:t xml:space="preserve">  </w:t>
      </w:r>
      <w:r>
        <w:rPr>
          <w:rFonts w:hint="eastAsia"/>
          <w:color w:val="auto"/>
          <w:szCs w:val="21"/>
          <w:highlight w:val="none"/>
        </w:rPr>
        <w:t>标准。</w:t>
      </w:r>
    </w:p>
    <w:p>
      <w:pPr>
        <w:spacing w:line="360" w:lineRule="exact"/>
        <w:ind w:firstLine="420" w:firstLineChars="200"/>
        <w:rPr>
          <w:color w:val="auto"/>
          <w:szCs w:val="21"/>
          <w:highlight w:val="none"/>
        </w:rPr>
      </w:pPr>
      <w:bookmarkStart w:id="161" w:name="_Toc351203484"/>
      <w:r>
        <w:rPr>
          <w:rFonts w:hint="eastAsia"/>
          <w:color w:val="auto"/>
          <w:szCs w:val="21"/>
          <w:highlight w:val="none"/>
        </w:rPr>
        <w:t>四、签约合同价与合同价格形式</w:t>
      </w:r>
      <w:bookmarkEnd w:id="161"/>
      <w:r>
        <w:rPr>
          <w:color w:val="auto"/>
          <w:szCs w:val="21"/>
          <w:highlight w:val="none"/>
        </w:rPr>
        <w:tab/>
      </w:r>
    </w:p>
    <w:p>
      <w:pPr>
        <w:spacing w:line="360" w:lineRule="exact"/>
        <w:ind w:firstLine="420" w:firstLineChars="200"/>
        <w:rPr>
          <w:color w:val="auto"/>
          <w:szCs w:val="21"/>
          <w:highlight w:val="none"/>
        </w:rPr>
      </w:pPr>
      <w:r>
        <w:rPr>
          <w:color w:val="auto"/>
          <w:szCs w:val="21"/>
          <w:highlight w:val="none"/>
        </w:rPr>
        <w:t>1.</w:t>
      </w:r>
      <w:r>
        <w:rPr>
          <w:rFonts w:hint="eastAsia"/>
          <w:color w:val="auto"/>
          <w:szCs w:val="21"/>
          <w:highlight w:val="none"/>
        </w:rPr>
        <w:t>签约合同价为：</w:t>
      </w:r>
    </w:p>
    <w:p>
      <w:pPr>
        <w:spacing w:line="360" w:lineRule="exact"/>
        <w:ind w:firstLine="420" w:firstLineChars="200"/>
        <w:rPr>
          <w:color w:val="auto"/>
          <w:szCs w:val="21"/>
          <w:highlight w:val="none"/>
        </w:rPr>
      </w:pPr>
      <w:r>
        <w:rPr>
          <w:rFonts w:hint="eastAsia"/>
          <w:color w:val="auto"/>
          <w:szCs w:val="21"/>
          <w:highlight w:val="none"/>
        </w:rPr>
        <w:t>人民币（大写）</w:t>
      </w:r>
      <w:r>
        <w:rPr>
          <w:color w:val="auto"/>
          <w:szCs w:val="21"/>
          <w:highlight w:val="none"/>
          <w:u w:val="single"/>
        </w:rPr>
        <w:t xml:space="preserve">                 </w:t>
      </w:r>
      <w:r>
        <w:rPr>
          <w:color w:val="auto"/>
          <w:szCs w:val="21"/>
          <w:highlight w:val="none"/>
        </w:rPr>
        <w:t>(</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rPr>
        <w:t>元</w:t>
      </w:r>
      <w:r>
        <w:rPr>
          <w:color w:val="auto"/>
          <w:szCs w:val="21"/>
          <w:highlight w:val="none"/>
        </w:rPr>
        <w:t>)</w:t>
      </w:r>
      <w:r>
        <w:rPr>
          <w:rFonts w:hint="eastAsia"/>
          <w:color w:val="auto"/>
          <w:szCs w:val="21"/>
          <w:highlight w:val="none"/>
        </w:rPr>
        <w:t>；</w:t>
      </w:r>
    </w:p>
    <w:p>
      <w:pPr>
        <w:spacing w:line="360" w:lineRule="exact"/>
        <w:ind w:firstLine="420" w:firstLineChars="200"/>
        <w:rPr>
          <w:color w:val="auto"/>
          <w:szCs w:val="21"/>
          <w:highlight w:val="none"/>
        </w:rPr>
      </w:pPr>
      <w:r>
        <w:rPr>
          <w:color w:val="auto"/>
          <w:szCs w:val="21"/>
          <w:highlight w:val="none"/>
        </w:rPr>
        <w:t>2.</w:t>
      </w:r>
      <w:r>
        <w:rPr>
          <w:rFonts w:hint="eastAsia"/>
          <w:color w:val="auto"/>
          <w:szCs w:val="21"/>
          <w:highlight w:val="none"/>
        </w:rPr>
        <w:t>合同价格形式：</w:t>
      </w:r>
      <w:r>
        <w:rPr>
          <w:color w:val="auto"/>
          <w:szCs w:val="21"/>
          <w:highlight w:val="none"/>
          <w:u w:val="single"/>
        </w:rPr>
        <w:t xml:space="preserve">  </w:t>
      </w:r>
      <w:r>
        <w:rPr>
          <w:rFonts w:hint="eastAsia"/>
          <w:color w:val="auto"/>
          <w:szCs w:val="21"/>
          <w:highlight w:val="none"/>
          <w:u w:val="single"/>
        </w:rPr>
        <w:t>固定单价合同（固定结算率）</w:t>
      </w:r>
      <w:r>
        <w:rPr>
          <w:rFonts w:hint="eastAsia"/>
          <w:color w:val="auto"/>
          <w:szCs w:val="21"/>
          <w:highlight w:val="none"/>
        </w:rPr>
        <w:t>。</w:t>
      </w:r>
    </w:p>
    <w:p>
      <w:pPr>
        <w:spacing w:line="360" w:lineRule="exact"/>
        <w:ind w:firstLine="420" w:firstLineChars="200"/>
        <w:rPr>
          <w:color w:val="auto"/>
          <w:szCs w:val="21"/>
          <w:highlight w:val="none"/>
        </w:rPr>
      </w:pPr>
      <w:r>
        <w:rPr>
          <w:color w:val="auto"/>
          <w:szCs w:val="21"/>
          <w:highlight w:val="none"/>
        </w:rPr>
        <w:t>3</w:t>
      </w:r>
      <w:r>
        <w:rPr>
          <w:rFonts w:hint="eastAsia"/>
          <w:color w:val="auto"/>
          <w:szCs w:val="21"/>
          <w:highlight w:val="none"/>
        </w:rPr>
        <w:t>．发包人向承包人支付工程价款及其他应当支付的款项均须汇入承包人合同协议书中的银行账户。</w:t>
      </w:r>
    </w:p>
    <w:p>
      <w:pPr>
        <w:spacing w:line="360" w:lineRule="exact"/>
        <w:ind w:firstLine="420" w:firstLineChars="200"/>
        <w:rPr>
          <w:color w:val="auto"/>
          <w:szCs w:val="21"/>
          <w:highlight w:val="none"/>
        </w:rPr>
      </w:pPr>
      <w:r>
        <w:rPr>
          <w:rFonts w:hint="eastAsia"/>
          <w:color w:val="auto"/>
          <w:szCs w:val="21"/>
          <w:highlight w:val="none"/>
        </w:rPr>
        <w:t>承包人完成本合同项下应税行为的计税方式按以下第</w:t>
      </w:r>
      <w:r>
        <w:rPr>
          <w:rFonts w:hint="eastAsia"/>
          <w:color w:val="auto"/>
          <w:szCs w:val="21"/>
          <w:highlight w:val="none"/>
          <w:u w:val="single"/>
        </w:rPr>
        <w:t>（1）</w:t>
      </w:r>
      <w:r>
        <w:rPr>
          <w:rFonts w:hint="eastAsia"/>
          <w:color w:val="auto"/>
          <w:szCs w:val="21"/>
          <w:highlight w:val="none"/>
        </w:rPr>
        <w:t>种方法，并与工程计价时采用的计税方法一致。</w:t>
      </w:r>
    </w:p>
    <w:p>
      <w:pPr>
        <w:spacing w:line="360" w:lineRule="exact"/>
        <w:ind w:firstLine="420" w:firstLineChars="200"/>
        <w:rPr>
          <w:color w:val="auto"/>
          <w:szCs w:val="21"/>
          <w:highlight w:val="none"/>
        </w:rPr>
      </w:pPr>
      <w:r>
        <w:rPr>
          <w:rFonts w:hint="eastAsia"/>
          <w:color w:val="auto"/>
          <w:szCs w:val="21"/>
          <w:highlight w:val="none"/>
        </w:rPr>
        <w:t>（</w:t>
      </w:r>
      <w:r>
        <w:rPr>
          <w:color w:val="auto"/>
          <w:szCs w:val="21"/>
          <w:highlight w:val="none"/>
        </w:rPr>
        <w:t>1</w:t>
      </w:r>
      <w:r>
        <w:rPr>
          <w:rFonts w:hint="eastAsia"/>
          <w:color w:val="auto"/>
          <w:szCs w:val="21"/>
          <w:highlight w:val="none"/>
        </w:rPr>
        <w:t>）一般计税方法。</w:t>
      </w:r>
    </w:p>
    <w:p>
      <w:pPr>
        <w:spacing w:line="360" w:lineRule="exact"/>
        <w:ind w:firstLine="420" w:firstLineChars="200"/>
        <w:rPr>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rPr>
        <w:t>）简易计税方法。</w:t>
      </w:r>
    </w:p>
    <w:p>
      <w:pPr>
        <w:spacing w:line="360" w:lineRule="exact"/>
        <w:ind w:firstLine="420" w:firstLineChars="200"/>
        <w:rPr>
          <w:color w:val="auto"/>
          <w:szCs w:val="21"/>
          <w:highlight w:val="none"/>
        </w:rPr>
      </w:pPr>
      <w:bookmarkStart w:id="162" w:name="_Toc351203485"/>
      <w:r>
        <w:rPr>
          <w:rFonts w:hint="eastAsia"/>
          <w:color w:val="auto"/>
          <w:szCs w:val="21"/>
          <w:highlight w:val="none"/>
        </w:rPr>
        <w:t>五、</w:t>
      </w:r>
      <w:bookmarkEnd w:id="162"/>
      <w:r>
        <w:rPr>
          <w:rFonts w:hint="eastAsia"/>
          <w:color w:val="auto"/>
          <w:szCs w:val="21"/>
          <w:highlight w:val="none"/>
        </w:rPr>
        <w:t>项目经理</w:t>
      </w:r>
    </w:p>
    <w:p>
      <w:pPr>
        <w:spacing w:line="360" w:lineRule="exact"/>
        <w:ind w:firstLine="420" w:firstLineChars="200"/>
        <w:rPr>
          <w:color w:val="auto"/>
          <w:szCs w:val="21"/>
          <w:highlight w:val="none"/>
        </w:rPr>
      </w:pPr>
      <w:r>
        <w:rPr>
          <w:rFonts w:hint="eastAsia"/>
          <w:color w:val="auto"/>
          <w:szCs w:val="21"/>
          <w:highlight w:val="none"/>
        </w:rPr>
        <w:t>承包人项目经理：</w:t>
      </w:r>
      <w:r>
        <w:rPr>
          <w:rFonts w:hint="eastAsia"/>
          <w:color w:val="auto"/>
          <w:szCs w:val="21"/>
          <w:highlight w:val="none"/>
          <w:u w:val="single"/>
        </w:rPr>
        <w:t>　　　　　</w:t>
      </w:r>
      <w:r>
        <w:rPr>
          <w:rFonts w:hint="eastAsia"/>
          <w:color w:val="auto"/>
          <w:szCs w:val="21"/>
          <w:highlight w:val="none"/>
        </w:rPr>
        <w:t>。</w:t>
      </w:r>
    </w:p>
    <w:p>
      <w:pPr>
        <w:spacing w:line="360" w:lineRule="exact"/>
        <w:ind w:firstLine="420" w:firstLineChars="200"/>
        <w:rPr>
          <w:color w:val="auto"/>
          <w:szCs w:val="21"/>
          <w:highlight w:val="none"/>
        </w:rPr>
      </w:pPr>
      <w:bookmarkStart w:id="163" w:name="_Toc351203486"/>
      <w:r>
        <w:rPr>
          <w:rFonts w:hint="eastAsia"/>
          <w:color w:val="auto"/>
          <w:szCs w:val="21"/>
          <w:highlight w:val="none"/>
        </w:rPr>
        <w:t>六、合同文件构成</w:t>
      </w:r>
      <w:bookmarkEnd w:id="163"/>
    </w:p>
    <w:p>
      <w:pPr>
        <w:spacing w:line="360" w:lineRule="exact"/>
        <w:ind w:firstLine="420" w:firstLineChars="200"/>
        <w:rPr>
          <w:color w:val="auto"/>
          <w:szCs w:val="21"/>
          <w:highlight w:val="none"/>
        </w:rPr>
      </w:pPr>
      <w:r>
        <w:rPr>
          <w:rFonts w:hint="eastAsia"/>
          <w:color w:val="auto"/>
          <w:szCs w:val="21"/>
          <w:highlight w:val="none"/>
        </w:rPr>
        <w:t>本协议书与下列文件一起构成合同文件：</w:t>
      </w:r>
    </w:p>
    <w:p>
      <w:pPr>
        <w:spacing w:line="360" w:lineRule="exact"/>
        <w:ind w:firstLine="420" w:firstLineChars="200"/>
        <w:rPr>
          <w:color w:val="auto"/>
          <w:szCs w:val="21"/>
          <w:highlight w:val="none"/>
        </w:rPr>
      </w:pPr>
      <w:r>
        <w:rPr>
          <w:rFonts w:hint="eastAsia"/>
          <w:color w:val="auto"/>
          <w:szCs w:val="21"/>
          <w:highlight w:val="none"/>
        </w:rPr>
        <w:t>（</w:t>
      </w:r>
      <w:r>
        <w:rPr>
          <w:color w:val="auto"/>
          <w:szCs w:val="21"/>
          <w:highlight w:val="none"/>
        </w:rPr>
        <w:t>1</w:t>
      </w:r>
      <w:r>
        <w:rPr>
          <w:rFonts w:hint="eastAsia"/>
          <w:color w:val="auto"/>
          <w:szCs w:val="21"/>
          <w:highlight w:val="none"/>
        </w:rPr>
        <w:t>）成交通知书（如果有）；</w:t>
      </w:r>
    </w:p>
    <w:p>
      <w:pPr>
        <w:spacing w:line="360" w:lineRule="exact"/>
        <w:ind w:firstLine="420" w:firstLineChars="200"/>
        <w:rPr>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rPr>
        <w:t>）投标函及其附录（如果有）；</w:t>
      </w:r>
      <w:r>
        <w:rPr>
          <w:color w:val="auto"/>
          <w:szCs w:val="21"/>
          <w:highlight w:val="none"/>
        </w:rPr>
        <w:t xml:space="preserve"> </w:t>
      </w:r>
    </w:p>
    <w:p>
      <w:pPr>
        <w:spacing w:line="360" w:lineRule="exact"/>
        <w:ind w:firstLine="420" w:firstLineChars="200"/>
        <w:rPr>
          <w:color w:val="auto"/>
          <w:szCs w:val="21"/>
          <w:highlight w:val="none"/>
        </w:rPr>
      </w:pPr>
      <w:r>
        <w:rPr>
          <w:rFonts w:hint="eastAsia"/>
          <w:color w:val="auto"/>
          <w:szCs w:val="21"/>
          <w:highlight w:val="none"/>
        </w:rPr>
        <w:t>（</w:t>
      </w:r>
      <w:r>
        <w:rPr>
          <w:color w:val="auto"/>
          <w:szCs w:val="21"/>
          <w:highlight w:val="none"/>
        </w:rPr>
        <w:t>3</w:t>
      </w:r>
      <w:r>
        <w:rPr>
          <w:rFonts w:hint="eastAsia"/>
          <w:color w:val="auto"/>
          <w:szCs w:val="21"/>
          <w:highlight w:val="none"/>
        </w:rPr>
        <w:t>）专用合同条款及其附件；</w:t>
      </w:r>
    </w:p>
    <w:p>
      <w:pPr>
        <w:spacing w:line="360" w:lineRule="exact"/>
        <w:ind w:firstLine="420" w:firstLineChars="200"/>
        <w:rPr>
          <w:color w:val="auto"/>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）通用合同条款；</w:t>
      </w:r>
    </w:p>
    <w:p>
      <w:pPr>
        <w:spacing w:line="360" w:lineRule="exact"/>
        <w:ind w:firstLine="420" w:firstLineChars="200"/>
        <w:rPr>
          <w:color w:val="auto"/>
          <w:szCs w:val="21"/>
          <w:highlight w:val="none"/>
        </w:rPr>
      </w:pPr>
      <w:r>
        <w:rPr>
          <w:rFonts w:hint="eastAsia"/>
          <w:color w:val="auto"/>
          <w:szCs w:val="21"/>
          <w:highlight w:val="none"/>
        </w:rPr>
        <w:t>（</w:t>
      </w:r>
      <w:r>
        <w:rPr>
          <w:color w:val="auto"/>
          <w:szCs w:val="21"/>
          <w:highlight w:val="none"/>
        </w:rPr>
        <w:t>5</w:t>
      </w:r>
      <w:r>
        <w:rPr>
          <w:rFonts w:hint="eastAsia"/>
          <w:color w:val="auto"/>
          <w:szCs w:val="21"/>
          <w:highlight w:val="none"/>
        </w:rPr>
        <w:t>）技术标准和要求；</w:t>
      </w:r>
    </w:p>
    <w:p>
      <w:pPr>
        <w:spacing w:line="360" w:lineRule="exact"/>
        <w:ind w:firstLine="420" w:firstLineChars="200"/>
        <w:rPr>
          <w:color w:val="auto"/>
          <w:szCs w:val="21"/>
          <w:highlight w:val="none"/>
        </w:rPr>
      </w:pPr>
      <w:r>
        <w:rPr>
          <w:rFonts w:hint="eastAsia"/>
          <w:color w:val="auto"/>
          <w:szCs w:val="21"/>
          <w:highlight w:val="none"/>
        </w:rPr>
        <w:t>（</w:t>
      </w:r>
      <w:r>
        <w:rPr>
          <w:color w:val="auto"/>
          <w:szCs w:val="21"/>
          <w:highlight w:val="none"/>
        </w:rPr>
        <w:t>6</w:t>
      </w:r>
      <w:r>
        <w:rPr>
          <w:rFonts w:hint="eastAsia"/>
          <w:color w:val="auto"/>
          <w:szCs w:val="21"/>
          <w:highlight w:val="none"/>
        </w:rPr>
        <w:t>）图纸；</w:t>
      </w:r>
    </w:p>
    <w:p>
      <w:pPr>
        <w:spacing w:line="360" w:lineRule="exact"/>
        <w:ind w:firstLine="420" w:firstLineChars="200"/>
        <w:rPr>
          <w:color w:val="auto"/>
          <w:szCs w:val="21"/>
          <w:highlight w:val="none"/>
        </w:rPr>
      </w:pPr>
      <w:r>
        <w:rPr>
          <w:rFonts w:hint="eastAsia"/>
          <w:color w:val="auto"/>
          <w:szCs w:val="21"/>
          <w:highlight w:val="none"/>
        </w:rPr>
        <w:t>（</w:t>
      </w:r>
      <w:r>
        <w:rPr>
          <w:color w:val="auto"/>
          <w:szCs w:val="21"/>
          <w:highlight w:val="none"/>
        </w:rPr>
        <w:t>7</w:t>
      </w:r>
      <w:r>
        <w:rPr>
          <w:rFonts w:hint="eastAsia"/>
          <w:color w:val="auto"/>
          <w:szCs w:val="21"/>
          <w:highlight w:val="none"/>
        </w:rPr>
        <w:t>）已标价工程量清单或预算书；</w:t>
      </w:r>
    </w:p>
    <w:p>
      <w:pPr>
        <w:spacing w:line="360" w:lineRule="exact"/>
        <w:ind w:firstLine="420" w:firstLineChars="200"/>
        <w:rPr>
          <w:color w:val="auto"/>
          <w:szCs w:val="21"/>
          <w:highlight w:val="none"/>
        </w:rPr>
      </w:pPr>
      <w:r>
        <w:rPr>
          <w:rFonts w:hint="eastAsia"/>
          <w:color w:val="auto"/>
          <w:szCs w:val="21"/>
          <w:highlight w:val="none"/>
        </w:rPr>
        <w:t>（</w:t>
      </w:r>
      <w:r>
        <w:rPr>
          <w:color w:val="auto"/>
          <w:szCs w:val="21"/>
          <w:highlight w:val="none"/>
        </w:rPr>
        <w:t>8</w:t>
      </w:r>
      <w:r>
        <w:rPr>
          <w:rFonts w:hint="eastAsia"/>
          <w:color w:val="auto"/>
          <w:szCs w:val="21"/>
          <w:highlight w:val="none"/>
        </w:rPr>
        <w:t>）其他合同文件。</w:t>
      </w:r>
    </w:p>
    <w:p>
      <w:pPr>
        <w:spacing w:line="360" w:lineRule="exact"/>
        <w:ind w:firstLine="420" w:firstLineChars="200"/>
        <w:rPr>
          <w:color w:val="auto"/>
          <w:szCs w:val="21"/>
          <w:highlight w:val="none"/>
        </w:rPr>
      </w:pPr>
      <w:r>
        <w:rPr>
          <w:rFonts w:hint="eastAsia"/>
          <w:color w:val="auto"/>
          <w:szCs w:val="21"/>
          <w:highlight w:val="none"/>
        </w:rPr>
        <w:t>在合同订立及履行过程中形成的与合同有关的文件均构成合同文件组成部分。</w:t>
      </w:r>
    </w:p>
    <w:p>
      <w:pPr>
        <w:spacing w:line="360" w:lineRule="exact"/>
        <w:ind w:firstLine="420" w:firstLineChars="200"/>
        <w:rPr>
          <w:color w:val="auto"/>
          <w:szCs w:val="21"/>
          <w:highlight w:val="none"/>
        </w:rPr>
      </w:pPr>
      <w:r>
        <w:rPr>
          <w:rFonts w:hint="eastAsia"/>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pPr>
        <w:spacing w:line="360" w:lineRule="exact"/>
        <w:ind w:firstLine="420" w:firstLineChars="200"/>
        <w:rPr>
          <w:color w:val="auto"/>
          <w:szCs w:val="21"/>
          <w:highlight w:val="none"/>
        </w:rPr>
      </w:pPr>
      <w:r>
        <w:rPr>
          <w:rFonts w:hint="eastAsia"/>
          <w:color w:val="auto"/>
          <w:szCs w:val="21"/>
          <w:highlight w:val="none"/>
        </w:rPr>
        <w:t>除专用合同条款另有约定外，组成本合同的文件及优先解释顺序与本合同第二部分《通用条款》第</w:t>
      </w:r>
      <w:r>
        <w:rPr>
          <w:color w:val="auto"/>
          <w:szCs w:val="21"/>
          <w:highlight w:val="none"/>
        </w:rPr>
        <w:t>1.5</w:t>
      </w:r>
      <w:r>
        <w:rPr>
          <w:rFonts w:hint="eastAsia"/>
          <w:color w:val="auto"/>
          <w:szCs w:val="21"/>
          <w:highlight w:val="none"/>
        </w:rPr>
        <w:t>款赋予的规定一致。</w:t>
      </w:r>
    </w:p>
    <w:p>
      <w:pPr>
        <w:spacing w:line="360" w:lineRule="exact"/>
        <w:ind w:firstLine="420" w:firstLineChars="200"/>
        <w:rPr>
          <w:bCs/>
          <w:color w:val="auto"/>
          <w:szCs w:val="21"/>
          <w:highlight w:val="none"/>
        </w:rPr>
      </w:pPr>
      <w:r>
        <w:rPr>
          <w:rFonts w:hint="eastAsia"/>
          <w:bCs/>
          <w:color w:val="auto"/>
          <w:szCs w:val="21"/>
          <w:highlight w:val="none"/>
        </w:rPr>
        <w:t>七、创优目标</w:t>
      </w:r>
    </w:p>
    <w:p>
      <w:pPr>
        <w:spacing w:line="360" w:lineRule="exact"/>
        <w:ind w:firstLine="420" w:firstLineChars="200"/>
        <w:rPr>
          <w:color w:val="auto"/>
          <w:szCs w:val="21"/>
          <w:highlight w:val="none"/>
          <w:u w:val="single"/>
        </w:rPr>
      </w:pPr>
      <w:r>
        <w:rPr>
          <w:rFonts w:hint="eastAsia"/>
          <w:color w:val="auto"/>
          <w:szCs w:val="21"/>
          <w:highlight w:val="none"/>
        </w:rPr>
        <w:t>工程质量创</w:t>
      </w:r>
      <w:r>
        <w:rPr>
          <w:color w:val="auto"/>
          <w:szCs w:val="21"/>
          <w:highlight w:val="none"/>
          <w:u w:val="single"/>
        </w:rPr>
        <w:t xml:space="preserve">  / </w:t>
      </w:r>
      <w:r>
        <w:rPr>
          <w:rFonts w:hint="eastAsia"/>
          <w:color w:val="auto"/>
          <w:szCs w:val="21"/>
          <w:highlight w:val="none"/>
        </w:rPr>
        <w:t>。</w:t>
      </w:r>
    </w:p>
    <w:p>
      <w:pPr>
        <w:spacing w:line="360" w:lineRule="exact"/>
        <w:ind w:firstLine="420" w:firstLineChars="200"/>
        <w:rPr>
          <w:color w:val="auto"/>
          <w:szCs w:val="21"/>
          <w:highlight w:val="none"/>
          <w:u w:val="single"/>
        </w:rPr>
      </w:pPr>
      <w:r>
        <w:rPr>
          <w:rFonts w:hint="eastAsia"/>
          <w:color w:val="auto"/>
          <w:szCs w:val="21"/>
          <w:highlight w:val="none"/>
        </w:rPr>
        <w:t>安全文明施工创</w:t>
      </w:r>
      <w:r>
        <w:rPr>
          <w:color w:val="auto"/>
          <w:szCs w:val="21"/>
          <w:highlight w:val="none"/>
          <w:u w:val="single"/>
        </w:rPr>
        <w:t xml:space="preserve"> / </w:t>
      </w:r>
      <w:r>
        <w:rPr>
          <w:rFonts w:hint="eastAsia"/>
          <w:color w:val="auto"/>
          <w:szCs w:val="21"/>
          <w:highlight w:val="none"/>
        </w:rPr>
        <w:t>。</w:t>
      </w:r>
    </w:p>
    <w:p>
      <w:pPr>
        <w:spacing w:line="360" w:lineRule="exact"/>
        <w:ind w:firstLine="420" w:firstLineChars="200"/>
        <w:rPr>
          <w:color w:val="auto"/>
          <w:szCs w:val="21"/>
          <w:highlight w:val="none"/>
        </w:rPr>
      </w:pPr>
      <w:r>
        <w:rPr>
          <w:rFonts w:hint="eastAsia"/>
          <w:bCs/>
          <w:color w:val="auto"/>
          <w:szCs w:val="21"/>
          <w:highlight w:val="none"/>
        </w:rPr>
        <w:t>八、承诺</w:t>
      </w:r>
    </w:p>
    <w:p>
      <w:pPr>
        <w:spacing w:line="360" w:lineRule="exact"/>
        <w:ind w:firstLine="420" w:firstLineChars="200"/>
        <w:rPr>
          <w:bCs/>
          <w:color w:val="auto"/>
          <w:szCs w:val="21"/>
          <w:highlight w:val="none"/>
        </w:rPr>
      </w:pPr>
      <w:r>
        <w:rPr>
          <w:bCs/>
          <w:color w:val="auto"/>
          <w:szCs w:val="21"/>
          <w:highlight w:val="none"/>
        </w:rPr>
        <w:t>1</w:t>
      </w:r>
      <w:r>
        <w:rPr>
          <w:rFonts w:hint="eastAsia"/>
          <w:bCs/>
          <w:color w:val="auto"/>
          <w:szCs w:val="21"/>
          <w:highlight w:val="none"/>
        </w:rPr>
        <w:t>．发包人承诺按照法律规定履行项目审批手续、筹集工程建设资金并按照合同约定的期限和方式支付合同价款。</w:t>
      </w:r>
    </w:p>
    <w:p>
      <w:pPr>
        <w:spacing w:line="360" w:lineRule="exact"/>
        <w:ind w:firstLine="420" w:firstLineChars="200"/>
        <w:rPr>
          <w:bCs/>
          <w:color w:val="auto"/>
          <w:szCs w:val="21"/>
          <w:highlight w:val="none"/>
        </w:rPr>
      </w:pPr>
      <w:r>
        <w:rPr>
          <w:bCs/>
          <w:color w:val="auto"/>
          <w:szCs w:val="21"/>
          <w:highlight w:val="none"/>
        </w:rPr>
        <w:t>2</w:t>
      </w:r>
      <w:r>
        <w:rPr>
          <w:rFonts w:hint="eastAsia"/>
          <w:bCs/>
          <w:color w:val="auto"/>
          <w:szCs w:val="21"/>
          <w:highlight w:val="none"/>
        </w:rPr>
        <w:t>．承包人承诺按照法律规定及合同约定组织完成工程施工，确保工程质量和安全，不进行转包及违法分包，并在缺陷责任期及保修期内承担相应的工程维修责任。</w:t>
      </w:r>
    </w:p>
    <w:p>
      <w:pPr>
        <w:spacing w:line="360" w:lineRule="exact"/>
        <w:ind w:firstLine="420" w:firstLineChars="200"/>
        <w:rPr>
          <w:color w:val="auto"/>
          <w:szCs w:val="21"/>
          <w:highlight w:val="none"/>
        </w:rPr>
      </w:pPr>
      <w:r>
        <w:rPr>
          <w:bCs/>
          <w:color w:val="auto"/>
          <w:szCs w:val="21"/>
          <w:highlight w:val="none"/>
        </w:rPr>
        <w:t xml:space="preserve">3. </w:t>
      </w:r>
      <w:r>
        <w:rPr>
          <w:rFonts w:hint="eastAsia"/>
          <w:color w:val="auto"/>
          <w:szCs w:val="21"/>
          <w:highlight w:val="none"/>
        </w:rPr>
        <w:t>承包人</w:t>
      </w:r>
      <w:r>
        <w:rPr>
          <w:rFonts w:hint="eastAsia"/>
          <w:bCs/>
          <w:color w:val="auto"/>
          <w:szCs w:val="21"/>
          <w:highlight w:val="none"/>
        </w:rPr>
        <w:t>承诺</w:t>
      </w:r>
      <w:r>
        <w:rPr>
          <w:rFonts w:hint="eastAsia"/>
          <w:color w:val="auto"/>
          <w:szCs w:val="21"/>
          <w:highlight w:val="none"/>
        </w:rPr>
        <w:t>不拖欠工人工资，因拖欠工资造成的一切后果，均由承包人承担，发包人有权将应拔付的工程款，先代付工资。</w:t>
      </w:r>
    </w:p>
    <w:p>
      <w:pPr>
        <w:spacing w:line="360" w:lineRule="exact"/>
        <w:ind w:firstLine="420" w:firstLineChars="200"/>
        <w:rPr>
          <w:bCs/>
          <w:color w:val="auto"/>
          <w:szCs w:val="21"/>
          <w:highlight w:val="none"/>
        </w:rPr>
      </w:pPr>
      <w:r>
        <w:rPr>
          <w:bCs/>
          <w:color w:val="auto"/>
          <w:szCs w:val="21"/>
          <w:highlight w:val="none"/>
        </w:rPr>
        <w:t>4</w:t>
      </w:r>
      <w:r>
        <w:rPr>
          <w:rFonts w:hint="eastAsia"/>
          <w:bCs/>
          <w:color w:val="auto"/>
          <w:szCs w:val="21"/>
          <w:highlight w:val="none"/>
        </w:rPr>
        <w:t>．发包人和承包人通过招投标形式签订合同的，双方理解并承诺不再就同一工程另行签订与合同实质性内容相背离的协议。另行签订的协议不能作为结算依据。</w:t>
      </w:r>
    </w:p>
    <w:p>
      <w:pPr>
        <w:spacing w:line="360" w:lineRule="exact"/>
        <w:ind w:firstLine="420" w:firstLineChars="200"/>
        <w:rPr>
          <w:bCs/>
          <w:color w:val="auto"/>
          <w:szCs w:val="21"/>
          <w:highlight w:val="none"/>
        </w:rPr>
      </w:pPr>
      <w:r>
        <w:rPr>
          <w:rFonts w:hint="eastAsia"/>
          <w:color w:val="auto"/>
          <w:szCs w:val="21"/>
          <w:highlight w:val="none"/>
        </w:rPr>
        <w:t>九、词语含义</w:t>
      </w:r>
    </w:p>
    <w:p>
      <w:pPr>
        <w:spacing w:line="360" w:lineRule="exact"/>
        <w:ind w:firstLine="420" w:firstLineChars="200"/>
        <w:rPr>
          <w:bCs/>
          <w:color w:val="auto"/>
          <w:szCs w:val="21"/>
          <w:highlight w:val="none"/>
        </w:rPr>
      </w:pPr>
      <w:r>
        <w:rPr>
          <w:rFonts w:hint="eastAsia"/>
          <w:bCs/>
          <w:color w:val="auto"/>
          <w:szCs w:val="21"/>
          <w:highlight w:val="none"/>
        </w:rPr>
        <w:t>本协议书中词语含义与第二部分通用合同条款中赋予的含义相同。</w:t>
      </w:r>
    </w:p>
    <w:p>
      <w:pPr>
        <w:spacing w:line="360" w:lineRule="exact"/>
        <w:ind w:firstLine="420" w:firstLineChars="200"/>
        <w:rPr>
          <w:b/>
          <w:color w:val="auto"/>
          <w:szCs w:val="21"/>
          <w:highlight w:val="none"/>
        </w:rPr>
      </w:pPr>
      <w:r>
        <w:rPr>
          <w:rFonts w:hint="eastAsia"/>
          <w:bCs/>
          <w:color w:val="auto"/>
          <w:szCs w:val="21"/>
          <w:highlight w:val="none"/>
        </w:rPr>
        <w:t>十、签订时间</w:t>
      </w:r>
    </w:p>
    <w:p>
      <w:pPr>
        <w:spacing w:line="360" w:lineRule="exact"/>
        <w:ind w:firstLine="420" w:firstLineChars="200"/>
        <w:rPr>
          <w:bCs/>
          <w:color w:val="auto"/>
          <w:szCs w:val="21"/>
          <w:highlight w:val="none"/>
        </w:rPr>
      </w:pPr>
      <w:r>
        <w:rPr>
          <w:rFonts w:hint="eastAsia"/>
          <w:bCs/>
          <w:color w:val="auto"/>
          <w:szCs w:val="21"/>
          <w:highlight w:val="none"/>
        </w:rPr>
        <w:t>本合同于</w:t>
      </w:r>
      <w:r>
        <w:rPr>
          <w:bCs/>
          <w:color w:val="auto"/>
          <w:szCs w:val="21"/>
          <w:highlight w:val="none"/>
          <w:u w:val="single"/>
        </w:rPr>
        <w:t xml:space="preserve">         </w:t>
      </w:r>
      <w:r>
        <w:rPr>
          <w:rFonts w:hint="eastAsia"/>
          <w:bCs/>
          <w:color w:val="auto"/>
          <w:szCs w:val="21"/>
          <w:highlight w:val="none"/>
        </w:rPr>
        <w:t>年</w:t>
      </w:r>
      <w:r>
        <w:rPr>
          <w:bCs/>
          <w:color w:val="auto"/>
          <w:szCs w:val="21"/>
          <w:highlight w:val="none"/>
          <w:u w:val="single"/>
        </w:rPr>
        <w:t xml:space="preserve">    </w:t>
      </w:r>
      <w:r>
        <w:rPr>
          <w:rFonts w:hint="eastAsia"/>
          <w:bCs/>
          <w:color w:val="auto"/>
          <w:szCs w:val="21"/>
          <w:highlight w:val="none"/>
        </w:rPr>
        <w:t>月</w:t>
      </w:r>
      <w:r>
        <w:rPr>
          <w:bCs/>
          <w:color w:val="auto"/>
          <w:szCs w:val="21"/>
          <w:highlight w:val="none"/>
          <w:u w:val="single"/>
        </w:rPr>
        <w:t xml:space="preserve">    </w:t>
      </w:r>
      <w:r>
        <w:rPr>
          <w:rFonts w:hint="eastAsia"/>
          <w:bCs/>
          <w:color w:val="auto"/>
          <w:szCs w:val="21"/>
          <w:highlight w:val="none"/>
        </w:rPr>
        <w:t>日签订。</w:t>
      </w:r>
    </w:p>
    <w:p>
      <w:pPr>
        <w:spacing w:line="360" w:lineRule="exact"/>
        <w:ind w:firstLine="420" w:firstLineChars="200"/>
        <w:rPr>
          <w:b/>
          <w:color w:val="auto"/>
          <w:szCs w:val="21"/>
          <w:highlight w:val="none"/>
        </w:rPr>
      </w:pPr>
      <w:r>
        <w:rPr>
          <w:rFonts w:hint="eastAsia"/>
          <w:bCs/>
          <w:color w:val="auto"/>
          <w:szCs w:val="21"/>
          <w:highlight w:val="none"/>
        </w:rPr>
        <w:t>十一、签订地点</w:t>
      </w:r>
    </w:p>
    <w:p>
      <w:pPr>
        <w:spacing w:line="360" w:lineRule="exact"/>
        <w:ind w:firstLine="420" w:firstLineChars="200"/>
        <w:rPr>
          <w:bCs/>
          <w:color w:val="auto"/>
          <w:szCs w:val="21"/>
          <w:highlight w:val="none"/>
        </w:rPr>
      </w:pPr>
      <w:r>
        <w:rPr>
          <w:rFonts w:hint="eastAsia"/>
          <w:bCs/>
          <w:color w:val="auto"/>
          <w:szCs w:val="21"/>
          <w:highlight w:val="none"/>
        </w:rPr>
        <w:t>本合同在</w:t>
      </w:r>
      <w:r>
        <w:rPr>
          <w:bCs/>
          <w:color w:val="auto"/>
          <w:szCs w:val="21"/>
          <w:highlight w:val="none"/>
          <w:u w:val="single"/>
        </w:rPr>
        <w:t xml:space="preserve">                                    </w:t>
      </w:r>
      <w:r>
        <w:rPr>
          <w:rFonts w:hint="eastAsia"/>
          <w:bCs/>
          <w:color w:val="auto"/>
          <w:szCs w:val="21"/>
          <w:highlight w:val="none"/>
        </w:rPr>
        <w:t>签订。</w:t>
      </w:r>
    </w:p>
    <w:p>
      <w:pPr>
        <w:spacing w:line="360" w:lineRule="exact"/>
        <w:ind w:firstLine="420" w:firstLineChars="200"/>
        <w:rPr>
          <w:b/>
          <w:color w:val="auto"/>
          <w:szCs w:val="21"/>
          <w:highlight w:val="none"/>
        </w:rPr>
      </w:pPr>
      <w:r>
        <w:rPr>
          <w:rFonts w:hint="eastAsia"/>
          <w:bCs/>
          <w:color w:val="auto"/>
          <w:szCs w:val="21"/>
          <w:highlight w:val="none"/>
        </w:rPr>
        <w:t>十二、补充协议</w:t>
      </w:r>
    </w:p>
    <w:p>
      <w:pPr>
        <w:spacing w:line="360" w:lineRule="exact"/>
        <w:ind w:firstLine="420" w:firstLineChars="200"/>
        <w:rPr>
          <w:b/>
          <w:bCs/>
          <w:color w:val="auto"/>
          <w:szCs w:val="21"/>
          <w:highlight w:val="none"/>
        </w:rPr>
      </w:pPr>
      <w:r>
        <w:rPr>
          <w:rFonts w:hint="eastAsia"/>
          <w:bCs/>
          <w:color w:val="auto"/>
          <w:szCs w:val="21"/>
          <w:highlight w:val="none"/>
        </w:rPr>
        <w:t>合同未尽事宜，合同当事人另行签订补充协议，补充协议是合同的组成部分。</w:t>
      </w:r>
    </w:p>
    <w:p>
      <w:pPr>
        <w:spacing w:line="360" w:lineRule="exact"/>
        <w:ind w:firstLine="420" w:firstLineChars="200"/>
        <w:rPr>
          <w:b/>
          <w:color w:val="auto"/>
          <w:szCs w:val="21"/>
          <w:highlight w:val="none"/>
        </w:rPr>
      </w:pPr>
      <w:r>
        <w:rPr>
          <w:rFonts w:hint="eastAsia"/>
          <w:bCs/>
          <w:color w:val="auto"/>
          <w:szCs w:val="21"/>
          <w:highlight w:val="none"/>
        </w:rPr>
        <w:t>十三、合同生效</w:t>
      </w:r>
    </w:p>
    <w:p>
      <w:pPr>
        <w:spacing w:line="360" w:lineRule="exact"/>
        <w:ind w:firstLine="420" w:firstLineChars="200"/>
        <w:rPr>
          <w:bCs/>
          <w:color w:val="auto"/>
          <w:szCs w:val="21"/>
          <w:highlight w:val="none"/>
        </w:rPr>
      </w:pPr>
      <w:r>
        <w:rPr>
          <w:rFonts w:hint="eastAsia"/>
          <w:bCs/>
          <w:color w:val="auto"/>
          <w:szCs w:val="21"/>
          <w:highlight w:val="none"/>
        </w:rPr>
        <w:t>本合同自</w:t>
      </w:r>
      <w:r>
        <w:rPr>
          <w:rFonts w:hint="eastAsia"/>
          <w:bCs/>
          <w:color w:val="auto"/>
          <w:szCs w:val="21"/>
          <w:highlight w:val="none"/>
          <w:u w:val="single"/>
        </w:rPr>
        <w:t>双方法定代表人或委托代理人签字或盖章并加盖公章后生效。</w:t>
      </w:r>
    </w:p>
    <w:p>
      <w:pPr>
        <w:spacing w:line="360" w:lineRule="exact"/>
        <w:ind w:firstLine="420" w:firstLineChars="200"/>
        <w:rPr>
          <w:b/>
          <w:color w:val="auto"/>
          <w:szCs w:val="21"/>
          <w:highlight w:val="none"/>
        </w:rPr>
      </w:pPr>
      <w:r>
        <w:rPr>
          <w:rFonts w:hint="eastAsia"/>
          <w:bCs/>
          <w:color w:val="auto"/>
          <w:szCs w:val="21"/>
          <w:highlight w:val="none"/>
        </w:rPr>
        <w:t>十四、合同份数</w:t>
      </w:r>
    </w:p>
    <w:p>
      <w:pPr>
        <w:spacing w:line="360" w:lineRule="exact"/>
        <w:ind w:firstLine="420" w:firstLineChars="200"/>
        <w:rPr>
          <w:bCs/>
          <w:color w:val="auto"/>
          <w:szCs w:val="21"/>
          <w:highlight w:val="none"/>
        </w:rPr>
      </w:pPr>
      <w:r>
        <w:rPr>
          <w:rFonts w:hint="eastAsia"/>
          <w:bCs/>
          <w:color w:val="auto"/>
          <w:szCs w:val="21"/>
          <w:highlight w:val="none"/>
        </w:rPr>
        <w:t>本合同一式</w:t>
      </w:r>
      <w:r>
        <w:rPr>
          <w:bCs/>
          <w:color w:val="auto"/>
          <w:szCs w:val="21"/>
          <w:highlight w:val="none"/>
          <w:u w:val="single"/>
        </w:rPr>
        <w:t xml:space="preserve"> </w:t>
      </w:r>
      <w:r>
        <w:rPr>
          <w:rFonts w:hint="eastAsia"/>
          <w:bCs/>
          <w:color w:val="auto"/>
          <w:szCs w:val="21"/>
          <w:highlight w:val="none"/>
          <w:u w:val="single"/>
        </w:rPr>
        <w:t xml:space="preserve">   </w:t>
      </w:r>
      <w:r>
        <w:rPr>
          <w:bCs/>
          <w:color w:val="auto"/>
          <w:szCs w:val="21"/>
          <w:highlight w:val="none"/>
          <w:u w:val="single"/>
        </w:rPr>
        <w:t xml:space="preserve"> </w:t>
      </w:r>
      <w:r>
        <w:rPr>
          <w:rFonts w:hint="eastAsia"/>
          <w:bCs/>
          <w:color w:val="auto"/>
          <w:szCs w:val="21"/>
          <w:highlight w:val="none"/>
        </w:rPr>
        <w:t>份，均具有同等法律效力，发包人执</w:t>
      </w:r>
      <w:r>
        <w:rPr>
          <w:bCs/>
          <w:color w:val="auto"/>
          <w:szCs w:val="21"/>
          <w:highlight w:val="none"/>
          <w:u w:val="single"/>
        </w:rPr>
        <w:t xml:space="preserve"> </w:t>
      </w:r>
      <w:r>
        <w:rPr>
          <w:rFonts w:hint="eastAsia"/>
          <w:bCs/>
          <w:color w:val="auto"/>
          <w:szCs w:val="21"/>
          <w:highlight w:val="none"/>
          <w:u w:val="single"/>
        </w:rPr>
        <w:t xml:space="preserve">  </w:t>
      </w:r>
      <w:r>
        <w:rPr>
          <w:bCs/>
          <w:color w:val="auto"/>
          <w:szCs w:val="21"/>
          <w:highlight w:val="none"/>
          <w:u w:val="single"/>
        </w:rPr>
        <w:t xml:space="preserve"> </w:t>
      </w:r>
      <w:r>
        <w:rPr>
          <w:rFonts w:hint="eastAsia"/>
          <w:bCs/>
          <w:color w:val="auto"/>
          <w:szCs w:val="21"/>
          <w:highlight w:val="none"/>
        </w:rPr>
        <w:t>份，承包人执</w:t>
      </w:r>
      <w:r>
        <w:rPr>
          <w:bCs/>
          <w:color w:val="auto"/>
          <w:szCs w:val="21"/>
          <w:highlight w:val="none"/>
          <w:u w:val="single"/>
        </w:rPr>
        <w:t xml:space="preserve"> </w:t>
      </w:r>
      <w:r>
        <w:rPr>
          <w:rFonts w:hint="eastAsia"/>
          <w:bCs/>
          <w:color w:val="auto"/>
          <w:szCs w:val="21"/>
          <w:highlight w:val="none"/>
          <w:u w:val="single"/>
        </w:rPr>
        <w:t xml:space="preserve">   </w:t>
      </w:r>
      <w:r>
        <w:rPr>
          <w:bCs/>
          <w:color w:val="auto"/>
          <w:szCs w:val="21"/>
          <w:highlight w:val="none"/>
          <w:u w:val="single"/>
        </w:rPr>
        <w:t xml:space="preserve"> </w:t>
      </w:r>
      <w:r>
        <w:rPr>
          <w:rFonts w:hint="eastAsia"/>
          <w:bCs/>
          <w:color w:val="auto"/>
          <w:szCs w:val="21"/>
          <w:highlight w:val="none"/>
        </w:rPr>
        <w:t>份。</w:t>
      </w:r>
    </w:p>
    <w:p>
      <w:pPr>
        <w:spacing w:line="360" w:lineRule="exact"/>
        <w:ind w:firstLine="420" w:firstLineChars="200"/>
        <w:rPr>
          <w:color w:val="auto"/>
          <w:szCs w:val="21"/>
          <w:highlight w:val="none"/>
        </w:rPr>
      </w:pPr>
      <w:r>
        <w:rPr>
          <w:rFonts w:hint="eastAsia"/>
          <w:color w:val="auto"/>
          <w:szCs w:val="21"/>
          <w:highlight w:val="none"/>
        </w:rPr>
        <w:t>以下无正文</w:t>
      </w:r>
    </w:p>
    <w:p>
      <w:pPr>
        <w:spacing w:line="360" w:lineRule="exact"/>
        <w:ind w:firstLine="420" w:firstLineChars="200"/>
        <w:rPr>
          <w:color w:val="auto"/>
          <w:szCs w:val="21"/>
          <w:highlight w:val="none"/>
        </w:rPr>
      </w:pPr>
    </w:p>
    <w:p>
      <w:pPr>
        <w:spacing w:line="360" w:lineRule="exact"/>
        <w:ind w:firstLine="420" w:firstLineChars="200"/>
        <w:rPr>
          <w:color w:val="auto"/>
          <w:szCs w:val="21"/>
          <w:highlight w:val="none"/>
        </w:rPr>
      </w:pPr>
    </w:p>
    <w:p>
      <w:pPr>
        <w:spacing w:line="360" w:lineRule="exact"/>
        <w:ind w:firstLine="420" w:firstLineChars="200"/>
        <w:rPr>
          <w:color w:val="auto"/>
          <w:szCs w:val="21"/>
          <w:highlight w:val="none"/>
        </w:rPr>
      </w:pPr>
    </w:p>
    <w:p>
      <w:pPr>
        <w:spacing w:line="360" w:lineRule="exact"/>
        <w:ind w:firstLine="420" w:firstLineChars="200"/>
        <w:rPr>
          <w:color w:val="auto"/>
          <w:szCs w:val="21"/>
          <w:highlight w:val="none"/>
        </w:rPr>
      </w:pPr>
      <w:r>
        <w:rPr>
          <w:rFonts w:hint="eastAsia"/>
          <w:color w:val="auto"/>
          <w:szCs w:val="21"/>
          <w:highlight w:val="none"/>
        </w:rPr>
        <w:t>发包人：</w:t>
      </w:r>
      <w:r>
        <w:rPr>
          <w:color w:val="auto"/>
          <w:szCs w:val="21"/>
          <w:highlight w:val="none"/>
        </w:rPr>
        <w:t xml:space="preserve">  </w:t>
      </w:r>
      <w:r>
        <w:rPr>
          <w:rFonts w:hint="eastAsia"/>
          <w:color w:val="auto"/>
          <w:szCs w:val="21"/>
          <w:highlight w:val="none"/>
        </w:rPr>
        <w:t>（公章）</w:t>
      </w:r>
      <w:r>
        <w:rPr>
          <w:color w:val="auto"/>
          <w:szCs w:val="21"/>
          <w:highlight w:val="none"/>
        </w:rPr>
        <w:t xml:space="preserve">                 </w:t>
      </w:r>
      <w:r>
        <w:rPr>
          <w:rFonts w:hint="eastAsia"/>
          <w:color w:val="auto"/>
          <w:szCs w:val="21"/>
          <w:highlight w:val="none"/>
        </w:rPr>
        <w:t>承包人：</w:t>
      </w:r>
      <w:r>
        <w:rPr>
          <w:color w:val="auto"/>
          <w:szCs w:val="21"/>
          <w:highlight w:val="none"/>
        </w:rPr>
        <w:t xml:space="preserve">  </w:t>
      </w:r>
      <w:r>
        <w:rPr>
          <w:rFonts w:hint="eastAsia"/>
          <w:color w:val="auto"/>
          <w:szCs w:val="21"/>
          <w:highlight w:val="none"/>
        </w:rPr>
        <w:t>（公章）</w:t>
      </w:r>
    </w:p>
    <w:p>
      <w:pPr>
        <w:spacing w:line="360" w:lineRule="exact"/>
        <w:ind w:firstLine="420" w:firstLineChars="200"/>
        <w:rPr>
          <w:color w:val="auto"/>
          <w:szCs w:val="21"/>
          <w:highlight w:val="none"/>
          <w:u w:val="single"/>
        </w:rPr>
      </w:pPr>
    </w:p>
    <w:p>
      <w:pPr>
        <w:spacing w:line="360" w:lineRule="exact"/>
        <w:ind w:firstLine="420" w:firstLineChars="200"/>
        <w:rPr>
          <w:color w:val="auto"/>
          <w:szCs w:val="21"/>
          <w:highlight w:val="none"/>
        </w:rPr>
      </w:pPr>
    </w:p>
    <w:p>
      <w:pPr>
        <w:spacing w:line="360" w:lineRule="exact"/>
        <w:ind w:firstLine="420" w:firstLineChars="200"/>
        <w:rPr>
          <w:color w:val="auto"/>
          <w:szCs w:val="21"/>
          <w:highlight w:val="none"/>
        </w:rPr>
      </w:pPr>
      <w:r>
        <w:rPr>
          <w:rFonts w:hint="eastAsia"/>
          <w:color w:val="auto"/>
          <w:szCs w:val="21"/>
          <w:highlight w:val="none"/>
        </w:rPr>
        <w:t>法定代表人或其委托代理人：</w:t>
      </w:r>
      <w:r>
        <w:rPr>
          <w:color w:val="auto"/>
          <w:szCs w:val="21"/>
          <w:highlight w:val="none"/>
        </w:rPr>
        <w:t xml:space="preserve">    </w:t>
      </w:r>
      <w:r>
        <w:rPr>
          <w:rFonts w:hint="eastAsia"/>
          <w:color w:val="auto"/>
          <w:szCs w:val="21"/>
          <w:highlight w:val="none"/>
        </w:rPr>
        <w:t xml:space="preserve">                法定代表人或其委托代理人：</w:t>
      </w:r>
    </w:p>
    <w:p>
      <w:pPr>
        <w:spacing w:line="360" w:lineRule="exact"/>
        <w:ind w:firstLine="420" w:firstLineChars="200"/>
        <w:rPr>
          <w:color w:val="auto"/>
          <w:szCs w:val="21"/>
          <w:highlight w:val="none"/>
        </w:rPr>
      </w:pPr>
      <w:r>
        <w:rPr>
          <w:rFonts w:hint="eastAsia"/>
          <w:color w:val="auto"/>
          <w:szCs w:val="21"/>
          <w:highlight w:val="none"/>
        </w:rPr>
        <w:t>（签字或盖章）</w:t>
      </w:r>
      <w:r>
        <w:rPr>
          <w:color w:val="auto"/>
          <w:szCs w:val="21"/>
          <w:highlight w:val="none"/>
        </w:rPr>
        <w:t xml:space="preserve">                </w:t>
      </w:r>
      <w:r>
        <w:rPr>
          <w:rFonts w:hint="eastAsia"/>
          <w:color w:val="auto"/>
          <w:szCs w:val="21"/>
          <w:highlight w:val="none"/>
        </w:rPr>
        <w:t xml:space="preserve">                （签字或盖章）</w:t>
      </w:r>
    </w:p>
    <w:p>
      <w:pPr>
        <w:spacing w:line="360" w:lineRule="exact"/>
        <w:ind w:firstLine="420" w:firstLineChars="200"/>
        <w:rPr>
          <w:color w:val="auto"/>
          <w:szCs w:val="21"/>
          <w:highlight w:val="none"/>
        </w:rPr>
      </w:pPr>
      <w:r>
        <w:rPr>
          <w:rFonts w:hint="eastAsia"/>
          <w:color w:val="auto"/>
          <w:szCs w:val="21"/>
          <w:highlight w:val="none"/>
        </w:rPr>
        <w:t xml:space="preserve">统一社会信用代码： </w:t>
      </w:r>
      <w:r>
        <w:rPr>
          <w:color w:val="auto"/>
          <w:szCs w:val="21"/>
          <w:highlight w:val="none"/>
        </w:rPr>
        <w:t xml:space="preserve">           </w:t>
      </w:r>
      <w:r>
        <w:rPr>
          <w:rFonts w:hint="eastAsia"/>
          <w:color w:val="auto"/>
          <w:szCs w:val="21"/>
          <w:highlight w:val="none"/>
        </w:rPr>
        <w:t xml:space="preserve">                统一社会信用代码： </w:t>
      </w:r>
      <w:r>
        <w:rPr>
          <w:color w:val="auto"/>
          <w:szCs w:val="21"/>
          <w:highlight w:val="none"/>
        </w:rPr>
        <w:t xml:space="preserve">           </w:t>
      </w:r>
    </w:p>
    <w:p>
      <w:pPr>
        <w:spacing w:line="360" w:lineRule="exact"/>
        <w:ind w:firstLine="420" w:firstLineChars="200"/>
        <w:rPr>
          <w:color w:val="auto"/>
          <w:szCs w:val="21"/>
          <w:highlight w:val="none"/>
        </w:rPr>
      </w:pPr>
      <w:r>
        <w:rPr>
          <w:rFonts w:hint="eastAsia"/>
          <w:color w:val="auto"/>
          <w:szCs w:val="21"/>
          <w:highlight w:val="none"/>
        </w:rPr>
        <w:t>地</w:t>
      </w:r>
      <w:r>
        <w:rPr>
          <w:color w:val="auto"/>
          <w:szCs w:val="21"/>
          <w:highlight w:val="none"/>
        </w:rPr>
        <w:t xml:space="preserve">  </w:t>
      </w:r>
      <w:r>
        <w:rPr>
          <w:rFonts w:hint="eastAsia"/>
          <w:color w:val="auto"/>
          <w:szCs w:val="21"/>
          <w:highlight w:val="none"/>
        </w:rPr>
        <w:t>址：</w:t>
      </w:r>
      <w:r>
        <w:rPr>
          <w:color w:val="auto"/>
          <w:szCs w:val="21"/>
          <w:highlight w:val="none"/>
        </w:rPr>
        <w:t xml:space="preserve"> </w:t>
      </w:r>
      <w:r>
        <w:rPr>
          <w:rFonts w:hint="eastAsia"/>
          <w:color w:val="auto"/>
          <w:szCs w:val="21"/>
          <w:highlight w:val="none"/>
        </w:rPr>
        <w:t xml:space="preserve"> </w:t>
      </w:r>
      <w:r>
        <w:rPr>
          <w:color w:val="auto"/>
          <w:szCs w:val="21"/>
          <w:highlight w:val="none"/>
        </w:rPr>
        <w:t xml:space="preserve">                   </w:t>
      </w:r>
      <w:r>
        <w:rPr>
          <w:rFonts w:hint="eastAsia"/>
          <w:color w:val="auto"/>
          <w:szCs w:val="21"/>
          <w:highlight w:val="none"/>
        </w:rPr>
        <w:t xml:space="preserve">              </w:t>
      </w:r>
      <w:r>
        <w:rPr>
          <w:color w:val="auto"/>
          <w:szCs w:val="21"/>
          <w:highlight w:val="none"/>
        </w:rPr>
        <w:t xml:space="preserve"> </w:t>
      </w:r>
      <w:r>
        <w:rPr>
          <w:rFonts w:hint="eastAsia"/>
          <w:color w:val="auto"/>
          <w:szCs w:val="21"/>
          <w:highlight w:val="none"/>
        </w:rPr>
        <w:t xml:space="preserve">  地</w:t>
      </w:r>
      <w:r>
        <w:rPr>
          <w:color w:val="auto"/>
          <w:szCs w:val="21"/>
          <w:highlight w:val="none"/>
        </w:rPr>
        <w:t xml:space="preserve">  </w:t>
      </w:r>
      <w:r>
        <w:rPr>
          <w:rFonts w:hint="eastAsia"/>
          <w:color w:val="auto"/>
          <w:szCs w:val="21"/>
          <w:highlight w:val="none"/>
        </w:rPr>
        <w:t xml:space="preserve">址： </w:t>
      </w:r>
      <w:r>
        <w:rPr>
          <w:color w:val="auto"/>
          <w:szCs w:val="21"/>
          <w:highlight w:val="none"/>
        </w:rPr>
        <w:t xml:space="preserve">                     </w:t>
      </w:r>
    </w:p>
    <w:p>
      <w:pPr>
        <w:spacing w:line="360" w:lineRule="exact"/>
        <w:ind w:firstLine="420" w:firstLineChars="200"/>
        <w:rPr>
          <w:color w:val="auto"/>
          <w:szCs w:val="21"/>
          <w:highlight w:val="none"/>
        </w:rPr>
      </w:pPr>
      <w:r>
        <w:rPr>
          <w:rFonts w:hint="eastAsia"/>
          <w:color w:val="auto"/>
          <w:szCs w:val="21"/>
          <w:highlight w:val="none"/>
        </w:rPr>
        <w:t>邮政编码：</w:t>
      </w:r>
      <w:r>
        <w:rPr>
          <w:color w:val="auto"/>
          <w:szCs w:val="21"/>
          <w:highlight w:val="none"/>
        </w:rPr>
        <w:t xml:space="preserve"> </w:t>
      </w:r>
      <w:r>
        <w:rPr>
          <w:rFonts w:hint="eastAsia"/>
          <w:color w:val="auto"/>
          <w:szCs w:val="21"/>
          <w:highlight w:val="none"/>
        </w:rPr>
        <w:t xml:space="preserve"> </w:t>
      </w:r>
      <w:r>
        <w:rPr>
          <w:color w:val="auto"/>
          <w:szCs w:val="21"/>
          <w:highlight w:val="none"/>
        </w:rPr>
        <w:t xml:space="preserve">                  </w:t>
      </w:r>
      <w:r>
        <w:rPr>
          <w:rFonts w:hint="eastAsia"/>
          <w:color w:val="auto"/>
          <w:szCs w:val="21"/>
          <w:highlight w:val="none"/>
        </w:rPr>
        <w:t xml:space="preserve">                邮政编码： </w:t>
      </w:r>
      <w:r>
        <w:rPr>
          <w:color w:val="auto"/>
          <w:szCs w:val="21"/>
          <w:highlight w:val="none"/>
        </w:rPr>
        <w:t xml:space="preserve">                   </w:t>
      </w:r>
    </w:p>
    <w:p>
      <w:pPr>
        <w:spacing w:line="360" w:lineRule="exact"/>
        <w:ind w:firstLine="420" w:firstLineChars="200"/>
        <w:rPr>
          <w:color w:val="auto"/>
          <w:szCs w:val="21"/>
          <w:highlight w:val="none"/>
        </w:rPr>
      </w:pPr>
      <w:r>
        <w:rPr>
          <w:rFonts w:hint="eastAsia"/>
          <w:color w:val="auto"/>
          <w:szCs w:val="21"/>
          <w:highlight w:val="none"/>
        </w:rPr>
        <w:t xml:space="preserve">法定代表人： </w:t>
      </w:r>
      <w:r>
        <w:rPr>
          <w:color w:val="auto"/>
          <w:szCs w:val="21"/>
          <w:highlight w:val="none"/>
        </w:rPr>
        <w:t xml:space="preserve">       </w:t>
      </w:r>
      <w:r>
        <w:rPr>
          <w:rFonts w:hint="eastAsia"/>
          <w:color w:val="auto"/>
          <w:szCs w:val="21"/>
          <w:highlight w:val="none"/>
        </w:rPr>
        <w:t xml:space="preserve"> </w:t>
      </w:r>
      <w:r>
        <w:rPr>
          <w:color w:val="auto"/>
          <w:szCs w:val="21"/>
          <w:highlight w:val="none"/>
        </w:rPr>
        <w:t xml:space="preserve">         </w:t>
      </w:r>
      <w:r>
        <w:rPr>
          <w:rFonts w:hint="eastAsia"/>
          <w:color w:val="auto"/>
          <w:szCs w:val="21"/>
          <w:highlight w:val="none"/>
        </w:rPr>
        <w:t xml:space="preserve">                法定代表人： </w:t>
      </w:r>
      <w:r>
        <w:rPr>
          <w:color w:val="auto"/>
          <w:szCs w:val="21"/>
          <w:highlight w:val="none"/>
        </w:rPr>
        <w:t xml:space="preserve">         </w:t>
      </w:r>
      <w:r>
        <w:rPr>
          <w:rFonts w:hint="eastAsia"/>
          <w:color w:val="auto"/>
          <w:szCs w:val="21"/>
          <w:highlight w:val="none"/>
        </w:rPr>
        <w:t xml:space="preserve"> </w:t>
      </w:r>
      <w:r>
        <w:rPr>
          <w:color w:val="auto"/>
          <w:szCs w:val="21"/>
          <w:highlight w:val="none"/>
        </w:rPr>
        <w:t xml:space="preserve">       </w:t>
      </w:r>
    </w:p>
    <w:p>
      <w:pPr>
        <w:spacing w:line="360" w:lineRule="exact"/>
        <w:ind w:firstLine="420" w:firstLineChars="200"/>
        <w:rPr>
          <w:color w:val="auto"/>
          <w:szCs w:val="21"/>
          <w:highlight w:val="none"/>
        </w:rPr>
      </w:pPr>
      <w:r>
        <w:rPr>
          <w:rFonts w:hint="eastAsia"/>
          <w:color w:val="auto"/>
          <w:szCs w:val="21"/>
          <w:highlight w:val="none"/>
        </w:rPr>
        <w:t xml:space="preserve">委托代理人：  </w:t>
      </w:r>
      <w:r>
        <w:rPr>
          <w:color w:val="auto"/>
          <w:szCs w:val="21"/>
          <w:highlight w:val="none"/>
        </w:rPr>
        <w:t xml:space="preserve">                </w:t>
      </w:r>
      <w:r>
        <w:rPr>
          <w:rFonts w:hint="eastAsia"/>
          <w:color w:val="auto"/>
          <w:szCs w:val="21"/>
          <w:highlight w:val="none"/>
        </w:rPr>
        <w:t xml:space="preserve">                委托代理人： </w:t>
      </w:r>
      <w:r>
        <w:rPr>
          <w:color w:val="auto"/>
          <w:szCs w:val="21"/>
          <w:highlight w:val="none"/>
        </w:rPr>
        <w:t xml:space="preserve">                 </w:t>
      </w:r>
    </w:p>
    <w:p>
      <w:pPr>
        <w:spacing w:line="360" w:lineRule="exact"/>
        <w:ind w:firstLine="420" w:firstLineChars="200"/>
        <w:rPr>
          <w:color w:val="auto"/>
          <w:szCs w:val="21"/>
          <w:highlight w:val="none"/>
        </w:rPr>
      </w:pPr>
      <w:r>
        <w:rPr>
          <w:rFonts w:hint="eastAsia"/>
          <w:color w:val="auto"/>
          <w:szCs w:val="21"/>
          <w:highlight w:val="none"/>
        </w:rPr>
        <w:t>电</w:t>
      </w:r>
      <w:r>
        <w:rPr>
          <w:color w:val="auto"/>
          <w:szCs w:val="21"/>
          <w:highlight w:val="none"/>
        </w:rPr>
        <w:t xml:space="preserve">  </w:t>
      </w:r>
      <w:r>
        <w:rPr>
          <w:rFonts w:hint="eastAsia"/>
          <w:color w:val="auto"/>
          <w:szCs w:val="21"/>
          <w:highlight w:val="none"/>
        </w:rPr>
        <w:t xml:space="preserve">话： </w:t>
      </w:r>
      <w:r>
        <w:rPr>
          <w:color w:val="auto"/>
          <w:szCs w:val="21"/>
          <w:highlight w:val="none"/>
        </w:rPr>
        <w:t xml:space="preserve">                    </w:t>
      </w:r>
      <w:r>
        <w:rPr>
          <w:rFonts w:hint="eastAsia"/>
          <w:color w:val="auto"/>
          <w:szCs w:val="21"/>
          <w:highlight w:val="none"/>
        </w:rPr>
        <w:t xml:space="preserve">          </w:t>
      </w:r>
      <w:r>
        <w:rPr>
          <w:color w:val="auto"/>
          <w:szCs w:val="21"/>
          <w:highlight w:val="none"/>
        </w:rPr>
        <w:t xml:space="preserve"> </w:t>
      </w:r>
      <w:r>
        <w:rPr>
          <w:rFonts w:hint="eastAsia"/>
          <w:color w:val="auto"/>
          <w:szCs w:val="21"/>
          <w:highlight w:val="none"/>
        </w:rPr>
        <w:t xml:space="preserve">      电</w:t>
      </w:r>
      <w:r>
        <w:rPr>
          <w:color w:val="auto"/>
          <w:szCs w:val="21"/>
          <w:highlight w:val="none"/>
        </w:rPr>
        <w:t xml:space="preserve">  </w:t>
      </w:r>
      <w:r>
        <w:rPr>
          <w:rFonts w:hint="eastAsia"/>
          <w:color w:val="auto"/>
          <w:szCs w:val="21"/>
          <w:highlight w:val="none"/>
        </w:rPr>
        <w:t xml:space="preserve">话： </w:t>
      </w:r>
      <w:r>
        <w:rPr>
          <w:color w:val="auto"/>
          <w:szCs w:val="21"/>
          <w:highlight w:val="none"/>
        </w:rPr>
        <w:t xml:space="preserve">                     </w:t>
      </w:r>
    </w:p>
    <w:p>
      <w:pPr>
        <w:spacing w:line="360" w:lineRule="exact"/>
        <w:ind w:firstLine="420" w:firstLineChars="200"/>
        <w:rPr>
          <w:color w:val="auto"/>
          <w:szCs w:val="21"/>
          <w:highlight w:val="none"/>
        </w:rPr>
      </w:pPr>
      <w:r>
        <w:rPr>
          <w:rFonts w:hint="eastAsia"/>
          <w:color w:val="auto"/>
          <w:szCs w:val="21"/>
          <w:highlight w:val="none"/>
        </w:rPr>
        <w:t>传</w:t>
      </w:r>
      <w:r>
        <w:rPr>
          <w:color w:val="auto"/>
          <w:szCs w:val="21"/>
          <w:highlight w:val="none"/>
        </w:rPr>
        <w:t xml:space="preserve">  </w:t>
      </w:r>
      <w:r>
        <w:rPr>
          <w:rFonts w:hint="eastAsia"/>
          <w:color w:val="auto"/>
          <w:szCs w:val="21"/>
          <w:highlight w:val="none"/>
        </w:rPr>
        <w:t xml:space="preserve">真： </w:t>
      </w:r>
      <w:r>
        <w:rPr>
          <w:color w:val="auto"/>
          <w:szCs w:val="21"/>
          <w:highlight w:val="none"/>
        </w:rPr>
        <w:t xml:space="preserve">                     </w:t>
      </w:r>
      <w:r>
        <w:rPr>
          <w:rFonts w:hint="eastAsia"/>
          <w:color w:val="auto"/>
          <w:szCs w:val="21"/>
          <w:highlight w:val="none"/>
        </w:rPr>
        <w:t xml:space="preserve">                传</w:t>
      </w:r>
      <w:r>
        <w:rPr>
          <w:color w:val="auto"/>
          <w:szCs w:val="21"/>
          <w:highlight w:val="none"/>
        </w:rPr>
        <w:t xml:space="preserve">  </w:t>
      </w:r>
      <w:r>
        <w:rPr>
          <w:rFonts w:hint="eastAsia"/>
          <w:color w:val="auto"/>
          <w:szCs w:val="21"/>
          <w:highlight w:val="none"/>
        </w:rPr>
        <w:t xml:space="preserve">真： </w:t>
      </w:r>
      <w:r>
        <w:rPr>
          <w:color w:val="auto"/>
          <w:szCs w:val="21"/>
          <w:highlight w:val="none"/>
        </w:rPr>
        <w:t xml:space="preserve">               </w:t>
      </w:r>
      <w:r>
        <w:rPr>
          <w:rFonts w:hint="eastAsia"/>
          <w:color w:val="auto"/>
          <w:szCs w:val="21"/>
          <w:highlight w:val="none"/>
        </w:rPr>
        <w:t xml:space="preserve"> </w:t>
      </w:r>
      <w:r>
        <w:rPr>
          <w:color w:val="auto"/>
          <w:szCs w:val="21"/>
          <w:highlight w:val="none"/>
        </w:rPr>
        <w:t xml:space="preserve">     </w:t>
      </w:r>
    </w:p>
    <w:p>
      <w:pPr>
        <w:spacing w:line="360" w:lineRule="exact"/>
        <w:ind w:firstLine="420" w:firstLineChars="200"/>
        <w:rPr>
          <w:color w:val="auto"/>
          <w:szCs w:val="21"/>
          <w:highlight w:val="none"/>
        </w:rPr>
      </w:pPr>
      <w:r>
        <w:rPr>
          <w:rFonts w:hint="eastAsia"/>
          <w:color w:val="auto"/>
          <w:szCs w:val="21"/>
          <w:highlight w:val="none"/>
        </w:rPr>
        <w:t>电子信箱：</w:t>
      </w:r>
      <w:r>
        <w:rPr>
          <w:color w:val="auto"/>
          <w:szCs w:val="21"/>
          <w:highlight w:val="none"/>
        </w:rPr>
        <w:t xml:space="preserve">                    </w:t>
      </w:r>
      <w:r>
        <w:rPr>
          <w:rFonts w:hint="eastAsia"/>
          <w:color w:val="auto"/>
          <w:szCs w:val="21"/>
          <w:highlight w:val="none"/>
        </w:rPr>
        <w:t xml:space="preserve">                电子信箱： </w:t>
      </w:r>
      <w:r>
        <w:rPr>
          <w:color w:val="auto"/>
          <w:szCs w:val="21"/>
          <w:highlight w:val="none"/>
        </w:rPr>
        <w:t xml:space="preserve">                   </w:t>
      </w:r>
    </w:p>
    <w:p>
      <w:pPr>
        <w:spacing w:line="360" w:lineRule="exact"/>
        <w:ind w:firstLine="420" w:firstLineChars="200"/>
        <w:rPr>
          <w:color w:val="auto"/>
          <w:szCs w:val="21"/>
          <w:highlight w:val="none"/>
        </w:rPr>
      </w:pPr>
      <w:r>
        <w:rPr>
          <w:rFonts w:hint="eastAsia"/>
          <w:color w:val="auto"/>
          <w:szCs w:val="21"/>
          <w:highlight w:val="none"/>
        </w:rPr>
        <w:t xml:space="preserve">开户银行： </w:t>
      </w:r>
      <w:r>
        <w:rPr>
          <w:color w:val="auto"/>
          <w:szCs w:val="21"/>
          <w:highlight w:val="none"/>
        </w:rPr>
        <w:t xml:space="preserve">                   </w:t>
      </w:r>
      <w:r>
        <w:rPr>
          <w:rFonts w:hint="eastAsia"/>
          <w:color w:val="auto"/>
          <w:szCs w:val="21"/>
          <w:highlight w:val="none"/>
        </w:rPr>
        <w:t xml:space="preserve">                开户银行： </w:t>
      </w:r>
      <w:r>
        <w:rPr>
          <w:color w:val="auto"/>
          <w:szCs w:val="21"/>
          <w:highlight w:val="none"/>
        </w:rPr>
        <w:t xml:space="preserve">    </w:t>
      </w:r>
      <w:r>
        <w:rPr>
          <w:rFonts w:hint="eastAsia"/>
          <w:color w:val="auto"/>
          <w:szCs w:val="21"/>
          <w:highlight w:val="none"/>
        </w:rPr>
        <w:t xml:space="preserve"> </w:t>
      </w:r>
      <w:r>
        <w:rPr>
          <w:color w:val="auto"/>
          <w:szCs w:val="21"/>
          <w:highlight w:val="none"/>
        </w:rPr>
        <w:t xml:space="preserve">              </w:t>
      </w:r>
    </w:p>
    <w:p>
      <w:pPr>
        <w:spacing w:line="360" w:lineRule="exact"/>
        <w:ind w:firstLine="420" w:firstLineChars="200"/>
        <w:rPr>
          <w:color w:val="auto"/>
          <w:szCs w:val="21"/>
          <w:highlight w:val="none"/>
        </w:rPr>
      </w:pPr>
      <w:r>
        <w:rPr>
          <w:rFonts w:hint="eastAsia"/>
          <w:color w:val="auto"/>
          <w:szCs w:val="21"/>
          <w:highlight w:val="none"/>
        </w:rPr>
        <w:t>账</w:t>
      </w:r>
      <w:r>
        <w:rPr>
          <w:color w:val="auto"/>
          <w:szCs w:val="21"/>
          <w:highlight w:val="none"/>
        </w:rPr>
        <w:t xml:space="preserve">  </w:t>
      </w:r>
      <w:r>
        <w:rPr>
          <w:rFonts w:hint="eastAsia"/>
          <w:color w:val="auto"/>
          <w:szCs w:val="21"/>
          <w:highlight w:val="none"/>
        </w:rPr>
        <w:t xml:space="preserve">号： </w:t>
      </w:r>
      <w:r>
        <w:rPr>
          <w:color w:val="auto"/>
          <w:szCs w:val="21"/>
          <w:highlight w:val="none"/>
        </w:rPr>
        <w:t xml:space="preserve">                     </w:t>
      </w:r>
      <w:r>
        <w:rPr>
          <w:rFonts w:hint="eastAsia"/>
          <w:color w:val="auto"/>
          <w:szCs w:val="21"/>
          <w:highlight w:val="none"/>
        </w:rPr>
        <w:t xml:space="preserve">                账</w:t>
      </w:r>
      <w:r>
        <w:rPr>
          <w:color w:val="auto"/>
          <w:szCs w:val="21"/>
          <w:highlight w:val="none"/>
        </w:rPr>
        <w:t xml:space="preserve">  </w:t>
      </w:r>
      <w:r>
        <w:rPr>
          <w:rFonts w:hint="eastAsia"/>
          <w:color w:val="auto"/>
          <w:szCs w:val="21"/>
          <w:highlight w:val="none"/>
        </w:rPr>
        <w:t xml:space="preserve">号： </w:t>
      </w:r>
      <w:r>
        <w:rPr>
          <w:color w:val="auto"/>
          <w:szCs w:val="21"/>
          <w:highlight w:val="none"/>
        </w:rPr>
        <w:t xml:space="preserve">                     </w:t>
      </w:r>
    </w:p>
    <w:p>
      <w:pPr>
        <w:keepNext/>
        <w:keepLines/>
        <w:spacing w:before="100" w:line="400" w:lineRule="exact"/>
        <w:jc w:val="center"/>
        <w:outlineLvl w:val="1"/>
        <w:rPr>
          <w:rFonts w:eastAsia="黑体" w:cs="宋体"/>
          <w:color w:val="auto"/>
          <w:szCs w:val="32"/>
          <w:highlight w:val="none"/>
        </w:rPr>
      </w:pPr>
      <w:bookmarkStart w:id="164" w:name="_Toc228163246"/>
      <w:bookmarkStart w:id="165" w:name="_Toc372899875"/>
      <w:r>
        <w:rPr>
          <w:b/>
          <w:bCs/>
          <w:color w:val="auto"/>
          <w:szCs w:val="21"/>
          <w:highlight w:val="none"/>
        </w:rPr>
        <w:br w:type="page"/>
      </w:r>
      <w:bookmarkStart w:id="166" w:name="_Toc19546676"/>
      <w:bookmarkStart w:id="167" w:name="_Toc54349420"/>
      <w:r>
        <w:rPr>
          <w:rFonts w:hint="eastAsia" w:ascii="宋体" w:hAnsi="宋体" w:cs="宋体"/>
          <w:b/>
          <w:bCs/>
          <w:color w:val="auto"/>
          <w:sz w:val="32"/>
          <w:szCs w:val="32"/>
          <w:highlight w:val="none"/>
        </w:rPr>
        <w:t>第二部分  通用条款</w:t>
      </w:r>
      <w:bookmarkEnd w:id="164"/>
      <w:r>
        <w:rPr>
          <w:rFonts w:hint="eastAsia" w:ascii="宋体" w:hAnsi="宋体" w:cs="宋体"/>
          <w:b/>
          <w:bCs/>
          <w:color w:val="auto"/>
          <w:sz w:val="32"/>
          <w:szCs w:val="32"/>
          <w:highlight w:val="none"/>
        </w:rPr>
        <w:t>（略）</w:t>
      </w:r>
      <w:bookmarkEnd w:id="165"/>
      <w:bookmarkEnd w:id="166"/>
      <w:bookmarkEnd w:id="167"/>
    </w:p>
    <w:p>
      <w:pPr>
        <w:spacing w:line="360" w:lineRule="exact"/>
        <w:ind w:firstLine="420" w:firstLineChars="200"/>
        <w:rPr>
          <w:color w:val="auto"/>
          <w:szCs w:val="21"/>
          <w:highlight w:val="none"/>
        </w:rPr>
      </w:pPr>
    </w:p>
    <w:p>
      <w:pPr>
        <w:keepNext/>
        <w:keepLines/>
        <w:spacing w:before="100" w:line="400" w:lineRule="exact"/>
        <w:jc w:val="center"/>
        <w:outlineLvl w:val="1"/>
        <w:rPr>
          <w:rFonts w:ascii="宋体" w:hAnsi="宋体" w:cs="宋体"/>
          <w:b/>
          <w:bCs/>
          <w:color w:val="auto"/>
          <w:sz w:val="32"/>
          <w:szCs w:val="32"/>
          <w:highlight w:val="none"/>
        </w:rPr>
      </w:pPr>
      <w:bookmarkStart w:id="168" w:name="_Toc19546677"/>
      <w:bookmarkStart w:id="169" w:name="_Toc54349421"/>
      <w:r>
        <w:rPr>
          <w:rFonts w:hint="eastAsia" w:ascii="宋体" w:hAnsi="宋体" w:cs="宋体"/>
          <w:b/>
          <w:bCs/>
          <w:color w:val="auto"/>
          <w:sz w:val="32"/>
          <w:szCs w:val="32"/>
          <w:highlight w:val="none"/>
        </w:rPr>
        <w:t>第三部分 专用合同条款</w:t>
      </w:r>
      <w:bookmarkEnd w:id="168"/>
      <w:bookmarkEnd w:id="169"/>
    </w:p>
    <w:p>
      <w:pPr>
        <w:spacing w:line="360" w:lineRule="exact"/>
        <w:ind w:firstLine="422" w:firstLineChars="200"/>
        <w:rPr>
          <w:b/>
          <w:bCs/>
          <w:color w:val="auto"/>
          <w:szCs w:val="21"/>
          <w:highlight w:val="none"/>
        </w:rPr>
      </w:pPr>
      <w:bookmarkStart w:id="170" w:name="_Toc351203633"/>
      <w:r>
        <w:rPr>
          <w:b/>
          <w:bCs/>
          <w:color w:val="auto"/>
          <w:szCs w:val="21"/>
          <w:highlight w:val="none"/>
        </w:rPr>
        <w:t>1</w:t>
      </w:r>
      <w:bookmarkStart w:id="171" w:name="_Toc296346657"/>
      <w:bookmarkStart w:id="172" w:name="_Toc297048342"/>
      <w:bookmarkStart w:id="173" w:name="_Toc296503156"/>
      <w:bookmarkStart w:id="174" w:name="_Toc292559361"/>
      <w:bookmarkStart w:id="175" w:name="_Toc296891196"/>
      <w:bookmarkStart w:id="176" w:name="_Toc297120456"/>
      <w:bookmarkStart w:id="177" w:name="_Toc296347155"/>
      <w:bookmarkStart w:id="178" w:name="_Toc296890984"/>
      <w:bookmarkStart w:id="179" w:name="_Toc292559866"/>
      <w:bookmarkStart w:id="180" w:name="_Toc296944495"/>
      <w:r>
        <w:rPr>
          <w:b/>
          <w:bCs/>
          <w:color w:val="auto"/>
          <w:szCs w:val="21"/>
          <w:highlight w:val="none"/>
        </w:rPr>
        <w:t>. 一般约定</w:t>
      </w:r>
      <w:bookmarkEnd w:id="170"/>
    </w:p>
    <w:bookmarkEnd w:id="171"/>
    <w:bookmarkEnd w:id="172"/>
    <w:bookmarkEnd w:id="173"/>
    <w:bookmarkEnd w:id="174"/>
    <w:bookmarkEnd w:id="175"/>
    <w:bookmarkEnd w:id="176"/>
    <w:bookmarkEnd w:id="177"/>
    <w:bookmarkEnd w:id="178"/>
    <w:bookmarkEnd w:id="179"/>
    <w:bookmarkEnd w:id="180"/>
    <w:p>
      <w:pPr>
        <w:spacing w:line="360" w:lineRule="exact"/>
        <w:ind w:firstLine="420" w:firstLineChars="200"/>
        <w:rPr>
          <w:color w:val="auto"/>
          <w:szCs w:val="21"/>
          <w:highlight w:val="none"/>
        </w:rPr>
      </w:pPr>
      <w:r>
        <w:rPr>
          <w:color w:val="auto"/>
          <w:szCs w:val="21"/>
          <w:highlight w:val="none"/>
        </w:rPr>
        <w:t>1.1 词语定义</w:t>
      </w:r>
    </w:p>
    <w:p>
      <w:pPr>
        <w:spacing w:line="360" w:lineRule="exact"/>
        <w:ind w:firstLine="420" w:firstLineChars="200"/>
        <w:rPr>
          <w:color w:val="auto"/>
          <w:szCs w:val="21"/>
          <w:highlight w:val="none"/>
        </w:rPr>
      </w:pPr>
      <w:r>
        <w:rPr>
          <w:color w:val="auto"/>
          <w:szCs w:val="21"/>
          <w:highlight w:val="none"/>
        </w:rPr>
        <w:t>1.1.1合同</w:t>
      </w:r>
    </w:p>
    <w:p>
      <w:pPr>
        <w:spacing w:line="360" w:lineRule="exact"/>
        <w:ind w:firstLine="420" w:firstLineChars="200"/>
        <w:rPr>
          <w:color w:val="auto"/>
          <w:szCs w:val="21"/>
          <w:highlight w:val="none"/>
          <w:u w:val="single"/>
        </w:rPr>
      </w:pPr>
      <w:r>
        <w:rPr>
          <w:color w:val="auto"/>
          <w:szCs w:val="21"/>
          <w:highlight w:val="none"/>
        </w:rPr>
        <w:t>1.1.1.10其他合同文件包括：</w:t>
      </w:r>
      <w:r>
        <w:rPr>
          <w:rFonts w:hint="eastAsia"/>
          <w:color w:val="auto"/>
          <w:szCs w:val="21"/>
          <w:highlight w:val="none"/>
          <w:u w:val="single"/>
        </w:rPr>
        <w:t xml:space="preserve"> 工程采购文件、除投标函及其附录和已标价工程量清单或预算书外的其它响应文件。</w:t>
      </w:r>
    </w:p>
    <w:p>
      <w:pPr>
        <w:spacing w:line="360" w:lineRule="exact"/>
        <w:ind w:firstLine="420" w:firstLineChars="200"/>
        <w:rPr>
          <w:color w:val="auto"/>
          <w:szCs w:val="21"/>
          <w:highlight w:val="none"/>
        </w:rPr>
      </w:pPr>
      <w:r>
        <w:rPr>
          <w:color w:val="auto"/>
          <w:szCs w:val="21"/>
          <w:highlight w:val="none"/>
        </w:rPr>
        <w:t>1.1.2 合同当事人及其他相关方</w:t>
      </w:r>
    </w:p>
    <w:p>
      <w:pPr>
        <w:spacing w:line="360" w:lineRule="exact"/>
        <w:ind w:firstLine="420" w:firstLineChars="200"/>
        <w:rPr>
          <w:color w:val="auto"/>
          <w:szCs w:val="21"/>
          <w:highlight w:val="none"/>
        </w:rPr>
      </w:pPr>
      <w:r>
        <w:rPr>
          <w:color w:val="auto"/>
          <w:szCs w:val="21"/>
          <w:highlight w:val="none"/>
        </w:rPr>
        <w:t>1.1.2.4监理人：</w:t>
      </w:r>
    </w:p>
    <w:p>
      <w:pPr>
        <w:spacing w:line="360" w:lineRule="exact"/>
        <w:ind w:firstLine="420" w:firstLineChars="200"/>
        <w:rPr>
          <w:color w:val="auto"/>
          <w:szCs w:val="21"/>
          <w:highlight w:val="none"/>
        </w:rPr>
      </w:pPr>
      <w:r>
        <w:rPr>
          <w:color w:val="auto"/>
          <w:szCs w:val="21"/>
          <w:highlight w:val="none"/>
        </w:rPr>
        <w:t>名    称：</w:t>
      </w:r>
      <w:r>
        <w:rPr>
          <w:bCs/>
          <w:color w:val="auto"/>
          <w:szCs w:val="21"/>
          <w:highlight w:val="none"/>
          <w:u w:val="single"/>
        </w:rPr>
        <w:t xml:space="preserve">                  以监理合同为准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资质类别和等级：</w:t>
      </w:r>
      <w:r>
        <w:rPr>
          <w:bCs/>
          <w:color w:val="auto"/>
          <w:szCs w:val="21"/>
          <w:highlight w:val="none"/>
          <w:u w:val="single"/>
        </w:rPr>
        <w:t xml:space="preserve">                </w:t>
      </w:r>
      <w:r>
        <w:rPr>
          <w:rFonts w:hint="eastAsia"/>
          <w:bCs/>
          <w:color w:val="auto"/>
          <w:szCs w:val="21"/>
          <w:highlight w:val="none"/>
          <w:u w:val="single"/>
        </w:rPr>
        <w:t>/</w:t>
      </w:r>
      <w:r>
        <w:rPr>
          <w:bCs/>
          <w:color w:val="auto"/>
          <w:szCs w:val="21"/>
          <w:highlight w:val="none"/>
          <w:u w:val="single"/>
        </w:rPr>
        <w:t xml:space="preserve">                     </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联系电话：</w:t>
      </w:r>
      <w:r>
        <w:rPr>
          <w:bCs/>
          <w:color w:val="auto"/>
          <w:szCs w:val="21"/>
          <w:highlight w:val="none"/>
          <w:u w:val="single"/>
        </w:rPr>
        <w:t xml:space="preserve">                     </w:t>
      </w:r>
      <w:r>
        <w:rPr>
          <w:rFonts w:hint="eastAsia"/>
          <w:bCs/>
          <w:color w:val="auto"/>
          <w:szCs w:val="21"/>
          <w:highlight w:val="none"/>
          <w:u w:val="single"/>
        </w:rPr>
        <w:t>/</w:t>
      </w:r>
      <w:r>
        <w:rPr>
          <w:bCs/>
          <w:color w:val="auto"/>
          <w:szCs w:val="21"/>
          <w:highlight w:val="none"/>
          <w:u w:val="single"/>
        </w:rPr>
        <w:t xml:space="preserve">                      </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电子信箱：</w:t>
      </w:r>
      <w:r>
        <w:rPr>
          <w:bCs/>
          <w:color w:val="auto"/>
          <w:szCs w:val="21"/>
          <w:highlight w:val="none"/>
          <w:u w:val="single"/>
        </w:rPr>
        <w:t xml:space="preserve">                      </w:t>
      </w:r>
      <w:r>
        <w:rPr>
          <w:rFonts w:hint="eastAsia"/>
          <w:bCs/>
          <w:color w:val="auto"/>
          <w:szCs w:val="21"/>
          <w:highlight w:val="none"/>
          <w:u w:val="single"/>
        </w:rPr>
        <w:t>/</w:t>
      </w:r>
      <w:r>
        <w:rPr>
          <w:bCs/>
          <w:color w:val="auto"/>
          <w:szCs w:val="21"/>
          <w:highlight w:val="none"/>
          <w:u w:val="single"/>
        </w:rPr>
        <w:t xml:space="preserve">                     </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通信地址：</w:t>
      </w:r>
      <w:r>
        <w:rPr>
          <w:bCs/>
          <w:color w:val="auto"/>
          <w:szCs w:val="21"/>
          <w:highlight w:val="none"/>
          <w:u w:val="single"/>
        </w:rPr>
        <w:t xml:space="preserve">                      </w:t>
      </w:r>
      <w:r>
        <w:rPr>
          <w:rFonts w:hint="eastAsia"/>
          <w:bCs/>
          <w:color w:val="auto"/>
          <w:szCs w:val="21"/>
          <w:highlight w:val="none"/>
          <w:u w:val="single"/>
        </w:rPr>
        <w:t>/</w:t>
      </w:r>
      <w:r>
        <w:rPr>
          <w:bCs/>
          <w:color w:val="auto"/>
          <w:szCs w:val="21"/>
          <w:highlight w:val="none"/>
          <w:u w:val="single"/>
        </w:rPr>
        <w:t xml:space="preserve">                     </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1.1.2.5 设计人：</w:t>
      </w:r>
    </w:p>
    <w:p>
      <w:pPr>
        <w:spacing w:line="360" w:lineRule="exact"/>
        <w:ind w:firstLine="420" w:firstLineChars="200"/>
        <w:rPr>
          <w:color w:val="auto"/>
          <w:szCs w:val="21"/>
          <w:highlight w:val="none"/>
        </w:rPr>
      </w:pPr>
      <w:r>
        <w:rPr>
          <w:color w:val="auto"/>
          <w:szCs w:val="21"/>
          <w:highlight w:val="none"/>
        </w:rPr>
        <w:t>名    称：</w:t>
      </w:r>
      <w:r>
        <w:rPr>
          <w:rFonts w:hint="eastAsia"/>
          <w:color w:val="auto"/>
          <w:szCs w:val="21"/>
          <w:highlight w:val="none"/>
          <w:u w:val="single"/>
        </w:rPr>
        <w:t xml:space="preserve">         以设计合同为准          </w:t>
      </w:r>
      <w:r>
        <w:rPr>
          <w:bCs/>
          <w:color w:val="auto"/>
          <w:szCs w:val="21"/>
          <w:highlight w:val="none"/>
          <w:u w:val="single"/>
        </w:rPr>
        <w:t xml:space="preserve"> </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资质类别和等级：</w:t>
      </w:r>
      <w:r>
        <w:rPr>
          <w:rFonts w:hint="eastAsia"/>
          <w:color w:val="auto"/>
          <w:szCs w:val="21"/>
          <w:highlight w:val="none"/>
          <w:u w:val="single"/>
        </w:rPr>
        <w:t xml:space="preserve">           /                   </w:t>
      </w:r>
      <w:r>
        <w:rPr>
          <w:bCs/>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联系电话：</w:t>
      </w:r>
      <w:r>
        <w:rPr>
          <w:bCs/>
          <w:color w:val="auto"/>
          <w:szCs w:val="21"/>
          <w:highlight w:val="none"/>
          <w:u w:val="single"/>
        </w:rPr>
        <w:t xml:space="preserve">                     </w:t>
      </w:r>
      <w:r>
        <w:rPr>
          <w:rFonts w:hint="eastAsia"/>
          <w:bCs/>
          <w:color w:val="auto"/>
          <w:szCs w:val="21"/>
          <w:highlight w:val="none"/>
          <w:u w:val="single"/>
        </w:rPr>
        <w:t>/</w:t>
      </w:r>
      <w:r>
        <w:rPr>
          <w:bCs/>
          <w:color w:val="auto"/>
          <w:szCs w:val="21"/>
          <w:highlight w:val="none"/>
          <w:u w:val="single"/>
        </w:rPr>
        <w:t xml:space="preserve">                      </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电子信箱：</w:t>
      </w:r>
      <w:r>
        <w:rPr>
          <w:bCs/>
          <w:color w:val="auto"/>
          <w:szCs w:val="21"/>
          <w:highlight w:val="none"/>
          <w:u w:val="single"/>
        </w:rPr>
        <w:t xml:space="preserve">                     </w:t>
      </w:r>
      <w:r>
        <w:rPr>
          <w:rFonts w:hint="eastAsia"/>
          <w:bCs/>
          <w:color w:val="auto"/>
          <w:szCs w:val="21"/>
          <w:highlight w:val="none"/>
          <w:u w:val="single"/>
        </w:rPr>
        <w:t>/</w:t>
      </w:r>
      <w:r>
        <w:rPr>
          <w:bCs/>
          <w:color w:val="auto"/>
          <w:szCs w:val="21"/>
          <w:highlight w:val="none"/>
          <w:u w:val="single"/>
        </w:rPr>
        <w:t xml:space="preserve">                      </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通信地址：</w:t>
      </w:r>
      <w:r>
        <w:rPr>
          <w:bCs/>
          <w:color w:val="auto"/>
          <w:szCs w:val="21"/>
          <w:highlight w:val="none"/>
          <w:u w:val="single"/>
        </w:rPr>
        <w:t xml:space="preserve">                     </w:t>
      </w:r>
      <w:r>
        <w:rPr>
          <w:rFonts w:hint="eastAsia"/>
          <w:bCs/>
          <w:color w:val="auto"/>
          <w:szCs w:val="21"/>
          <w:highlight w:val="none"/>
          <w:u w:val="single"/>
        </w:rPr>
        <w:t>/</w:t>
      </w:r>
      <w:r>
        <w:rPr>
          <w:bCs/>
          <w:color w:val="auto"/>
          <w:szCs w:val="21"/>
          <w:highlight w:val="none"/>
          <w:u w:val="single"/>
        </w:rPr>
        <w:t xml:space="preserve">                      </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1.1.3 工程和设备</w:t>
      </w:r>
    </w:p>
    <w:p>
      <w:pPr>
        <w:spacing w:line="360" w:lineRule="exact"/>
        <w:ind w:firstLine="420" w:firstLineChars="200"/>
        <w:rPr>
          <w:color w:val="auto"/>
          <w:szCs w:val="21"/>
          <w:highlight w:val="none"/>
        </w:rPr>
      </w:pPr>
      <w:r>
        <w:rPr>
          <w:color w:val="auto"/>
          <w:szCs w:val="21"/>
          <w:highlight w:val="none"/>
        </w:rPr>
        <w:t>1.1.3.7 作为施工现场组成部分的其他场所包括：</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1.1.3.9 永久占地包括：</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1.1.3.10 临时占地包括：</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 xml:space="preserve">1.3法律 </w:t>
      </w:r>
    </w:p>
    <w:p>
      <w:pPr>
        <w:spacing w:line="360" w:lineRule="exact"/>
        <w:ind w:firstLine="420" w:firstLineChars="200"/>
        <w:rPr>
          <w:color w:val="auto"/>
          <w:szCs w:val="21"/>
          <w:highlight w:val="none"/>
        </w:rPr>
      </w:pPr>
      <w:r>
        <w:rPr>
          <w:color w:val="auto"/>
          <w:szCs w:val="21"/>
          <w:highlight w:val="none"/>
        </w:rPr>
        <w:t>适用于合同的其他规范性文件：</w:t>
      </w:r>
      <w:r>
        <w:rPr>
          <w:rFonts w:hint="eastAsia" w:ascii="宋体" w:hAnsi="宋体"/>
          <w:color w:val="auto"/>
          <w:szCs w:val="21"/>
          <w:highlight w:val="none"/>
          <w:u w:val="single"/>
        </w:rPr>
        <w:t>工程所在地现行的有关工程造价方面规定文件等。</w:t>
      </w:r>
    </w:p>
    <w:p>
      <w:pPr>
        <w:spacing w:line="360" w:lineRule="exact"/>
        <w:ind w:firstLine="422" w:firstLineChars="200"/>
        <w:rPr>
          <w:b/>
          <w:color w:val="auto"/>
          <w:szCs w:val="21"/>
          <w:highlight w:val="none"/>
        </w:rPr>
      </w:pPr>
      <w:r>
        <w:rPr>
          <w:b/>
          <w:color w:val="auto"/>
          <w:szCs w:val="21"/>
          <w:highlight w:val="none"/>
        </w:rPr>
        <w:t>1.4 标准和规范</w:t>
      </w:r>
    </w:p>
    <w:p>
      <w:pPr>
        <w:spacing w:line="360" w:lineRule="exact"/>
        <w:ind w:firstLine="420" w:firstLineChars="200"/>
        <w:rPr>
          <w:color w:val="auto"/>
          <w:szCs w:val="21"/>
          <w:highlight w:val="none"/>
        </w:rPr>
      </w:pPr>
      <w:r>
        <w:rPr>
          <w:color w:val="auto"/>
          <w:szCs w:val="21"/>
          <w:highlight w:val="none"/>
        </w:rPr>
        <w:t>1.4.1适用于工程的标准规范包括：</w:t>
      </w:r>
      <w:r>
        <w:rPr>
          <w:color w:val="auto"/>
          <w:szCs w:val="21"/>
          <w:highlight w:val="none"/>
          <w:u w:val="single"/>
        </w:rPr>
        <w:t>按现行的国家、省、市施工验收规范、质量评定标准及有关规定。合同工期内的标准、规范，采购文件中的技术要求等</w:t>
      </w:r>
      <w:r>
        <w:rPr>
          <w:color w:val="auto"/>
          <w:szCs w:val="21"/>
          <w:highlight w:val="none"/>
        </w:rPr>
        <w:t>。</w:t>
      </w:r>
    </w:p>
    <w:p>
      <w:pPr>
        <w:spacing w:line="360" w:lineRule="exact"/>
        <w:ind w:firstLine="420" w:firstLineChars="200"/>
        <w:rPr>
          <w:color w:val="auto"/>
          <w:szCs w:val="21"/>
          <w:highlight w:val="none"/>
          <w:u w:val="single"/>
        </w:rPr>
      </w:pPr>
      <w:r>
        <w:rPr>
          <w:color w:val="auto"/>
          <w:szCs w:val="21"/>
          <w:highlight w:val="none"/>
        </w:rPr>
        <w:t xml:space="preserve">1.4.2 </w:t>
      </w:r>
      <w:r>
        <w:rPr>
          <w:rFonts w:hint="eastAsia"/>
          <w:color w:val="auto"/>
          <w:szCs w:val="21"/>
          <w:highlight w:val="none"/>
        </w:rPr>
        <w:t>发包人提供国外标准、规范的名称：</w:t>
      </w:r>
      <w:r>
        <w:rPr>
          <w:rFonts w:hint="eastAsia"/>
          <w:color w:val="auto"/>
          <w:szCs w:val="21"/>
          <w:highlight w:val="none"/>
          <w:u w:val="single"/>
        </w:rPr>
        <w:t xml:space="preserve"> 承包人自行解决   </w:t>
      </w:r>
      <w:r>
        <w:rPr>
          <w:rFonts w:hint="eastAsia"/>
          <w:color w:val="auto"/>
          <w:szCs w:val="21"/>
          <w:highlight w:val="none"/>
        </w:rPr>
        <w:t>；</w:t>
      </w:r>
    </w:p>
    <w:p>
      <w:pPr>
        <w:spacing w:line="360" w:lineRule="exact"/>
        <w:ind w:firstLine="420" w:firstLineChars="200"/>
        <w:rPr>
          <w:color w:val="auto"/>
          <w:szCs w:val="21"/>
          <w:highlight w:val="none"/>
        </w:rPr>
      </w:pPr>
      <w:r>
        <w:rPr>
          <w:rFonts w:hint="eastAsia"/>
          <w:color w:val="auto"/>
          <w:szCs w:val="21"/>
          <w:highlight w:val="none"/>
        </w:rPr>
        <w:t>发包人提供国外标准、规范的份数：</w:t>
      </w:r>
      <w:r>
        <w:rPr>
          <w:rFonts w:hint="eastAsia"/>
          <w:color w:val="auto"/>
          <w:szCs w:val="21"/>
          <w:highlight w:val="none"/>
          <w:u w:val="single"/>
        </w:rPr>
        <w:t xml:space="preserve">         /            </w:t>
      </w:r>
      <w:r>
        <w:rPr>
          <w:rFonts w:hint="eastAsia"/>
          <w:color w:val="auto"/>
          <w:szCs w:val="21"/>
          <w:highlight w:val="none"/>
        </w:rPr>
        <w:t>；</w:t>
      </w:r>
    </w:p>
    <w:p>
      <w:pPr>
        <w:spacing w:line="360" w:lineRule="exact"/>
        <w:ind w:firstLine="420" w:firstLineChars="200"/>
        <w:rPr>
          <w:color w:val="auto"/>
          <w:szCs w:val="21"/>
          <w:highlight w:val="none"/>
        </w:rPr>
      </w:pPr>
      <w:r>
        <w:rPr>
          <w:rFonts w:hint="eastAsia"/>
          <w:color w:val="auto"/>
          <w:szCs w:val="21"/>
          <w:highlight w:val="none"/>
        </w:rPr>
        <w:t>发包人提供国外标准、规范的名称：</w:t>
      </w:r>
      <w:r>
        <w:rPr>
          <w:rFonts w:hint="eastAsia"/>
          <w:color w:val="auto"/>
          <w:szCs w:val="21"/>
          <w:highlight w:val="none"/>
          <w:u w:val="single"/>
        </w:rPr>
        <w:t xml:space="preserve">          /            </w:t>
      </w:r>
      <w:r>
        <w:rPr>
          <w:rFonts w:hint="eastAsia"/>
          <w:color w:val="auto"/>
          <w:szCs w:val="21"/>
          <w:highlight w:val="none"/>
        </w:rPr>
        <w:t>。</w:t>
      </w:r>
    </w:p>
    <w:p>
      <w:pPr>
        <w:spacing w:line="360" w:lineRule="exact"/>
        <w:ind w:firstLine="420" w:firstLineChars="200"/>
        <w:rPr>
          <w:color w:val="auto"/>
          <w:szCs w:val="21"/>
          <w:highlight w:val="none"/>
        </w:rPr>
      </w:pPr>
      <w:r>
        <w:rPr>
          <w:color w:val="auto"/>
          <w:szCs w:val="21"/>
          <w:highlight w:val="none"/>
        </w:rPr>
        <w:t>1.4.3发包人对工程的技术标准和功能要求的特殊要求：</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1.5 合同文件的优先顺序</w:t>
      </w:r>
    </w:p>
    <w:p>
      <w:pPr>
        <w:spacing w:line="360" w:lineRule="exact"/>
        <w:ind w:firstLine="420" w:firstLineChars="200"/>
        <w:rPr>
          <w:color w:val="auto"/>
          <w:szCs w:val="21"/>
          <w:highlight w:val="none"/>
        </w:rPr>
      </w:pPr>
      <w:r>
        <w:rPr>
          <w:color w:val="auto"/>
          <w:szCs w:val="21"/>
          <w:highlight w:val="none"/>
        </w:rPr>
        <w:t>合同文件组成及优先顺序为：</w:t>
      </w:r>
      <w:r>
        <w:rPr>
          <w:rFonts w:hint="eastAsia"/>
          <w:color w:val="auto"/>
          <w:szCs w:val="21"/>
          <w:highlight w:val="none"/>
          <w:u w:val="single"/>
        </w:rPr>
        <w:t xml:space="preserve"> 按合同通用条款 </w:t>
      </w:r>
      <w:r>
        <w:rPr>
          <w:rFonts w:hint="eastAsia"/>
          <w:color w:val="auto"/>
          <w:szCs w:val="21"/>
          <w:highlight w:val="none"/>
        </w:rPr>
        <w:t>。</w:t>
      </w:r>
    </w:p>
    <w:p>
      <w:pPr>
        <w:spacing w:line="360" w:lineRule="exact"/>
        <w:ind w:firstLine="420" w:firstLineChars="200"/>
        <w:rPr>
          <w:color w:val="auto"/>
          <w:szCs w:val="21"/>
          <w:highlight w:val="none"/>
        </w:rPr>
      </w:pPr>
      <w:r>
        <w:rPr>
          <w:color w:val="auto"/>
          <w:szCs w:val="21"/>
          <w:highlight w:val="none"/>
        </w:rPr>
        <w:t>1.6 图纸和承包人文件</w:t>
      </w:r>
      <w:r>
        <w:rPr>
          <w:color w:val="auto"/>
          <w:szCs w:val="21"/>
          <w:highlight w:val="none"/>
        </w:rPr>
        <w:tab/>
      </w:r>
    </w:p>
    <w:p>
      <w:pPr>
        <w:spacing w:line="360" w:lineRule="exact"/>
        <w:ind w:firstLine="420" w:firstLineChars="200"/>
        <w:rPr>
          <w:color w:val="auto"/>
          <w:szCs w:val="21"/>
          <w:highlight w:val="none"/>
        </w:rPr>
      </w:pPr>
      <w:r>
        <w:rPr>
          <w:color w:val="auto"/>
          <w:szCs w:val="21"/>
          <w:highlight w:val="none"/>
        </w:rPr>
        <w:t>1.6.1 图纸的提供</w:t>
      </w:r>
    </w:p>
    <w:p>
      <w:pPr>
        <w:spacing w:line="360" w:lineRule="exact"/>
        <w:ind w:firstLine="420" w:firstLineChars="200"/>
        <w:rPr>
          <w:color w:val="auto"/>
          <w:szCs w:val="21"/>
          <w:highlight w:val="none"/>
        </w:rPr>
      </w:pPr>
      <w:r>
        <w:rPr>
          <w:color w:val="auto"/>
          <w:szCs w:val="21"/>
          <w:highlight w:val="none"/>
        </w:rPr>
        <w:t>发包人向承包人提供图纸的期限：</w:t>
      </w:r>
      <w:r>
        <w:rPr>
          <w:rFonts w:hint="eastAsia"/>
          <w:color w:val="auto"/>
          <w:szCs w:val="21"/>
          <w:highlight w:val="none"/>
          <w:u w:val="single"/>
        </w:rPr>
        <w:t xml:space="preserve"> 开工日期14天前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发包人向承包人提供图纸的数量：</w:t>
      </w:r>
      <w:r>
        <w:rPr>
          <w:rFonts w:hint="eastAsia"/>
          <w:color w:val="auto"/>
          <w:szCs w:val="21"/>
          <w:highlight w:val="none"/>
          <w:u w:val="single"/>
        </w:rPr>
        <w:t xml:space="preserve"> 纸质施工图叁套并附目录清单及与其一致的电子版施工图。</w:t>
      </w:r>
    </w:p>
    <w:p>
      <w:pPr>
        <w:spacing w:line="360" w:lineRule="exact"/>
        <w:ind w:firstLine="420" w:firstLineChars="200"/>
        <w:rPr>
          <w:color w:val="auto"/>
          <w:szCs w:val="21"/>
          <w:highlight w:val="none"/>
        </w:rPr>
      </w:pPr>
      <w:r>
        <w:rPr>
          <w:color w:val="auto"/>
          <w:szCs w:val="21"/>
          <w:highlight w:val="none"/>
        </w:rPr>
        <w:t>发包人向承包人提供图纸的内容：</w:t>
      </w:r>
      <w:r>
        <w:rPr>
          <w:rFonts w:hint="eastAsia"/>
          <w:color w:val="auto"/>
          <w:szCs w:val="21"/>
          <w:highlight w:val="none"/>
          <w:u w:val="single"/>
        </w:rPr>
        <w:t xml:space="preserve"> 合同承包范围内所有完整图纸，施工过程中设计变更图等涉及工程施工所需的所有图纸</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1.6.4 承包人文件</w:t>
      </w:r>
    </w:p>
    <w:p>
      <w:pPr>
        <w:spacing w:line="360" w:lineRule="exact"/>
        <w:ind w:firstLine="420" w:firstLineChars="200"/>
        <w:rPr>
          <w:color w:val="auto"/>
          <w:szCs w:val="21"/>
          <w:highlight w:val="none"/>
          <w:u w:val="single"/>
        </w:rPr>
      </w:pPr>
      <w:r>
        <w:rPr>
          <w:color w:val="auto"/>
          <w:szCs w:val="21"/>
          <w:highlight w:val="none"/>
        </w:rPr>
        <w:t>需要由承包人提供的文件，包括：</w:t>
      </w:r>
      <w:r>
        <w:rPr>
          <w:rFonts w:hint="eastAsia"/>
          <w:color w:val="auto"/>
          <w:szCs w:val="21"/>
          <w:highlight w:val="none"/>
          <w:u w:val="single"/>
        </w:rPr>
        <w:t xml:space="preserve"> 按发包人要求 </w:t>
      </w:r>
      <w:r>
        <w:rPr>
          <w:rFonts w:hint="eastAsia"/>
          <w:color w:val="auto"/>
          <w:szCs w:val="21"/>
          <w:highlight w:val="none"/>
        </w:rPr>
        <w:t>。</w:t>
      </w:r>
    </w:p>
    <w:p>
      <w:pPr>
        <w:spacing w:line="360" w:lineRule="exact"/>
        <w:ind w:firstLine="420" w:firstLineChars="200"/>
        <w:rPr>
          <w:color w:val="auto"/>
          <w:szCs w:val="21"/>
          <w:highlight w:val="none"/>
        </w:rPr>
      </w:pPr>
      <w:r>
        <w:rPr>
          <w:rFonts w:hint="eastAsia"/>
          <w:color w:val="auto"/>
          <w:szCs w:val="21"/>
          <w:highlight w:val="none"/>
        </w:rPr>
        <w:t>承包人提供的文件的期限为：</w:t>
      </w:r>
      <w:r>
        <w:rPr>
          <w:rFonts w:hint="eastAsia"/>
          <w:color w:val="auto"/>
          <w:szCs w:val="21"/>
          <w:highlight w:val="none"/>
          <w:u w:val="single"/>
        </w:rPr>
        <w:t xml:space="preserve"> 按发包人要求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承包人提供的文件的数量为：</w:t>
      </w:r>
      <w:r>
        <w:rPr>
          <w:rFonts w:hint="eastAsia"/>
          <w:color w:val="auto"/>
          <w:szCs w:val="21"/>
          <w:highlight w:val="none"/>
          <w:u w:val="single"/>
        </w:rPr>
        <w:t xml:space="preserve"> 按发包人要求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承包人提供的文件的形式为：</w:t>
      </w:r>
      <w:r>
        <w:rPr>
          <w:rFonts w:hint="eastAsia"/>
          <w:color w:val="auto"/>
          <w:szCs w:val="21"/>
          <w:highlight w:val="none"/>
          <w:u w:val="single"/>
        </w:rPr>
        <w:t xml:space="preserve"> 纸质及电子版本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发包人</w:t>
      </w:r>
      <w:r>
        <w:rPr>
          <w:rFonts w:hint="eastAsia"/>
          <w:color w:val="auto"/>
          <w:szCs w:val="21"/>
          <w:highlight w:val="none"/>
        </w:rPr>
        <w:t>审批</w:t>
      </w:r>
      <w:r>
        <w:rPr>
          <w:color w:val="auto"/>
          <w:szCs w:val="21"/>
          <w:highlight w:val="none"/>
        </w:rPr>
        <w:t>承包人文件的期限：</w:t>
      </w:r>
      <w:r>
        <w:rPr>
          <w:rFonts w:hint="eastAsia"/>
          <w:color w:val="auto"/>
          <w:szCs w:val="21"/>
          <w:highlight w:val="none"/>
          <w:u w:val="single"/>
        </w:rPr>
        <w:t xml:space="preserve"> 收到相应文件后7天内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1.6.5 现场图纸准备</w:t>
      </w:r>
    </w:p>
    <w:p>
      <w:pPr>
        <w:spacing w:line="360" w:lineRule="exact"/>
        <w:ind w:firstLine="420" w:firstLineChars="200"/>
        <w:rPr>
          <w:color w:val="auto"/>
          <w:szCs w:val="21"/>
          <w:highlight w:val="none"/>
          <w:u w:val="single"/>
        </w:rPr>
      </w:pPr>
      <w:r>
        <w:rPr>
          <w:color w:val="auto"/>
          <w:szCs w:val="21"/>
          <w:highlight w:val="none"/>
        </w:rPr>
        <w:t>关于现场图纸准备的约定：</w:t>
      </w:r>
      <w:r>
        <w:rPr>
          <w:rFonts w:hint="eastAsia"/>
          <w:color w:val="auto"/>
          <w:szCs w:val="21"/>
          <w:highlight w:val="none"/>
          <w:u w:val="single"/>
        </w:rPr>
        <w:t xml:space="preserve"> 由监理人在现场保管一套完整施工图，供发包人、监理人及有关人员进行工程检查等活动时使用</w:t>
      </w:r>
      <w:r>
        <w:rPr>
          <w:color w:val="auto"/>
          <w:szCs w:val="21"/>
          <w:highlight w:val="none"/>
          <w:u w:val="single"/>
        </w:rPr>
        <w:t>。</w:t>
      </w:r>
    </w:p>
    <w:p>
      <w:pPr>
        <w:spacing w:line="360" w:lineRule="exact"/>
        <w:ind w:firstLine="420" w:firstLineChars="200"/>
        <w:rPr>
          <w:color w:val="auto"/>
          <w:szCs w:val="21"/>
          <w:highlight w:val="none"/>
        </w:rPr>
      </w:pPr>
      <w:r>
        <w:rPr>
          <w:color w:val="auto"/>
          <w:szCs w:val="21"/>
          <w:highlight w:val="none"/>
        </w:rPr>
        <w:t>1.7 联络</w:t>
      </w:r>
    </w:p>
    <w:p>
      <w:pPr>
        <w:spacing w:line="360" w:lineRule="exact"/>
        <w:ind w:firstLine="420" w:firstLineChars="200"/>
        <w:rPr>
          <w:color w:val="auto"/>
          <w:szCs w:val="21"/>
          <w:highlight w:val="none"/>
        </w:rPr>
      </w:pPr>
      <w:r>
        <w:rPr>
          <w:color w:val="auto"/>
          <w:szCs w:val="21"/>
          <w:highlight w:val="none"/>
        </w:rPr>
        <w:t>1.7.1发包人和承包人应当在</w:t>
      </w:r>
      <w:r>
        <w:rPr>
          <w:color w:val="auto"/>
          <w:szCs w:val="21"/>
          <w:highlight w:val="none"/>
          <w:u w:val="single"/>
        </w:rPr>
        <w:t></w:t>
      </w:r>
      <w:r>
        <w:rPr>
          <w:rFonts w:hint="eastAsia"/>
          <w:color w:val="auto"/>
          <w:szCs w:val="21"/>
          <w:highlight w:val="none"/>
          <w:u w:val="single"/>
        </w:rPr>
        <w:t>7</w:t>
      </w:r>
      <w:r>
        <w:rPr>
          <w:color w:val="auto"/>
          <w:szCs w:val="21"/>
          <w:highlight w:val="none"/>
          <w:u w:val="single"/>
        </w:rPr>
        <w:t xml:space="preserve">  </w:t>
      </w:r>
      <w:r>
        <w:rPr>
          <w:color w:val="auto"/>
          <w:szCs w:val="21"/>
          <w:highlight w:val="none"/>
        </w:rPr>
        <w:t>天内将与合同有关的通知、批准、证明、证书、指示、指令、要求、请求、同意、意见、确定和决定等书面函件送达对方当事人</w:t>
      </w:r>
      <w:r>
        <w:rPr>
          <w:rFonts w:hint="eastAsia"/>
          <w:color w:val="auto"/>
          <w:szCs w:val="21"/>
          <w:highlight w:val="none"/>
        </w:rPr>
        <w:t>。</w:t>
      </w:r>
    </w:p>
    <w:p>
      <w:pPr>
        <w:spacing w:line="360" w:lineRule="exact"/>
        <w:ind w:firstLine="420" w:firstLineChars="200"/>
        <w:rPr>
          <w:color w:val="auto"/>
          <w:szCs w:val="21"/>
          <w:highlight w:val="none"/>
        </w:rPr>
      </w:pPr>
      <w:r>
        <w:rPr>
          <w:color w:val="auto"/>
          <w:szCs w:val="21"/>
          <w:highlight w:val="none"/>
        </w:rPr>
        <w:t>1.7.2 发包人接收文件的地点：</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w:t>
      </w:r>
      <w:r>
        <w:rPr>
          <w:rFonts w:hint="eastAsia"/>
          <w:color w:val="auto"/>
          <w:szCs w:val="21"/>
          <w:highlight w:val="none"/>
          <w:u w:val="single"/>
        </w:rPr>
        <w:t xml:space="preserve">   </w:t>
      </w:r>
      <w:r>
        <w:rPr>
          <w:color w:val="auto"/>
          <w:szCs w:val="21"/>
          <w:highlight w:val="none"/>
          <w:u w:val="single"/>
        </w:rPr>
        <w:t></w:t>
      </w:r>
      <w:r>
        <w:rPr>
          <w:rFonts w:hint="eastAsia"/>
          <w:color w:val="auto"/>
          <w:szCs w:val="21"/>
          <w:highlight w:val="none"/>
          <w:u w:val="single"/>
        </w:rPr>
        <w:t xml:space="preserve"> </w:t>
      </w:r>
      <w:r>
        <w:rPr>
          <w:color w:val="auto"/>
          <w:szCs w:val="21"/>
          <w:highlight w:val="none"/>
          <w:u w:val="single"/>
        </w:rPr>
        <w:t></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发包人指定的接收人为：</w:t>
      </w:r>
      <w:r>
        <w:rPr>
          <w:color w:val="auto"/>
          <w:szCs w:val="21"/>
          <w:highlight w:val="none"/>
          <w:u w:val="single"/>
        </w:rPr>
        <w:t></w:t>
      </w:r>
      <w:r>
        <w:rPr>
          <w:rFonts w:hint="eastAsia"/>
          <w:color w:val="auto"/>
          <w:szCs w:val="21"/>
          <w:highlight w:val="none"/>
          <w:u w:val="single"/>
        </w:rPr>
        <w:t>（2人以上及联系电话）</w:t>
      </w:r>
      <w:r>
        <w:rPr>
          <w:color w:val="auto"/>
          <w:szCs w:val="21"/>
          <w:highlight w:val="none"/>
          <w:u w:val="single"/>
        </w:rPr>
        <w:t></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承包人接收文件的地点：</w:t>
      </w:r>
      <w:r>
        <w:rPr>
          <w:color w:val="auto"/>
          <w:szCs w:val="21"/>
          <w:highlight w:val="none"/>
          <w:u w:val="single"/>
        </w:rPr>
        <w:t> </w:t>
      </w:r>
      <w:r>
        <w:rPr>
          <w:rFonts w:hint="eastAsia"/>
          <w:color w:val="auto"/>
          <w:szCs w:val="21"/>
          <w:highlight w:val="none"/>
          <w:u w:val="single"/>
        </w:rPr>
        <w:t xml:space="preserve">            </w:t>
      </w:r>
      <w:r>
        <w:rPr>
          <w:color w:val="auto"/>
          <w:szCs w:val="21"/>
          <w:highlight w:val="none"/>
          <w:u w:val="single"/>
        </w:rPr>
        <w:t></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承包人指定的接收人为：</w:t>
      </w:r>
      <w:r>
        <w:rPr>
          <w:color w:val="auto"/>
          <w:szCs w:val="21"/>
          <w:highlight w:val="none"/>
          <w:u w:val="single"/>
        </w:rPr>
        <w:t></w:t>
      </w:r>
      <w:r>
        <w:rPr>
          <w:rFonts w:hint="eastAsia"/>
          <w:color w:val="auto"/>
          <w:szCs w:val="21"/>
          <w:highlight w:val="none"/>
          <w:u w:val="single"/>
        </w:rPr>
        <w:t>（2人以上及联系电话）</w:t>
      </w:r>
      <w:r>
        <w:rPr>
          <w:color w:val="auto"/>
          <w:szCs w:val="21"/>
          <w:highlight w:val="none"/>
          <w:u w:val="single"/>
        </w:rPr>
        <w:t></w:t>
      </w:r>
      <w:r>
        <w:rPr>
          <w:color w:val="auto"/>
          <w:szCs w:val="21"/>
          <w:highlight w:val="none"/>
        </w:rPr>
        <w:t>。</w:t>
      </w:r>
    </w:p>
    <w:p>
      <w:pPr>
        <w:spacing w:line="360" w:lineRule="exact"/>
        <w:ind w:firstLine="420" w:firstLineChars="200"/>
        <w:rPr>
          <w:color w:val="auto"/>
          <w:szCs w:val="21"/>
          <w:highlight w:val="none"/>
        </w:rPr>
      </w:pPr>
      <w:r>
        <w:rPr>
          <w:rFonts w:hint="eastAsia"/>
          <w:color w:val="auto"/>
          <w:szCs w:val="21"/>
          <w:highlight w:val="none"/>
        </w:rPr>
        <w:t>监理人接收文件的地点：</w:t>
      </w:r>
      <w:r>
        <w:rPr>
          <w:rFonts w:hint="eastAsia"/>
          <w:color w:val="auto"/>
          <w:szCs w:val="21"/>
          <w:highlight w:val="none"/>
          <w:u w:val="single"/>
        </w:rPr>
        <w:t xml:space="preserve">现场办公室 </w:t>
      </w:r>
      <w:r>
        <w:rPr>
          <w:rFonts w:hint="eastAsia"/>
          <w:color w:val="auto"/>
          <w:szCs w:val="21"/>
          <w:highlight w:val="none"/>
        </w:rPr>
        <w:t>；</w:t>
      </w:r>
    </w:p>
    <w:p>
      <w:pPr>
        <w:spacing w:line="360" w:lineRule="exact"/>
        <w:ind w:firstLine="420" w:firstLineChars="200"/>
        <w:rPr>
          <w:color w:val="auto"/>
          <w:szCs w:val="21"/>
          <w:highlight w:val="none"/>
        </w:rPr>
      </w:pPr>
      <w:r>
        <w:rPr>
          <w:rFonts w:hint="eastAsia"/>
          <w:color w:val="auto"/>
          <w:szCs w:val="21"/>
          <w:highlight w:val="none"/>
        </w:rPr>
        <w:t>监理人指定的接收人为：</w:t>
      </w:r>
      <w:r>
        <w:rPr>
          <w:color w:val="auto"/>
          <w:szCs w:val="21"/>
          <w:highlight w:val="none"/>
          <w:u w:val="single"/>
        </w:rPr>
        <w:t></w:t>
      </w:r>
      <w:r>
        <w:rPr>
          <w:rFonts w:hint="eastAsia"/>
          <w:color w:val="auto"/>
          <w:szCs w:val="21"/>
          <w:highlight w:val="none"/>
          <w:u w:val="single"/>
        </w:rPr>
        <w:t>（2人以上及联系电话）</w:t>
      </w:r>
      <w:r>
        <w:rPr>
          <w:color w:val="auto"/>
          <w:szCs w:val="21"/>
          <w:highlight w:val="none"/>
          <w:u w:val="single"/>
        </w:rPr>
        <w:t></w:t>
      </w:r>
      <w:r>
        <w:rPr>
          <w:rFonts w:hint="eastAsia"/>
          <w:color w:val="auto"/>
          <w:szCs w:val="21"/>
          <w:highlight w:val="none"/>
        </w:rPr>
        <w:t>。</w:t>
      </w:r>
    </w:p>
    <w:p>
      <w:pPr>
        <w:spacing w:line="360" w:lineRule="exact"/>
        <w:ind w:firstLine="420" w:firstLineChars="200"/>
        <w:rPr>
          <w:color w:val="auto"/>
          <w:szCs w:val="21"/>
          <w:highlight w:val="none"/>
        </w:rPr>
      </w:pPr>
      <w:r>
        <w:rPr>
          <w:color w:val="auto"/>
          <w:szCs w:val="21"/>
          <w:highlight w:val="none"/>
        </w:rPr>
        <w:t>1.10 交通运输</w:t>
      </w:r>
    </w:p>
    <w:p>
      <w:pPr>
        <w:spacing w:line="360" w:lineRule="exact"/>
        <w:ind w:firstLine="420" w:firstLineChars="200"/>
        <w:rPr>
          <w:color w:val="auto"/>
          <w:szCs w:val="21"/>
          <w:highlight w:val="none"/>
        </w:rPr>
      </w:pPr>
      <w:r>
        <w:rPr>
          <w:color w:val="auto"/>
          <w:szCs w:val="21"/>
          <w:highlight w:val="none"/>
        </w:rPr>
        <w:t>1.10.1 出入现场的权利</w:t>
      </w:r>
    </w:p>
    <w:p>
      <w:pPr>
        <w:spacing w:line="360" w:lineRule="exact"/>
        <w:ind w:firstLine="420" w:firstLineChars="200"/>
        <w:rPr>
          <w:color w:val="auto"/>
          <w:szCs w:val="21"/>
          <w:highlight w:val="none"/>
          <w:u w:val="single"/>
        </w:rPr>
      </w:pPr>
      <w:r>
        <w:rPr>
          <w:color w:val="auto"/>
          <w:szCs w:val="21"/>
          <w:highlight w:val="none"/>
        </w:rPr>
        <w:t>关于出入现场的权利的约定：</w:t>
      </w:r>
      <w:r>
        <w:rPr>
          <w:rFonts w:hint="eastAsia"/>
          <w:color w:val="auto"/>
          <w:szCs w:val="21"/>
          <w:highlight w:val="none"/>
          <w:u w:val="single"/>
        </w:rPr>
        <w:t>按合同通用条款</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1.10.3 场内交通</w:t>
      </w:r>
    </w:p>
    <w:p>
      <w:pPr>
        <w:spacing w:line="360" w:lineRule="exact"/>
        <w:ind w:firstLine="420" w:firstLineChars="200"/>
        <w:rPr>
          <w:color w:val="auto"/>
          <w:szCs w:val="21"/>
          <w:highlight w:val="none"/>
        </w:rPr>
      </w:pPr>
      <w:r>
        <w:rPr>
          <w:color w:val="auto"/>
          <w:szCs w:val="21"/>
          <w:highlight w:val="none"/>
        </w:rPr>
        <w:t>关于场外交通和场内交通的边界的约定：</w:t>
      </w:r>
      <w:r>
        <w:rPr>
          <w:rFonts w:hint="eastAsia"/>
          <w:b/>
          <w:color w:val="auto"/>
          <w:szCs w:val="21"/>
          <w:highlight w:val="none"/>
          <w:u w:val="single"/>
        </w:rPr>
        <w:t>/</w:t>
      </w:r>
      <w:r>
        <w:rPr>
          <w:color w:val="auto"/>
          <w:szCs w:val="21"/>
          <w:highlight w:val="none"/>
        </w:rPr>
        <w:t>。</w:t>
      </w:r>
    </w:p>
    <w:p>
      <w:pPr>
        <w:spacing w:line="360" w:lineRule="exact"/>
        <w:ind w:firstLine="420" w:firstLineChars="200"/>
        <w:rPr>
          <w:color w:val="auto"/>
          <w:szCs w:val="21"/>
          <w:highlight w:val="none"/>
        </w:rPr>
      </w:pPr>
      <w:r>
        <w:rPr>
          <w:rFonts w:hint="eastAsia"/>
          <w:color w:val="auto"/>
          <w:szCs w:val="21"/>
          <w:highlight w:val="none"/>
        </w:rPr>
        <w:t>关</w:t>
      </w:r>
      <w:r>
        <w:rPr>
          <w:color w:val="auto"/>
          <w:szCs w:val="21"/>
          <w:highlight w:val="none"/>
        </w:rPr>
        <w:t>于发包人向承包人免费提供满足工程施工需要的场内道路和交通设施的约定：</w:t>
      </w:r>
      <w:r>
        <w:rPr>
          <w:rFonts w:hint="eastAsia"/>
          <w:color w:val="auto"/>
          <w:szCs w:val="21"/>
          <w:highlight w:val="none"/>
          <w:u w:val="single"/>
        </w:rPr>
        <w:t>发包人提供的施工条件为现状，承包人自行组织现场踏勘了解，施工期间的维护、管理及相应费用由承包人承担</w:t>
      </w:r>
      <w:r>
        <w:rPr>
          <w:rFonts w:hint="eastAsia"/>
          <w:color w:val="auto"/>
          <w:szCs w:val="21"/>
          <w:highlight w:val="none"/>
        </w:rPr>
        <w:t>。</w:t>
      </w:r>
      <w:bookmarkStart w:id="181" w:name="_Toc318581157"/>
    </w:p>
    <w:p>
      <w:pPr>
        <w:spacing w:line="360" w:lineRule="exact"/>
        <w:ind w:firstLine="420" w:firstLineChars="200"/>
        <w:rPr>
          <w:color w:val="auto"/>
          <w:szCs w:val="21"/>
          <w:highlight w:val="none"/>
        </w:rPr>
      </w:pPr>
      <w:r>
        <w:rPr>
          <w:color w:val="auto"/>
          <w:szCs w:val="21"/>
          <w:highlight w:val="none"/>
        </w:rPr>
        <w:t>1.10.4超大件和超重件的运输</w:t>
      </w:r>
    </w:p>
    <w:p>
      <w:pPr>
        <w:spacing w:line="360" w:lineRule="exact"/>
        <w:ind w:firstLine="420" w:firstLineChars="200"/>
        <w:rPr>
          <w:color w:val="auto"/>
          <w:szCs w:val="21"/>
          <w:highlight w:val="none"/>
        </w:rPr>
      </w:pPr>
      <w:r>
        <w:rPr>
          <w:color w:val="auto"/>
          <w:szCs w:val="21"/>
          <w:highlight w:val="none"/>
        </w:rPr>
        <w:t>运输超大件或超重件所需的道路和桥梁临时加固改造费用和其他有关费用由</w:t>
      </w:r>
      <w:r>
        <w:rPr>
          <w:rFonts w:hint="eastAsia"/>
          <w:color w:val="auto"/>
          <w:szCs w:val="21"/>
          <w:highlight w:val="none"/>
          <w:u w:val="single"/>
        </w:rPr>
        <w:t>承包人在报价中综合考虑，并承担相应费用</w:t>
      </w:r>
      <w:r>
        <w:rPr>
          <w:rFonts w:hint="eastAsia"/>
          <w:color w:val="auto"/>
          <w:szCs w:val="21"/>
          <w:highlight w:val="none"/>
        </w:rPr>
        <w:t>。</w:t>
      </w:r>
    </w:p>
    <w:bookmarkEnd w:id="181"/>
    <w:p>
      <w:pPr>
        <w:spacing w:line="360" w:lineRule="exact"/>
        <w:ind w:firstLine="420" w:firstLineChars="200"/>
        <w:rPr>
          <w:color w:val="auto"/>
          <w:szCs w:val="21"/>
          <w:highlight w:val="none"/>
        </w:rPr>
      </w:pPr>
      <w:r>
        <w:rPr>
          <w:color w:val="auto"/>
          <w:szCs w:val="21"/>
          <w:highlight w:val="none"/>
        </w:rPr>
        <w:t>1.11 知识产权</w:t>
      </w:r>
    </w:p>
    <w:p>
      <w:pPr>
        <w:spacing w:line="360" w:lineRule="exact"/>
        <w:ind w:firstLine="420" w:firstLineChars="200"/>
        <w:rPr>
          <w:color w:val="auto"/>
          <w:szCs w:val="21"/>
          <w:highlight w:val="none"/>
        </w:rPr>
      </w:pPr>
      <w:r>
        <w:rPr>
          <w:color w:val="auto"/>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color w:val="auto"/>
          <w:szCs w:val="21"/>
          <w:highlight w:val="none"/>
          <w:u w:val="single"/>
        </w:rPr>
        <w:t xml:space="preserve"> </w:t>
      </w:r>
      <w:r>
        <w:rPr>
          <w:color w:val="auto"/>
          <w:szCs w:val="21"/>
          <w:highlight w:val="none"/>
          <w:u w:val="single"/>
        </w:rPr>
        <w:t xml:space="preserve">按合同通用条款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关于发包人提供的上述文件的使用限制的要求：</w:t>
      </w:r>
      <w:r>
        <w:rPr>
          <w:color w:val="auto"/>
          <w:szCs w:val="21"/>
          <w:highlight w:val="none"/>
          <w:u w:val="single"/>
        </w:rPr>
        <w:t xml:space="preserve"> 按合同通用条款</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1.11.2 关于承包人为实施工程所编制文件的著作权的归属：</w:t>
      </w:r>
      <w:r>
        <w:rPr>
          <w:color w:val="auto"/>
          <w:szCs w:val="21"/>
          <w:highlight w:val="none"/>
          <w:u w:val="single"/>
        </w:rPr>
        <w:t xml:space="preserve"> 发包人</w:t>
      </w:r>
      <w:r>
        <w:rPr>
          <w:rFonts w:hint="eastAsia"/>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关于承包人提供的上述文件的使用限制的要求：</w:t>
      </w:r>
      <w:r>
        <w:rPr>
          <w:rFonts w:hint="eastAsia"/>
          <w:color w:val="auto"/>
          <w:szCs w:val="21"/>
          <w:highlight w:val="none"/>
          <w:u w:val="single"/>
        </w:rPr>
        <w:t xml:space="preserve"> </w:t>
      </w:r>
      <w:r>
        <w:rPr>
          <w:color w:val="auto"/>
          <w:szCs w:val="21"/>
          <w:highlight w:val="none"/>
          <w:u w:val="single"/>
        </w:rPr>
        <w:t>按合同通用条款</w:t>
      </w:r>
      <w:r>
        <w:rPr>
          <w:rFonts w:hint="eastAsia"/>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1.11.4 承包人在施工过程中所采用的专利、专有技术、技术秘密的使用费的承担方式：</w:t>
      </w:r>
      <w:r>
        <w:rPr>
          <w:color w:val="auto"/>
          <w:szCs w:val="21"/>
          <w:highlight w:val="none"/>
          <w:u w:val="single"/>
        </w:rPr>
        <w:t xml:space="preserve">包含在签约合同价内  </w:t>
      </w:r>
      <w:r>
        <w:rPr>
          <w:color w:val="auto"/>
          <w:szCs w:val="21"/>
          <w:highlight w:val="none"/>
        </w:rPr>
        <w:t>。</w:t>
      </w:r>
    </w:p>
    <w:p>
      <w:pPr>
        <w:spacing w:line="360" w:lineRule="exact"/>
        <w:ind w:firstLine="420" w:firstLineChars="200"/>
        <w:rPr>
          <w:color w:val="auto"/>
          <w:szCs w:val="21"/>
          <w:highlight w:val="none"/>
          <w:u w:val="single"/>
        </w:rPr>
      </w:pPr>
      <w:r>
        <w:rPr>
          <w:rFonts w:hint="eastAsia"/>
          <w:color w:val="auto"/>
          <w:szCs w:val="21"/>
          <w:highlight w:val="none"/>
        </w:rPr>
        <w:t>1.13工程量清单错误的修正：</w:t>
      </w:r>
      <w:r>
        <w:rPr>
          <w:rFonts w:hint="eastAsia"/>
          <w:color w:val="auto"/>
          <w:szCs w:val="21"/>
          <w:highlight w:val="none"/>
          <w:u w:val="single"/>
        </w:rPr>
        <w:t>调整。</w:t>
      </w:r>
    </w:p>
    <w:p>
      <w:pPr>
        <w:spacing w:line="360" w:lineRule="exact"/>
        <w:ind w:firstLine="420" w:firstLineChars="200"/>
        <w:rPr>
          <w:bCs/>
          <w:color w:val="auto"/>
          <w:szCs w:val="21"/>
          <w:highlight w:val="none"/>
        </w:rPr>
      </w:pPr>
      <w:r>
        <w:rPr>
          <w:bCs/>
          <w:color w:val="auto"/>
          <w:szCs w:val="21"/>
          <w:highlight w:val="none"/>
        </w:rPr>
        <w:t>2. 发包人</w:t>
      </w:r>
    </w:p>
    <w:p>
      <w:pPr>
        <w:spacing w:line="360" w:lineRule="exact"/>
        <w:ind w:firstLine="420" w:firstLineChars="200"/>
        <w:rPr>
          <w:color w:val="auto"/>
          <w:szCs w:val="21"/>
          <w:highlight w:val="none"/>
        </w:rPr>
      </w:pPr>
      <w:r>
        <w:rPr>
          <w:color w:val="auto"/>
          <w:szCs w:val="21"/>
          <w:highlight w:val="none"/>
        </w:rPr>
        <w:t>2.2 发包人代表</w:t>
      </w:r>
    </w:p>
    <w:p>
      <w:pPr>
        <w:spacing w:line="360" w:lineRule="exact"/>
        <w:ind w:firstLine="420" w:firstLineChars="200"/>
        <w:rPr>
          <w:color w:val="auto"/>
          <w:szCs w:val="21"/>
          <w:highlight w:val="none"/>
        </w:rPr>
      </w:pPr>
      <w:r>
        <w:rPr>
          <w:color w:val="auto"/>
          <w:szCs w:val="21"/>
          <w:highlight w:val="none"/>
        </w:rPr>
        <w:t>发包人代表：</w:t>
      </w:r>
    </w:p>
    <w:p>
      <w:pPr>
        <w:spacing w:line="360" w:lineRule="exact"/>
        <w:ind w:firstLine="420" w:firstLineChars="200"/>
        <w:rPr>
          <w:color w:val="auto"/>
          <w:szCs w:val="21"/>
          <w:highlight w:val="none"/>
        </w:rPr>
      </w:pPr>
      <w:r>
        <w:rPr>
          <w:color w:val="auto"/>
          <w:szCs w:val="21"/>
          <w:highlight w:val="none"/>
        </w:rPr>
        <w:t>姓    名：</w:t>
      </w:r>
      <w:r>
        <w:rPr>
          <w:color w:val="auto"/>
          <w:szCs w:val="21"/>
          <w:highlight w:val="none"/>
          <w:u w:val="single"/>
        </w:rPr>
        <w:t>以发包人通知为准</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身份证号：</w:t>
      </w:r>
      <w:r>
        <w:rPr>
          <w:color w:val="auto"/>
          <w:szCs w:val="21"/>
          <w:highlight w:val="none"/>
          <w:u w:val="single"/>
        </w:rPr>
        <w:t></w:t>
      </w:r>
      <w:r>
        <w:rPr>
          <w:rFonts w:hint="eastAsia"/>
          <w:color w:val="auto"/>
          <w:szCs w:val="21"/>
          <w:highlight w:val="none"/>
          <w:u w:val="single"/>
        </w:rPr>
        <w:t>/</w:t>
      </w:r>
      <w:r>
        <w:rPr>
          <w:color w:val="auto"/>
          <w:szCs w:val="21"/>
          <w:highlight w:val="none"/>
          <w:u w:val="single"/>
        </w:rPr>
        <w:t xml:space="preserve">   </w:t>
      </w:r>
      <w:r>
        <w:rPr>
          <w:rFonts w:hint="eastAsia"/>
          <w:color w:val="auto"/>
          <w:szCs w:val="21"/>
          <w:highlight w:val="none"/>
          <w:u w:val="single"/>
        </w:rPr>
        <w:t xml:space="preserve"> </w:t>
      </w:r>
      <w:r>
        <w:rPr>
          <w:color w:val="auto"/>
          <w:szCs w:val="21"/>
          <w:highlight w:val="none"/>
          <w:u w:val="single"/>
        </w:rPr>
        <w:t></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职    务：</w:t>
      </w:r>
      <w:r>
        <w:rPr>
          <w:color w:val="auto"/>
          <w:szCs w:val="21"/>
          <w:highlight w:val="none"/>
          <w:u w:val="single"/>
        </w:rPr>
        <w:t></w:t>
      </w:r>
      <w:r>
        <w:rPr>
          <w:rFonts w:hint="eastAsia"/>
          <w:color w:val="auto"/>
          <w:szCs w:val="21"/>
          <w:highlight w:val="none"/>
          <w:u w:val="single"/>
        </w:rPr>
        <w:t>/</w:t>
      </w:r>
      <w:r>
        <w:rPr>
          <w:color w:val="auto"/>
          <w:szCs w:val="21"/>
          <w:highlight w:val="none"/>
          <w:u w:val="single"/>
        </w:rPr>
        <w:t>   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联系电话：</w:t>
      </w:r>
      <w:r>
        <w:rPr>
          <w:color w:val="auto"/>
          <w:szCs w:val="21"/>
          <w:highlight w:val="none"/>
          <w:u w:val="single"/>
        </w:rPr>
        <w:t>  </w:t>
      </w:r>
      <w:r>
        <w:rPr>
          <w:rFonts w:hint="eastAsia"/>
          <w:color w:val="auto"/>
          <w:szCs w:val="21"/>
          <w:highlight w:val="none"/>
          <w:u w:val="single"/>
        </w:rPr>
        <w:t>/</w:t>
      </w:r>
      <w:r>
        <w:rPr>
          <w:color w:val="auto"/>
          <w:szCs w:val="21"/>
          <w:highlight w:val="none"/>
          <w:u w:val="single"/>
        </w:rPr>
        <w:t> </w:t>
      </w:r>
      <w:r>
        <w:rPr>
          <w:rFonts w:hint="eastAsia"/>
          <w:color w:val="auto"/>
          <w:szCs w:val="21"/>
          <w:highlight w:val="none"/>
          <w:u w:val="single"/>
        </w:rPr>
        <w:t xml:space="preserve"> </w:t>
      </w:r>
      <w:r>
        <w:rPr>
          <w:color w:val="auto"/>
          <w:szCs w:val="21"/>
          <w:highlight w:val="none"/>
          <w:u w:val="single"/>
        </w:rPr>
        <w:t>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电子信箱：</w:t>
      </w:r>
      <w:r>
        <w:rPr>
          <w:color w:val="auto"/>
          <w:szCs w:val="21"/>
          <w:highlight w:val="none"/>
          <w:u w:val="single"/>
        </w:rPr>
        <w:t>  </w:t>
      </w:r>
      <w:r>
        <w:rPr>
          <w:rFonts w:hint="eastAsia"/>
          <w:color w:val="auto"/>
          <w:szCs w:val="21"/>
          <w:highlight w:val="none"/>
          <w:u w:val="single"/>
        </w:rPr>
        <w:t>/</w:t>
      </w:r>
      <w:r>
        <w:rPr>
          <w:color w:val="auto"/>
          <w:szCs w:val="21"/>
          <w:highlight w:val="none"/>
          <w:u w:val="single"/>
        </w:rPr>
        <w:t> </w:t>
      </w:r>
      <w:r>
        <w:rPr>
          <w:rFonts w:hint="eastAsia"/>
          <w:color w:val="auto"/>
          <w:szCs w:val="21"/>
          <w:highlight w:val="none"/>
          <w:u w:val="single"/>
        </w:rPr>
        <w:t xml:space="preserve"> </w:t>
      </w:r>
      <w:r>
        <w:rPr>
          <w:color w:val="auto"/>
          <w:szCs w:val="21"/>
          <w:highlight w:val="none"/>
          <w:u w:val="single"/>
        </w:rPr>
        <w:t>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通信地址：</w:t>
      </w:r>
      <w:r>
        <w:rPr>
          <w:color w:val="auto"/>
          <w:szCs w:val="21"/>
          <w:highlight w:val="none"/>
          <w:u w:val="single"/>
        </w:rPr>
        <w:t></w:t>
      </w:r>
      <w:r>
        <w:rPr>
          <w:rFonts w:hint="eastAsia"/>
          <w:color w:val="auto"/>
          <w:szCs w:val="21"/>
          <w:highlight w:val="none"/>
          <w:u w:val="single"/>
        </w:rPr>
        <w:t>/</w:t>
      </w:r>
      <w:r>
        <w:rPr>
          <w:color w:val="auto"/>
          <w:szCs w:val="21"/>
          <w:highlight w:val="none"/>
          <w:u w:val="single"/>
        </w:rPr>
        <w:t></w:t>
      </w:r>
      <w:r>
        <w:rPr>
          <w:rFonts w:hint="eastAsia"/>
          <w:color w:val="auto"/>
          <w:szCs w:val="21"/>
          <w:highlight w:val="none"/>
          <w:u w:val="single"/>
        </w:rPr>
        <w:t xml:space="preserve">  </w:t>
      </w:r>
      <w:r>
        <w:rPr>
          <w:color w:val="auto"/>
          <w:szCs w:val="21"/>
          <w:highlight w:val="none"/>
          <w:u w:val="single"/>
        </w:rPr>
        <w:t xml:space="preserve">  </w:t>
      </w:r>
      <w:r>
        <w:rPr>
          <w:color w:val="auto"/>
          <w:szCs w:val="21"/>
          <w:highlight w:val="none"/>
        </w:rPr>
        <w:t>。</w:t>
      </w:r>
    </w:p>
    <w:p>
      <w:pPr>
        <w:spacing w:line="360" w:lineRule="exact"/>
        <w:ind w:firstLine="420" w:firstLineChars="200"/>
        <w:rPr>
          <w:color w:val="auto"/>
          <w:szCs w:val="21"/>
          <w:highlight w:val="none"/>
          <w:u w:val="single"/>
        </w:rPr>
      </w:pPr>
      <w:r>
        <w:rPr>
          <w:color w:val="auto"/>
          <w:szCs w:val="21"/>
          <w:highlight w:val="none"/>
        </w:rPr>
        <w:t>发包人对发包人代表的授权范围如下：</w:t>
      </w:r>
      <w:r>
        <w:rPr>
          <w:rFonts w:hint="eastAsia"/>
          <w:color w:val="auto"/>
          <w:szCs w:val="21"/>
          <w:highlight w:val="none"/>
          <w:u w:val="single"/>
        </w:rPr>
        <w:t>承包人将施工工期、工程量复核、设计变更及施工联系单、工程款支付签证等交至监理人审核，监理人签署后报发包人代表负责审核及签署。发包人代表同时负责监理及施工项目班子人员管理及施工现场的服务、协调、督查工作</w:t>
      </w:r>
      <w:r>
        <w:rPr>
          <w:color w:val="auto"/>
          <w:szCs w:val="21"/>
          <w:highlight w:val="none"/>
          <w:u w:val="single"/>
        </w:rPr>
        <w:t>。</w:t>
      </w:r>
      <w:r>
        <w:rPr>
          <w:rFonts w:hint="eastAsia"/>
          <w:color w:val="auto"/>
          <w:szCs w:val="21"/>
          <w:highlight w:val="none"/>
          <w:u w:val="single"/>
        </w:rPr>
        <w:t xml:space="preserve"> </w:t>
      </w:r>
    </w:p>
    <w:p>
      <w:pPr>
        <w:spacing w:line="360" w:lineRule="exact"/>
        <w:ind w:firstLine="420" w:firstLineChars="200"/>
        <w:rPr>
          <w:color w:val="auto"/>
          <w:szCs w:val="21"/>
          <w:highlight w:val="none"/>
        </w:rPr>
      </w:pPr>
      <w:r>
        <w:rPr>
          <w:color w:val="auto"/>
          <w:szCs w:val="21"/>
          <w:highlight w:val="none"/>
        </w:rPr>
        <w:t>2.4 施工现场、施工条件和基础资料的提供</w:t>
      </w:r>
    </w:p>
    <w:p>
      <w:pPr>
        <w:spacing w:line="360" w:lineRule="exact"/>
        <w:ind w:firstLine="420" w:firstLineChars="200"/>
        <w:rPr>
          <w:color w:val="auto"/>
          <w:szCs w:val="21"/>
          <w:highlight w:val="none"/>
        </w:rPr>
      </w:pPr>
      <w:r>
        <w:rPr>
          <w:color w:val="auto"/>
          <w:szCs w:val="21"/>
          <w:highlight w:val="none"/>
        </w:rPr>
        <w:t>2.4.1 提供施工现场</w:t>
      </w:r>
    </w:p>
    <w:p>
      <w:pPr>
        <w:spacing w:line="360" w:lineRule="exact"/>
        <w:ind w:firstLine="420" w:firstLineChars="200"/>
        <w:rPr>
          <w:color w:val="auto"/>
          <w:szCs w:val="21"/>
          <w:highlight w:val="none"/>
        </w:rPr>
      </w:pPr>
      <w:r>
        <w:rPr>
          <w:color w:val="auto"/>
          <w:szCs w:val="21"/>
          <w:highlight w:val="none"/>
        </w:rPr>
        <w:t>关于发包人移交施工现场的期限要求：</w:t>
      </w:r>
      <w:r>
        <w:rPr>
          <w:color w:val="auto"/>
          <w:szCs w:val="21"/>
          <w:highlight w:val="none"/>
          <w:u w:val="single"/>
        </w:rPr>
        <w:t></w:t>
      </w:r>
      <w:r>
        <w:rPr>
          <w:rFonts w:hint="eastAsia"/>
          <w:color w:val="auto"/>
          <w:szCs w:val="21"/>
          <w:highlight w:val="none"/>
          <w:u w:val="single"/>
        </w:rPr>
        <w:t>开工日期14天前</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2.4.2 提供施工条件</w:t>
      </w:r>
    </w:p>
    <w:p>
      <w:pPr>
        <w:spacing w:line="360" w:lineRule="exact"/>
        <w:ind w:firstLine="420" w:firstLineChars="200"/>
        <w:rPr>
          <w:rFonts w:ascii="宋体" w:hAnsi="宋体" w:cs="宋体"/>
          <w:color w:val="auto"/>
          <w:szCs w:val="21"/>
          <w:highlight w:val="none"/>
          <w:u w:val="single"/>
        </w:rPr>
      </w:pPr>
      <w:r>
        <w:rPr>
          <w:color w:val="auto"/>
          <w:szCs w:val="21"/>
          <w:highlight w:val="none"/>
        </w:rPr>
        <w:t>关于发包人应负责提供施工</w:t>
      </w:r>
      <w:r>
        <w:rPr>
          <w:rFonts w:hint="eastAsia"/>
          <w:color w:val="auto"/>
          <w:szCs w:val="21"/>
          <w:highlight w:val="none"/>
        </w:rPr>
        <w:t>所需要的条件，</w:t>
      </w:r>
      <w:r>
        <w:rPr>
          <w:color w:val="auto"/>
          <w:szCs w:val="21"/>
          <w:highlight w:val="none"/>
        </w:rPr>
        <w:t>包括：</w:t>
      </w:r>
      <w:r>
        <w:rPr>
          <w:rFonts w:hint="eastAsia"/>
          <w:color w:val="auto"/>
          <w:szCs w:val="21"/>
          <w:highlight w:val="none"/>
          <w:u w:val="single"/>
        </w:rPr>
        <w:t>发包人提供的施工条件为现状，承包人自行组织现场踏勘了解，涉及施工用电、用水等相关接入费用不再另行计取。</w:t>
      </w:r>
    </w:p>
    <w:p>
      <w:pPr>
        <w:spacing w:line="360" w:lineRule="exact"/>
        <w:ind w:firstLine="420" w:firstLineChars="200"/>
        <w:rPr>
          <w:color w:val="auto"/>
          <w:szCs w:val="21"/>
          <w:highlight w:val="none"/>
        </w:rPr>
      </w:pPr>
      <w:r>
        <w:rPr>
          <w:color w:val="auto"/>
          <w:szCs w:val="21"/>
          <w:highlight w:val="none"/>
        </w:rPr>
        <w:t>2.5 资金来源证明及支付担保</w:t>
      </w:r>
    </w:p>
    <w:p>
      <w:pPr>
        <w:spacing w:line="360" w:lineRule="exact"/>
        <w:ind w:firstLine="420" w:firstLineChars="200"/>
        <w:rPr>
          <w:color w:val="auto"/>
          <w:szCs w:val="21"/>
          <w:highlight w:val="none"/>
        </w:rPr>
      </w:pPr>
      <w:r>
        <w:rPr>
          <w:color w:val="auto"/>
          <w:szCs w:val="21"/>
          <w:highlight w:val="none"/>
        </w:rPr>
        <w:t>发包人提供资金来源证明的期限要求：</w:t>
      </w:r>
      <w:r>
        <w:rPr>
          <w:color w:val="auto"/>
          <w:szCs w:val="21"/>
          <w:highlight w:val="none"/>
          <w:u w:val="single"/>
        </w:rPr>
        <w:t></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发包人是否提供支付担保：</w:t>
      </w:r>
      <w:r>
        <w:rPr>
          <w:rFonts w:hint="eastAsia"/>
          <w:color w:val="auto"/>
          <w:szCs w:val="21"/>
          <w:highlight w:val="none"/>
          <w:u w:val="single"/>
        </w:rPr>
        <w:t xml:space="preserve">  否  </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发包人提供支付担保的形式：</w:t>
      </w:r>
      <w:r>
        <w:rPr>
          <w:color w:val="auto"/>
          <w:szCs w:val="21"/>
          <w:highlight w:val="none"/>
          <w:u w:val="single"/>
        </w:rPr>
        <w:t></w:t>
      </w:r>
      <w:r>
        <w:rPr>
          <w:rFonts w:hint="eastAsia"/>
          <w:color w:val="auto"/>
          <w:szCs w:val="21"/>
          <w:highlight w:val="none"/>
          <w:u w:val="single"/>
        </w:rPr>
        <w:t xml:space="preserve"> </w:t>
      </w:r>
      <w:r>
        <w:rPr>
          <w:color w:val="auto"/>
          <w:szCs w:val="21"/>
          <w:highlight w:val="none"/>
          <w:u w:val="single"/>
        </w:rPr>
        <w:t xml:space="preserve"> /   </w:t>
      </w:r>
      <w:r>
        <w:rPr>
          <w:rFonts w:hint="eastAsia"/>
          <w:color w:val="auto"/>
          <w:szCs w:val="21"/>
          <w:highlight w:val="none"/>
        </w:rPr>
        <w:t>。</w:t>
      </w:r>
    </w:p>
    <w:p>
      <w:pPr>
        <w:spacing w:line="360" w:lineRule="exact"/>
        <w:ind w:firstLine="420" w:firstLineChars="200"/>
        <w:rPr>
          <w:bCs/>
          <w:color w:val="auto"/>
          <w:szCs w:val="21"/>
          <w:highlight w:val="none"/>
        </w:rPr>
      </w:pPr>
      <w:r>
        <w:rPr>
          <w:bCs/>
          <w:color w:val="auto"/>
          <w:szCs w:val="21"/>
          <w:highlight w:val="none"/>
        </w:rPr>
        <w:t>3. 承包人</w:t>
      </w:r>
    </w:p>
    <w:p>
      <w:pPr>
        <w:spacing w:line="360" w:lineRule="exact"/>
        <w:ind w:firstLine="420" w:firstLineChars="200"/>
        <w:rPr>
          <w:color w:val="auto"/>
          <w:szCs w:val="21"/>
          <w:highlight w:val="none"/>
        </w:rPr>
      </w:pPr>
      <w:r>
        <w:rPr>
          <w:color w:val="auto"/>
          <w:szCs w:val="21"/>
          <w:highlight w:val="none"/>
        </w:rPr>
        <w:t>3.1 承包人的一般义务</w:t>
      </w:r>
    </w:p>
    <w:p>
      <w:pPr>
        <w:spacing w:line="360" w:lineRule="exact"/>
        <w:ind w:firstLine="420" w:firstLineChars="200"/>
        <w:rPr>
          <w:color w:val="auto"/>
          <w:szCs w:val="21"/>
          <w:highlight w:val="none"/>
        </w:rPr>
      </w:pPr>
      <w:r>
        <w:rPr>
          <w:color w:val="auto"/>
          <w:szCs w:val="21"/>
          <w:highlight w:val="none"/>
        </w:rPr>
        <w:t>（</w:t>
      </w:r>
      <w:r>
        <w:rPr>
          <w:rFonts w:hint="eastAsia"/>
          <w:color w:val="auto"/>
          <w:szCs w:val="21"/>
          <w:highlight w:val="none"/>
        </w:rPr>
        <w:t>9</w:t>
      </w:r>
      <w:r>
        <w:rPr>
          <w:color w:val="auto"/>
          <w:szCs w:val="21"/>
          <w:highlight w:val="none"/>
        </w:rPr>
        <w:t>）承包人提交的竣工资料的内容：</w:t>
      </w:r>
      <w:r>
        <w:rPr>
          <w:rFonts w:hint="eastAsia"/>
          <w:color w:val="auto"/>
          <w:szCs w:val="21"/>
          <w:highlight w:val="none"/>
          <w:u w:val="single"/>
        </w:rPr>
        <w:t>向发包人提交按规范规定应由承包人编制部分的竣工资料，包括含施工过程中验收、检查时拍摄或录制的相片、影像资料等，并符合建设工程资料存档要求</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承包人需要提交的竣工资料套数：</w:t>
      </w:r>
      <w:r>
        <w:rPr>
          <w:rFonts w:hint="eastAsia"/>
          <w:color w:val="auto"/>
          <w:szCs w:val="21"/>
          <w:highlight w:val="none"/>
          <w:u w:val="single"/>
        </w:rPr>
        <w:t>两套</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承包人提交的竣工资料的费用承担：</w:t>
      </w:r>
      <w:r>
        <w:rPr>
          <w:rFonts w:hint="eastAsia"/>
          <w:color w:val="auto"/>
          <w:szCs w:val="21"/>
          <w:highlight w:val="none"/>
          <w:u w:val="single"/>
        </w:rPr>
        <w:t>由承包人承担</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承包人提交的竣工资料移交时间：</w:t>
      </w:r>
      <w:r>
        <w:rPr>
          <w:rFonts w:hint="eastAsia"/>
          <w:color w:val="auto"/>
          <w:szCs w:val="21"/>
          <w:highlight w:val="none"/>
          <w:u w:val="single"/>
        </w:rPr>
        <w:t>工程竣工验收合格后7天内</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承包人提交的竣工资料形式要求：</w:t>
      </w:r>
      <w:r>
        <w:rPr>
          <w:rFonts w:hint="eastAsia"/>
          <w:color w:val="auto"/>
          <w:szCs w:val="21"/>
          <w:highlight w:val="none"/>
          <w:u w:val="single"/>
        </w:rPr>
        <w:t>纸质及相关电子数据</w:t>
      </w:r>
      <w:r>
        <w:rPr>
          <w:color w:val="auto"/>
          <w:szCs w:val="21"/>
          <w:highlight w:val="none"/>
        </w:rPr>
        <w:t>。</w:t>
      </w:r>
    </w:p>
    <w:p>
      <w:pPr>
        <w:spacing w:line="360" w:lineRule="exact"/>
        <w:ind w:firstLine="420" w:firstLineChars="200"/>
        <w:rPr>
          <w:color w:val="auto"/>
          <w:szCs w:val="21"/>
          <w:highlight w:val="none"/>
          <w:u w:val="single"/>
        </w:rPr>
      </w:pPr>
      <w:r>
        <w:rPr>
          <w:color w:val="auto"/>
          <w:szCs w:val="21"/>
          <w:highlight w:val="none"/>
        </w:rPr>
        <w:t>（</w:t>
      </w:r>
      <w:r>
        <w:rPr>
          <w:rFonts w:hint="eastAsia"/>
          <w:color w:val="auto"/>
          <w:szCs w:val="21"/>
          <w:highlight w:val="none"/>
        </w:rPr>
        <w:t>10</w:t>
      </w:r>
      <w:r>
        <w:rPr>
          <w:color w:val="auto"/>
          <w:szCs w:val="21"/>
          <w:highlight w:val="none"/>
        </w:rPr>
        <w:t>）承包人应履行的其他义务：</w:t>
      </w:r>
    </w:p>
    <w:p>
      <w:pPr>
        <w:spacing w:line="360" w:lineRule="exact"/>
        <w:ind w:firstLine="420" w:firstLineChars="200"/>
        <w:rPr>
          <w:color w:val="auto"/>
          <w:szCs w:val="21"/>
          <w:highlight w:val="none"/>
          <w:u w:val="single"/>
        </w:rPr>
      </w:pPr>
      <w:r>
        <w:rPr>
          <w:color w:val="auto"/>
          <w:szCs w:val="21"/>
          <w:highlight w:val="none"/>
          <w:u w:val="single"/>
        </w:rPr>
        <w:t>a.在施工中必须严格按照规范操作，并针对邻近建筑物实际情况，采取相应防护措施，对不按规范要求施工或未采取防护措施的，造成的损失由承包人承担。</w:t>
      </w:r>
    </w:p>
    <w:p>
      <w:pPr>
        <w:spacing w:line="360" w:lineRule="exact"/>
        <w:ind w:firstLine="420" w:firstLineChars="200"/>
        <w:rPr>
          <w:color w:val="auto"/>
          <w:szCs w:val="21"/>
          <w:highlight w:val="none"/>
          <w:u w:val="single"/>
        </w:rPr>
      </w:pPr>
      <w:r>
        <w:rPr>
          <w:color w:val="auto"/>
          <w:szCs w:val="21"/>
          <w:highlight w:val="none"/>
          <w:u w:val="single"/>
        </w:rPr>
        <w:t>b.本项目施工安全由承包人负总责。</w:t>
      </w:r>
    </w:p>
    <w:p>
      <w:pPr>
        <w:spacing w:line="360" w:lineRule="exact"/>
        <w:ind w:firstLine="420" w:firstLineChars="200"/>
        <w:rPr>
          <w:color w:val="auto"/>
          <w:szCs w:val="21"/>
          <w:highlight w:val="none"/>
          <w:u w:val="single"/>
        </w:rPr>
      </w:pPr>
      <w:r>
        <w:rPr>
          <w:color w:val="auto"/>
          <w:szCs w:val="21"/>
          <w:highlight w:val="none"/>
          <w:u w:val="single"/>
        </w:rPr>
        <w:t>c.</w:t>
      </w:r>
      <w:r>
        <w:rPr>
          <w:rFonts w:hint="eastAsia"/>
          <w:color w:val="auto"/>
          <w:szCs w:val="21"/>
          <w:highlight w:val="none"/>
          <w:u w:val="single"/>
        </w:rPr>
        <w:t>其他：</w:t>
      </w:r>
    </w:p>
    <w:p>
      <w:pPr>
        <w:spacing w:line="360" w:lineRule="exact"/>
        <w:ind w:firstLine="420" w:firstLineChars="200"/>
        <w:rPr>
          <w:color w:val="auto"/>
          <w:szCs w:val="21"/>
          <w:highlight w:val="none"/>
          <w:u w:val="single"/>
        </w:rPr>
      </w:pPr>
      <w:r>
        <w:rPr>
          <w:rFonts w:hint="eastAsia"/>
          <w:color w:val="auto"/>
          <w:szCs w:val="21"/>
          <w:highlight w:val="none"/>
          <w:u w:val="single"/>
        </w:rPr>
        <w:t>①对发包人的现场监督工作予以充分的配合与协助。承包人服从发包人、监理公司的管理，做好交叉施工事宜及其他与本工程施工相关的工作，不得由此向发包人提出相关费用的要求。</w:t>
      </w:r>
    </w:p>
    <w:p>
      <w:pPr>
        <w:spacing w:line="360" w:lineRule="exact"/>
        <w:ind w:firstLine="420" w:firstLineChars="200"/>
        <w:rPr>
          <w:color w:val="auto"/>
          <w:szCs w:val="21"/>
          <w:highlight w:val="none"/>
          <w:u w:val="single"/>
        </w:rPr>
      </w:pPr>
      <w:r>
        <w:rPr>
          <w:rFonts w:hint="eastAsia"/>
          <w:color w:val="auto"/>
          <w:szCs w:val="21"/>
          <w:highlight w:val="none"/>
          <w:u w:val="single"/>
        </w:rPr>
        <w:t>②承包人必须遵守浙江省、台州市等的地方法规，服从行业主管部门的管理，凡涉及到承包单位的施工备案、车辆准运等有关行政或者事业许可、备案、审批等程序，均由承包人自行办理，发包人给予配合，发生的费用全部由承包人承担，包括外地施工单位进台州的施工备案费用、排污管理费、噪声管理费、垃圾管理费等。</w:t>
      </w:r>
    </w:p>
    <w:p>
      <w:pPr>
        <w:spacing w:line="360" w:lineRule="exact"/>
        <w:ind w:firstLine="420" w:firstLineChars="200"/>
        <w:rPr>
          <w:color w:val="auto"/>
          <w:szCs w:val="21"/>
          <w:highlight w:val="none"/>
          <w:u w:val="single"/>
        </w:rPr>
      </w:pPr>
      <w:r>
        <w:rPr>
          <w:rFonts w:hint="eastAsia"/>
          <w:color w:val="auto"/>
          <w:szCs w:val="21"/>
          <w:highlight w:val="none"/>
          <w:u w:val="single"/>
        </w:rPr>
        <w:t>③重大活动期间以及发包人需要的时间段内，可能对施工做出某些限制和配合要求，承包人应按照要求做出必要的配合，并承担有可能因此而引起工效降低所需增加的费用。相关费用含在合同价款中。</w:t>
      </w:r>
    </w:p>
    <w:p>
      <w:pPr>
        <w:spacing w:line="360" w:lineRule="exact"/>
        <w:ind w:firstLine="420" w:firstLineChars="200"/>
        <w:rPr>
          <w:color w:val="auto"/>
          <w:szCs w:val="21"/>
          <w:highlight w:val="none"/>
          <w:u w:val="single"/>
        </w:rPr>
      </w:pPr>
      <w:r>
        <w:rPr>
          <w:rFonts w:hint="eastAsia"/>
          <w:color w:val="auto"/>
          <w:szCs w:val="21"/>
          <w:highlight w:val="none"/>
          <w:u w:val="single"/>
        </w:rPr>
        <w:t>④由于施工产生的建筑垃圾及时进行清运。</w:t>
      </w:r>
    </w:p>
    <w:p>
      <w:pPr>
        <w:spacing w:line="360" w:lineRule="exact"/>
        <w:ind w:firstLine="420" w:firstLineChars="200"/>
        <w:rPr>
          <w:color w:val="auto"/>
          <w:szCs w:val="21"/>
          <w:highlight w:val="none"/>
          <w:u w:val="single"/>
        </w:rPr>
      </w:pPr>
      <w:r>
        <w:rPr>
          <w:rFonts w:hint="eastAsia"/>
          <w:color w:val="auto"/>
          <w:szCs w:val="21"/>
          <w:highlight w:val="none"/>
          <w:u w:val="single"/>
        </w:rPr>
        <w:t>⑤承包人在合同履行过程中，应严格遵守和执行发包人制定的各项管理制度和规定，严格执行发包人关于工程设计变更、签证等方面的审批程序及制度。</w:t>
      </w:r>
    </w:p>
    <w:p>
      <w:pPr>
        <w:spacing w:line="360" w:lineRule="exact"/>
        <w:ind w:firstLine="420" w:firstLineChars="200"/>
        <w:rPr>
          <w:color w:val="auto"/>
          <w:szCs w:val="21"/>
          <w:highlight w:val="none"/>
          <w:u w:val="single"/>
        </w:rPr>
      </w:pPr>
      <w:r>
        <w:rPr>
          <w:rFonts w:hint="eastAsia"/>
          <w:color w:val="auto"/>
          <w:szCs w:val="21"/>
          <w:highlight w:val="none"/>
          <w:u w:val="single"/>
        </w:rPr>
        <w:t>⑥承包人应全权负责其劳务及职员的雇佣、工资的支付、房屋、膳食及运输的安排。承包人在任何时候应采取一切合理的预防措施，以防止其劳务及职员发生任何违法的、妨害治安的行为，并维护治安和保护工程及个人或财产免遭上述行为的破坏。</w:t>
      </w:r>
    </w:p>
    <w:p>
      <w:pPr>
        <w:spacing w:line="360" w:lineRule="exact"/>
        <w:ind w:firstLine="420" w:firstLineChars="200"/>
        <w:rPr>
          <w:color w:val="auto"/>
          <w:szCs w:val="21"/>
          <w:highlight w:val="none"/>
          <w:u w:val="single"/>
        </w:rPr>
      </w:pPr>
      <w:r>
        <w:rPr>
          <w:rFonts w:hint="eastAsia"/>
          <w:color w:val="auto"/>
          <w:szCs w:val="21"/>
          <w:highlight w:val="none"/>
          <w:u w:val="single"/>
        </w:rPr>
        <w:t>⑦承包人应协助办理竣工验收备案、工程档案移交、工程项目移交的相关手续。承包人协助组织施工过程中的专项验收、竣工验收等，相关费用含在本合同价款中，发包人不再另行支付。</w:t>
      </w:r>
    </w:p>
    <w:p>
      <w:pPr>
        <w:spacing w:line="360" w:lineRule="exact"/>
        <w:ind w:firstLine="420" w:firstLineChars="200"/>
        <w:rPr>
          <w:color w:val="auto"/>
          <w:szCs w:val="21"/>
          <w:highlight w:val="none"/>
          <w:u w:val="single"/>
        </w:rPr>
      </w:pPr>
      <w:r>
        <w:rPr>
          <w:rFonts w:hint="eastAsia"/>
          <w:color w:val="auto"/>
          <w:szCs w:val="21"/>
          <w:highlight w:val="none"/>
          <w:u w:val="single"/>
        </w:rPr>
        <w:t>⑧承包人应专人负责妥善处理因施工引起的、对相邻或周边的建筑物或环境的各种影响，并承担相关的索赔费用。</w:t>
      </w:r>
    </w:p>
    <w:p>
      <w:pPr>
        <w:spacing w:line="360" w:lineRule="exact"/>
        <w:ind w:firstLine="420" w:firstLineChars="200"/>
        <w:rPr>
          <w:color w:val="auto"/>
          <w:szCs w:val="21"/>
          <w:highlight w:val="none"/>
          <w:u w:val="single"/>
        </w:rPr>
      </w:pPr>
      <w:r>
        <w:rPr>
          <w:rFonts w:hint="eastAsia" w:ascii="宋体" w:hAnsi="宋体"/>
          <w:color w:val="auto"/>
          <w:szCs w:val="21"/>
          <w:highlight w:val="none"/>
          <w:u w:val="single"/>
        </w:rPr>
        <w:t>⑨</w:t>
      </w:r>
      <w:r>
        <w:rPr>
          <w:rFonts w:hint="eastAsia"/>
          <w:color w:val="auto"/>
          <w:szCs w:val="21"/>
          <w:highlight w:val="none"/>
          <w:u w:val="single"/>
        </w:rPr>
        <w:t>承包人负责组织本工程的移交工作，移交期间现场安全、成品保护、水电费等可能发生的其他费用由承包人承担。承包人应在移交前负责完成承包范围内的卫生清理、保洁工作，保洁标准应经发包人验收确认，费用含在合同价款中。</w:t>
      </w:r>
    </w:p>
    <w:p>
      <w:pPr>
        <w:spacing w:line="360" w:lineRule="exact"/>
        <w:ind w:firstLine="420" w:firstLineChars="200"/>
        <w:rPr>
          <w:color w:val="auto"/>
          <w:szCs w:val="21"/>
          <w:highlight w:val="none"/>
          <w:u w:val="single"/>
        </w:rPr>
      </w:pPr>
      <w:r>
        <w:rPr>
          <w:color w:val="auto"/>
          <w:szCs w:val="21"/>
          <w:highlight w:val="none"/>
        </w:rPr>
        <w:t>（11）承包人诚实信用的承诺：</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p>
    <w:p>
      <w:pPr>
        <w:spacing w:line="360" w:lineRule="exact"/>
        <w:ind w:firstLine="420" w:firstLineChars="200"/>
        <w:rPr>
          <w:color w:val="auto"/>
          <w:szCs w:val="21"/>
          <w:highlight w:val="none"/>
          <w:u w:val="single"/>
        </w:rPr>
      </w:pPr>
      <w:r>
        <w:rPr>
          <w:color w:val="auto"/>
          <w:szCs w:val="21"/>
          <w:highlight w:val="none"/>
        </w:rPr>
        <w:t>（12）承包人使用新技术、工法、工艺的承诺</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p>
    <w:p>
      <w:pPr>
        <w:spacing w:line="360" w:lineRule="exact"/>
        <w:ind w:firstLine="420" w:firstLineChars="200"/>
        <w:rPr>
          <w:color w:val="auto"/>
          <w:szCs w:val="21"/>
          <w:highlight w:val="none"/>
        </w:rPr>
      </w:pPr>
      <w:bookmarkStart w:id="182" w:name="_Toc296346669"/>
      <w:bookmarkStart w:id="183" w:name="_Toc297216187"/>
      <w:bookmarkStart w:id="184" w:name="_Toc267251424"/>
      <w:bookmarkStart w:id="185" w:name="_Toc297123528"/>
      <w:bookmarkStart w:id="186" w:name="_Toc312678020"/>
      <w:bookmarkStart w:id="187" w:name="_Toc303539137"/>
      <w:bookmarkStart w:id="188" w:name="_Toc297120468"/>
      <w:bookmarkStart w:id="189" w:name="_Toc280868655"/>
      <w:bookmarkStart w:id="190" w:name="_Toc312677494"/>
      <w:bookmarkStart w:id="191" w:name="_Toc280868656"/>
      <w:bookmarkStart w:id="192" w:name="_Toc304295557"/>
      <w:bookmarkStart w:id="193" w:name="_Toc296891208"/>
      <w:bookmarkStart w:id="194" w:name="_Toc296347167"/>
      <w:bookmarkStart w:id="195" w:name="_Toc300934980"/>
      <w:bookmarkStart w:id="196" w:name="_Toc296944507"/>
      <w:bookmarkStart w:id="197" w:name="_Toc296503168"/>
      <w:bookmarkStart w:id="198" w:name="_Toc318581173"/>
      <w:bookmarkStart w:id="199" w:name="_Toc297048354"/>
      <w:bookmarkStart w:id="200" w:name="_Toc296890996"/>
      <w:r>
        <w:rPr>
          <w:color w:val="auto"/>
          <w:szCs w:val="21"/>
          <w:highlight w:val="none"/>
        </w:rPr>
        <w:t>3.2 项目经理</w:t>
      </w:r>
    </w:p>
    <w:p>
      <w:pPr>
        <w:spacing w:line="360" w:lineRule="exact"/>
        <w:ind w:firstLine="420" w:firstLineChars="200"/>
        <w:rPr>
          <w:color w:val="auto"/>
          <w:szCs w:val="21"/>
          <w:highlight w:val="none"/>
        </w:rPr>
      </w:pPr>
      <w:r>
        <w:rPr>
          <w:color w:val="auto"/>
          <w:szCs w:val="21"/>
          <w:highlight w:val="none"/>
        </w:rPr>
        <w:t>3.2.1 项目经理：</w:t>
      </w:r>
    </w:p>
    <w:p>
      <w:pPr>
        <w:spacing w:line="360" w:lineRule="exact"/>
        <w:ind w:firstLine="420" w:firstLineChars="200"/>
        <w:rPr>
          <w:color w:val="auto"/>
          <w:szCs w:val="21"/>
          <w:highlight w:val="none"/>
        </w:rPr>
      </w:pPr>
      <w:r>
        <w:rPr>
          <w:color w:val="auto"/>
          <w:szCs w:val="21"/>
          <w:highlight w:val="none"/>
        </w:rPr>
        <w:t>姓    名：</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身份证号：</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建造师执业资格等级：</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建造师注册证书号：</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建造师执业印章号：</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安全生产考核合格证书号：</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联系电话：</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电子信箱：</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通信地址：</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u w:val="single"/>
        </w:rPr>
      </w:pPr>
      <w:r>
        <w:rPr>
          <w:color w:val="auto"/>
          <w:szCs w:val="21"/>
          <w:highlight w:val="none"/>
        </w:rPr>
        <w:t>承包人对项目经理的授权范围如下：</w:t>
      </w:r>
      <w:r>
        <w:rPr>
          <w:rFonts w:hint="eastAsia"/>
          <w:color w:val="auto"/>
          <w:szCs w:val="21"/>
          <w:highlight w:val="none"/>
          <w:u w:val="single"/>
        </w:rPr>
        <w:t>负责质量、进度、安全及协调工作；负责办理变更、洽商相关手续</w:t>
      </w:r>
      <w:r>
        <w:rPr>
          <w:color w:val="auto"/>
          <w:szCs w:val="21"/>
          <w:highlight w:val="none"/>
          <w:u w:val="single"/>
        </w:rPr>
        <w:t>。</w:t>
      </w:r>
    </w:p>
    <w:p>
      <w:pPr>
        <w:spacing w:line="360" w:lineRule="exact"/>
        <w:ind w:firstLine="420" w:firstLineChars="200"/>
        <w:rPr>
          <w:color w:val="auto"/>
          <w:szCs w:val="21"/>
          <w:highlight w:val="none"/>
        </w:rPr>
      </w:pPr>
      <w:r>
        <w:rPr>
          <w:color w:val="auto"/>
          <w:szCs w:val="21"/>
          <w:highlight w:val="none"/>
        </w:rPr>
        <w:t>关于项目经理每月在施工现场的时间要求：</w:t>
      </w:r>
      <w:r>
        <w:rPr>
          <w:color w:val="auto"/>
          <w:szCs w:val="21"/>
          <w:highlight w:val="none"/>
          <w:u w:val="single"/>
        </w:rPr>
        <w:t>月到岗须达</w:t>
      </w:r>
      <w:r>
        <w:rPr>
          <w:rFonts w:hint="eastAsia"/>
          <w:color w:val="auto"/>
          <w:szCs w:val="21"/>
          <w:highlight w:val="none"/>
          <w:u w:val="single"/>
        </w:rPr>
        <w:t>24天，月到岗达不到约定天数，按相关行业主管部发布的规定处理。遇有工程检查、验收或参观等活动时，无特殊原因不得离开施工现场</w:t>
      </w:r>
      <w:r>
        <w:rPr>
          <w:color w:val="auto"/>
          <w:szCs w:val="21"/>
          <w:highlight w:val="none"/>
          <w:u w:val="single"/>
        </w:rPr>
        <w:t>。</w:t>
      </w:r>
    </w:p>
    <w:p>
      <w:pPr>
        <w:spacing w:line="360" w:lineRule="exact"/>
        <w:ind w:firstLine="420" w:firstLineChars="200"/>
        <w:rPr>
          <w:color w:val="auto"/>
          <w:szCs w:val="21"/>
          <w:highlight w:val="none"/>
        </w:rPr>
      </w:pPr>
      <w:r>
        <w:rPr>
          <w:color w:val="auto"/>
          <w:szCs w:val="21"/>
          <w:highlight w:val="none"/>
        </w:rPr>
        <w:t>承包人未提交劳动合同，以及没有为项目经理缴纳社会保险证明的违约责任：</w:t>
      </w:r>
      <w:r>
        <w:rPr>
          <w:rFonts w:hint="eastAsia"/>
          <w:color w:val="auto"/>
          <w:szCs w:val="21"/>
          <w:highlight w:val="none"/>
          <w:u w:val="single"/>
        </w:rPr>
        <w:t>按通用合同条款</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项目经理未经批准，擅自离开施工现场的违约责任：</w:t>
      </w:r>
      <w:r>
        <w:rPr>
          <w:color w:val="auto"/>
          <w:szCs w:val="21"/>
          <w:highlight w:val="none"/>
          <w:u w:val="single"/>
        </w:rPr>
        <w:t>月到岗须达</w:t>
      </w:r>
      <w:r>
        <w:rPr>
          <w:rFonts w:hint="eastAsia"/>
          <w:color w:val="auto"/>
          <w:szCs w:val="21"/>
          <w:highlight w:val="none"/>
          <w:u w:val="single"/>
        </w:rPr>
        <w:t>24天</w:t>
      </w:r>
      <w:r>
        <w:rPr>
          <w:color w:val="auto"/>
          <w:szCs w:val="21"/>
          <w:highlight w:val="none"/>
          <w:u w:val="single"/>
        </w:rPr>
        <w:t>，不足天数，每天扣除</w:t>
      </w:r>
      <w:r>
        <w:rPr>
          <w:rFonts w:hint="eastAsia"/>
          <w:color w:val="auto"/>
          <w:szCs w:val="21"/>
          <w:highlight w:val="none"/>
          <w:u w:val="single"/>
        </w:rPr>
        <w:t>500元</w:t>
      </w:r>
      <w:r>
        <w:rPr>
          <w:color w:val="auto"/>
          <w:szCs w:val="21"/>
          <w:highlight w:val="none"/>
          <w:u w:val="single"/>
        </w:rPr>
        <w:t>，每月结算，在当期工程款支付时扣除。</w:t>
      </w:r>
    </w:p>
    <w:p>
      <w:pPr>
        <w:spacing w:line="360" w:lineRule="exact"/>
        <w:ind w:firstLine="420" w:firstLineChars="200"/>
        <w:rPr>
          <w:color w:val="auto"/>
          <w:szCs w:val="21"/>
          <w:highlight w:val="none"/>
          <w:u w:val="single"/>
        </w:rPr>
      </w:pPr>
      <w:r>
        <w:rPr>
          <w:color w:val="auto"/>
          <w:szCs w:val="21"/>
          <w:highlight w:val="none"/>
        </w:rPr>
        <w:t>3.2.3 承包人擅自更换项目经理的违约责任：</w:t>
      </w:r>
      <w:r>
        <w:rPr>
          <w:rFonts w:hint="eastAsia"/>
          <w:color w:val="auto"/>
          <w:szCs w:val="21"/>
          <w:highlight w:val="none"/>
          <w:u w:val="single"/>
        </w:rPr>
        <w:t>项目经理因发生重大安全事故、生病住院、终止劳动合同关系、被责令停止执业、羁押或判刑等情形，确已无法继续担任项目经理，承包人向发包人提出申请，发包人应同意更换，并报所在地建设行政主管部门备案，更换到位的项目经理资质、信用等级不低于原项目经理；如</w:t>
      </w:r>
      <w:r>
        <w:rPr>
          <w:color w:val="auto"/>
          <w:szCs w:val="21"/>
          <w:highlight w:val="none"/>
          <w:u w:val="single"/>
        </w:rPr>
        <w:t>承包人擅自更换</w:t>
      </w:r>
      <w:r>
        <w:rPr>
          <w:rFonts w:hint="eastAsia"/>
          <w:color w:val="auto"/>
          <w:szCs w:val="21"/>
          <w:highlight w:val="none"/>
          <w:u w:val="single"/>
        </w:rPr>
        <w:t>，按每更换一人次扣除履约担保金额的</w:t>
      </w:r>
      <w:r>
        <w:rPr>
          <w:color w:val="auto"/>
          <w:szCs w:val="21"/>
          <w:highlight w:val="none"/>
          <w:u w:val="single"/>
        </w:rPr>
        <w:t>20</w:t>
      </w:r>
      <w:r>
        <w:rPr>
          <w:rFonts w:hint="eastAsia"/>
          <w:color w:val="auto"/>
          <w:szCs w:val="21"/>
          <w:highlight w:val="none"/>
          <w:u w:val="single"/>
        </w:rPr>
        <w:t>%；及至发包人可通知承包人全部解除合同，所有履约担保金归发包人，并赔偿发包人损失。</w:t>
      </w:r>
    </w:p>
    <w:p>
      <w:pPr>
        <w:spacing w:line="360" w:lineRule="exact"/>
        <w:ind w:firstLine="420" w:firstLineChars="200"/>
        <w:rPr>
          <w:color w:val="auto"/>
          <w:szCs w:val="21"/>
          <w:highlight w:val="none"/>
        </w:rPr>
      </w:pPr>
      <w:r>
        <w:rPr>
          <w:color w:val="auto"/>
          <w:szCs w:val="21"/>
          <w:highlight w:val="none"/>
        </w:rPr>
        <w:t>3.2.4 承包人无正当理由拒绝更换项目经理的违约责任：</w:t>
      </w:r>
      <w:r>
        <w:rPr>
          <w:rFonts w:hint="eastAsia"/>
          <w:color w:val="auto"/>
          <w:szCs w:val="21"/>
          <w:highlight w:val="none"/>
          <w:u w:val="single"/>
        </w:rPr>
        <w:t>发包人可通知承包人全部解除合同，所有履约担保金归发包人，同时赔偿发包人损失。</w:t>
      </w:r>
    </w:p>
    <w:p>
      <w:pPr>
        <w:spacing w:line="360" w:lineRule="exact"/>
        <w:ind w:firstLine="420" w:firstLineChars="200"/>
        <w:rPr>
          <w:color w:val="auto"/>
          <w:szCs w:val="21"/>
          <w:highlight w:val="none"/>
        </w:rPr>
      </w:pPr>
      <w:r>
        <w:rPr>
          <w:color w:val="auto"/>
          <w:szCs w:val="21"/>
          <w:highlight w:val="none"/>
        </w:rPr>
        <w:t>3.3 承包人人员</w:t>
      </w:r>
    </w:p>
    <w:p>
      <w:pPr>
        <w:spacing w:line="360" w:lineRule="exact"/>
        <w:ind w:firstLine="420" w:firstLineChars="200"/>
        <w:rPr>
          <w:color w:val="auto"/>
          <w:szCs w:val="21"/>
          <w:highlight w:val="none"/>
        </w:rPr>
      </w:pPr>
      <w:r>
        <w:rPr>
          <w:color w:val="auto"/>
          <w:szCs w:val="21"/>
          <w:highlight w:val="none"/>
        </w:rPr>
        <w:t>3.3.1 承包人提交项目管理机构及施工现场管理人员安排报告的期限：</w:t>
      </w:r>
      <w:r>
        <w:rPr>
          <w:color w:val="auto"/>
          <w:szCs w:val="21"/>
          <w:highlight w:val="none"/>
          <w:u w:val="single"/>
        </w:rPr>
        <w:t xml:space="preserve"> 接到开工通知（或确定开工日期）后7天内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3.3.3 承包人无正当理由拒绝撤换主要施工管理人员的违约责任：</w:t>
      </w:r>
      <w:r>
        <w:rPr>
          <w:rFonts w:hint="eastAsia"/>
          <w:color w:val="auto"/>
          <w:szCs w:val="21"/>
          <w:highlight w:val="none"/>
          <w:u w:val="single"/>
        </w:rPr>
        <w:t>发包人可通知承包人全部解除合同，在工程款中扣除所有履约担保金。</w:t>
      </w:r>
    </w:p>
    <w:p>
      <w:pPr>
        <w:spacing w:line="360" w:lineRule="exact"/>
        <w:ind w:firstLine="420" w:firstLineChars="200"/>
        <w:rPr>
          <w:color w:val="auto"/>
          <w:szCs w:val="21"/>
          <w:highlight w:val="none"/>
          <w:u w:val="single"/>
        </w:rPr>
      </w:pPr>
      <w:r>
        <w:rPr>
          <w:color w:val="auto"/>
          <w:szCs w:val="21"/>
          <w:highlight w:val="none"/>
        </w:rPr>
        <w:t>3.3.4 承包人主要施工管理人员离开施工现场的批准要求：</w:t>
      </w:r>
      <w:r>
        <w:rPr>
          <w:color w:val="auto"/>
          <w:szCs w:val="21"/>
          <w:highlight w:val="none"/>
          <w:u w:val="single"/>
        </w:rPr>
        <w:t>按通用条款执行；另遇有工程检查、验收或参观等活动时，无特殊原因不得请假</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3.3.5承包人擅自更换主要施工管理人员的违约责任：</w:t>
      </w:r>
      <w:r>
        <w:rPr>
          <w:rFonts w:hint="eastAsia"/>
          <w:color w:val="auto"/>
          <w:szCs w:val="21"/>
          <w:highlight w:val="none"/>
          <w:u w:val="single"/>
        </w:rPr>
        <w:t>/。</w:t>
      </w:r>
    </w:p>
    <w:p>
      <w:pPr>
        <w:spacing w:line="360" w:lineRule="exact"/>
        <w:ind w:firstLine="420" w:firstLineChars="200"/>
        <w:rPr>
          <w:color w:val="auto"/>
          <w:szCs w:val="21"/>
          <w:highlight w:val="none"/>
          <w:u w:val="single"/>
        </w:rPr>
      </w:pPr>
      <w:r>
        <w:rPr>
          <w:color w:val="auto"/>
          <w:szCs w:val="21"/>
          <w:highlight w:val="none"/>
        </w:rPr>
        <w:t>承包人主要施工管理人员擅自离开施工现场的违约责任：</w:t>
      </w:r>
      <w:r>
        <w:rPr>
          <w:rFonts w:hint="eastAsia"/>
          <w:color w:val="auto"/>
          <w:szCs w:val="21"/>
          <w:highlight w:val="none"/>
          <w:u w:val="single"/>
        </w:rPr>
        <w:t>/</w:t>
      </w:r>
      <w:r>
        <w:rPr>
          <w:color w:val="auto"/>
          <w:szCs w:val="21"/>
          <w:highlight w:val="none"/>
          <w:u w:val="single"/>
        </w:rPr>
        <w:t>。</w:t>
      </w:r>
    </w:p>
    <w:p>
      <w:pPr>
        <w:spacing w:line="360" w:lineRule="exact"/>
        <w:ind w:firstLine="420" w:firstLineChars="200"/>
        <w:rPr>
          <w:color w:val="auto"/>
          <w:szCs w:val="21"/>
          <w:highlight w:val="none"/>
        </w:rPr>
      </w:pPr>
      <w:r>
        <w:rPr>
          <w:color w:val="auto"/>
          <w:szCs w:val="21"/>
          <w:highlight w:val="none"/>
        </w:rPr>
        <w:t>3</w:t>
      </w:r>
      <w:bookmarkStart w:id="201" w:name="_Toc297123492"/>
      <w:bookmarkStart w:id="202" w:name="_Toc303539102"/>
      <w:bookmarkStart w:id="203" w:name="_Toc292559364"/>
      <w:bookmarkStart w:id="204" w:name="_Toc297048345"/>
      <w:bookmarkStart w:id="205" w:name="_Toc296346660"/>
      <w:bookmarkStart w:id="206" w:name="_Toc297216151"/>
      <w:bookmarkStart w:id="207" w:name="_Toc296347158"/>
      <w:bookmarkStart w:id="208" w:name="_Toc296891199"/>
      <w:bookmarkStart w:id="209" w:name="_Toc296503159"/>
      <w:bookmarkStart w:id="210" w:name="_Toc300934945"/>
      <w:bookmarkStart w:id="211" w:name="_Toc297120459"/>
      <w:bookmarkStart w:id="212" w:name="_Toc292559869"/>
      <w:bookmarkStart w:id="213" w:name="_Toc296890987"/>
      <w:bookmarkStart w:id="214" w:name="_Toc304295523"/>
      <w:bookmarkStart w:id="215" w:name="_Toc312677988"/>
      <w:bookmarkStart w:id="216" w:name="_Toc296944498"/>
      <w:r>
        <w:rPr>
          <w:color w:val="auto"/>
          <w:szCs w:val="21"/>
          <w:highlight w:val="none"/>
        </w:rPr>
        <w:t>.5 分包</w:t>
      </w:r>
    </w:p>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Pr>
        <w:spacing w:line="360" w:lineRule="exact"/>
        <w:ind w:firstLine="420" w:firstLineChars="200"/>
        <w:rPr>
          <w:color w:val="auto"/>
          <w:szCs w:val="21"/>
          <w:highlight w:val="none"/>
        </w:rPr>
      </w:pPr>
      <w:bookmarkStart w:id="217" w:name="_Toc312677990"/>
      <w:bookmarkStart w:id="218" w:name="_Toc318581159"/>
      <w:r>
        <w:rPr>
          <w:color w:val="auto"/>
          <w:szCs w:val="21"/>
          <w:highlight w:val="none"/>
        </w:rPr>
        <w:t>3</w:t>
      </w:r>
      <w:bookmarkStart w:id="219" w:name="_Toc292559870"/>
      <w:bookmarkStart w:id="220" w:name="_Toc296346661"/>
      <w:bookmarkStart w:id="221" w:name="_Toc296347159"/>
      <w:bookmarkStart w:id="222" w:name="_Toc300934946"/>
      <w:bookmarkStart w:id="223" w:name="_Toc296890988"/>
      <w:bookmarkStart w:id="224" w:name="_Toc297123493"/>
      <w:bookmarkStart w:id="225" w:name="_Toc297048346"/>
      <w:bookmarkStart w:id="226" w:name="_Toc296503160"/>
      <w:bookmarkStart w:id="227" w:name="_Toc304295524"/>
      <w:bookmarkStart w:id="228" w:name="_Toc297216152"/>
      <w:bookmarkStart w:id="229" w:name="_Toc296891200"/>
      <w:bookmarkStart w:id="230" w:name="_Toc297120460"/>
      <w:bookmarkStart w:id="231" w:name="_Toc303539103"/>
      <w:bookmarkStart w:id="232" w:name="_Toc292559365"/>
      <w:bookmarkStart w:id="233" w:name="_Toc296944499"/>
      <w:bookmarkStart w:id="234" w:name="_Toc318581158"/>
      <w:bookmarkStart w:id="235" w:name="_Toc312677989"/>
      <w:r>
        <w:rPr>
          <w:color w:val="auto"/>
          <w:szCs w:val="21"/>
          <w:highlight w:val="none"/>
        </w:rPr>
        <w:t>.5.1 分包的一般约定</w:t>
      </w:r>
    </w:p>
    <w:p>
      <w:pPr>
        <w:spacing w:line="360" w:lineRule="exact"/>
        <w:ind w:firstLine="420" w:firstLineChars="200"/>
        <w:rPr>
          <w:color w:val="auto"/>
          <w:szCs w:val="21"/>
          <w:highlight w:val="none"/>
        </w:rPr>
      </w:pPr>
      <w:r>
        <w:rPr>
          <w:color w:val="auto"/>
          <w:szCs w:val="21"/>
          <w:highlight w:val="none"/>
        </w:rPr>
        <w:t>禁止分包的工程包括：</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u w:val="single"/>
        </w:rPr>
      </w:pPr>
      <w:r>
        <w:rPr>
          <w:color w:val="auto"/>
          <w:szCs w:val="21"/>
          <w:highlight w:val="none"/>
        </w:rPr>
        <w:t>主体结构、关键性工作的范围：</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Start w:id="236" w:name="_Toc296347160"/>
      <w:bookmarkStart w:id="237" w:name="_Toc296890989"/>
      <w:bookmarkStart w:id="238" w:name="_Toc297048347"/>
      <w:bookmarkStart w:id="239" w:name="_Toc300934947"/>
      <w:bookmarkStart w:id="240" w:name="_Toc297216153"/>
      <w:bookmarkStart w:id="241" w:name="_Toc297120461"/>
      <w:bookmarkStart w:id="242" w:name="_Toc303539104"/>
      <w:bookmarkStart w:id="243" w:name="_Toc297123494"/>
      <w:bookmarkStart w:id="244" w:name="_Toc296944500"/>
      <w:bookmarkStart w:id="245" w:name="_Toc304295525"/>
      <w:bookmarkStart w:id="246" w:name="_Toc296346662"/>
      <w:bookmarkStart w:id="247" w:name="_Toc296503161"/>
      <w:bookmarkStart w:id="248" w:name="_Toc296891201"/>
    </w:p>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Pr>
        <w:spacing w:line="360" w:lineRule="exact"/>
        <w:ind w:firstLine="420" w:firstLineChars="200"/>
        <w:rPr>
          <w:color w:val="auto"/>
          <w:szCs w:val="21"/>
          <w:highlight w:val="none"/>
        </w:rPr>
      </w:pPr>
      <w:r>
        <w:rPr>
          <w:color w:val="auto"/>
          <w:szCs w:val="21"/>
          <w:highlight w:val="none"/>
        </w:rPr>
        <w:t>3.5.2分包的确定</w:t>
      </w:r>
    </w:p>
    <w:p>
      <w:pPr>
        <w:spacing w:line="360" w:lineRule="exact"/>
        <w:ind w:firstLine="420" w:firstLineChars="200"/>
        <w:rPr>
          <w:color w:val="auto"/>
          <w:szCs w:val="21"/>
          <w:highlight w:val="none"/>
          <w:u w:val="single"/>
        </w:rPr>
      </w:pPr>
      <w:r>
        <w:rPr>
          <w:color w:val="auto"/>
          <w:szCs w:val="21"/>
          <w:highlight w:val="none"/>
        </w:rPr>
        <w:t>允许分包的专业工程包括：</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其他关于分包的约定：</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3.5.4 分包合同价款</w:t>
      </w:r>
    </w:p>
    <w:p>
      <w:pPr>
        <w:spacing w:line="360" w:lineRule="exact"/>
        <w:ind w:firstLine="420" w:firstLineChars="200"/>
        <w:rPr>
          <w:color w:val="auto"/>
          <w:szCs w:val="21"/>
          <w:highlight w:val="none"/>
        </w:rPr>
      </w:pPr>
      <w:r>
        <w:rPr>
          <w:color w:val="auto"/>
          <w:szCs w:val="21"/>
          <w:highlight w:val="none"/>
        </w:rPr>
        <w:t>关于分包合同价款支付的约定：</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bookmarkEnd w:id="217"/>
    <w:bookmarkEnd w:id="218"/>
    <w:p>
      <w:pPr>
        <w:spacing w:line="360" w:lineRule="exact"/>
        <w:ind w:firstLine="420" w:firstLineChars="200"/>
        <w:rPr>
          <w:color w:val="auto"/>
          <w:szCs w:val="21"/>
          <w:highlight w:val="none"/>
        </w:rPr>
      </w:pPr>
      <w:r>
        <w:rPr>
          <w:color w:val="auto"/>
          <w:szCs w:val="21"/>
          <w:highlight w:val="none"/>
        </w:rPr>
        <w:t>3.6 工程照管与成品、半成品保护</w:t>
      </w:r>
    </w:p>
    <w:p>
      <w:pPr>
        <w:spacing w:line="360" w:lineRule="exact"/>
        <w:ind w:firstLine="420" w:firstLineChars="200"/>
        <w:rPr>
          <w:color w:val="auto"/>
          <w:szCs w:val="21"/>
          <w:highlight w:val="none"/>
          <w:u w:val="single"/>
        </w:rPr>
      </w:pPr>
      <w:r>
        <w:rPr>
          <w:color w:val="auto"/>
          <w:szCs w:val="21"/>
          <w:highlight w:val="none"/>
        </w:rPr>
        <w:t>承包人负责照管工程及工程相关的材料、工程设备的起始时间：</w:t>
      </w:r>
      <w:r>
        <w:rPr>
          <w:color w:val="auto"/>
          <w:szCs w:val="21"/>
          <w:highlight w:val="none"/>
          <w:u w:val="single"/>
        </w:rPr>
        <w:t>按合同通用条款执行</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3.7 履约担保</w:t>
      </w:r>
    </w:p>
    <w:p>
      <w:pPr>
        <w:spacing w:line="360" w:lineRule="exact"/>
        <w:ind w:firstLine="420" w:firstLineChars="200"/>
        <w:rPr>
          <w:color w:val="auto"/>
          <w:szCs w:val="21"/>
          <w:highlight w:val="none"/>
        </w:rPr>
      </w:pPr>
      <w:bookmarkStart w:id="249" w:name="_Toc351203636"/>
      <w:r>
        <w:rPr>
          <w:rFonts w:hint="eastAsia"/>
          <w:color w:val="auto"/>
          <w:szCs w:val="21"/>
          <w:highlight w:val="none"/>
        </w:rPr>
        <w:t>承包人是否提供履约担保：</w:t>
      </w:r>
      <w:r>
        <w:rPr>
          <w:rFonts w:hint="eastAsia"/>
          <w:color w:val="auto"/>
          <w:szCs w:val="21"/>
          <w:highlight w:val="none"/>
          <w:u w:val="single"/>
        </w:rPr>
        <w:t xml:space="preserve"> 是 </w:t>
      </w:r>
      <w:r>
        <w:rPr>
          <w:rFonts w:hint="eastAsia"/>
          <w:color w:val="auto"/>
          <w:szCs w:val="21"/>
          <w:highlight w:val="none"/>
        </w:rPr>
        <w:t>。</w:t>
      </w:r>
    </w:p>
    <w:p>
      <w:pPr>
        <w:spacing w:line="36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承包人提供履约担保的形式、金额及期限的：履约担保为签约合同价的2%，履约担保期限至本工程竣工验收为止，履约担保期间不计息。如承包人发生违约情形，直接在工程款中扣除</w:t>
      </w:r>
      <w:r>
        <w:rPr>
          <w:rFonts w:hint="eastAsia" w:ascii="宋体" w:hAnsi="宋体" w:cs="宋体"/>
          <w:color w:val="auto"/>
          <w:szCs w:val="21"/>
          <w:highlight w:val="none"/>
        </w:rPr>
        <w:t>。</w:t>
      </w:r>
    </w:p>
    <w:p>
      <w:pPr>
        <w:spacing w:line="36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承包人提供履约担保的期限：</w:t>
      </w:r>
      <w:r>
        <w:rPr>
          <w:rFonts w:hint="eastAsia" w:ascii="宋体" w:hAnsi="宋体" w:cs="宋体"/>
          <w:color w:val="auto"/>
          <w:szCs w:val="21"/>
          <w:highlight w:val="none"/>
          <w:u w:val="single"/>
        </w:rPr>
        <w:t>履约保证金如为非保函和担保形式的，合同到期后，发包人在所有工程竣工验收后14天内退还履约担保（扣除相应的违约责任后）。</w:t>
      </w:r>
    </w:p>
    <w:p>
      <w:pPr>
        <w:spacing w:line="360" w:lineRule="exact"/>
        <w:ind w:firstLine="422" w:firstLineChars="200"/>
        <w:rPr>
          <w:b/>
          <w:bCs/>
          <w:color w:val="auto"/>
          <w:szCs w:val="21"/>
          <w:highlight w:val="none"/>
        </w:rPr>
      </w:pPr>
      <w:r>
        <w:rPr>
          <w:b/>
          <w:bCs/>
          <w:color w:val="auto"/>
          <w:szCs w:val="21"/>
          <w:highlight w:val="none"/>
        </w:rPr>
        <w:t>4</w:t>
      </w:r>
      <w:bookmarkStart w:id="250" w:name="_Toc296891202"/>
      <w:bookmarkStart w:id="251" w:name="_Toc297048348"/>
      <w:bookmarkStart w:id="252" w:name="_Toc292559871"/>
      <w:bookmarkStart w:id="253" w:name="_Toc292559366"/>
      <w:bookmarkStart w:id="254" w:name="_Toc296347161"/>
      <w:bookmarkStart w:id="255" w:name="_Toc296890990"/>
      <w:bookmarkStart w:id="256" w:name="_Toc267251413"/>
      <w:bookmarkStart w:id="257" w:name="_Toc296346663"/>
      <w:bookmarkStart w:id="258" w:name="_Toc296503162"/>
      <w:bookmarkStart w:id="259" w:name="_Toc297120462"/>
      <w:bookmarkStart w:id="260" w:name="_Toc296944501"/>
      <w:r>
        <w:rPr>
          <w:b/>
          <w:bCs/>
          <w:color w:val="auto"/>
          <w:szCs w:val="21"/>
          <w:highlight w:val="none"/>
        </w:rPr>
        <w:t>. 监</w:t>
      </w:r>
      <w:bookmarkEnd w:id="250"/>
      <w:bookmarkEnd w:id="251"/>
      <w:bookmarkEnd w:id="252"/>
      <w:bookmarkEnd w:id="253"/>
      <w:bookmarkEnd w:id="254"/>
      <w:bookmarkEnd w:id="255"/>
      <w:bookmarkEnd w:id="256"/>
      <w:bookmarkEnd w:id="257"/>
      <w:bookmarkEnd w:id="258"/>
      <w:bookmarkEnd w:id="259"/>
      <w:bookmarkEnd w:id="260"/>
      <w:r>
        <w:rPr>
          <w:b/>
          <w:bCs/>
          <w:color w:val="auto"/>
          <w:szCs w:val="21"/>
          <w:highlight w:val="none"/>
        </w:rPr>
        <w:t>理人</w:t>
      </w:r>
      <w:bookmarkEnd w:id="249"/>
    </w:p>
    <w:p>
      <w:pPr>
        <w:spacing w:line="360" w:lineRule="exact"/>
        <w:ind w:firstLine="420" w:firstLineChars="200"/>
        <w:rPr>
          <w:color w:val="auto"/>
          <w:szCs w:val="21"/>
          <w:highlight w:val="none"/>
        </w:rPr>
      </w:pPr>
      <w:r>
        <w:rPr>
          <w:color w:val="auto"/>
          <w:szCs w:val="21"/>
          <w:highlight w:val="none"/>
        </w:rPr>
        <w:t>4.1监理人的一般规定</w:t>
      </w:r>
    </w:p>
    <w:p>
      <w:pPr>
        <w:spacing w:line="360" w:lineRule="exact"/>
        <w:ind w:firstLine="420" w:firstLineChars="200"/>
        <w:rPr>
          <w:color w:val="auto"/>
          <w:szCs w:val="21"/>
          <w:highlight w:val="none"/>
        </w:rPr>
      </w:pPr>
      <w:r>
        <w:rPr>
          <w:color w:val="auto"/>
          <w:szCs w:val="21"/>
          <w:highlight w:val="none"/>
        </w:rPr>
        <w:t>关于监理人的监理内容：</w:t>
      </w:r>
      <w:r>
        <w:rPr>
          <w:color w:val="auto"/>
          <w:szCs w:val="21"/>
          <w:highlight w:val="none"/>
          <w:u w:val="single"/>
        </w:rPr>
        <w:t xml:space="preserve"> 按本工程监理合同约定内容</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关于监理人的监理权限：</w:t>
      </w:r>
      <w:r>
        <w:rPr>
          <w:color w:val="auto"/>
          <w:szCs w:val="21"/>
          <w:highlight w:val="none"/>
          <w:u w:val="single"/>
        </w:rPr>
        <w:t>按本工程监理合同约定内容，涉及工程变更（含设计变更等参建各方变更）均需报发包人审批后生效</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关于监理人在施工现场的办公场所、生活场所的提供和费用承担的约定：</w:t>
      </w:r>
      <w:r>
        <w:rPr>
          <w:color w:val="auto"/>
          <w:szCs w:val="21"/>
          <w:highlight w:val="none"/>
          <w:u w:val="single"/>
        </w:rPr>
        <w:t>由承包人免费提供办公室1间使用。</w:t>
      </w:r>
    </w:p>
    <w:p>
      <w:pPr>
        <w:spacing w:line="360" w:lineRule="exact"/>
        <w:ind w:firstLine="420" w:firstLineChars="200"/>
        <w:rPr>
          <w:color w:val="auto"/>
          <w:szCs w:val="21"/>
          <w:highlight w:val="none"/>
        </w:rPr>
      </w:pPr>
      <w:r>
        <w:rPr>
          <w:color w:val="auto"/>
          <w:szCs w:val="21"/>
          <w:highlight w:val="none"/>
        </w:rPr>
        <w:t>4.2 监理人员</w:t>
      </w:r>
    </w:p>
    <w:p>
      <w:pPr>
        <w:spacing w:line="360" w:lineRule="exact"/>
        <w:ind w:firstLine="420" w:firstLineChars="200"/>
        <w:rPr>
          <w:color w:val="auto"/>
          <w:szCs w:val="21"/>
          <w:highlight w:val="none"/>
        </w:rPr>
      </w:pPr>
      <w:r>
        <w:rPr>
          <w:color w:val="auto"/>
          <w:szCs w:val="21"/>
          <w:highlight w:val="none"/>
        </w:rPr>
        <w:t>总监理工程师：</w:t>
      </w:r>
    </w:p>
    <w:p>
      <w:pPr>
        <w:spacing w:line="360" w:lineRule="exact"/>
        <w:ind w:firstLine="420" w:firstLineChars="200"/>
        <w:rPr>
          <w:color w:val="auto"/>
          <w:szCs w:val="21"/>
          <w:highlight w:val="none"/>
        </w:rPr>
      </w:pPr>
      <w:r>
        <w:rPr>
          <w:color w:val="auto"/>
          <w:szCs w:val="21"/>
          <w:highlight w:val="none"/>
        </w:rPr>
        <w:t>姓    名：</w:t>
      </w:r>
      <w:r>
        <w:rPr>
          <w:rFonts w:hint="eastAsia"/>
          <w:color w:val="auto"/>
          <w:szCs w:val="21"/>
          <w:highlight w:val="none"/>
          <w:u w:val="single"/>
        </w:rPr>
        <w:t xml:space="preserve">     以监理合同为准    </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职    务：</w:t>
      </w:r>
      <w:r>
        <w:rPr>
          <w:rFonts w:hint="eastAsia"/>
          <w:color w:val="auto"/>
          <w:szCs w:val="21"/>
          <w:highlight w:val="none"/>
          <w:u w:val="single"/>
        </w:rPr>
        <w:t xml:space="preserve">     /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监理工程师执业资格证书号：</w:t>
      </w:r>
      <w:r>
        <w:rPr>
          <w:rFonts w:hint="eastAsia"/>
          <w:color w:val="auto"/>
          <w:szCs w:val="21"/>
          <w:highlight w:val="none"/>
          <w:u w:val="single"/>
        </w:rPr>
        <w:t xml:space="preserve">   /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联系电话：</w:t>
      </w:r>
      <w:r>
        <w:rPr>
          <w:rFonts w:hint="eastAsia"/>
          <w:color w:val="auto"/>
          <w:szCs w:val="21"/>
          <w:highlight w:val="none"/>
          <w:u w:val="single"/>
        </w:rPr>
        <w:t xml:space="preserve">        /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电子信箱：</w:t>
      </w:r>
      <w:r>
        <w:rPr>
          <w:rFonts w:hint="eastAsia"/>
          <w:color w:val="auto"/>
          <w:szCs w:val="21"/>
          <w:highlight w:val="none"/>
          <w:u w:val="single"/>
        </w:rPr>
        <w:t xml:space="preserve">     /</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通信地址：</w:t>
      </w:r>
      <w:r>
        <w:rPr>
          <w:rFonts w:hint="eastAsia"/>
          <w:color w:val="auto"/>
          <w:szCs w:val="21"/>
          <w:highlight w:val="none"/>
          <w:u w:val="single"/>
        </w:rPr>
        <w:t xml:space="preserve">     /     </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u w:val="single"/>
        </w:rPr>
      </w:pPr>
      <w:r>
        <w:rPr>
          <w:color w:val="auto"/>
          <w:szCs w:val="21"/>
          <w:highlight w:val="none"/>
        </w:rPr>
        <w:t>关于监理人的其他约定：</w:t>
      </w:r>
    </w:p>
    <w:p>
      <w:pPr>
        <w:spacing w:line="360" w:lineRule="exact"/>
        <w:ind w:firstLine="420" w:firstLineChars="200"/>
        <w:rPr>
          <w:color w:val="auto"/>
          <w:szCs w:val="21"/>
          <w:highlight w:val="none"/>
          <w:u w:val="single"/>
        </w:rPr>
      </w:pPr>
      <w:r>
        <w:rPr>
          <w:color w:val="auto"/>
          <w:szCs w:val="21"/>
          <w:highlight w:val="none"/>
          <w:u w:val="single"/>
        </w:rPr>
        <w:t>（1）监理人授权超出合同约定，承包人有权提出异议，如监理人对于承包人合理的异议不予接受，则承包人可要求发包人就该事项作出处理决定；</w:t>
      </w:r>
    </w:p>
    <w:p>
      <w:pPr>
        <w:spacing w:line="360" w:lineRule="exact"/>
        <w:ind w:firstLine="420" w:firstLineChars="200"/>
        <w:rPr>
          <w:color w:val="auto"/>
          <w:szCs w:val="21"/>
          <w:highlight w:val="none"/>
          <w:u w:val="single"/>
        </w:rPr>
      </w:pPr>
      <w:r>
        <w:rPr>
          <w:color w:val="auto"/>
          <w:szCs w:val="21"/>
          <w:highlight w:val="none"/>
          <w:u w:val="single"/>
        </w:rPr>
        <w:t>（2）对于监理人更换其委派的监理人员的，监理人在征得发包人同意后应当提前48小时书面通知承包人；</w:t>
      </w:r>
    </w:p>
    <w:p>
      <w:pPr>
        <w:spacing w:line="360" w:lineRule="exact"/>
        <w:ind w:firstLine="420" w:firstLineChars="200"/>
        <w:rPr>
          <w:color w:val="auto"/>
          <w:szCs w:val="21"/>
          <w:highlight w:val="none"/>
        </w:rPr>
      </w:pPr>
      <w:r>
        <w:rPr>
          <w:color w:val="auto"/>
          <w:szCs w:val="21"/>
          <w:highlight w:val="none"/>
          <w:u w:val="single"/>
        </w:rPr>
        <w:t>（3）监理人对其监理人员的任何授权，承包人均应当要求监理人提供书面的授权，否则，承包人有权拒绝接受监理人员的指示。</w:t>
      </w:r>
    </w:p>
    <w:p>
      <w:pPr>
        <w:spacing w:line="360" w:lineRule="exact"/>
        <w:ind w:firstLine="420" w:firstLineChars="200"/>
        <w:rPr>
          <w:color w:val="auto"/>
          <w:szCs w:val="21"/>
          <w:highlight w:val="none"/>
        </w:rPr>
      </w:pPr>
      <w:r>
        <w:rPr>
          <w:color w:val="auto"/>
          <w:szCs w:val="21"/>
          <w:highlight w:val="none"/>
        </w:rPr>
        <w:t>4.4 商定或确定</w:t>
      </w:r>
    </w:p>
    <w:p>
      <w:pPr>
        <w:spacing w:line="360" w:lineRule="exact"/>
        <w:ind w:firstLine="420" w:firstLineChars="200"/>
        <w:rPr>
          <w:color w:val="auto"/>
          <w:szCs w:val="21"/>
          <w:highlight w:val="none"/>
        </w:rPr>
      </w:pPr>
      <w:r>
        <w:rPr>
          <w:color w:val="auto"/>
          <w:szCs w:val="21"/>
          <w:highlight w:val="none"/>
        </w:rPr>
        <w:t>在发包人和承包人不能通过协商达成一致意见时，发包人授权监理人对以下事项进行确定：</w:t>
      </w:r>
    </w:p>
    <w:p>
      <w:pPr>
        <w:spacing w:line="360" w:lineRule="exact"/>
        <w:ind w:firstLine="420" w:firstLineChars="200"/>
        <w:rPr>
          <w:color w:val="auto"/>
          <w:szCs w:val="21"/>
          <w:highlight w:val="none"/>
        </w:rPr>
      </w:pPr>
      <w:r>
        <w:rPr>
          <w:rFonts w:hint="eastAsia"/>
          <w:color w:val="auto"/>
          <w:szCs w:val="21"/>
          <w:highlight w:val="none"/>
        </w:rPr>
        <w:t>（</w:t>
      </w:r>
      <w:r>
        <w:rPr>
          <w:color w:val="auto"/>
          <w:szCs w:val="21"/>
          <w:highlight w:val="none"/>
        </w:rPr>
        <w:t>1）</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w:t>
      </w:r>
    </w:p>
    <w:p>
      <w:pPr>
        <w:spacing w:line="360" w:lineRule="exact"/>
        <w:ind w:firstLine="420" w:firstLineChars="200"/>
        <w:rPr>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w:t>
      </w:r>
    </w:p>
    <w:p>
      <w:pPr>
        <w:spacing w:line="360" w:lineRule="exact"/>
        <w:ind w:firstLine="420" w:firstLineChars="200"/>
        <w:rPr>
          <w:color w:val="auto"/>
          <w:szCs w:val="21"/>
          <w:highlight w:val="none"/>
          <w:u w:val="single"/>
        </w:rPr>
      </w:pPr>
      <w:r>
        <w:rPr>
          <w:rFonts w:hint="eastAsia"/>
          <w:color w:val="auto"/>
          <w:szCs w:val="21"/>
          <w:highlight w:val="none"/>
        </w:rPr>
        <w:t>（</w:t>
      </w:r>
      <w:r>
        <w:rPr>
          <w:color w:val="auto"/>
          <w:szCs w:val="21"/>
          <w:highlight w:val="none"/>
        </w:rPr>
        <w:t>3）</w:t>
      </w:r>
      <w:r>
        <w:rPr>
          <w:color w:val="auto"/>
          <w:szCs w:val="21"/>
          <w:highlight w:val="none"/>
          <w:u w:val="single"/>
        </w:rPr>
        <w:t xml:space="preserve">      /    </w:t>
      </w:r>
      <w:r>
        <w:rPr>
          <w:rFonts w:hint="eastAsia"/>
          <w:color w:val="auto"/>
          <w:szCs w:val="21"/>
          <w:highlight w:val="none"/>
        </w:rPr>
        <w:t>。</w:t>
      </w:r>
    </w:p>
    <w:p>
      <w:pPr>
        <w:spacing w:line="360" w:lineRule="exact"/>
        <w:ind w:firstLine="422" w:firstLineChars="200"/>
        <w:rPr>
          <w:b/>
          <w:bCs/>
          <w:color w:val="auto"/>
          <w:szCs w:val="21"/>
          <w:highlight w:val="none"/>
        </w:rPr>
      </w:pPr>
      <w:bookmarkStart w:id="261" w:name="_Toc351203637"/>
      <w:r>
        <w:rPr>
          <w:b/>
          <w:bCs/>
          <w:color w:val="auto"/>
          <w:szCs w:val="21"/>
          <w:highlight w:val="none"/>
        </w:rPr>
        <w:t>5</w:t>
      </w:r>
      <w:bookmarkStart w:id="262" w:name="_Toc296944502"/>
      <w:bookmarkStart w:id="263" w:name="_Toc297120463"/>
      <w:bookmarkStart w:id="264" w:name="_Toc296347162"/>
      <w:bookmarkStart w:id="265" w:name="_Toc296891203"/>
      <w:bookmarkStart w:id="266" w:name="_Toc292559367"/>
      <w:bookmarkStart w:id="267" w:name="_Toc296503163"/>
      <w:bookmarkStart w:id="268" w:name="_Toc292559872"/>
      <w:bookmarkStart w:id="269" w:name="_Toc296346664"/>
      <w:bookmarkStart w:id="270" w:name="_Toc296890991"/>
      <w:bookmarkStart w:id="271" w:name="_Toc297048349"/>
      <w:r>
        <w:rPr>
          <w:b/>
          <w:bCs/>
          <w:color w:val="auto"/>
          <w:szCs w:val="21"/>
          <w:highlight w:val="none"/>
        </w:rPr>
        <w:t>. 工程质量</w:t>
      </w:r>
      <w:bookmarkEnd w:id="261"/>
    </w:p>
    <w:p>
      <w:pPr>
        <w:spacing w:line="360" w:lineRule="exact"/>
        <w:ind w:firstLine="420" w:firstLineChars="200"/>
        <w:rPr>
          <w:color w:val="auto"/>
          <w:szCs w:val="21"/>
          <w:highlight w:val="none"/>
        </w:rPr>
      </w:pPr>
      <w:bookmarkStart w:id="272" w:name="_Toc318581164"/>
      <w:bookmarkStart w:id="273" w:name="_Toc300934949"/>
      <w:bookmarkStart w:id="274" w:name="_Toc297123496"/>
      <w:bookmarkStart w:id="275" w:name="_Toc297216155"/>
      <w:bookmarkStart w:id="276" w:name="_Toc303539106"/>
      <w:bookmarkStart w:id="277" w:name="_Toc312677997"/>
      <w:bookmarkStart w:id="278" w:name="_Toc304295527"/>
      <w:r>
        <w:rPr>
          <w:color w:val="auto"/>
          <w:szCs w:val="21"/>
          <w:highlight w:val="none"/>
        </w:rPr>
        <w:t>5.1 质量要求</w:t>
      </w:r>
    </w:p>
    <w:p>
      <w:pPr>
        <w:spacing w:line="360" w:lineRule="exact"/>
        <w:ind w:firstLine="420" w:firstLineChars="200"/>
        <w:rPr>
          <w:color w:val="auto"/>
          <w:szCs w:val="21"/>
          <w:highlight w:val="none"/>
        </w:rPr>
      </w:pPr>
      <w:r>
        <w:rPr>
          <w:color w:val="auto"/>
          <w:szCs w:val="21"/>
          <w:highlight w:val="none"/>
        </w:rPr>
        <w:t>5.1.1 特殊质量标准和要求：</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关于工程奖项的约定：</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5.3 隐蔽工程检查</w:t>
      </w:r>
    </w:p>
    <w:p>
      <w:pPr>
        <w:spacing w:line="360" w:lineRule="exact"/>
        <w:ind w:firstLine="420" w:firstLineChars="200"/>
        <w:rPr>
          <w:color w:val="auto"/>
          <w:szCs w:val="21"/>
          <w:highlight w:val="none"/>
        </w:rPr>
      </w:pPr>
      <w:r>
        <w:rPr>
          <w:color w:val="auto"/>
          <w:szCs w:val="21"/>
          <w:highlight w:val="none"/>
        </w:rPr>
        <w:t>5.3.2承包人提前通知监理人隐蔽工程检查的期限的约定：</w:t>
      </w:r>
      <w:r>
        <w:rPr>
          <w:color w:val="auto"/>
          <w:szCs w:val="21"/>
          <w:highlight w:val="none"/>
          <w:u w:val="single"/>
        </w:rPr>
        <w:t xml:space="preserve"> 按合同通用条款执行</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监理人不能按时进行检查时，应提前</w:t>
      </w:r>
      <w:r>
        <w:rPr>
          <w:color w:val="auto"/>
          <w:szCs w:val="21"/>
          <w:highlight w:val="none"/>
          <w:u w:val="single"/>
        </w:rPr>
        <w:t xml:space="preserve"> 24 </w:t>
      </w:r>
      <w:r>
        <w:rPr>
          <w:color w:val="auto"/>
          <w:szCs w:val="21"/>
          <w:highlight w:val="none"/>
        </w:rPr>
        <w:t>小时提交书面延期要求。</w:t>
      </w:r>
    </w:p>
    <w:p>
      <w:pPr>
        <w:spacing w:line="360" w:lineRule="exact"/>
        <w:ind w:firstLine="420" w:firstLineChars="200"/>
        <w:rPr>
          <w:color w:val="auto"/>
          <w:szCs w:val="21"/>
          <w:highlight w:val="none"/>
        </w:rPr>
      </w:pPr>
      <w:r>
        <w:rPr>
          <w:color w:val="auto"/>
          <w:szCs w:val="21"/>
          <w:highlight w:val="none"/>
        </w:rPr>
        <w:t>关于延期最长不得超过：</w:t>
      </w:r>
      <w:r>
        <w:rPr>
          <w:color w:val="auto"/>
          <w:szCs w:val="21"/>
          <w:highlight w:val="none"/>
          <w:u w:val="single"/>
        </w:rPr>
        <w:t xml:space="preserve"> 24 </w:t>
      </w:r>
      <w:r>
        <w:rPr>
          <w:color w:val="auto"/>
          <w:szCs w:val="21"/>
          <w:highlight w:val="none"/>
        </w:rPr>
        <w:t>小时，由此导致工期延误的，工期予以顺延。</w:t>
      </w:r>
    </w:p>
    <w:p>
      <w:pPr>
        <w:spacing w:line="360" w:lineRule="exact"/>
        <w:ind w:firstLine="420" w:firstLineChars="200"/>
        <w:rPr>
          <w:color w:val="auto"/>
          <w:szCs w:val="21"/>
          <w:highlight w:val="none"/>
          <w:u w:val="single"/>
        </w:rPr>
      </w:pPr>
      <w:r>
        <w:rPr>
          <w:color w:val="auto"/>
          <w:szCs w:val="21"/>
          <w:highlight w:val="none"/>
          <w:u w:val="single"/>
        </w:rPr>
        <w:t>隐蔽工程验收过程、验收部位除办理纸质验收记录，还应留置验收部位、验收过程、主要验收人员相片、影像等资料。</w:t>
      </w:r>
    </w:p>
    <w:p>
      <w:pPr>
        <w:spacing w:line="360" w:lineRule="exact"/>
        <w:ind w:firstLine="422" w:firstLineChars="200"/>
        <w:rPr>
          <w:bCs/>
          <w:color w:val="auto"/>
          <w:szCs w:val="21"/>
          <w:highlight w:val="none"/>
        </w:rPr>
      </w:pPr>
      <w:bookmarkStart w:id="279" w:name="_Toc351203638"/>
      <w:r>
        <w:rPr>
          <w:b/>
          <w:bCs/>
          <w:color w:val="auto"/>
          <w:szCs w:val="21"/>
          <w:highlight w:val="none"/>
        </w:rPr>
        <w:t>6. 安全文明施工与环境保护</w:t>
      </w:r>
      <w:bookmarkEnd w:id="279"/>
    </w:p>
    <w:p>
      <w:pPr>
        <w:spacing w:line="360" w:lineRule="exact"/>
        <w:ind w:firstLine="420" w:firstLineChars="200"/>
        <w:rPr>
          <w:color w:val="auto"/>
          <w:szCs w:val="21"/>
          <w:highlight w:val="none"/>
        </w:rPr>
      </w:pPr>
      <w:r>
        <w:rPr>
          <w:color w:val="auto"/>
          <w:szCs w:val="21"/>
          <w:highlight w:val="none"/>
        </w:rPr>
        <w:t>6.1安全文明施工</w:t>
      </w:r>
    </w:p>
    <w:p>
      <w:pPr>
        <w:spacing w:line="360" w:lineRule="exact"/>
        <w:ind w:firstLine="420" w:firstLineChars="200"/>
        <w:rPr>
          <w:color w:val="auto"/>
          <w:szCs w:val="21"/>
          <w:highlight w:val="none"/>
        </w:rPr>
      </w:pPr>
      <w:r>
        <w:rPr>
          <w:color w:val="auto"/>
          <w:szCs w:val="21"/>
          <w:highlight w:val="none"/>
        </w:rPr>
        <w:t>6.1.1 项目安全生产的达标目标及相应事项的约定：</w:t>
      </w:r>
      <w:r>
        <w:rPr>
          <w:color w:val="auto"/>
          <w:szCs w:val="21"/>
          <w:highlight w:val="none"/>
          <w:u w:val="single"/>
        </w:rPr>
        <w:t xml:space="preserve"> </w:t>
      </w:r>
      <w:r>
        <w:rPr>
          <w:b/>
          <w:color w:val="auto"/>
          <w:szCs w:val="21"/>
          <w:highlight w:val="none"/>
          <w:u w:val="single"/>
        </w:rPr>
        <w:t>按省、市建筑业、安全监督等相关主管部门发布的有关管理规定执行</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6.1.4 关于治安保卫的特别约定：</w:t>
      </w:r>
      <w:r>
        <w:rPr>
          <w:color w:val="auto"/>
          <w:szCs w:val="21"/>
          <w:highlight w:val="none"/>
          <w:u w:val="single"/>
        </w:rPr>
        <w:t>按合同通用条款</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关于编制施工场地治安管理计划的约定：</w:t>
      </w:r>
      <w:r>
        <w:rPr>
          <w:color w:val="auto"/>
          <w:szCs w:val="21"/>
          <w:highlight w:val="none"/>
          <w:u w:val="single"/>
        </w:rPr>
        <w:t>按合同通用条款</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6.1.5 文明施工</w:t>
      </w:r>
    </w:p>
    <w:p>
      <w:pPr>
        <w:spacing w:line="360" w:lineRule="exact"/>
        <w:ind w:firstLine="420" w:firstLineChars="200"/>
        <w:rPr>
          <w:color w:val="auto"/>
          <w:szCs w:val="21"/>
          <w:highlight w:val="none"/>
        </w:rPr>
      </w:pPr>
      <w:r>
        <w:rPr>
          <w:color w:val="auto"/>
          <w:szCs w:val="21"/>
          <w:highlight w:val="none"/>
        </w:rPr>
        <w:t>合同当事人对文明施工的要求：</w:t>
      </w:r>
      <w:r>
        <w:rPr>
          <w:color w:val="auto"/>
          <w:szCs w:val="21"/>
          <w:highlight w:val="none"/>
          <w:u w:val="single"/>
        </w:rPr>
        <w:t>按省、市发有关文明施工管理规定执行</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6.1.6 关于安全文明施工费支付比例和支付期限的约定：</w:t>
      </w:r>
      <w:r>
        <w:rPr>
          <w:rFonts w:hint="eastAsia"/>
          <w:color w:val="auto"/>
          <w:szCs w:val="21"/>
          <w:highlight w:val="none"/>
          <w:u w:val="single"/>
        </w:rPr>
        <w:t>安全文明施工费包含在签约合同价内。承包人经发包人同意采取合同以外的安全措施所产生的费用，由发、承包人协商处理；未经发包人同意，发包人可不承担由此增加费用</w:t>
      </w:r>
      <w:r>
        <w:rPr>
          <w:rFonts w:hint="eastAsia"/>
          <w:color w:val="auto"/>
          <w:szCs w:val="21"/>
          <w:highlight w:val="none"/>
        </w:rPr>
        <w:t>。</w:t>
      </w:r>
    </w:p>
    <w:bookmarkEnd w:id="272"/>
    <w:bookmarkEnd w:id="273"/>
    <w:bookmarkEnd w:id="274"/>
    <w:bookmarkEnd w:id="275"/>
    <w:bookmarkEnd w:id="276"/>
    <w:bookmarkEnd w:id="277"/>
    <w:bookmarkEnd w:id="278"/>
    <w:p>
      <w:pPr>
        <w:spacing w:line="360" w:lineRule="exact"/>
        <w:ind w:firstLine="422" w:firstLineChars="200"/>
        <w:rPr>
          <w:b/>
          <w:bCs/>
          <w:color w:val="auto"/>
          <w:szCs w:val="21"/>
          <w:highlight w:val="none"/>
        </w:rPr>
      </w:pPr>
      <w:bookmarkStart w:id="280" w:name="_Toc351203639"/>
      <w:r>
        <w:rPr>
          <w:b/>
          <w:bCs/>
          <w:color w:val="auto"/>
          <w:szCs w:val="21"/>
          <w:highlight w:val="none"/>
        </w:rPr>
        <w:t>7. 工期和进度</w:t>
      </w:r>
      <w:bookmarkEnd w:id="280"/>
    </w:p>
    <w:p>
      <w:pPr>
        <w:spacing w:line="360" w:lineRule="exact"/>
        <w:ind w:firstLine="420" w:firstLineChars="200"/>
        <w:rPr>
          <w:color w:val="auto"/>
          <w:szCs w:val="21"/>
          <w:highlight w:val="none"/>
        </w:rPr>
      </w:pPr>
      <w:r>
        <w:rPr>
          <w:color w:val="auto"/>
          <w:szCs w:val="21"/>
          <w:highlight w:val="none"/>
        </w:rPr>
        <w:t>7.1 施工组织设计</w:t>
      </w:r>
    </w:p>
    <w:p>
      <w:pPr>
        <w:spacing w:line="360" w:lineRule="exact"/>
        <w:ind w:firstLine="420" w:firstLineChars="200"/>
        <w:rPr>
          <w:color w:val="auto"/>
          <w:szCs w:val="21"/>
          <w:highlight w:val="none"/>
          <w:u w:val="single"/>
        </w:rPr>
      </w:pPr>
      <w:r>
        <w:rPr>
          <w:color w:val="auto"/>
          <w:szCs w:val="21"/>
          <w:highlight w:val="none"/>
        </w:rPr>
        <w:t>7.1.1 合同当事人约定的施工组织设计应包括的其他内容：</w:t>
      </w:r>
      <w:r>
        <w:rPr>
          <w:color w:val="auto"/>
          <w:szCs w:val="21"/>
          <w:highlight w:val="none"/>
          <w:u w:val="single"/>
        </w:rPr>
        <w:t>对特殊工艺施工、危险性较大分部分项工程施工应按规定办理审批手续和按当地建设行政主管部门要求组织专家论证</w:t>
      </w:r>
      <w:r>
        <w:rPr>
          <w:color w:val="auto"/>
          <w:szCs w:val="21"/>
          <w:highlight w:val="none"/>
        </w:rPr>
        <w:t>。</w:t>
      </w:r>
    </w:p>
    <w:p>
      <w:pPr>
        <w:spacing w:line="360" w:lineRule="exact"/>
        <w:ind w:firstLine="420" w:firstLineChars="200"/>
        <w:rPr>
          <w:color w:val="auto"/>
          <w:szCs w:val="21"/>
          <w:highlight w:val="none"/>
          <w:u w:val="single"/>
        </w:rPr>
      </w:pPr>
      <w:r>
        <w:rPr>
          <w:rFonts w:hint="eastAsia"/>
          <w:color w:val="auto"/>
          <w:szCs w:val="21"/>
          <w:highlight w:val="none"/>
          <w:u w:val="single"/>
        </w:rPr>
        <w:t>监理人、发包人对施工组织设计、专项施工方案的批准，仅表示对施工技术方案的认可；如构成工程变更或者涉及工程价款调整的，承包人应在提交的审批表中载明，并同时提交工程造价文件，经监理人、发包人审批后作为结算依据</w:t>
      </w:r>
      <w:r>
        <w:rPr>
          <w:rFonts w:hint="eastAsia"/>
          <w:color w:val="auto"/>
          <w:szCs w:val="21"/>
          <w:highlight w:val="none"/>
        </w:rPr>
        <w:t>。</w:t>
      </w:r>
    </w:p>
    <w:p>
      <w:pPr>
        <w:spacing w:line="360" w:lineRule="exact"/>
        <w:ind w:firstLine="420" w:firstLineChars="200"/>
        <w:rPr>
          <w:color w:val="auto"/>
          <w:szCs w:val="21"/>
          <w:highlight w:val="none"/>
        </w:rPr>
      </w:pPr>
      <w:r>
        <w:rPr>
          <w:color w:val="auto"/>
          <w:szCs w:val="21"/>
          <w:highlight w:val="none"/>
        </w:rPr>
        <w:t>7.1.2 施工组织设计的提交和修改</w:t>
      </w:r>
    </w:p>
    <w:p>
      <w:pPr>
        <w:spacing w:line="360" w:lineRule="exact"/>
        <w:ind w:firstLine="420" w:firstLineChars="200"/>
        <w:rPr>
          <w:color w:val="auto"/>
          <w:szCs w:val="21"/>
          <w:highlight w:val="none"/>
        </w:rPr>
      </w:pPr>
      <w:r>
        <w:rPr>
          <w:color w:val="auto"/>
          <w:szCs w:val="21"/>
          <w:highlight w:val="none"/>
        </w:rPr>
        <w:t>承包人提交详细施工组织设计的期限的约定：</w:t>
      </w:r>
      <w:r>
        <w:rPr>
          <w:color w:val="auto"/>
          <w:szCs w:val="21"/>
          <w:highlight w:val="none"/>
          <w:u w:val="single"/>
        </w:rPr>
        <w:t>接到开工通知（或确定开工日期）后7天内，专项施工方案在相应部位施工前7天。发包人对承包人的施工组织设计（或方案）提出质疑和合理修正时，承包人应7天内提供修正完成并重新提交；每月20日前向发包方提交下一月进度计划和施工方案</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发包人和监理人在收到详细的施工组织设计后确认或提出修改意见的期限：</w:t>
      </w:r>
      <w:r>
        <w:rPr>
          <w:color w:val="auto"/>
          <w:szCs w:val="21"/>
          <w:highlight w:val="none"/>
          <w:u w:val="single"/>
        </w:rPr>
        <w:t>收到相应文件后7天内</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7</w:t>
      </w:r>
      <w:bookmarkStart w:id="281" w:name="_Toc304295541"/>
      <w:bookmarkStart w:id="282" w:name="_Toc300934966"/>
      <w:bookmarkStart w:id="283" w:name="_Toc297123514"/>
      <w:bookmarkStart w:id="284" w:name="_Toc297216173"/>
      <w:bookmarkStart w:id="285" w:name="_Toc303539123"/>
      <w:bookmarkStart w:id="286" w:name="_Toc312678005"/>
      <w:bookmarkStart w:id="287" w:name="_Toc312677479"/>
      <w:r>
        <w:rPr>
          <w:color w:val="auto"/>
          <w:szCs w:val="21"/>
          <w:highlight w:val="none"/>
        </w:rPr>
        <w:t>.2 施工进度计划</w:t>
      </w:r>
    </w:p>
    <w:p>
      <w:pPr>
        <w:spacing w:line="360" w:lineRule="exact"/>
        <w:ind w:firstLine="420" w:firstLineChars="200"/>
        <w:rPr>
          <w:color w:val="auto"/>
          <w:szCs w:val="21"/>
          <w:highlight w:val="none"/>
        </w:rPr>
      </w:pPr>
      <w:r>
        <w:rPr>
          <w:color w:val="auto"/>
          <w:szCs w:val="21"/>
          <w:highlight w:val="none"/>
        </w:rPr>
        <w:t>7.2.2 施工进度计划的修订</w:t>
      </w:r>
    </w:p>
    <w:p>
      <w:pPr>
        <w:spacing w:line="360" w:lineRule="exact"/>
        <w:ind w:firstLine="420" w:firstLineChars="200"/>
        <w:rPr>
          <w:color w:val="auto"/>
          <w:szCs w:val="21"/>
          <w:highlight w:val="none"/>
        </w:rPr>
      </w:pPr>
      <w:r>
        <w:rPr>
          <w:color w:val="auto"/>
          <w:szCs w:val="21"/>
          <w:highlight w:val="none"/>
        </w:rPr>
        <w:t>发包人和监理人在收到修订的施工进度计划后确认或提出修改意见的期限：</w:t>
      </w:r>
      <w:r>
        <w:rPr>
          <w:color w:val="auto"/>
          <w:szCs w:val="21"/>
          <w:highlight w:val="none"/>
          <w:u w:val="single"/>
        </w:rPr>
        <w:t xml:space="preserve"> 收到相应文件后7天内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7.3 开工</w:t>
      </w:r>
    </w:p>
    <w:bookmarkEnd w:id="281"/>
    <w:bookmarkEnd w:id="282"/>
    <w:bookmarkEnd w:id="283"/>
    <w:bookmarkEnd w:id="284"/>
    <w:bookmarkEnd w:id="285"/>
    <w:bookmarkEnd w:id="286"/>
    <w:bookmarkEnd w:id="287"/>
    <w:p>
      <w:pPr>
        <w:spacing w:line="360" w:lineRule="exact"/>
        <w:ind w:firstLine="420" w:firstLineChars="200"/>
        <w:rPr>
          <w:color w:val="auto"/>
          <w:szCs w:val="21"/>
          <w:highlight w:val="none"/>
        </w:rPr>
      </w:pPr>
      <w:r>
        <w:rPr>
          <w:color w:val="auto"/>
          <w:szCs w:val="21"/>
          <w:highlight w:val="none"/>
        </w:rPr>
        <w:t>7.3.1 开工准备</w:t>
      </w:r>
    </w:p>
    <w:p>
      <w:pPr>
        <w:spacing w:line="360" w:lineRule="exact"/>
        <w:ind w:firstLine="420" w:firstLineChars="200"/>
        <w:rPr>
          <w:color w:val="auto"/>
          <w:szCs w:val="21"/>
          <w:highlight w:val="none"/>
          <w:u w:val="single"/>
        </w:rPr>
      </w:pPr>
      <w:r>
        <w:rPr>
          <w:color w:val="auto"/>
          <w:szCs w:val="21"/>
          <w:highlight w:val="none"/>
        </w:rPr>
        <w:t>关于承包人提交工程开工报审表的期限：</w:t>
      </w:r>
      <w:r>
        <w:rPr>
          <w:color w:val="auto"/>
          <w:szCs w:val="21"/>
          <w:highlight w:val="none"/>
          <w:u w:val="single"/>
        </w:rPr>
        <w:t xml:space="preserve">接到开工通知（或确定开工日期）后7天内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关于发包人应完成的其他开工准备工作及期限：</w:t>
      </w:r>
      <w:r>
        <w:rPr>
          <w:color w:val="auto"/>
          <w:szCs w:val="21"/>
          <w:highlight w:val="none"/>
          <w:u w:val="single"/>
        </w:rPr>
        <w:t>开工前7天</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关于承包人应完成的其他开工准备工作及期限：</w:t>
      </w:r>
      <w:r>
        <w:rPr>
          <w:color w:val="auto"/>
          <w:szCs w:val="21"/>
          <w:highlight w:val="none"/>
          <w:u w:val="single"/>
        </w:rPr>
        <w:t>开工前</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7.3.2开工通知</w:t>
      </w:r>
    </w:p>
    <w:p>
      <w:pPr>
        <w:spacing w:line="360" w:lineRule="exact"/>
        <w:ind w:firstLine="420" w:firstLineChars="200"/>
        <w:rPr>
          <w:color w:val="auto"/>
          <w:szCs w:val="21"/>
          <w:highlight w:val="none"/>
        </w:rPr>
      </w:pPr>
      <w:r>
        <w:rPr>
          <w:color w:val="auto"/>
          <w:szCs w:val="21"/>
          <w:highlight w:val="none"/>
        </w:rPr>
        <w:t>发包人（或监理人）在计划开工日期前7天向承包人发出开工通知，工期自开工通知中载明的开工日期起算。</w:t>
      </w:r>
    </w:p>
    <w:p>
      <w:pPr>
        <w:spacing w:line="360" w:lineRule="exact"/>
        <w:ind w:firstLine="420" w:firstLineChars="200"/>
        <w:rPr>
          <w:color w:val="auto"/>
          <w:szCs w:val="21"/>
          <w:highlight w:val="none"/>
          <w:u w:val="single"/>
        </w:rPr>
      </w:pPr>
      <w:r>
        <w:rPr>
          <w:color w:val="auto"/>
          <w:szCs w:val="21"/>
          <w:highlight w:val="none"/>
          <w:u w:val="single"/>
        </w:rPr>
        <w:t xml:space="preserve">因发包人原因造成监理人未能在计划开工日期之日起 </w:t>
      </w:r>
      <w:r>
        <w:rPr>
          <w:rFonts w:hint="eastAsia"/>
          <w:color w:val="auto"/>
          <w:szCs w:val="21"/>
          <w:highlight w:val="none"/>
          <w:u w:val="single"/>
        </w:rPr>
        <w:t>90</w:t>
      </w:r>
      <w:r>
        <w:rPr>
          <w:color w:val="auto"/>
          <w:szCs w:val="21"/>
          <w:highlight w:val="none"/>
          <w:u w:val="single"/>
        </w:rPr>
        <w:t>天内发出开工通知的，承包人有权提出价格调整要求，或者解除合同。发包人应当承担由此增加的费用或赔偿承包人的损失</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7.4 测量放线</w:t>
      </w:r>
    </w:p>
    <w:p>
      <w:pPr>
        <w:spacing w:line="360" w:lineRule="exact"/>
        <w:ind w:firstLine="420" w:firstLineChars="200"/>
        <w:rPr>
          <w:color w:val="auto"/>
          <w:szCs w:val="21"/>
          <w:highlight w:val="none"/>
        </w:rPr>
      </w:pPr>
      <w:r>
        <w:rPr>
          <w:color w:val="auto"/>
          <w:szCs w:val="21"/>
          <w:highlight w:val="none"/>
        </w:rPr>
        <w:t>7.4.1发包人通过监理人向承包人提供测量基准点、基准线和水准点及其书面资料的期限：</w:t>
      </w:r>
      <w:r>
        <w:rPr>
          <w:color w:val="auto"/>
          <w:szCs w:val="21"/>
          <w:highlight w:val="none"/>
          <w:u w:val="single"/>
        </w:rPr>
        <w:t xml:space="preserve"> 按合同通用条款执行</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7</w:t>
      </w:r>
      <w:bookmarkStart w:id="288" w:name="_Toc300934968"/>
      <w:bookmarkStart w:id="289" w:name="_Toc304295546"/>
      <w:bookmarkStart w:id="290" w:name="_Toc303539125"/>
      <w:bookmarkStart w:id="291" w:name="_Toc312677484"/>
      <w:bookmarkStart w:id="292" w:name="_Toc297123516"/>
      <w:bookmarkStart w:id="293" w:name="_Toc312678010"/>
      <w:bookmarkStart w:id="294" w:name="_Toc297216175"/>
      <w:r>
        <w:rPr>
          <w:color w:val="auto"/>
          <w:szCs w:val="21"/>
          <w:highlight w:val="none"/>
        </w:rPr>
        <w:t>.5 工期延误</w:t>
      </w:r>
    </w:p>
    <w:bookmarkEnd w:id="288"/>
    <w:bookmarkEnd w:id="289"/>
    <w:bookmarkEnd w:id="290"/>
    <w:bookmarkEnd w:id="291"/>
    <w:bookmarkEnd w:id="292"/>
    <w:bookmarkEnd w:id="293"/>
    <w:bookmarkEnd w:id="294"/>
    <w:p>
      <w:pPr>
        <w:spacing w:line="360" w:lineRule="exact"/>
        <w:ind w:firstLine="420" w:firstLineChars="200"/>
        <w:rPr>
          <w:color w:val="auto"/>
          <w:szCs w:val="21"/>
          <w:highlight w:val="none"/>
        </w:rPr>
      </w:pPr>
      <w:bookmarkStart w:id="295" w:name="_Toc318581171"/>
      <w:bookmarkStart w:id="296" w:name="_Toc312678014"/>
      <w:r>
        <w:rPr>
          <w:rFonts w:hint="eastAsia"/>
          <w:color w:val="auto"/>
          <w:szCs w:val="21"/>
          <w:highlight w:val="none"/>
        </w:rPr>
        <w:t>7.5.1 因发包人原因导致工期延误</w:t>
      </w:r>
    </w:p>
    <w:p>
      <w:pPr>
        <w:spacing w:line="360" w:lineRule="exact"/>
        <w:ind w:firstLine="420" w:firstLineChars="200"/>
        <w:rPr>
          <w:color w:val="auto"/>
          <w:szCs w:val="21"/>
          <w:highlight w:val="none"/>
          <w:u w:val="single"/>
        </w:rPr>
      </w:pPr>
      <w:r>
        <w:rPr>
          <w:rFonts w:hint="eastAsia"/>
          <w:color w:val="auto"/>
          <w:szCs w:val="21"/>
          <w:highlight w:val="none"/>
        </w:rPr>
        <w:t>（7）因发包人原因导致工期延误的其他情形：</w:t>
      </w:r>
      <w:r>
        <w:rPr>
          <w:rFonts w:hint="eastAsia"/>
          <w:color w:val="auto"/>
          <w:szCs w:val="21"/>
          <w:highlight w:val="none"/>
          <w:u w:val="single"/>
        </w:rPr>
        <w:t xml:space="preserve"> ①重大设计变更；②因政策处理不完善导致无法施工 </w:t>
      </w:r>
      <w:r>
        <w:rPr>
          <w:rFonts w:hint="eastAsia"/>
          <w:color w:val="auto"/>
          <w:szCs w:val="21"/>
          <w:highlight w:val="none"/>
        </w:rPr>
        <w:t>。</w:t>
      </w:r>
    </w:p>
    <w:p>
      <w:pPr>
        <w:spacing w:line="360" w:lineRule="exact"/>
        <w:ind w:firstLine="420" w:firstLineChars="200"/>
        <w:rPr>
          <w:color w:val="auto"/>
          <w:szCs w:val="21"/>
          <w:highlight w:val="none"/>
        </w:rPr>
      </w:pPr>
      <w:r>
        <w:rPr>
          <w:color w:val="auto"/>
          <w:szCs w:val="21"/>
          <w:highlight w:val="none"/>
        </w:rPr>
        <w:t>7</w:t>
      </w:r>
      <w:bookmarkStart w:id="297" w:name="_Toc312677486"/>
      <w:bookmarkStart w:id="298" w:name="_Toc318581169"/>
      <w:bookmarkStart w:id="299" w:name="_Toc312678012"/>
      <w:bookmarkStart w:id="300" w:name="_Toc297216177"/>
      <w:bookmarkStart w:id="301" w:name="_Toc304295548"/>
      <w:bookmarkStart w:id="302" w:name="_Toc300934970"/>
      <w:bookmarkStart w:id="303" w:name="_Toc303539127"/>
      <w:bookmarkStart w:id="304" w:name="_Toc297123518"/>
      <w:r>
        <w:rPr>
          <w:color w:val="auto"/>
          <w:szCs w:val="21"/>
          <w:highlight w:val="none"/>
        </w:rPr>
        <w:t>.5.2 因承包人原因导致工期延误</w:t>
      </w:r>
    </w:p>
    <w:bookmarkEnd w:id="297"/>
    <w:bookmarkEnd w:id="298"/>
    <w:bookmarkEnd w:id="299"/>
    <w:p>
      <w:pPr>
        <w:spacing w:line="360" w:lineRule="exact"/>
        <w:ind w:firstLine="420" w:firstLineChars="200"/>
        <w:rPr>
          <w:color w:val="auto"/>
          <w:szCs w:val="21"/>
          <w:highlight w:val="none"/>
          <w:u w:val="single"/>
        </w:rPr>
      </w:pPr>
      <w:r>
        <w:rPr>
          <w:color w:val="auto"/>
          <w:szCs w:val="21"/>
          <w:highlight w:val="none"/>
        </w:rPr>
        <w:t>因</w:t>
      </w:r>
      <w:bookmarkStart w:id="305" w:name="_Toc312677487"/>
      <w:bookmarkStart w:id="306" w:name="_Toc312678013"/>
      <w:bookmarkStart w:id="307" w:name="_Toc318581170"/>
      <w:r>
        <w:rPr>
          <w:color w:val="auto"/>
          <w:szCs w:val="21"/>
          <w:highlight w:val="none"/>
        </w:rPr>
        <w:t>承包人原因造成工期延误，逾期竣工违约金的计算方法为：</w:t>
      </w:r>
      <w:bookmarkEnd w:id="300"/>
      <w:bookmarkEnd w:id="301"/>
      <w:bookmarkEnd w:id="302"/>
      <w:bookmarkEnd w:id="303"/>
      <w:bookmarkEnd w:id="304"/>
      <w:bookmarkEnd w:id="305"/>
      <w:bookmarkEnd w:id="306"/>
      <w:r>
        <w:rPr>
          <w:rFonts w:hint="eastAsia"/>
          <w:color w:val="auto"/>
          <w:szCs w:val="21"/>
          <w:highlight w:val="none"/>
          <w:u w:val="single"/>
        </w:rPr>
        <w:t>每天1000元。</w:t>
      </w:r>
    </w:p>
    <w:bookmarkEnd w:id="307"/>
    <w:p>
      <w:pPr>
        <w:spacing w:line="360" w:lineRule="exact"/>
        <w:ind w:firstLine="420" w:firstLineChars="200"/>
        <w:rPr>
          <w:color w:val="auto"/>
          <w:szCs w:val="21"/>
          <w:highlight w:val="none"/>
        </w:rPr>
      </w:pPr>
      <w:r>
        <w:rPr>
          <w:color w:val="auto"/>
          <w:szCs w:val="21"/>
          <w:highlight w:val="none"/>
        </w:rPr>
        <w:t>因承包人原因造成工期延误，逾期竣工违约金的上限：</w:t>
      </w:r>
      <w:r>
        <w:rPr>
          <w:color w:val="auto"/>
          <w:szCs w:val="21"/>
          <w:highlight w:val="none"/>
          <w:u w:val="single"/>
        </w:rPr>
        <w:t>履约保证金额度</w:t>
      </w:r>
      <w:r>
        <w:rPr>
          <w:rFonts w:hint="eastAsia"/>
          <w:color w:val="auto"/>
          <w:szCs w:val="21"/>
          <w:highlight w:val="none"/>
          <w:u w:val="single"/>
        </w:rPr>
        <w:t>，对发包人造成损失超过违约金的，除承担违约金外同时赔偿发包人损失</w:t>
      </w:r>
      <w:r>
        <w:rPr>
          <w:color w:val="auto"/>
          <w:szCs w:val="21"/>
          <w:highlight w:val="none"/>
        </w:rPr>
        <w:t>。</w:t>
      </w:r>
    </w:p>
    <w:bookmarkEnd w:id="295"/>
    <w:bookmarkEnd w:id="296"/>
    <w:p>
      <w:pPr>
        <w:spacing w:line="360" w:lineRule="exact"/>
        <w:ind w:firstLine="420" w:firstLineChars="200"/>
        <w:rPr>
          <w:color w:val="auto"/>
          <w:szCs w:val="21"/>
          <w:highlight w:val="none"/>
        </w:rPr>
      </w:pPr>
      <w:r>
        <w:rPr>
          <w:color w:val="auto"/>
          <w:szCs w:val="21"/>
          <w:highlight w:val="none"/>
        </w:rPr>
        <w:t>7</w:t>
      </w:r>
      <w:bookmarkStart w:id="308" w:name="_Toc300934971"/>
      <w:bookmarkStart w:id="309" w:name="_Toc312678015"/>
      <w:bookmarkStart w:id="310" w:name="_Toc303539128"/>
      <w:bookmarkStart w:id="311" w:name="_Toc297123519"/>
      <w:bookmarkStart w:id="312" w:name="_Toc304295549"/>
      <w:bookmarkStart w:id="313" w:name="_Toc297216178"/>
      <w:r>
        <w:rPr>
          <w:color w:val="auto"/>
          <w:szCs w:val="21"/>
          <w:highlight w:val="none"/>
        </w:rPr>
        <w:t>.6 不</w:t>
      </w:r>
      <w:bookmarkEnd w:id="308"/>
      <w:bookmarkEnd w:id="309"/>
      <w:bookmarkEnd w:id="310"/>
      <w:bookmarkEnd w:id="311"/>
      <w:bookmarkEnd w:id="312"/>
      <w:bookmarkEnd w:id="313"/>
      <w:r>
        <w:rPr>
          <w:color w:val="auto"/>
          <w:szCs w:val="21"/>
          <w:highlight w:val="none"/>
        </w:rPr>
        <w:t>利物质条件</w:t>
      </w:r>
    </w:p>
    <w:p>
      <w:pPr>
        <w:spacing w:line="360" w:lineRule="exact"/>
        <w:ind w:firstLine="420" w:firstLineChars="200"/>
        <w:rPr>
          <w:color w:val="auto"/>
          <w:szCs w:val="21"/>
          <w:highlight w:val="none"/>
        </w:rPr>
      </w:pPr>
      <w:bookmarkStart w:id="314" w:name="_Toc297216179"/>
      <w:bookmarkStart w:id="315" w:name="_Toc312678016"/>
      <w:bookmarkStart w:id="316" w:name="_Toc297123520"/>
      <w:bookmarkStart w:id="317" w:name="_Toc304295550"/>
      <w:bookmarkStart w:id="318" w:name="_Toc300934972"/>
      <w:bookmarkStart w:id="319" w:name="_Toc318581172"/>
      <w:bookmarkStart w:id="320" w:name="_Toc303539129"/>
      <w:r>
        <w:rPr>
          <w:color w:val="auto"/>
          <w:szCs w:val="21"/>
          <w:highlight w:val="none"/>
        </w:rPr>
        <w:t>不利物质条件的其他情形和有关约定：</w:t>
      </w:r>
    </w:p>
    <w:p>
      <w:pPr>
        <w:spacing w:line="360" w:lineRule="exact"/>
        <w:ind w:firstLine="420" w:firstLineChars="200"/>
        <w:rPr>
          <w:color w:val="auto"/>
          <w:szCs w:val="21"/>
          <w:highlight w:val="none"/>
        </w:rPr>
      </w:pPr>
      <w:r>
        <w:rPr>
          <w:color w:val="auto"/>
          <w:szCs w:val="21"/>
          <w:highlight w:val="none"/>
        </w:rPr>
        <w:t>（1）</w:t>
      </w:r>
      <w:r>
        <w:rPr>
          <w:color w:val="auto"/>
          <w:szCs w:val="21"/>
          <w:highlight w:val="none"/>
          <w:u w:val="single"/>
        </w:rPr>
        <w:t>每天连续停水、停电超过8小时以上</w:t>
      </w:r>
      <w:r>
        <w:rPr>
          <w:color w:val="auto"/>
          <w:szCs w:val="21"/>
          <w:highlight w:val="none"/>
        </w:rPr>
        <w:t>。</w:t>
      </w:r>
    </w:p>
    <w:p>
      <w:pPr>
        <w:spacing w:line="360" w:lineRule="exact"/>
        <w:ind w:firstLine="420" w:firstLineChars="200"/>
        <w:rPr>
          <w:color w:val="auto"/>
          <w:szCs w:val="21"/>
          <w:highlight w:val="none"/>
          <w:u w:val="single"/>
        </w:rPr>
      </w:pPr>
      <w:r>
        <w:rPr>
          <w:color w:val="auto"/>
          <w:szCs w:val="21"/>
          <w:highlight w:val="none"/>
        </w:rPr>
        <w:t>（2）</w:t>
      </w:r>
      <w:r>
        <w:rPr>
          <w:color w:val="auto"/>
          <w:szCs w:val="21"/>
          <w:highlight w:val="none"/>
          <w:u w:val="single"/>
        </w:rPr>
        <w:t>因政府行政命令（因承包人原因的除外）</w:t>
      </w:r>
      <w:r>
        <w:rPr>
          <w:color w:val="auto"/>
          <w:szCs w:val="21"/>
          <w:highlight w:val="none"/>
        </w:rPr>
        <w:t>。</w:t>
      </w:r>
    </w:p>
    <w:p>
      <w:pPr>
        <w:spacing w:line="360" w:lineRule="exact"/>
        <w:ind w:firstLine="420" w:firstLineChars="200"/>
        <w:rPr>
          <w:color w:val="auto"/>
          <w:szCs w:val="21"/>
          <w:highlight w:val="none"/>
          <w:u w:val="single"/>
        </w:rPr>
      </w:pPr>
      <w:r>
        <w:rPr>
          <w:color w:val="auto"/>
          <w:szCs w:val="21"/>
          <w:highlight w:val="none"/>
        </w:rPr>
        <w:t>（3）</w:t>
      </w:r>
      <w:r>
        <w:rPr>
          <w:color w:val="auto"/>
          <w:szCs w:val="21"/>
          <w:highlight w:val="none"/>
          <w:u w:val="single"/>
        </w:rPr>
        <w:t>非因双方原因而无法控制的爆炸、火灾等事件</w:t>
      </w:r>
      <w:r>
        <w:rPr>
          <w:color w:val="auto"/>
          <w:szCs w:val="21"/>
          <w:highlight w:val="none"/>
        </w:rPr>
        <w:t>。</w:t>
      </w:r>
    </w:p>
    <w:p>
      <w:pPr>
        <w:spacing w:line="360" w:lineRule="exact"/>
        <w:ind w:firstLine="420" w:firstLineChars="200"/>
        <w:rPr>
          <w:color w:val="auto"/>
          <w:szCs w:val="21"/>
          <w:highlight w:val="none"/>
          <w:u w:val="single"/>
        </w:rPr>
      </w:pPr>
      <w:r>
        <w:rPr>
          <w:color w:val="auto"/>
          <w:szCs w:val="21"/>
          <w:highlight w:val="none"/>
        </w:rPr>
        <w:t>（4）</w:t>
      </w:r>
      <w:r>
        <w:rPr>
          <w:color w:val="auto"/>
          <w:szCs w:val="21"/>
          <w:highlight w:val="none"/>
          <w:u w:val="single"/>
        </w:rPr>
        <w:t>施工场地周围地下管线保护，地下障碍物和污染物排除，邻近建筑物、构筑物的保护要求。</w:t>
      </w:r>
    </w:p>
    <w:p>
      <w:pPr>
        <w:spacing w:line="360" w:lineRule="exact"/>
        <w:ind w:firstLine="420" w:firstLineChars="200"/>
        <w:rPr>
          <w:color w:val="auto"/>
          <w:szCs w:val="21"/>
          <w:highlight w:val="none"/>
        </w:rPr>
      </w:pPr>
      <w:r>
        <w:rPr>
          <w:color w:val="auto"/>
          <w:szCs w:val="21"/>
          <w:highlight w:val="none"/>
        </w:rPr>
        <w:t>（5）</w:t>
      </w:r>
      <w:r>
        <w:rPr>
          <w:color w:val="auto"/>
          <w:szCs w:val="21"/>
          <w:highlight w:val="none"/>
          <w:u w:val="single"/>
        </w:rPr>
        <w:t>地质勘探资料未涉及的地下管道、暗沟、岩层等。</w:t>
      </w:r>
    </w:p>
    <w:bookmarkEnd w:id="314"/>
    <w:bookmarkEnd w:id="315"/>
    <w:bookmarkEnd w:id="316"/>
    <w:bookmarkEnd w:id="317"/>
    <w:bookmarkEnd w:id="318"/>
    <w:bookmarkEnd w:id="319"/>
    <w:bookmarkEnd w:id="320"/>
    <w:p>
      <w:pPr>
        <w:spacing w:line="360" w:lineRule="exact"/>
        <w:ind w:firstLine="420" w:firstLineChars="200"/>
        <w:rPr>
          <w:color w:val="auto"/>
          <w:szCs w:val="21"/>
          <w:highlight w:val="none"/>
        </w:rPr>
      </w:pPr>
      <w:r>
        <w:rPr>
          <w:color w:val="auto"/>
          <w:szCs w:val="21"/>
          <w:highlight w:val="none"/>
        </w:rPr>
        <w:t>7</w:t>
      </w:r>
      <w:bookmarkStart w:id="321" w:name="_Toc297216180"/>
      <w:bookmarkStart w:id="322" w:name="_Toc300934973"/>
      <w:bookmarkStart w:id="323" w:name="_Toc297123521"/>
      <w:bookmarkStart w:id="324" w:name="_Toc303539130"/>
      <w:bookmarkStart w:id="325" w:name="_Toc304295551"/>
      <w:bookmarkStart w:id="326" w:name="_Toc312678017"/>
      <w:r>
        <w:rPr>
          <w:color w:val="auto"/>
          <w:szCs w:val="21"/>
          <w:highlight w:val="none"/>
        </w:rPr>
        <w:t>.7异常恶劣的气候条件</w:t>
      </w:r>
    </w:p>
    <w:bookmarkEnd w:id="321"/>
    <w:bookmarkEnd w:id="322"/>
    <w:bookmarkEnd w:id="323"/>
    <w:bookmarkEnd w:id="324"/>
    <w:bookmarkEnd w:id="325"/>
    <w:bookmarkEnd w:id="326"/>
    <w:p>
      <w:pPr>
        <w:spacing w:line="360" w:lineRule="exact"/>
        <w:ind w:firstLine="420" w:firstLineChars="200"/>
        <w:rPr>
          <w:color w:val="auto"/>
          <w:szCs w:val="21"/>
          <w:highlight w:val="none"/>
        </w:rPr>
      </w:pPr>
      <w:r>
        <w:rPr>
          <w:color w:val="auto"/>
          <w:szCs w:val="21"/>
          <w:highlight w:val="none"/>
        </w:rPr>
        <w:t>发包人和承包人同意以下情形视为异常恶劣的气候条件：</w:t>
      </w:r>
    </w:p>
    <w:p>
      <w:pPr>
        <w:spacing w:line="360" w:lineRule="exact"/>
        <w:ind w:firstLine="420" w:firstLineChars="200"/>
        <w:rPr>
          <w:color w:val="auto"/>
          <w:szCs w:val="21"/>
          <w:highlight w:val="none"/>
          <w:u w:val="single"/>
        </w:rPr>
      </w:pPr>
      <w:r>
        <w:rPr>
          <w:color w:val="auto"/>
          <w:szCs w:val="21"/>
          <w:highlight w:val="none"/>
        </w:rPr>
        <w:t>（1）</w:t>
      </w:r>
      <w:r>
        <w:rPr>
          <w:rFonts w:hint="eastAsia"/>
          <w:color w:val="auto"/>
          <w:szCs w:val="21"/>
          <w:highlight w:val="none"/>
          <w:u w:val="single"/>
        </w:rPr>
        <w:t>8-10 级（含10 级）</w:t>
      </w:r>
      <w:r>
        <w:rPr>
          <w:color w:val="auto"/>
          <w:szCs w:val="21"/>
          <w:highlight w:val="none"/>
          <w:u w:val="single"/>
        </w:rPr>
        <w:t>持续24小时的大风（台风）；</w:t>
      </w:r>
    </w:p>
    <w:p>
      <w:pPr>
        <w:spacing w:line="360" w:lineRule="exact"/>
        <w:ind w:firstLine="420" w:firstLineChars="200"/>
        <w:rPr>
          <w:color w:val="auto"/>
          <w:szCs w:val="21"/>
          <w:highlight w:val="none"/>
        </w:rPr>
      </w:pPr>
      <w:r>
        <w:rPr>
          <w:color w:val="auto"/>
          <w:szCs w:val="21"/>
          <w:highlight w:val="none"/>
        </w:rPr>
        <w:t>（2）</w:t>
      </w:r>
      <w:r>
        <w:rPr>
          <w:color w:val="auto"/>
          <w:szCs w:val="21"/>
          <w:highlight w:val="none"/>
          <w:u w:val="single"/>
        </w:rPr>
        <w:t xml:space="preserve">24小时内持续降雨且降水量为200mm以上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（3）</w:t>
      </w:r>
      <w:r>
        <w:rPr>
          <w:color w:val="auto"/>
          <w:szCs w:val="21"/>
          <w:highlight w:val="none"/>
          <w:u w:val="single"/>
        </w:rPr>
        <w:t xml:space="preserve">40摄氏度及以上且持续2天以上的高温天气 </w:t>
      </w:r>
      <w:r>
        <w:rPr>
          <w:color w:val="auto"/>
          <w:szCs w:val="21"/>
          <w:highlight w:val="none"/>
        </w:rPr>
        <w:t>。</w:t>
      </w:r>
    </w:p>
    <w:p>
      <w:pPr>
        <w:spacing w:line="360" w:lineRule="exact"/>
        <w:ind w:firstLine="420" w:firstLineChars="200"/>
        <w:rPr>
          <w:color w:val="auto"/>
          <w:szCs w:val="21"/>
          <w:highlight w:val="none"/>
          <w:u w:val="single"/>
        </w:rPr>
      </w:pPr>
      <w:r>
        <w:rPr>
          <w:rFonts w:hint="eastAsia"/>
          <w:color w:val="auto"/>
          <w:szCs w:val="21"/>
          <w:highlight w:val="none"/>
          <w:u w:val="single"/>
        </w:rPr>
        <w:t>承包人为克服异常恶劣的气候条件，所采取合理措施而增加的费用和延误的工期由发包人承担；承包人虽然采取了合理的措施，但异常恶劣的气候条件发生后， 仍导致了工程现场损失，则参照通用合同条款 17.3 处理</w:t>
      </w:r>
      <w:r>
        <w:rPr>
          <w:rFonts w:hint="eastAsia"/>
          <w:color w:val="auto"/>
          <w:szCs w:val="21"/>
          <w:highlight w:val="none"/>
        </w:rPr>
        <w:t>。</w:t>
      </w:r>
    </w:p>
    <w:p>
      <w:pPr>
        <w:spacing w:line="360" w:lineRule="exact"/>
        <w:ind w:firstLine="420" w:firstLineChars="200"/>
        <w:rPr>
          <w:color w:val="auto"/>
          <w:szCs w:val="21"/>
          <w:highlight w:val="none"/>
        </w:rPr>
      </w:pPr>
      <w:r>
        <w:rPr>
          <w:color w:val="auto"/>
          <w:szCs w:val="21"/>
          <w:highlight w:val="none"/>
        </w:rPr>
        <w:t>7.9 提前竣工的奖励</w:t>
      </w:r>
    </w:p>
    <w:p>
      <w:pPr>
        <w:spacing w:line="360" w:lineRule="exact"/>
        <w:ind w:firstLine="420" w:firstLineChars="200"/>
        <w:rPr>
          <w:color w:val="auto"/>
          <w:szCs w:val="21"/>
          <w:highlight w:val="none"/>
        </w:rPr>
      </w:pPr>
      <w:r>
        <w:rPr>
          <w:color w:val="auto"/>
          <w:szCs w:val="21"/>
          <w:highlight w:val="none"/>
        </w:rPr>
        <w:t>7.9.2提前竣工的奖励：</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pPr>
        <w:numPr>
          <w:ilvl w:val="0"/>
          <w:numId w:val="7"/>
        </w:numPr>
        <w:spacing w:line="360" w:lineRule="exact"/>
        <w:ind w:firstLine="422" w:firstLineChars="200"/>
        <w:rPr>
          <w:b/>
          <w:bCs/>
          <w:color w:val="auto"/>
          <w:szCs w:val="21"/>
          <w:highlight w:val="none"/>
        </w:rPr>
      </w:pPr>
      <w:bookmarkStart w:id="327" w:name="_Toc351203640"/>
      <w:r>
        <w:rPr>
          <w:b/>
          <w:bCs/>
          <w:color w:val="auto"/>
          <w:szCs w:val="21"/>
          <w:highlight w:val="none"/>
        </w:rPr>
        <w:t>材料与设备</w:t>
      </w:r>
      <w:bookmarkEnd w:id="327"/>
    </w:p>
    <w:bookmarkEnd w:id="262"/>
    <w:bookmarkEnd w:id="263"/>
    <w:bookmarkEnd w:id="264"/>
    <w:bookmarkEnd w:id="265"/>
    <w:bookmarkEnd w:id="266"/>
    <w:bookmarkEnd w:id="267"/>
    <w:bookmarkEnd w:id="268"/>
    <w:bookmarkEnd w:id="269"/>
    <w:bookmarkEnd w:id="270"/>
    <w:bookmarkEnd w:id="271"/>
    <w:p>
      <w:pPr>
        <w:spacing w:line="360" w:lineRule="exact"/>
        <w:ind w:firstLine="420" w:firstLineChars="200"/>
        <w:rPr>
          <w:color w:val="auto"/>
          <w:szCs w:val="21"/>
          <w:highlight w:val="none"/>
        </w:rPr>
      </w:pPr>
      <w:r>
        <w:rPr>
          <w:color w:val="auto"/>
          <w:szCs w:val="21"/>
          <w:highlight w:val="none"/>
        </w:rPr>
        <w:t>8.2 承包人采购材料与工程设备</w:t>
      </w:r>
    </w:p>
    <w:p>
      <w:pPr>
        <w:numPr>
          <w:ilvl w:val="0"/>
          <w:numId w:val="8"/>
        </w:numPr>
        <w:spacing w:line="360" w:lineRule="exact"/>
        <w:ind w:firstLine="420" w:firstLineChars="200"/>
        <w:rPr>
          <w:color w:val="auto"/>
          <w:szCs w:val="21"/>
          <w:highlight w:val="none"/>
          <w:u w:val="single"/>
        </w:rPr>
      </w:pPr>
      <w:r>
        <w:rPr>
          <w:color w:val="auto"/>
          <w:szCs w:val="21"/>
          <w:highlight w:val="none"/>
          <w:u w:val="single"/>
        </w:rPr>
        <w:t>材料品牌、规格和使用要求：</w:t>
      </w:r>
      <w:r>
        <w:rPr>
          <w:rFonts w:hint="eastAsia"/>
          <w:color w:val="auto"/>
          <w:szCs w:val="21"/>
          <w:highlight w:val="none"/>
          <w:u w:val="single"/>
        </w:rPr>
        <w:t>按采购文件（相应）技术标准和要求执行</w:t>
      </w:r>
      <w:r>
        <w:rPr>
          <w:rFonts w:hint="eastAsia"/>
          <w:color w:val="auto"/>
          <w:szCs w:val="21"/>
          <w:highlight w:val="none"/>
        </w:rPr>
        <w:t>；</w:t>
      </w:r>
    </w:p>
    <w:p>
      <w:pPr>
        <w:spacing w:line="360" w:lineRule="exact"/>
        <w:ind w:firstLine="420" w:firstLineChars="200"/>
        <w:rPr>
          <w:color w:val="auto"/>
          <w:szCs w:val="21"/>
          <w:highlight w:val="none"/>
          <w:u w:val="single"/>
        </w:rPr>
      </w:pPr>
      <w:r>
        <w:rPr>
          <w:color w:val="auto"/>
          <w:szCs w:val="21"/>
          <w:highlight w:val="none"/>
          <w:u w:val="single"/>
        </w:rPr>
        <w:t>（2）本工程已确定承包价的建筑材料均由承包人自行询价、采购、运输和保管</w:t>
      </w:r>
      <w:r>
        <w:rPr>
          <w:color w:val="auto"/>
          <w:szCs w:val="21"/>
          <w:highlight w:val="none"/>
        </w:rPr>
        <w:t>。</w:t>
      </w:r>
    </w:p>
    <w:p>
      <w:pPr>
        <w:spacing w:line="360" w:lineRule="exact"/>
        <w:ind w:firstLine="420" w:firstLineChars="200"/>
        <w:rPr>
          <w:color w:val="auto"/>
          <w:szCs w:val="21"/>
          <w:highlight w:val="none"/>
          <w:u w:val="single"/>
        </w:rPr>
      </w:pPr>
      <w:r>
        <w:rPr>
          <w:color w:val="auto"/>
          <w:szCs w:val="21"/>
          <w:highlight w:val="none"/>
          <w:u w:val="single"/>
        </w:rPr>
        <w:t>（3）本工程要求使用材料要求</w:t>
      </w:r>
      <w:r>
        <w:rPr>
          <w:rFonts w:hint="eastAsia"/>
          <w:color w:val="auto"/>
          <w:szCs w:val="21"/>
          <w:highlight w:val="none"/>
          <w:u w:val="single"/>
        </w:rPr>
        <w:t>：</w:t>
      </w:r>
    </w:p>
    <w:p>
      <w:pPr>
        <w:spacing w:line="360" w:lineRule="exact"/>
        <w:ind w:firstLine="420" w:firstLineChars="200"/>
        <w:rPr>
          <w:color w:val="auto"/>
          <w:szCs w:val="21"/>
          <w:highlight w:val="none"/>
          <w:u w:val="single"/>
        </w:rPr>
      </w:pPr>
      <w:r>
        <w:rPr>
          <w:rFonts w:hint="eastAsia"/>
          <w:color w:val="auto"/>
          <w:szCs w:val="21"/>
          <w:highlight w:val="none"/>
          <w:u w:val="single"/>
        </w:rPr>
        <w:t>主要设备材料备选品牌一览表</w:t>
      </w:r>
    </w:p>
    <w:tbl>
      <w:tblPr>
        <w:tblStyle w:val="29"/>
        <w:tblW w:w="95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2725"/>
        <w:gridCol w:w="4840"/>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blHeader/>
        </w:trPr>
        <w:tc>
          <w:tcPr>
            <w:tcW w:w="695" w:type="dxa"/>
            <w:vAlign w:val="center"/>
          </w:tcPr>
          <w:p>
            <w:pPr>
              <w:jc w:val="center"/>
              <w:rPr>
                <w:color w:val="auto"/>
                <w:szCs w:val="21"/>
                <w:highlight w:val="none"/>
              </w:rPr>
            </w:pPr>
            <w:r>
              <w:rPr>
                <w:color w:val="auto"/>
                <w:szCs w:val="21"/>
                <w:highlight w:val="none"/>
              </w:rPr>
              <w:t>序号</w:t>
            </w:r>
          </w:p>
        </w:tc>
        <w:tc>
          <w:tcPr>
            <w:tcW w:w="2725" w:type="dxa"/>
            <w:vAlign w:val="center"/>
          </w:tcPr>
          <w:p>
            <w:pPr>
              <w:jc w:val="center"/>
              <w:rPr>
                <w:color w:val="auto"/>
                <w:szCs w:val="21"/>
                <w:highlight w:val="none"/>
              </w:rPr>
            </w:pPr>
            <w:r>
              <w:rPr>
                <w:color w:val="auto"/>
                <w:szCs w:val="21"/>
                <w:highlight w:val="none"/>
              </w:rPr>
              <w:t>材料名称</w:t>
            </w:r>
          </w:p>
        </w:tc>
        <w:tc>
          <w:tcPr>
            <w:tcW w:w="4840" w:type="dxa"/>
            <w:vAlign w:val="center"/>
          </w:tcPr>
          <w:p>
            <w:pPr>
              <w:jc w:val="center"/>
              <w:rPr>
                <w:color w:val="auto"/>
                <w:szCs w:val="21"/>
                <w:highlight w:val="none"/>
              </w:rPr>
            </w:pPr>
            <w:r>
              <w:rPr>
                <w:color w:val="auto"/>
                <w:szCs w:val="21"/>
                <w:highlight w:val="none"/>
              </w:rPr>
              <w:t>备选品牌或厂家</w:t>
            </w:r>
          </w:p>
        </w:tc>
        <w:tc>
          <w:tcPr>
            <w:tcW w:w="1280" w:type="dxa"/>
            <w:vAlign w:val="center"/>
          </w:tcPr>
          <w:p>
            <w:pPr>
              <w:jc w:val="center"/>
              <w:rPr>
                <w:color w:val="auto"/>
                <w:szCs w:val="21"/>
                <w:highlight w:val="none"/>
              </w:rPr>
            </w:pPr>
            <w:r>
              <w:rPr>
                <w:rFonts w:hint="eastAsia"/>
                <w:color w:val="auto"/>
                <w:szCs w:val="21"/>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695" w:type="dxa"/>
            <w:vAlign w:val="center"/>
          </w:tcPr>
          <w:p>
            <w:pPr>
              <w:adjustRightInd w:val="0"/>
              <w:snapToGrid w:val="0"/>
              <w:jc w:val="center"/>
              <w:rPr>
                <w:color w:val="auto"/>
                <w:szCs w:val="21"/>
                <w:highlight w:val="none"/>
              </w:rPr>
            </w:pPr>
            <w:r>
              <w:rPr>
                <w:rFonts w:ascii="宋体" w:hAnsi="宋体"/>
                <w:color w:val="auto"/>
                <w:szCs w:val="21"/>
                <w:highlight w:val="none"/>
              </w:rPr>
              <w:t>1</w:t>
            </w:r>
          </w:p>
        </w:tc>
        <w:tc>
          <w:tcPr>
            <w:tcW w:w="2725" w:type="dxa"/>
            <w:vAlign w:val="center"/>
          </w:tcPr>
          <w:p>
            <w:pPr>
              <w:adjustRightInd w:val="0"/>
              <w:snapToGrid w:val="0"/>
              <w:jc w:val="center"/>
              <w:rPr>
                <w:color w:val="auto"/>
                <w:szCs w:val="21"/>
                <w:highlight w:val="none"/>
              </w:rPr>
            </w:pPr>
            <w:r>
              <w:rPr>
                <w:rFonts w:hint="eastAsia"/>
                <w:color w:val="auto"/>
                <w:szCs w:val="21"/>
                <w:highlight w:val="none"/>
              </w:rPr>
              <w:t>水泥</w:t>
            </w:r>
          </w:p>
        </w:tc>
        <w:tc>
          <w:tcPr>
            <w:tcW w:w="4840" w:type="dxa"/>
            <w:vAlign w:val="center"/>
          </w:tcPr>
          <w:p>
            <w:pPr>
              <w:adjustRightInd w:val="0"/>
              <w:snapToGrid w:val="0"/>
              <w:jc w:val="center"/>
              <w:rPr>
                <w:color w:val="auto"/>
                <w:szCs w:val="21"/>
                <w:highlight w:val="none"/>
              </w:rPr>
            </w:pPr>
            <w:r>
              <w:rPr>
                <w:rFonts w:hint="eastAsia"/>
                <w:color w:val="auto"/>
                <w:szCs w:val="21"/>
                <w:highlight w:val="none"/>
              </w:rPr>
              <w:t>尖峰、海螺、三狮或相当于</w:t>
            </w:r>
          </w:p>
        </w:tc>
        <w:tc>
          <w:tcPr>
            <w:tcW w:w="1280" w:type="dxa"/>
            <w:vAlign w:val="center"/>
          </w:tcPr>
          <w:p>
            <w:pPr>
              <w:adjustRightInd w:val="0"/>
              <w:snapToGrid w:val="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695" w:type="dxa"/>
            <w:vAlign w:val="center"/>
          </w:tcPr>
          <w:p>
            <w:pPr>
              <w:adjustRightInd w:val="0"/>
              <w:snapToGrid w:val="0"/>
              <w:jc w:val="center"/>
              <w:rPr>
                <w:color w:val="auto"/>
                <w:szCs w:val="21"/>
                <w:highlight w:val="none"/>
              </w:rPr>
            </w:pPr>
            <w:r>
              <w:rPr>
                <w:rFonts w:hint="eastAsia" w:ascii="宋体" w:hAnsi="宋体"/>
                <w:color w:val="auto"/>
                <w:szCs w:val="21"/>
                <w:highlight w:val="none"/>
              </w:rPr>
              <w:t>2</w:t>
            </w:r>
          </w:p>
        </w:tc>
        <w:tc>
          <w:tcPr>
            <w:tcW w:w="2725" w:type="dxa"/>
            <w:vAlign w:val="center"/>
          </w:tcPr>
          <w:p>
            <w:pPr>
              <w:adjustRightInd w:val="0"/>
              <w:snapToGrid w:val="0"/>
              <w:jc w:val="center"/>
              <w:rPr>
                <w:rFonts w:ascii="宋体" w:hAnsi="宋体"/>
                <w:color w:val="auto"/>
                <w:szCs w:val="21"/>
                <w:highlight w:val="none"/>
              </w:rPr>
            </w:pPr>
            <w:r>
              <w:rPr>
                <w:rFonts w:hint="eastAsia"/>
                <w:color w:val="auto"/>
                <w:szCs w:val="21"/>
                <w:highlight w:val="none"/>
              </w:rPr>
              <w:t>乳胶漆</w:t>
            </w:r>
          </w:p>
        </w:tc>
        <w:tc>
          <w:tcPr>
            <w:tcW w:w="4840" w:type="dxa"/>
            <w:vAlign w:val="center"/>
          </w:tcPr>
          <w:p>
            <w:pPr>
              <w:adjustRightInd w:val="0"/>
              <w:snapToGrid w:val="0"/>
              <w:jc w:val="center"/>
              <w:rPr>
                <w:rFonts w:ascii="宋体" w:hAnsi="宋体"/>
                <w:color w:val="auto"/>
                <w:szCs w:val="21"/>
                <w:highlight w:val="none"/>
              </w:rPr>
            </w:pPr>
            <w:r>
              <w:rPr>
                <w:rFonts w:hint="eastAsia"/>
                <w:color w:val="auto"/>
                <w:szCs w:val="21"/>
                <w:highlight w:val="none"/>
              </w:rPr>
              <w:t>立邦、多乐士、嘉宝莉或相当于</w:t>
            </w:r>
          </w:p>
        </w:tc>
        <w:tc>
          <w:tcPr>
            <w:tcW w:w="1280" w:type="dxa"/>
            <w:vAlign w:val="center"/>
          </w:tcPr>
          <w:p>
            <w:pPr>
              <w:adjustRightInd w:val="0"/>
              <w:snapToGrid w:val="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695" w:type="dxa"/>
            <w:vAlign w:val="center"/>
          </w:tcPr>
          <w:p>
            <w:pPr>
              <w:adjustRightInd w:val="0"/>
              <w:snapToGrid w:val="0"/>
              <w:jc w:val="center"/>
              <w:rPr>
                <w:color w:val="auto"/>
                <w:szCs w:val="21"/>
                <w:highlight w:val="none"/>
              </w:rPr>
            </w:pPr>
            <w:r>
              <w:rPr>
                <w:rFonts w:hint="eastAsia" w:ascii="宋体" w:hAnsi="宋体"/>
                <w:color w:val="auto"/>
                <w:szCs w:val="21"/>
                <w:highlight w:val="none"/>
              </w:rPr>
              <w:t>3</w:t>
            </w:r>
          </w:p>
        </w:tc>
        <w:tc>
          <w:tcPr>
            <w:tcW w:w="2725"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灯具</w:t>
            </w:r>
          </w:p>
        </w:tc>
        <w:tc>
          <w:tcPr>
            <w:tcW w:w="4840" w:type="dxa"/>
            <w:vAlign w:val="center"/>
          </w:tcPr>
          <w:p>
            <w:pPr>
              <w:spacing w:line="360" w:lineRule="exact"/>
              <w:jc w:val="center"/>
              <w:rPr>
                <w:rFonts w:ascii="宋体" w:hAnsi="宋体" w:cs="宋体"/>
                <w:color w:val="auto"/>
                <w:szCs w:val="21"/>
                <w:highlight w:val="none"/>
              </w:rPr>
            </w:pPr>
            <w:r>
              <w:rPr>
                <w:rFonts w:hint="eastAsia" w:ascii="宋体" w:hAnsi="宋体"/>
                <w:color w:val="auto"/>
                <w:szCs w:val="21"/>
                <w:highlight w:val="none"/>
              </w:rPr>
              <w:t>三雄极光、欧普、雷士或相当于</w:t>
            </w:r>
          </w:p>
        </w:tc>
        <w:tc>
          <w:tcPr>
            <w:tcW w:w="1280" w:type="dxa"/>
            <w:vAlign w:val="center"/>
          </w:tcPr>
          <w:p>
            <w:pPr>
              <w:adjustRightInd w:val="0"/>
              <w:snapToGrid w:val="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695"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4</w:t>
            </w:r>
          </w:p>
        </w:tc>
        <w:tc>
          <w:tcPr>
            <w:tcW w:w="2725" w:type="dxa"/>
            <w:vAlign w:val="center"/>
          </w:tcPr>
          <w:p>
            <w:pPr>
              <w:adjustRightInd w:val="0"/>
              <w:snapToGrid w:val="0"/>
              <w:jc w:val="center"/>
              <w:rPr>
                <w:color w:val="auto"/>
                <w:szCs w:val="21"/>
                <w:highlight w:val="none"/>
              </w:rPr>
            </w:pPr>
            <w:r>
              <w:rPr>
                <w:rFonts w:hint="eastAsia" w:ascii="宋体" w:hAnsi="宋体"/>
                <w:color w:val="auto"/>
                <w:szCs w:val="21"/>
                <w:highlight w:val="none"/>
              </w:rPr>
              <w:t>开关、插座</w:t>
            </w:r>
          </w:p>
        </w:tc>
        <w:tc>
          <w:tcPr>
            <w:tcW w:w="4840" w:type="dxa"/>
            <w:vAlign w:val="center"/>
          </w:tcPr>
          <w:p>
            <w:pPr>
              <w:adjustRightInd w:val="0"/>
              <w:snapToGrid w:val="0"/>
              <w:jc w:val="center"/>
              <w:rPr>
                <w:color w:val="auto"/>
                <w:szCs w:val="21"/>
                <w:highlight w:val="none"/>
              </w:rPr>
            </w:pPr>
            <w:r>
              <w:rPr>
                <w:rFonts w:hint="eastAsia" w:ascii="宋体" w:hAnsi="宋体"/>
                <w:color w:val="auto"/>
                <w:szCs w:val="21"/>
                <w:highlight w:val="none"/>
              </w:rPr>
              <w:t>正泰、鸿雁、公牛或相当于</w:t>
            </w:r>
          </w:p>
        </w:tc>
        <w:tc>
          <w:tcPr>
            <w:tcW w:w="1280" w:type="dxa"/>
            <w:vAlign w:val="center"/>
          </w:tcPr>
          <w:p>
            <w:pPr>
              <w:adjustRightInd w:val="0"/>
              <w:snapToGrid w:val="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695" w:type="dxa"/>
            <w:vAlign w:val="center"/>
          </w:tcPr>
          <w:p>
            <w:pPr>
              <w:jc w:val="center"/>
              <w:rPr>
                <w:rFonts w:ascii="宋体" w:hAnsi="宋体"/>
                <w:color w:val="auto"/>
                <w:szCs w:val="21"/>
                <w:highlight w:val="none"/>
              </w:rPr>
            </w:pPr>
            <w:r>
              <w:rPr>
                <w:rFonts w:hint="eastAsia" w:ascii="宋体" w:hAnsi="宋体"/>
                <w:color w:val="auto"/>
                <w:szCs w:val="21"/>
                <w:highlight w:val="none"/>
              </w:rPr>
              <w:t>5</w:t>
            </w:r>
          </w:p>
        </w:tc>
        <w:tc>
          <w:tcPr>
            <w:tcW w:w="2725" w:type="dxa"/>
            <w:vAlign w:val="center"/>
          </w:tcPr>
          <w:p>
            <w:pPr>
              <w:adjustRightInd w:val="0"/>
              <w:snapToGrid w:val="0"/>
              <w:jc w:val="center"/>
              <w:rPr>
                <w:rFonts w:ascii="宋体" w:hAnsi="宋体"/>
                <w:color w:val="auto"/>
                <w:szCs w:val="21"/>
                <w:highlight w:val="none"/>
              </w:rPr>
            </w:pPr>
            <w:r>
              <w:rPr>
                <w:rFonts w:ascii="宋体" w:hAnsi="宋体"/>
                <w:color w:val="auto"/>
                <w:szCs w:val="21"/>
                <w:highlight w:val="none"/>
              </w:rPr>
              <w:t>阻燃板等板材</w:t>
            </w:r>
          </w:p>
        </w:tc>
        <w:tc>
          <w:tcPr>
            <w:tcW w:w="4840"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莫干山、兔宝宝、千年舟或相当于</w:t>
            </w:r>
          </w:p>
        </w:tc>
        <w:tc>
          <w:tcPr>
            <w:tcW w:w="1280" w:type="dxa"/>
            <w:vAlign w:val="center"/>
          </w:tcPr>
          <w:p>
            <w:pPr>
              <w:adjustRightInd w:val="0"/>
              <w:snapToGrid w:val="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695" w:type="dxa"/>
            <w:vAlign w:val="center"/>
          </w:tcPr>
          <w:p>
            <w:pPr>
              <w:jc w:val="center"/>
              <w:rPr>
                <w:rFonts w:ascii="宋体" w:hAnsi="宋体"/>
                <w:color w:val="auto"/>
                <w:szCs w:val="21"/>
                <w:highlight w:val="none"/>
              </w:rPr>
            </w:pPr>
            <w:r>
              <w:rPr>
                <w:rFonts w:hint="eastAsia" w:ascii="宋体" w:hAnsi="宋体"/>
                <w:color w:val="auto"/>
                <w:szCs w:val="21"/>
                <w:highlight w:val="none"/>
              </w:rPr>
              <w:t>6</w:t>
            </w:r>
          </w:p>
        </w:tc>
        <w:tc>
          <w:tcPr>
            <w:tcW w:w="2725" w:type="dxa"/>
            <w:vAlign w:val="center"/>
          </w:tcPr>
          <w:p>
            <w:pPr>
              <w:adjustRightInd w:val="0"/>
              <w:snapToGrid w:val="0"/>
              <w:jc w:val="center"/>
              <w:rPr>
                <w:color w:val="auto"/>
                <w:szCs w:val="21"/>
                <w:highlight w:val="none"/>
              </w:rPr>
            </w:pPr>
            <w:r>
              <w:rPr>
                <w:rFonts w:hint="eastAsia" w:ascii="宋体" w:hAnsi="宋体"/>
                <w:color w:val="auto"/>
                <w:szCs w:val="21"/>
                <w:highlight w:val="none"/>
              </w:rPr>
              <w:t>电线电缆</w:t>
            </w:r>
          </w:p>
        </w:tc>
        <w:tc>
          <w:tcPr>
            <w:tcW w:w="4840" w:type="dxa"/>
            <w:vAlign w:val="center"/>
          </w:tcPr>
          <w:p>
            <w:pPr>
              <w:adjustRightInd w:val="0"/>
              <w:snapToGrid w:val="0"/>
              <w:jc w:val="center"/>
              <w:rPr>
                <w:color w:val="auto"/>
                <w:szCs w:val="21"/>
                <w:highlight w:val="none"/>
              </w:rPr>
            </w:pPr>
            <w:r>
              <w:rPr>
                <w:rFonts w:hint="eastAsia" w:ascii="宋体" w:hAnsi="宋体"/>
                <w:color w:val="auto"/>
                <w:szCs w:val="21"/>
                <w:highlight w:val="none"/>
              </w:rPr>
              <w:t>飞洲、中策、珠江或相当于</w:t>
            </w:r>
          </w:p>
        </w:tc>
        <w:tc>
          <w:tcPr>
            <w:tcW w:w="1280" w:type="dxa"/>
            <w:vAlign w:val="center"/>
          </w:tcPr>
          <w:p>
            <w:pPr>
              <w:adjustRightInd w:val="0"/>
              <w:snapToGrid w:val="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695" w:type="dxa"/>
            <w:vAlign w:val="center"/>
          </w:tcPr>
          <w:p>
            <w:pPr>
              <w:jc w:val="center"/>
              <w:rPr>
                <w:rFonts w:ascii="宋体" w:hAnsi="宋体"/>
                <w:color w:val="auto"/>
                <w:szCs w:val="21"/>
                <w:highlight w:val="none"/>
              </w:rPr>
            </w:pPr>
            <w:r>
              <w:rPr>
                <w:rFonts w:hint="eastAsia" w:ascii="宋体" w:hAnsi="宋体"/>
                <w:color w:val="auto"/>
                <w:szCs w:val="21"/>
                <w:highlight w:val="none"/>
              </w:rPr>
              <w:t>7</w:t>
            </w:r>
          </w:p>
        </w:tc>
        <w:tc>
          <w:tcPr>
            <w:tcW w:w="2725"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管材、管件</w:t>
            </w:r>
          </w:p>
        </w:tc>
        <w:tc>
          <w:tcPr>
            <w:tcW w:w="4840"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公元、伟星、白蝶或相当于</w:t>
            </w:r>
          </w:p>
        </w:tc>
        <w:tc>
          <w:tcPr>
            <w:tcW w:w="1280" w:type="dxa"/>
            <w:vAlign w:val="center"/>
          </w:tcPr>
          <w:p>
            <w:pPr>
              <w:adjustRightInd w:val="0"/>
              <w:snapToGrid w:val="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695" w:type="dxa"/>
            <w:vAlign w:val="center"/>
          </w:tcPr>
          <w:p>
            <w:pPr>
              <w:jc w:val="center"/>
              <w:rPr>
                <w:rFonts w:ascii="宋体" w:hAnsi="宋体"/>
                <w:color w:val="auto"/>
                <w:szCs w:val="21"/>
                <w:highlight w:val="none"/>
              </w:rPr>
            </w:pPr>
            <w:r>
              <w:rPr>
                <w:rFonts w:hint="eastAsia" w:ascii="宋体" w:hAnsi="宋体"/>
                <w:color w:val="auto"/>
                <w:szCs w:val="21"/>
                <w:highlight w:val="none"/>
              </w:rPr>
              <w:t>8</w:t>
            </w:r>
          </w:p>
        </w:tc>
        <w:tc>
          <w:tcPr>
            <w:tcW w:w="2725"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轻钢龙骨</w:t>
            </w:r>
          </w:p>
        </w:tc>
        <w:tc>
          <w:tcPr>
            <w:tcW w:w="4840"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龙牌、可耐福、杰科或相当于</w:t>
            </w:r>
          </w:p>
        </w:tc>
        <w:tc>
          <w:tcPr>
            <w:tcW w:w="1280" w:type="dxa"/>
            <w:vAlign w:val="center"/>
          </w:tcPr>
          <w:p>
            <w:pPr>
              <w:adjustRightInd w:val="0"/>
              <w:snapToGrid w:val="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69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9</w:t>
            </w:r>
          </w:p>
        </w:tc>
        <w:tc>
          <w:tcPr>
            <w:tcW w:w="2725" w:type="dxa"/>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铝合金型材</w:t>
            </w:r>
          </w:p>
        </w:tc>
        <w:tc>
          <w:tcPr>
            <w:tcW w:w="4840" w:type="dxa"/>
            <w:vAlign w:val="center"/>
          </w:tcPr>
          <w:p>
            <w:pPr>
              <w:adjustRightInd w:val="0"/>
              <w:snapToGrid w:val="0"/>
              <w:jc w:val="center"/>
              <w:rPr>
                <w:rFonts w:hint="eastAsia" w:ascii="宋体" w:hAnsi="宋体"/>
                <w:color w:val="auto"/>
                <w:szCs w:val="21"/>
                <w:highlight w:val="none"/>
              </w:rPr>
            </w:pPr>
            <w:r>
              <w:rPr>
                <w:rFonts w:hint="eastAsia" w:ascii="宋体" w:hAnsi="宋体" w:cs="宋体"/>
                <w:color w:val="auto"/>
                <w:szCs w:val="21"/>
                <w:highlight w:val="none"/>
                <w:lang w:bidi="ar"/>
              </w:rPr>
              <w:t>兴发、凤铝、坚美或相当于</w:t>
            </w:r>
          </w:p>
        </w:tc>
        <w:tc>
          <w:tcPr>
            <w:tcW w:w="1280" w:type="dxa"/>
            <w:vAlign w:val="center"/>
          </w:tcPr>
          <w:p>
            <w:pPr>
              <w:adjustRightInd w:val="0"/>
              <w:snapToGrid w:val="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69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10</w:t>
            </w:r>
          </w:p>
        </w:tc>
        <w:tc>
          <w:tcPr>
            <w:tcW w:w="2725" w:type="dxa"/>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地弹簧</w:t>
            </w:r>
          </w:p>
        </w:tc>
        <w:tc>
          <w:tcPr>
            <w:tcW w:w="4840" w:type="dxa"/>
            <w:vAlign w:val="center"/>
          </w:tcPr>
          <w:p>
            <w:pPr>
              <w:adjustRightInd w:val="0"/>
              <w:snapToGrid w:val="0"/>
              <w:jc w:val="center"/>
              <w:rPr>
                <w:rFonts w:hint="eastAsia" w:ascii="宋体" w:hAnsi="宋体" w:cs="宋体"/>
                <w:color w:val="auto"/>
                <w:szCs w:val="21"/>
                <w:highlight w:val="none"/>
                <w:lang w:bidi="ar"/>
              </w:rPr>
            </w:pPr>
            <w:r>
              <w:rPr>
                <w:rFonts w:hint="eastAsia" w:ascii="宋体" w:hAnsi="宋体" w:cs="宋体"/>
                <w:color w:val="auto"/>
                <w:szCs w:val="21"/>
                <w:highlight w:val="none"/>
                <w:lang w:bidi="ar"/>
              </w:rPr>
              <w:t>CROWN、GMT、汇泰龙或相当于</w:t>
            </w:r>
          </w:p>
        </w:tc>
        <w:tc>
          <w:tcPr>
            <w:tcW w:w="1280" w:type="dxa"/>
            <w:vAlign w:val="center"/>
          </w:tcPr>
          <w:p>
            <w:pPr>
              <w:adjustRightInd w:val="0"/>
              <w:snapToGrid w:val="0"/>
              <w:jc w:val="center"/>
              <w:rPr>
                <w:color w:val="auto"/>
                <w:szCs w:val="21"/>
                <w:highlight w:val="none"/>
              </w:rPr>
            </w:pPr>
          </w:p>
        </w:tc>
      </w:tr>
    </w:tbl>
    <w:p>
      <w:pPr>
        <w:spacing w:line="360" w:lineRule="exact"/>
        <w:ind w:firstLine="420" w:firstLineChars="200"/>
        <w:rPr>
          <w:color w:val="auto"/>
          <w:szCs w:val="21"/>
          <w:highlight w:val="none"/>
          <w:u w:val="single"/>
        </w:rPr>
      </w:pPr>
      <w:r>
        <w:rPr>
          <w:color w:val="auto"/>
          <w:szCs w:val="21"/>
          <w:highlight w:val="none"/>
          <w:u w:val="single"/>
        </w:rPr>
        <w:t>（4）所有材料必须有质保书或合格证，</w:t>
      </w:r>
      <w:bookmarkStart w:id="328" w:name="OLE_LINK14"/>
      <w:bookmarkStart w:id="329" w:name="OLE_LINK13"/>
      <w:r>
        <w:rPr>
          <w:color w:val="auto"/>
          <w:szCs w:val="21"/>
          <w:highlight w:val="none"/>
          <w:u w:val="single"/>
        </w:rPr>
        <w:t>符合施工图纸和规范要求</w:t>
      </w:r>
      <w:bookmarkEnd w:id="328"/>
      <w:bookmarkEnd w:id="329"/>
      <w:r>
        <w:rPr>
          <w:color w:val="auto"/>
          <w:szCs w:val="21"/>
          <w:highlight w:val="none"/>
          <w:u w:val="single"/>
        </w:rPr>
        <w:t>，且品牌、产地需报发包人备案，否则，因此产生的后果均由承包人负责</w:t>
      </w:r>
      <w:r>
        <w:rPr>
          <w:color w:val="auto"/>
          <w:szCs w:val="21"/>
          <w:highlight w:val="none"/>
        </w:rPr>
        <w:t>。</w:t>
      </w:r>
    </w:p>
    <w:p>
      <w:pPr>
        <w:spacing w:line="360" w:lineRule="exact"/>
        <w:ind w:firstLine="420" w:firstLineChars="200"/>
        <w:rPr>
          <w:color w:val="auto"/>
          <w:szCs w:val="21"/>
          <w:highlight w:val="none"/>
          <w:u w:val="single"/>
        </w:rPr>
      </w:pPr>
      <w:r>
        <w:rPr>
          <w:color w:val="auto"/>
          <w:szCs w:val="21"/>
          <w:highlight w:val="none"/>
          <w:u w:val="single"/>
        </w:rPr>
        <w:t>（5）凡是采购文件注明规格、型号或相当于的厂家（品牌、产地）的材料，承包人必须按照采购文件要求采购和施工，优先使用相当于的厂家（品牌、产地），如需调整，必须经得发包人认可，否则由此引起的后果由承包人承担</w:t>
      </w:r>
      <w:r>
        <w:rPr>
          <w:color w:val="auto"/>
          <w:szCs w:val="21"/>
          <w:highlight w:val="none"/>
        </w:rPr>
        <w:t>。</w:t>
      </w:r>
    </w:p>
    <w:p>
      <w:pPr>
        <w:spacing w:line="360" w:lineRule="exact"/>
        <w:ind w:firstLine="420" w:firstLineChars="200"/>
        <w:rPr>
          <w:color w:val="auto"/>
          <w:szCs w:val="21"/>
          <w:highlight w:val="none"/>
          <w:u w:val="single"/>
        </w:rPr>
      </w:pPr>
      <w:r>
        <w:rPr>
          <w:color w:val="auto"/>
          <w:szCs w:val="21"/>
          <w:highlight w:val="none"/>
          <w:u w:val="single"/>
        </w:rPr>
        <w:t>（6）所有设备、材料和预制构件等均需有产品合格证和质保书、试验（试车）报告等必要资料，符合国家规定的技术标准和设计图纸要求的标准，并且须经发包人及监理单位验收合格后方可使用</w:t>
      </w:r>
      <w:r>
        <w:rPr>
          <w:color w:val="auto"/>
          <w:szCs w:val="21"/>
          <w:highlight w:val="none"/>
        </w:rPr>
        <w:t>。</w:t>
      </w:r>
    </w:p>
    <w:p>
      <w:pPr>
        <w:spacing w:line="360" w:lineRule="exact"/>
        <w:ind w:firstLine="420" w:firstLineChars="200"/>
        <w:rPr>
          <w:color w:val="auto"/>
          <w:szCs w:val="21"/>
          <w:highlight w:val="none"/>
          <w:u w:val="single"/>
        </w:rPr>
      </w:pPr>
      <w:r>
        <w:rPr>
          <w:color w:val="auto"/>
          <w:szCs w:val="21"/>
          <w:highlight w:val="none"/>
          <w:u w:val="single"/>
        </w:rPr>
        <w:t>（7）根据工程需要，发包人有权对承包人投标时确认的品牌进行更换，更换后的材料价格由发包人签证进行结算</w:t>
      </w:r>
      <w:r>
        <w:rPr>
          <w:color w:val="auto"/>
          <w:szCs w:val="21"/>
          <w:highlight w:val="none"/>
        </w:rPr>
        <w:t>。</w:t>
      </w:r>
    </w:p>
    <w:p>
      <w:pPr>
        <w:spacing w:line="360" w:lineRule="exact"/>
        <w:ind w:firstLine="420" w:firstLineChars="200"/>
        <w:rPr>
          <w:color w:val="auto"/>
          <w:szCs w:val="21"/>
          <w:highlight w:val="none"/>
          <w:u w:val="single"/>
        </w:rPr>
      </w:pPr>
      <w:r>
        <w:rPr>
          <w:rFonts w:hint="eastAsia"/>
          <w:color w:val="auto"/>
          <w:szCs w:val="21"/>
          <w:highlight w:val="none"/>
          <w:u w:val="single"/>
        </w:rPr>
        <w:t>（8）合同中原暂定价材料或由工程变更产生的无价材料由承包人采购时，应由发包人签证确定价格后采购，发包人在收到承包人价格确定申请后，7日内审批完毕</w:t>
      </w:r>
      <w:r>
        <w:rPr>
          <w:rFonts w:hint="eastAsia"/>
          <w:color w:val="auto"/>
          <w:szCs w:val="21"/>
          <w:highlight w:val="none"/>
        </w:rPr>
        <w:t>。</w:t>
      </w:r>
    </w:p>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Pr>
        <w:spacing w:line="360" w:lineRule="exact"/>
        <w:ind w:firstLine="420" w:firstLineChars="200"/>
        <w:rPr>
          <w:color w:val="auto"/>
          <w:szCs w:val="21"/>
          <w:highlight w:val="none"/>
        </w:rPr>
      </w:pPr>
      <w:bookmarkStart w:id="330" w:name="_Toc267251442"/>
      <w:r>
        <w:rPr>
          <w:color w:val="auto"/>
          <w:szCs w:val="21"/>
          <w:highlight w:val="none"/>
        </w:rPr>
        <w:t>8.4材料与工程设备的保管与使用</w:t>
      </w:r>
    </w:p>
    <w:p>
      <w:pPr>
        <w:spacing w:line="360" w:lineRule="exact"/>
        <w:ind w:firstLine="420" w:firstLineChars="200"/>
        <w:rPr>
          <w:color w:val="auto"/>
          <w:szCs w:val="21"/>
          <w:highlight w:val="none"/>
        </w:rPr>
      </w:pPr>
      <w:r>
        <w:rPr>
          <w:color w:val="auto"/>
          <w:szCs w:val="21"/>
          <w:highlight w:val="none"/>
        </w:rPr>
        <w:t>8.4.1发包人供应的材料设备的保管费用的承担：</w:t>
      </w:r>
      <w:r>
        <w:rPr>
          <w:rFonts w:hint="eastAsia"/>
          <w:color w:val="auto"/>
          <w:szCs w:val="21"/>
          <w:highlight w:val="none"/>
          <w:u w:val="single"/>
        </w:rPr>
        <w:t>不另行计取</w:t>
      </w:r>
      <w:r>
        <w:rPr>
          <w:rFonts w:hint="eastAsia"/>
          <w:color w:val="auto"/>
          <w:szCs w:val="21"/>
          <w:highlight w:val="none"/>
        </w:rPr>
        <w:t>。</w:t>
      </w:r>
    </w:p>
    <w:p>
      <w:pPr>
        <w:spacing w:line="360" w:lineRule="exact"/>
        <w:ind w:firstLine="420" w:firstLineChars="200"/>
        <w:rPr>
          <w:color w:val="auto"/>
          <w:szCs w:val="21"/>
          <w:highlight w:val="none"/>
        </w:rPr>
      </w:pPr>
      <w:r>
        <w:rPr>
          <w:color w:val="auto"/>
          <w:szCs w:val="21"/>
          <w:highlight w:val="none"/>
        </w:rPr>
        <w:t>8.6 样品</w:t>
      </w:r>
    </w:p>
    <w:p>
      <w:pPr>
        <w:spacing w:line="360" w:lineRule="exact"/>
        <w:ind w:firstLine="420" w:firstLineChars="200"/>
        <w:rPr>
          <w:color w:val="auto"/>
          <w:szCs w:val="21"/>
          <w:highlight w:val="none"/>
        </w:rPr>
      </w:pPr>
      <w:r>
        <w:rPr>
          <w:color w:val="auto"/>
          <w:szCs w:val="21"/>
          <w:highlight w:val="none"/>
        </w:rPr>
        <w:t>8.6.1</w:t>
      </w:r>
      <w:r>
        <w:rPr>
          <w:rFonts w:hint="eastAsia"/>
          <w:color w:val="auto"/>
          <w:szCs w:val="21"/>
          <w:highlight w:val="none"/>
        </w:rPr>
        <w:t xml:space="preserve"> </w:t>
      </w:r>
      <w:r>
        <w:rPr>
          <w:color w:val="auto"/>
          <w:szCs w:val="21"/>
          <w:highlight w:val="none"/>
        </w:rPr>
        <w:t>样品的报送</w:t>
      </w:r>
      <w:r>
        <w:rPr>
          <w:rFonts w:hint="eastAsia"/>
          <w:color w:val="auto"/>
          <w:szCs w:val="21"/>
          <w:highlight w:val="none"/>
        </w:rPr>
        <w:t>与封存</w:t>
      </w:r>
    </w:p>
    <w:p>
      <w:pPr>
        <w:spacing w:line="360" w:lineRule="exact"/>
        <w:ind w:firstLine="420" w:firstLineChars="200"/>
        <w:rPr>
          <w:color w:val="auto"/>
          <w:szCs w:val="21"/>
          <w:highlight w:val="none"/>
        </w:rPr>
      </w:pPr>
      <w:r>
        <w:rPr>
          <w:color w:val="auto"/>
          <w:szCs w:val="21"/>
          <w:highlight w:val="none"/>
        </w:rPr>
        <w:t>需要承包人报送样品的材料或工程设备，样品的种类、名称、规格、数量要求：</w:t>
      </w:r>
      <w:r>
        <w:rPr>
          <w:color w:val="auto"/>
          <w:szCs w:val="21"/>
          <w:highlight w:val="none"/>
          <w:u w:val="single"/>
        </w:rPr>
        <w:t xml:space="preserve"> （</w:t>
      </w:r>
      <w:r>
        <w:rPr>
          <w:rFonts w:hint="eastAsia"/>
          <w:color w:val="auto"/>
          <w:szCs w:val="21"/>
          <w:highlight w:val="none"/>
          <w:u w:val="single"/>
        </w:rPr>
        <w:t>如有要封存样品，明确具体样品名称）</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8.8 施工设备和临时设施</w:t>
      </w:r>
    </w:p>
    <w:p>
      <w:pPr>
        <w:spacing w:line="360" w:lineRule="exact"/>
        <w:ind w:firstLine="420" w:firstLineChars="200"/>
        <w:rPr>
          <w:color w:val="auto"/>
          <w:szCs w:val="21"/>
          <w:highlight w:val="none"/>
        </w:rPr>
      </w:pPr>
      <w:r>
        <w:rPr>
          <w:color w:val="auto"/>
          <w:szCs w:val="21"/>
          <w:highlight w:val="none"/>
        </w:rPr>
        <w:t>8.8.1 承包人提供的施工设备和临时设施</w:t>
      </w:r>
    </w:p>
    <w:p>
      <w:pPr>
        <w:spacing w:line="360" w:lineRule="exact"/>
        <w:ind w:firstLine="420" w:firstLineChars="200"/>
        <w:rPr>
          <w:color w:val="auto"/>
          <w:szCs w:val="21"/>
          <w:highlight w:val="none"/>
        </w:rPr>
      </w:pPr>
      <w:r>
        <w:rPr>
          <w:color w:val="auto"/>
          <w:szCs w:val="21"/>
          <w:highlight w:val="none"/>
        </w:rPr>
        <w:t>关于修建临时设施费用承担的约定：</w:t>
      </w:r>
      <w:r>
        <w:rPr>
          <w:color w:val="auto"/>
          <w:szCs w:val="21"/>
          <w:highlight w:val="none"/>
          <w:u w:val="single"/>
        </w:rPr>
        <w:t xml:space="preserve"> </w:t>
      </w:r>
      <w:r>
        <w:rPr>
          <w:rFonts w:hint="eastAsia"/>
          <w:color w:val="auto"/>
          <w:szCs w:val="21"/>
          <w:highlight w:val="none"/>
          <w:u w:val="single"/>
        </w:rPr>
        <w:t>由承包人承担</w:t>
      </w:r>
      <w:r>
        <w:rPr>
          <w:color w:val="auto"/>
          <w:szCs w:val="21"/>
          <w:highlight w:val="none"/>
          <w:u w:val="single"/>
        </w:rPr>
        <w:t xml:space="preserve">  </w:t>
      </w:r>
      <w:r>
        <w:rPr>
          <w:color w:val="auto"/>
          <w:szCs w:val="21"/>
          <w:highlight w:val="none"/>
        </w:rPr>
        <w:t>。</w:t>
      </w:r>
    </w:p>
    <w:p>
      <w:pPr>
        <w:spacing w:line="360" w:lineRule="exact"/>
        <w:ind w:firstLine="420" w:firstLineChars="200"/>
        <w:rPr>
          <w:bCs/>
          <w:color w:val="auto"/>
          <w:szCs w:val="21"/>
          <w:highlight w:val="none"/>
        </w:rPr>
      </w:pPr>
      <w:r>
        <w:rPr>
          <w:bCs/>
          <w:color w:val="auto"/>
          <w:szCs w:val="21"/>
          <w:highlight w:val="none"/>
        </w:rPr>
        <w:t>9. 试验与检验</w:t>
      </w:r>
    </w:p>
    <w:p>
      <w:pPr>
        <w:spacing w:line="360" w:lineRule="exact"/>
        <w:ind w:firstLine="420" w:firstLineChars="200"/>
        <w:rPr>
          <w:color w:val="auto"/>
          <w:szCs w:val="21"/>
          <w:highlight w:val="none"/>
        </w:rPr>
      </w:pPr>
      <w:r>
        <w:rPr>
          <w:color w:val="auto"/>
          <w:szCs w:val="21"/>
          <w:highlight w:val="none"/>
        </w:rPr>
        <w:t>9.1试验设备与试验人员</w:t>
      </w:r>
    </w:p>
    <w:p>
      <w:pPr>
        <w:spacing w:line="360" w:lineRule="exact"/>
        <w:ind w:firstLine="420" w:firstLineChars="200"/>
        <w:rPr>
          <w:color w:val="auto"/>
          <w:szCs w:val="21"/>
          <w:highlight w:val="none"/>
        </w:rPr>
      </w:pPr>
      <w:r>
        <w:rPr>
          <w:color w:val="auto"/>
          <w:szCs w:val="21"/>
          <w:highlight w:val="none"/>
        </w:rPr>
        <w:t>9.1.2 试验设备</w:t>
      </w:r>
    </w:p>
    <w:p>
      <w:pPr>
        <w:spacing w:line="360" w:lineRule="exact"/>
        <w:ind w:firstLine="420" w:firstLineChars="200"/>
        <w:rPr>
          <w:color w:val="auto"/>
          <w:szCs w:val="21"/>
          <w:highlight w:val="none"/>
        </w:rPr>
      </w:pPr>
      <w:r>
        <w:rPr>
          <w:color w:val="auto"/>
          <w:szCs w:val="21"/>
          <w:highlight w:val="none"/>
        </w:rPr>
        <w:t>施工现场需要配置的试验场所：</w:t>
      </w:r>
      <w:r>
        <w:rPr>
          <w:rFonts w:hint="eastAsia"/>
          <w:color w:val="auto"/>
          <w:szCs w:val="21"/>
          <w:highlight w:val="none"/>
          <w:u w:val="single"/>
        </w:rPr>
        <w:t xml:space="preserve"> 按规范及（当地）建设行政主管部门要求配置</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施工现场需要配备的试验设备：</w:t>
      </w:r>
      <w:r>
        <w:rPr>
          <w:rFonts w:hint="eastAsia"/>
          <w:color w:val="auto"/>
          <w:szCs w:val="21"/>
          <w:highlight w:val="none"/>
          <w:u w:val="single"/>
        </w:rPr>
        <w:t xml:space="preserve"> 按规范及（当地）建设行政主管部门要求配置</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施工现场需要具备的其他试验条件：</w:t>
      </w:r>
      <w:r>
        <w:rPr>
          <w:rFonts w:hint="eastAsia"/>
          <w:color w:val="auto"/>
          <w:szCs w:val="21"/>
          <w:highlight w:val="none"/>
          <w:u w:val="single"/>
        </w:rPr>
        <w:t xml:space="preserve"> 按规范及（当地）建设行政主管部门要求配置</w:t>
      </w:r>
      <w:r>
        <w:rPr>
          <w:color w:val="auto"/>
          <w:szCs w:val="21"/>
          <w:highlight w:val="none"/>
        </w:rPr>
        <w:t>。</w:t>
      </w:r>
    </w:p>
    <w:p>
      <w:pPr>
        <w:spacing w:line="360" w:lineRule="exact"/>
        <w:ind w:firstLine="420" w:firstLineChars="200"/>
        <w:rPr>
          <w:color w:val="auto"/>
          <w:szCs w:val="21"/>
          <w:highlight w:val="none"/>
        </w:rPr>
      </w:pPr>
      <w:r>
        <w:rPr>
          <w:rFonts w:hint="eastAsia"/>
          <w:color w:val="auto"/>
          <w:szCs w:val="21"/>
          <w:highlight w:val="none"/>
        </w:rPr>
        <w:t>9.3 材料、工程设备和工程的试验和检验</w:t>
      </w:r>
    </w:p>
    <w:p>
      <w:pPr>
        <w:spacing w:line="360" w:lineRule="exact"/>
        <w:ind w:firstLine="420" w:firstLineChars="200"/>
        <w:rPr>
          <w:color w:val="auto"/>
          <w:szCs w:val="21"/>
          <w:highlight w:val="none"/>
        </w:rPr>
      </w:pPr>
      <w:r>
        <w:rPr>
          <w:color w:val="auto"/>
          <w:szCs w:val="21"/>
          <w:highlight w:val="none"/>
        </w:rPr>
        <w:t>9.3.4材料、设备和工程的试验和检验的费用：</w:t>
      </w:r>
    </w:p>
    <w:p>
      <w:pPr>
        <w:spacing w:line="360" w:lineRule="exact"/>
        <w:ind w:firstLine="420" w:firstLineChars="200"/>
        <w:rPr>
          <w:color w:val="auto"/>
          <w:szCs w:val="21"/>
          <w:highlight w:val="none"/>
          <w:u w:val="single"/>
        </w:rPr>
      </w:pPr>
      <w:r>
        <w:rPr>
          <w:rFonts w:hint="eastAsia"/>
          <w:color w:val="auto"/>
          <w:szCs w:val="21"/>
          <w:highlight w:val="none"/>
          <w:u w:val="single"/>
        </w:rPr>
        <w:t>（1）材料、设备和工程的试验按《建设工程质量管理条例》、《房屋建筑工程和市政基础设施工程实行见证取样和送检的规定》、《浙江省房屋建筑和市政基础设施工程质量检测管理实施办法》等及工程所在地有关工程质量检测的规定实施</w:t>
      </w:r>
      <w:r>
        <w:rPr>
          <w:rFonts w:hint="eastAsia"/>
          <w:color w:val="auto"/>
          <w:szCs w:val="21"/>
          <w:highlight w:val="none"/>
        </w:rPr>
        <w:t>。</w:t>
      </w:r>
    </w:p>
    <w:p>
      <w:pPr>
        <w:spacing w:line="360" w:lineRule="exact"/>
        <w:ind w:firstLine="420" w:firstLineChars="200"/>
        <w:rPr>
          <w:color w:val="auto"/>
          <w:szCs w:val="21"/>
          <w:highlight w:val="none"/>
          <w:u w:val="single"/>
        </w:rPr>
      </w:pPr>
      <w:r>
        <w:rPr>
          <w:rFonts w:hint="eastAsia"/>
          <w:color w:val="auto"/>
          <w:szCs w:val="21"/>
          <w:highlight w:val="none"/>
          <w:u w:val="single"/>
        </w:rPr>
        <w:t>（2）本合同金额包括建筑以及材料、构件和建筑安装物进行一般鉴定、检查所发生的费用，包括建设工程质量见证取样检测费、建筑施工企业配合检测及自设试验室进行试验所耗用的材料和化学药品等费用，其中由发包人支付的见证取样检测费在财务结算时从承包人的工程款中扣回；本项目发包人提出的构件破坏性试验费用由发包人承担，承包人在投标时应充分考虑本项目可能存在的检测内容及费用，结算时不再调整</w:t>
      </w:r>
      <w:r>
        <w:rPr>
          <w:rFonts w:hint="eastAsia"/>
          <w:color w:val="auto"/>
          <w:szCs w:val="21"/>
          <w:highlight w:val="none"/>
        </w:rPr>
        <w:t>。</w:t>
      </w:r>
    </w:p>
    <w:p>
      <w:pPr>
        <w:spacing w:line="360" w:lineRule="exact"/>
        <w:ind w:firstLine="420" w:firstLineChars="200"/>
        <w:rPr>
          <w:color w:val="auto"/>
          <w:szCs w:val="21"/>
          <w:highlight w:val="none"/>
          <w:u w:val="single"/>
        </w:rPr>
      </w:pPr>
      <w:r>
        <w:rPr>
          <w:rFonts w:hint="eastAsia"/>
          <w:color w:val="auto"/>
          <w:szCs w:val="21"/>
          <w:highlight w:val="none"/>
          <w:u w:val="single"/>
        </w:rPr>
        <w:t>（3）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r>
        <w:rPr>
          <w:rFonts w:hint="eastAsia"/>
          <w:color w:val="auto"/>
          <w:szCs w:val="21"/>
          <w:highlight w:val="none"/>
        </w:rPr>
        <w:t>。</w:t>
      </w:r>
    </w:p>
    <w:p>
      <w:pPr>
        <w:spacing w:line="360" w:lineRule="exact"/>
        <w:ind w:firstLine="420" w:firstLineChars="200"/>
        <w:rPr>
          <w:color w:val="auto"/>
          <w:szCs w:val="21"/>
          <w:highlight w:val="none"/>
          <w:u w:val="single"/>
        </w:rPr>
      </w:pPr>
      <w:r>
        <w:rPr>
          <w:rFonts w:hint="eastAsia"/>
          <w:color w:val="auto"/>
          <w:szCs w:val="21"/>
          <w:highlight w:val="none"/>
          <w:u w:val="single"/>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9.4 现场工艺试验</w:t>
      </w:r>
    </w:p>
    <w:p>
      <w:pPr>
        <w:spacing w:line="360" w:lineRule="exact"/>
        <w:ind w:firstLine="420" w:firstLineChars="200"/>
        <w:rPr>
          <w:color w:val="auto"/>
          <w:szCs w:val="21"/>
          <w:highlight w:val="none"/>
        </w:rPr>
      </w:pPr>
      <w:r>
        <w:rPr>
          <w:color w:val="auto"/>
          <w:szCs w:val="21"/>
          <w:highlight w:val="none"/>
        </w:rPr>
        <w:t>现场工艺试验的有关约定：</w:t>
      </w:r>
      <w:r>
        <w:rPr>
          <w:rFonts w:hint="eastAsia"/>
          <w:color w:val="auto"/>
          <w:szCs w:val="21"/>
          <w:highlight w:val="none"/>
          <w:u w:val="single"/>
        </w:rPr>
        <w:t xml:space="preserve">                              </w:t>
      </w:r>
      <w:r>
        <w:rPr>
          <w:color w:val="auto"/>
          <w:szCs w:val="21"/>
          <w:highlight w:val="none"/>
        </w:rPr>
        <w:t>。</w:t>
      </w:r>
    </w:p>
    <w:p>
      <w:pPr>
        <w:spacing w:line="360" w:lineRule="exact"/>
        <w:ind w:firstLine="420" w:firstLineChars="200"/>
        <w:rPr>
          <w:bCs/>
          <w:color w:val="auto"/>
          <w:szCs w:val="21"/>
          <w:highlight w:val="none"/>
        </w:rPr>
      </w:pPr>
      <w:r>
        <w:rPr>
          <w:bCs/>
          <w:color w:val="auto"/>
          <w:szCs w:val="21"/>
          <w:highlight w:val="none"/>
        </w:rPr>
        <w:t>10. 变更</w:t>
      </w:r>
    </w:p>
    <w:p>
      <w:pPr>
        <w:spacing w:line="360" w:lineRule="exact"/>
        <w:ind w:firstLine="420" w:firstLineChars="200"/>
        <w:rPr>
          <w:color w:val="auto"/>
          <w:szCs w:val="21"/>
          <w:highlight w:val="none"/>
        </w:rPr>
      </w:pPr>
      <w:r>
        <w:rPr>
          <w:color w:val="auto"/>
          <w:szCs w:val="21"/>
          <w:highlight w:val="none"/>
        </w:rPr>
        <w:t>10.1变更的范围</w:t>
      </w:r>
    </w:p>
    <w:p>
      <w:pPr>
        <w:spacing w:line="360" w:lineRule="exact"/>
        <w:ind w:firstLine="420" w:firstLineChars="200"/>
        <w:rPr>
          <w:color w:val="auto"/>
          <w:szCs w:val="21"/>
          <w:highlight w:val="none"/>
        </w:rPr>
      </w:pPr>
      <w:r>
        <w:rPr>
          <w:color w:val="auto"/>
          <w:szCs w:val="21"/>
          <w:highlight w:val="none"/>
        </w:rPr>
        <w:t>关于变更的范围的约定：</w:t>
      </w:r>
      <w:r>
        <w:rPr>
          <w:rFonts w:hint="eastAsia"/>
          <w:color w:val="auto"/>
          <w:szCs w:val="21"/>
          <w:highlight w:val="none"/>
          <w:u w:val="single"/>
        </w:rPr>
        <w:t>按合同通用条款</w:t>
      </w:r>
      <w:r>
        <w:rPr>
          <w:color w:val="auto"/>
          <w:szCs w:val="21"/>
          <w:highlight w:val="none"/>
          <w:u w:val="single"/>
        </w:rPr>
        <w:t>。</w:t>
      </w:r>
      <w:r>
        <w:rPr>
          <w:rFonts w:hint="eastAsia"/>
          <w:color w:val="auto"/>
          <w:szCs w:val="21"/>
          <w:highlight w:val="none"/>
          <w:u w:val="single"/>
        </w:rPr>
        <w:t>工程变更引起工程量的减少或增加，承包人不得因此拒绝施工</w:t>
      </w:r>
      <w:r>
        <w:rPr>
          <w:rFonts w:hint="eastAsia"/>
          <w:color w:val="auto"/>
          <w:szCs w:val="21"/>
          <w:highlight w:val="none"/>
        </w:rPr>
        <w:t>。</w:t>
      </w:r>
    </w:p>
    <w:p>
      <w:pPr>
        <w:spacing w:line="360" w:lineRule="exact"/>
        <w:ind w:firstLine="420" w:firstLineChars="200"/>
        <w:rPr>
          <w:color w:val="auto"/>
          <w:szCs w:val="21"/>
          <w:highlight w:val="none"/>
        </w:rPr>
      </w:pPr>
      <w:r>
        <w:rPr>
          <w:color w:val="auto"/>
          <w:szCs w:val="21"/>
          <w:highlight w:val="none"/>
        </w:rPr>
        <w:t>10.4 变更估价</w:t>
      </w:r>
    </w:p>
    <w:p>
      <w:pPr>
        <w:spacing w:line="360" w:lineRule="exact"/>
        <w:ind w:firstLine="420" w:firstLineChars="200"/>
        <w:rPr>
          <w:color w:val="auto"/>
          <w:szCs w:val="21"/>
          <w:highlight w:val="none"/>
        </w:rPr>
      </w:pPr>
      <w:r>
        <w:rPr>
          <w:color w:val="auto"/>
          <w:szCs w:val="21"/>
          <w:highlight w:val="none"/>
        </w:rPr>
        <w:t xml:space="preserve">10.4.1 </w:t>
      </w:r>
      <w:r>
        <w:rPr>
          <w:rFonts w:hint="eastAsia"/>
          <w:color w:val="auto"/>
          <w:szCs w:val="21"/>
          <w:highlight w:val="none"/>
        </w:rPr>
        <w:t>变更估价原则</w:t>
      </w:r>
    </w:p>
    <w:p>
      <w:pPr>
        <w:spacing w:line="360" w:lineRule="exact"/>
        <w:ind w:firstLine="420" w:firstLineChars="200"/>
        <w:rPr>
          <w:color w:val="auto"/>
          <w:szCs w:val="21"/>
          <w:highlight w:val="none"/>
        </w:rPr>
      </w:pPr>
      <w:r>
        <w:rPr>
          <w:rFonts w:hint="eastAsia"/>
          <w:color w:val="auto"/>
          <w:szCs w:val="21"/>
          <w:highlight w:val="none"/>
        </w:rPr>
        <w:t>关于变更估价的约定</w:t>
      </w:r>
      <w:r>
        <w:rPr>
          <w:color w:val="auto"/>
          <w:szCs w:val="21"/>
          <w:highlight w:val="none"/>
        </w:rPr>
        <w:t xml:space="preserve">: </w:t>
      </w:r>
    </w:p>
    <w:p>
      <w:pPr>
        <w:spacing w:line="360" w:lineRule="exact"/>
        <w:ind w:firstLine="420" w:firstLineChars="200"/>
        <w:rPr>
          <w:color w:val="auto"/>
          <w:szCs w:val="21"/>
          <w:highlight w:val="none"/>
          <w:u w:val="single"/>
        </w:rPr>
      </w:pPr>
      <w:r>
        <w:rPr>
          <w:rFonts w:hint="eastAsia"/>
          <w:color w:val="auto"/>
          <w:szCs w:val="21"/>
          <w:highlight w:val="none"/>
          <w:u w:val="single"/>
        </w:rPr>
        <w:t>变更项目的计价口径同合同约定计价方法，按约定的工程预算定额计价，预算定额中无合适定额子目的由发包人签证确定</w:t>
      </w:r>
      <w:r>
        <w:rPr>
          <w:rFonts w:hint="eastAsia"/>
          <w:color w:val="auto"/>
          <w:szCs w:val="21"/>
          <w:highlight w:val="none"/>
        </w:rPr>
        <w:t>。</w:t>
      </w:r>
    </w:p>
    <w:p>
      <w:pPr>
        <w:spacing w:line="360" w:lineRule="exact"/>
        <w:ind w:firstLine="420" w:firstLineChars="200"/>
        <w:rPr>
          <w:color w:val="auto"/>
          <w:szCs w:val="21"/>
          <w:highlight w:val="none"/>
        </w:rPr>
      </w:pPr>
      <w:r>
        <w:rPr>
          <w:rFonts w:hint="eastAsia"/>
          <w:color w:val="auto"/>
          <w:szCs w:val="21"/>
          <w:highlight w:val="none"/>
        </w:rPr>
        <w:t>10.4.2 变更估价程序</w:t>
      </w:r>
    </w:p>
    <w:p>
      <w:pPr>
        <w:spacing w:line="360" w:lineRule="exact"/>
        <w:ind w:firstLine="420" w:firstLineChars="200"/>
        <w:rPr>
          <w:color w:val="auto"/>
          <w:szCs w:val="21"/>
          <w:highlight w:val="none"/>
        </w:rPr>
      </w:pPr>
      <w:r>
        <w:rPr>
          <w:rFonts w:hint="eastAsia"/>
          <w:color w:val="auto"/>
          <w:szCs w:val="21"/>
          <w:highlight w:val="none"/>
          <w:u w:val="single"/>
        </w:rPr>
        <w:t>承包人收到发包人、设计单位的变更指示后</w:t>
      </w:r>
      <w:r>
        <w:rPr>
          <w:color w:val="auto"/>
          <w:szCs w:val="21"/>
          <w:highlight w:val="none"/>
          <w:u w:val="single"/>
        </w:rPr>
        <w:t>14</w:t>
      </w:r>
      <w:r>
        <w:rPr>
          <w:rFonts w:hint="eastAsia"/>
          <w:color w:val="auto"/>
          <w:szCs w:val="21"/>
          <w:highlight w:val="none"/>
          <w:u w:val="single"/>
        </w:rPr>
        <w:t>天内向发包人提交变更估价申请。承包人提出工程变更、施工方案调整等变更应同时提交变更估价申请。承包人提交的变更估价申请，发包人应予以签收，并在14天内审批完毕。</w:t>
      </w:r>
    </w:p>
    <w:p>
      <w:pPr>
        <w:spacing w:line="360" w:lineRule="exact"/>
        <w:ind w:firstLine="420" w:firstLineChars="200"/>
        <w:rPr>
          <w:color w:val="auto"/>
          <w:szCs w:val="21"/>
          <w:highlight w:val="none"/>
        </w:rPr>
      </w:pPr>
      <w:r>
        <w:rPr>
          <w:color w:val="auto"/>
          <w:szCs w:val="21"/>
          <w:highlight w:val="none"/>
        </w:rPr>
        <w:t>10.5承包人的合理化建议</w:t>
      </w:r>
    </w:p>
    <w:p>
      <w:pPr>
        <w:spacing w:line="360" w:lineRule="exact"/>
        <w:ind w:firstLine="420" w:firstLineChars="200"/>
        <w:rPr>
          <w:color w:val="auto"/>
          <w:szCs w:val="21"/>
          <w:highlight w:val="none"/>
        </w:rPr>
      </w:pPr>
      <w:r>
        <w:rPr>
          <w:color w:val="auto"/>
          <w:szCs w:val="21"/>
          <w:highlight w:val="none"/>
        </w:rPr>
        <w:t>监理人审查承包人合理化建议的期限：</w:t>
      </w:r>
      <w:r>
        <w:rPr>
          <w:color w:val="auto"/>
          <w:szCs w:val="21"/>
          <w:highlight w:val="none"/>
          <w:u w:val="single"/>
        </w:rPr>
        <w:t xml:space="preserve"> </w:t>
      </w:r>
      <w:r>
        <w:rPr>
          <w:rFonts w:hint="eastAsia"/>
          <w:color w:val="auto"/>
          <w:szCs w:val="21"/>
          <w:highlight w:val="none"/>
          <w:u w:val="single"/>
        </w:rPr>
        <w:t>按通用条款执行</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发包人审批承包人合理化建议的期限：</w:t>
      </w:r>
      <w:r>
        <w:rPr>
          <w:rFonts w:hint="eastAsia"/>
          <w:color w:val="auto"/>
          <w:szCs w:val="21"/>
          <w:highlight w:val="none"/>
          <w:u w:val="single"/>
        </w:rPr>
        <w:t>按通用条款执行</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u w:val="single"/>
        </w:rPr>
      </w:pPr>
      <w:r>
        <w:rPr>
          <w:color w:val="auto"/>
          <w:szCs w:val="21"/>
          <w:highlight w:val="none"/>
        </w:rPr>
        <w:t>承包人提出的合理化建议降低了合同价格或者提高了工程经济效益的奖励的方法和金额为：</w:t>
      </w:r>
      <w:r>
        <w:rPr>
          <w:rFonts w:hint="eastAsia"/>
          <w:color w:val="auto"/>
          <w:szCs w:val="21"/>
          <w:highlight w:val="none"/>
          <w:u w:val="single"/>
        </w:rPr>
        <w:t>/</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10.7 暂估价</w:t>
      </w:r>
    </w:p>
    <w:p>
      <w:pPr>
        <w:spacing w:line="360" w:lineRule="exact"/>
        <w:ind w:firstLine="420" w:firstLineChars="200"/>
        <w:rPr>
          <w:color w:val="auto"/>
          <w:szCs w:val="21"/>
          <w:highlight w:val="none"/>
        </w:rPr>
      </w:pPr>
      <w:r>
        <w:rPr>
          <w:color w:val="auto"/>
          <w:szCs w:val="21"/>
          <w:highlight w:val="none"/>
        </w:rPr>
        <w:t>暂估价材料和工程设备的明细详见附件</w:t>
      </w:r>
      <w:r>
        <w:rPr>
          <w:rFonts w:hint="eastAsia"/>
          <w:color w:val="auto"/>
          <w:szCs w:val="21"/>
          <w:highlight w:val="none"/>
        </w:rPr>
        <w:t>11：《</w:t>
      </w:r>
      <w:r>
        <w:rPr>
          <w:color w:val="auto"/>
          <w:szCs w:val="21"/>
          <w:highlight w:val="none"/>
        </w:rPr>
        <w:t>暂估价一览表</w:t>
      </w:r>
      <w:r>
        <w:rPr>
          <w:rFonts w:hint="eastAsia"/>
          <w:color w:val="auto"/>
          <w:szCs w:val="21"/>
          <w:highlight w:val="none"/>
        </w:rPr>
        <w:t>》。</w:t>
      </w:r>
    </w:p>
    <w:p>
      <w:pPr>
        <w:spacing w:line="360" w:lineRule="exact"/>
        <w:ind w:firstLine="420" w:firstLineChars="200"/>
        <w:rPr>
          <w:color w:val="auto"/>
          <w:szCs w:val="21"/>
          <w:highlight w:val="none"/>
        </w:rPr>
      </w:pPr>
      <w:r>
        <w:rPr>
          <w:color w:val="auto"/>
          <w:szCs w:val="21"/>
          <w:highlight w:val="none"/>
        </w:rPr>
        <w:t>10.7.1 依法必须招标的暂估价项目</w:t>
      </w:r>
    </w:p>
    <w:p>
      <w:pPr>
        <w:spacing w:line="360" w:lineRule="exact"/>
        <w:ind w:firstLine="420" w:firstLineChars="200"/>
        <w:rPr>
          <w:color w:val="auto"/>
          <w:szCs w:val="21"/>
          <w:highlight w:val="none"/>
          <w:u w:val="single"/>
        </w:rPr>
      </w:pPr>
      <w:r>
        <w:rPr>
          <w:rFonts w:hint="eastAsia"/>
          <w:color w:val="auto"/>
          <w:szCs w:val="21"/>
          <w:highlight w:val="none"/>
          <w:u w:val="single"/>
        </w:rPr>
        <w:t>无承包价（暂定价）的单项材料、设备、专业分包工程估算价在</w:t>
      </w:r>
      <w:r>
        <w:rPr>
          <w:color w:val="auto"/>
          <w:szCs w:val="21"/>
          <w:highlight w:val="none"/>
          <w:u w:val="single"/>
        </w:rPr>
        <w:t>30</w:t>
      </w:r>
      <w:r>
        <w:rPr>
          <w:rFonts w:hint="eastAsia"/>
          <w:color w:val="auto"/>
          <w:szCs w:val="21"/>
          <w:highlight w:val="none"/>
          <w:u w:val="single"/>
        </w:rPr>
        <w:t>万元以上的（指可以向同一家供应商采购的同类材料总价），须由发、承包双方通过招标确定价格、供应商或分包人。承包人应按照施工进度计划，在招标工作启动前</w:t>
      </w:r>
      <w:r>
        <w:rPr>
          <w:color w:val="auto"/>
          <w:szCs w:val="21"/>
          <w:highlight w:val="none"/>
          <w:u w:val="single"/>
        </w:rPr>
        <w:t>28</w:t>
      </w:r>
      <w:r>
        <w:rPr>
          <w:rFonts w:hint="eastAsia"/>
          <w:color w:val="auto"/>
          <w:szCs w:val="21"/>
          <w:highlight w:val="none"/>
          <w:u w:val="single"/>
        </w:rPr>
        <w:t>天通知发包人，并提交暂估价招标方案和工作分工，招标工作接受有管辖权的建设工程招投标监督部门的监督。与组织招标工作有关的费用由发包人承担</w:t>
      </w:r>
      <w:r>
        <w:rPr>
          <w:rFonts w:hint="eastAsia"/>
          <w:color w:val="auto"/>
          <w:szCs w:val="21"/>
          <w:highlight w:val="none"/>
        </w:rPr>
        <w:t>。</w:t>
      </w:r>
    </w:p>
    <w:p>
      <w:pPr>
        <w:spacing w:line="360" w:lineRule="exact"/>
        <w:ind w:firstLine="420" w:firstLineChars="200"/>
        <w:rPr>
          <w:color w:val="auto"/>
          <w:szCs w:val="21"/>
          <w:highlight w:val="none"/>
        </w:rPr>
      </w:pPr>
      <w:r>
        <w:rPr>
          <w:color w:val="auto"/>
          <w:szCs w:val="21"/>
          <w:highlight w:val="none"/>
        </w:rPr>
        <w:t xml:space="preserve">10.7.2 </w:t>
      </w:r>
      <w:r>
        <w:rPr>
          <w:rFonts w:hint="eastAsia"/>
          <w:color w:val="auto"/>
          <w:szCs w:val="21"/>
          <w:highlight w:val="none"/>
        </w:rPr>
        <w:t>不属于依法必须招标的暂估价项目：</w:t>
      </w:r>
      <w:r>
        <w:rPr>
          <w:rFonts w:hint="eastAsia"/>
          <w:color w:val="auto"/>
          <w:szCs w:val="21"/>
          <w:highlight w:val="none"/>
          <w:u w:val="single"/>
        </w:rPr>
        <w:t>按合同通用条款</w:t>
      </w:r>
      <w:r>
        <w:rPr>
          <w:rFonts w:hint="eastAsia"/>
          <w:color w:val="auto"/>
          <w:szCs w:val="21"/>
          <w:highlight w:val="none"/>
        </w:rPr>
        <w:t>。</w:t>
      </w:r>
    </w:p>
    <w:p>
      <w:pPr>
        <w:spacing w:line="360" w:lineRule="exact"/>
        <w:ind w:firstLine="420" w:firstLineChars="200"/>
        <w:rPr>
          <w:color w:val="auto"/>
          <w:szCs w:val="21"/>
          <w:highlight w:val="none"/>
        </w:rPr>
      </w:pPr>
      <w:r>
        <w:rPr>
          <w:color w:val="auto"/>
          <w:szCs w:val="21"/>
          <w:highlight w:val="none"/>
        </w:rPr>
        <w:t>第3种方式：承包人直接实施的暂估价项目</w:t>
      </w:r>
    </w:p>
    <w:p>
      <w:pPr>
        <w:spacing w:line="360" w:lineRule="exact"/>
        <w:ind w:firstLine="420" w:firstLineChars="200"/>
        <w:rPr>
          <w:color w:val="auto"/>
          <w:szCs w:val="21"/>
          <w:highlight w:val="none"/>
        </w:rPr>
      </w:pPr>
      <w:r>
        <w:rPr>
          <w:color w:val="auto"/>
          <w:szCs w:val="21"/>
          <w:highlight w:val="none"/>
        </w:rPr>
        <w:t>承包人直接实施的暂估价项目的约定：</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10.8 暂列金额</w:t>
      </w:r>
    </w:p>
    <w:p>
      <w:pPr>
        <w:spacing w:line="360" w:lineRule="exact"/>
        <w:ind w:firstLine="420" w:firstLineChars="200"/>
        <w:rPr>
          <w:color w:val="auto"/>
          <w:szCs w:val="21"/>
          <w:highlight w:val="none"/>
        </w:rPr>
      </w:pPr>
      <w:r>
        <w:rPr>
          <w:rFonts w:hint="eastAsia"/>
          <w:color w:val="auto"/>
          <w:szCs w:val="21"/>
          <w:highlight w:val="none"/>
        </w:rPr>
        <w:t>合同当事人关于暂列金额使用的约定：</w:t>
      </w:r>
      <w:r>
        <w:rPr>
          <w:color w:val="auto"/>
          <w:szCs w:val="21"/>
          <w:highlight w:val="none"/>
          <w:u w:val="single"/>
        </w:rPr>
        <w:t xml:space="preserve">            </w:t>
      </w:r>
      <w:r>
        <w:rPr>
          <w:rFonts w:hint="eastAsia"/>
          <w:color w:val="auto"/>
          <w:szCs w:val="21"/>
          <w:highlight w:val="none"/>
          <w:u w:val="single"/>
        </w:rPr>
        <w:t xml:space="preserve">      </w:t>
      </w:r>
      <w:r>
        <w:rPr>
          <w:rFonts w:hint="eastAsia"/>
          <w:color w:val="auto"/>
          <w:szCs w:val="21"/>
          <w:highlight w:val="none"/>
        </w:rPr>
        <w:t>。</w:t>
      </w:r>
    </w:p>
    <w:p>
      <w:pPr>
        <w:spacing w:line="360" w:lineRule="exact"/>
        <w:ind w:firstLine="420" w:firstLineChars="200"/>
        <w:rPr>
          <w:color w:val="auto"/>
          <w:szCs w:val="21"/>
          <w:highlight w:val="none"/>
        </w:rPr>
      </w:pPr>
      <w:r>
        <w:rPr>
          <w:rFonts w:hint="eastAsia"/>
          <w:color w:val="auto"/>
          <w:szCs w:val="21"/>
          <w:highlight w:val="none"/>
        </w:rPr>
        <w:t>创标化工地增加费计算方法：</w:t>
      </w:r>
      <w:r>
        <w:rPr>
          <w:rFonts w:hint="eastAsia"/>
          <w:color w:val="auto"/>
          <w:szCs w:val="21"/>
          <w:highlight w:val="none"/>
          <w:u w:val="single"/>
        </w:rPr>
        <w:t>本工程无创标化工地目标。</w:t>
      </w:r>
    </w:p>
    <w:p>
      <w:pPr>
        <w:spacing w:line="360" w:lineRule="exact"/>
        <w:ind w:firstLine="420" w:firstLineChars="200"/>
        <w:rPr>
          <w:color w:val="auto"/>
          <w:szCs w:val="21"/>
          <w:highlight w:val="none"/>
        </w:rPr>
      </w:pPr>
      <w:r>
        <w:rPr>
          <w:rFonts w:hint="eastAsia"/>
          <w:color w:val="auto"/>
          <w:szCs w:val="21"/>
          <w:highlight w:val="none"/>
        </w:rPr>
        <w:t>创优质工程增加费计算方法：</w:t>
      </w:r>
      <w:r>
        <w:rPr>
          <w:rFonts w:hint="eastAsia"/>
          <w:color w:val="auto"/>
          <w:szCs w:val="21"/>
          <w:highlight w:val="none"/>
          <w:u w:val="single"/>
        </w:rPr>
        <w:t>本工程无创优质工程目标。</w:t>
      </w:r>
    </w:p>
    <w:p>
      <w:pPr>
        <w:spacing w:line="360" w:lineRule="exact"/>
        <w:ind w:firstLine="420" w:firstLineChars="200"/>
        <w:rPr>
          <w:bCs/>
          <w:color w:val="auto"/>
          <w:szCs w:val="21"/>
          <w:highlight w:val="none"/>
        </w:rPr>
      </w:pPr>
      <w:r>
        <w:rPr>
          <w:bCs/>
          <w:color w:val="auto"/>
          <w:szCs w:val="21"/>
          <w:highlight w:val="none"/>
        </w:rPr>
        <w:t>11. 价格调整</w:t>
      </w:r>
    </w:p>
    <w:p>
      <w:pPr>
        <w:spacing w:line="360" w:lineRule="exact"/>
        <w:ind w:firstLine="420" w:firstLineChars="200"/>
        <w:rPr>
          <w:color w:val="auto"/>
          <w:szCs w:val="21"/>
          <w:highlight w:val="none"/>
        </w:rPr>
      </w:pPr>
      <w:bookmarkStart w:id="331" w:name="_Toc296891241"/>
      <w:bookmarkStart w:id="332" w:name="_Toc297048387"/>
      <w:bookmarkStart w:id="333" w:name="_Toc297120501"/>
      <w:bookmarkStart w:id="334" w:name="_Toc292559911"/>
      <w:bookmarkStart w:id="335" w:name="_Toc296503201"/>
      <w:bookmarkStart w:id="336" w:name="_Toc304295577"/>
      <w:bookmarkStart w:id="337" w:name="_Toc296944540"/>
      <w:bookmarkStart w:id="338" w:name="_Toc297216209"/>
      <w:bookmarkStart w:id="339" w:name="_Toc312678039"/>
      <w:bookmarkStart w:id="340" w:name="_Toc296346702"/>
      <w:bookmarkStart w:id="341" w:name="_Toc292559406"/>
      <w:bookmarkStart w:id="342" w:name="_Toc297123550"/>
      <w:bookmarkStart w:id="343" w:name="_Toc296347200"/>
      <w:bookmarkStart w:id="344" w:name="_Toc303539157"/>
      <w:bookmarkStart w:id="345" w:name="_Toc300935000"/>
      <w:bookmarkStart w:id="346" w:name="_Toc296891029"/>
      <w:r>
        <w:rPr>
          <w:color w:val="auto"/>
          <w:szCs w:val="21"/>
          <w:highlight w:val="none"/>
        </w:rPr>
        <w:t>11.1 市场价格波动引起的调整</w:t>
      </w:r>
    </w:p>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Pr>
        <w:spacing w:line="360" w:lineRule="exact"/>
        <w:ind w:firstLine="420" w:firstLineChars="200"/>
        <w:rPr>
          <w:color w:val="auto"/>
          <w:szCs w:val="21"/>
          <w:highlight w:val="none"/>
          <w:u w:val="single"/>
        </w:rPr>
      </w:pPr>
      <w:r>
        <w:rPr>
          <w:color w:val="auto"/>
          <w:szCs w:val="21"/>
          <w:highlight w:val="none"/>
        </w:rPr>
        <w:t>市场价格波动是否调整合同价格的约定：</w:t>
      </w:r>
      <w:r>
        <w:rPr>
          <w:rFonts w:hint="eastAsia"/>
          <w:color w:val="auto"/>
          <w:szCs w:val="21"/>
          <w:highlight w:val="none"/>
          <w:u w:val="single"/>
        </w:rPr>
        <w:t xml:space="preserve"> 不调整 。</w:t>
      </w:r>
    </w:p>
    <w:p>
      <w:pPr>
        <w:spacing w:line="360" w:lineRule="exact"/>
        <w:ind w:firstLine="420" w:firstLineChars="200"/>
        <w:rPr>
          <w:bCs/>
          <w:color w:val="auto"/>
          <w:szCs w:val="21"/>
          <w:highlight w:val="none"/>
        </w:rPr>
      </w:pPr>
      <w:r>
        <w:rPr>
          <w:bCs/>
          <w:color w:val="auto"/>
          <w:szCs w:val="21"/>
          <w:highlight w:val="none"/>
        </w:rPr>
        <w:t>12. 合同价格、计量与支付</w:t>
      </w:r>
    </w:p>
    <w:p>
      <w:pPr>
        <w:spacing w:line="360" w:lineRule="exact"/>
        <w:ind w:firstLine="420" w:firstLineChars="200"/>
        <w:rPr>
          <w:color w:val="auto"/>
          <w:szCs w:val="21"/>
          <w:highlight w:val="none"/>
        </w:rPr>
      </w:pPr>
      <w:r>
        <w:rPr>
          <w:color w:val="auto"/>
          <w:szCs w:val="21"/>
          <w:highlight w:val="none"/>
        </w:rPr>
        <w:t>12.1 合同价格形式</w:t>
      </w:r>
    </w:p>
    <w:p>
      <w:pPr>
        <w:spacing w:line="360" w:lineRule="exact"/>
        <w:ind w:firstLine="420" w:firstLineChars="200"/>
        <w:rPr>
          <w:color w:val="auto"/>
          <w:szCs w:val="21"/>
          <w:highlight w:val="none"/>
        </w:rPr>
      </w:pPr>
      <w:r>
        <w:rPr>
          <w:rFonts w:hint="eastAsia"/>
          <w:color w:val="auto"/>
          <w:szCs w:val="21"/>
          <w:highlight w:val="none"/>
        </w:rPr>
        <w:t>本合同价款采用</w:t>
      </w:r>
      <w:r>
        <w:rPr>
          <w:rFonts w:hint="eastAsia"/>
          <w:color w:val="auto"/>
          <w:szCs w:val="21"/>
          <w:highlight w:val="none"/>
          <w:u w:val="single"/>
        </w:rPr>
        <w:t>固定单价合同</w:t>
      </w:r>
      <w:r>
        <w:rPr>
          <w:rFonts w:hint="eastAsia"/>
          <w:color w:val="auto"/>
          <w:szCs w:val="21"/>
          <w:highlight w:val="none"/>
        </w:rPr>
        <w:t>。</w:t>
      </w:r>
    </w:p>
    <w:p>
      <w:pPr>
        <w:spacing w:line="360" w:lineRule="exact"/>
        <w:ind w:firstLine="420" w:firstLineChars="200"/>
        <w:rPr>
          <w:color w:val="auto"/>
          <w:szCs w:val="21"/>
          <w:highlight w:val="none"/>
          <w:u w:val="single"/>
        </w:rPr>
      </w:pPr>
      <w:r>
        <w:rPr>
          <w:rFonts w:hint="eastAsia"/>
          <w:color w:val="auto"/>
          <w:szCs w:val="21"/>
          <w:highlight w:val="none"/>
          <w:u w:val="single"/>
        </w:rPr>
        <w:t>单价合同包含的风险范围：</w:t>
      </w:r>
    </w:p>
    <w:p>
      <w:pPr>
        <w:spacing w:line="360" w:lineRule="exact"/>
        <w:ind w:firstLine="420" w:firstLineChars="200"/>
        <w:rPr>
          <w:color w:val="auto"/>
          <w:szCs w:val="21"/>
          <w:highlight w:val="none"/>
          <w:u w:val="single"/>
        </w:rPr>
      </w:pPr>
      <w:r>
        <w:rPr>
          <w:rFonts w:hint="eastAsia"/>
          <w:color w:val="auto"/>
          <w:szCs w:val="21"/>
          <w:highlight w:val="none"/>
          <w:u w:val="single"/>
        </w:rPr>
        <w:t>1)本工程的结算率一次性包死，结算率＝（投标总报价/施工图预算）×100%，相应结算率为   %；</w:t>
      </w:r>
    </w:p>
    <w:p>
      <w:pPr>
        <w:spacing w:line="360" w:lineRule="exact"/>
        <w:ind w:firstLine="420" w:firstLineChars="200"/>
        <w:rPr>
          <w:color w:val="auto"/>
          <w:szCs w:val="21"/>
          <w:highlight w:val="none"/>
          <w:u w:val="single"/>
        </w:rPr>
      </w:pPr>
      <w:r>
        <w:rPr>
          <w:rFonts w:hint="eastAsia"/>
          <w:color w:val="auto"/>
          <w:szCs w:val="21"/>
          <w:highlight w:val="none"/>
          <w:u w:val="single"/>
        </w:rPr>
        <w:t>2）本工程按发包人提供的施工图预算结合固定结算率方式结算，结算时应按照施工图预算的计量依据、组价方式、取费标准、工料机单价等进行结算，不得调整；</w:t>
      </w:r>
    </w:p>
    <w:p>
      <w:pPr>
        <w:spacing w:line="360" w:lineRule="exact"/>
        <w:ind w:firstLine="420" w:firstLineChars="200"/>
        <w:rPr>
          <w:color w:val="auto"/>
          <w:szCs w:val="21"/>
          <w:highlight w:val="none"/>
          <w:u w:val="single"/>
        </w:rPr>
      </w:pPr>
      <w:r>
        <w:rPr>
          <w:rFonts w:hint="eastAsia"/>
          <w:color w:val="auto"/>
          <w:szCs w:val="21"/>
          <w:highlight w:val="none"/>
          <w:u w:val="single"/>
        </w:rPr>
        <w:t>3）计日工综合单价（工数经发包人签证，综合单价按技术工300元/工日、普工200元/工日计取）；仅计算税金；</w:t>
      </w:r>
    </w:p>
    <w:p>
      <w:pPr>
        <w:spacing w:line="360" w:lineRule="exact"/>
        <w:ind w:firstLine="420" w:firstLineChars="200"/>
        <w:rPr>
          <w:color w:val="auto"/>
          <w:szCs w:val="21"/>
          <w:highlight w:val="none"/>
          <w:u w:val="single"/>
        </w:rPr>
      </w:pPr>
      <w:r>
        <w:rPr>
          <w:rFonts w:hint="eastAsia"/>
          <w:color w:val="auto"/>
          <w:szCs w:val="21"/>
          <w:highlight w:val="none"/>
          <w:u w:val="single"/>
        </w:rPr>
        <w:t>4）签证确定的某个施工内容的施工价（或工料机完全价）仅计算税金，不纳入工程下浮率（或结算率计算）；</w:t>
      </w:r>
    </w:p>
    <w:p>
      <w:pPr>
        <w:spacing w:line="360" w:lineRule="exact"/>
        <w:ind w:firstLine="420" w:firstLineChars="200"/>
        <w:rPr>
          <w:color w:val="auto"/>
          <w:szCs w:val="21"/>
          <w:highlight w:val="none"/>
          <w:u w:val="single"/>
        </w:rPr>
      </w:pPr>
      <w:r>
        <w:rPr>
          <w:rFonts w:hint="eastAsia"/>
          <w:color w:val="auto"/>
          <w:szCs w:val="21"/>
          <w:highlight w:val="none"/>
          <w:u w:val="single"/>
        </w:rPr>
        <w:t>5）因施工噪音、物体坠落、材料抛散而扰民及影响环境卫生、交通城管、现场文明和施工安全等问题等产生的费用，由承包人和有关管理部门、人员联系，自行解决。因此造成工期延长由承包人负责。如给发包人另行造成额外的经济损失，发包人可从承包人的工程款中扣回；</w:t>
      </w:r>
    </w:p>
    <w:p>
      <w:pPr>
        <w:spacing w:line="360" w:lineRule="exact"/>
        <w:ind w:firstLine="420" w:firstLineChars="200"/>
        <w:rPr>
          <w:color w:val="auto"/>
          <w:szCs w:val="21"/>
          <w:highlight w:val="none"/>
          <w:u w:val="single"/>
        </w:rPr>
      </w:pPr>
      <w:r>
        <w:rPr>
          <w:rFonts w:hint="eastAsia"/>
          <w:color w:val="auto"/>
          <w:szCs w:val="21"/>
          <w:highlight w:val="none"/>
          <w:u w:val="single"/>
        </w:rPr>
        <w:t>6）凡采购文件中没明确允许补差或建设主管部门文件没有明确规定由发包人承担的，但实际施工中可能发生的其它管理费（如街道管理费、干扰费、环保费、占道押金等）；</w:t>
      </w:r>
    </w:p>
    <w:p>
      <w:pPr>
        <w:spacing w:line="360" w:lineRule="exact"/>
        <w:ind w:firstLine="420" w:firstLineChars="200"/>
        <w:rPr>
          <w:color w:val="auto"/>
          <w:szCs w:val="21"/>
          <w:highlight w:val="none"/>
          <w:u w:val="single"/>
        </w:rPr>
      </w:pPr>
      <w:r>
        <w:rPr>
          <w:rFonts w:hint="eastAsia"/>
          <w:color w:val="auto"/>
          <w:szCs w:val="21"/>
          <w:highlight w:val="none"/>
          <w:u w:val="single"/>
        </w:rPr>
        <w:t>7）承包人自备发电机、储水设备费用：包括由于停电及施工用水加压而增加的费用，包含在合同价内，不再另行计取；</w:t>
      </w:r>
    </w:p>
    <w:p>
      <w:pPr>
        <w:spacing w:line="360" w:lineRule="exact"/>
        <w:ind w:firstLine="420" w:firstLineChars="200"/>
        <w:rPr>
          <w:color w:val="auto"/>
          <w:szCs w:val="21"/>
          <w:highlight w:val="none"/>
          <w:u w:val="single"/>
        </w:rPr>
      </w:pPr>
      <w:r>
        <w:rPr>
          <w:rFonts w:hint="eastAsia"/>
          <w:color w:val="auto"/>
          <w:szCs w:val="21"/>
          <w:highlight w:val="none"/>
          <w:u w:val="single"/>
        </w:rPr>
        <w:t>8）由于承包人未按设计要求和现行有关规范、标准施工，造成工程量增减或返工等，其责任由承包人自负；</w:t>
      </w:r>
    </w:p>
    <w:p>
      <w:pPr>
        <w:spacing w:line="36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9）安全生产责任险包括在企业管理费中，</w:t>
      </w:r>
      <w:bookmarkStart w:id="347" w:name="OLE_LINK44"/>
      <w:bookmarkStart w:id="348" w:name="OLE_LINK45"/>
      <w:bookmarkStart w:id="349" w:name="OLE_LINK46"/>
      <w:r>
        <w:rPr>
          <w:rFonts w:hint="eastAsia" w:ascii="宋体" w:hAnsi="宋体" w:cs="宋体"/>
          <w:color w:val="auto"/>
          <w:szCs w:val="21"/>
          <w:highlight w:val="none"/>
          <w:u w:val="single"/>
        </w:rPr>
        <w:t>已由承包人在报价时综合考虑，</w:t>
      </w:r>
      <w:bookmarkEnd w:id="347"/>
      <w:r>
        <w:rPr>
          <w:rFonts w:hint="eastAsia" w:ascii="宋体" w:hAnsi="宋体" w:cs="宋体"/>
          <w:color w:val="auto"/>
          <w:szCs w:val="21"/>
          <w:highlight w:val="none"/>
          <w:u w:val="single"/>
        </w:rPr>
        <w:t>结算时不另计；</w:t>
      </w:r>
      <w:bookmarkEnd w:id="348"/>
      <w:bookmarkEnd w:id="349"/>
    </w:p>
    <w:p>
      <w:pPr>
        <w:spacing w:line="36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10）施工用水用电甲供，结算时施工用水用电费用直接按定额用量扣除；</w:t>
      </w:r>
    </w:p>
    <w:p>
      <w:pPr>
        <w:spacing w:line="36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11）定额编号为“补”子目，单价包干，但如实际施工做法与预算描述不匹配时结算按实调整。</w:t>
      </w:r>
    </w:p>
    <w:p>
      <w:pPr>
        <w:spacing w:line="36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12）建筑垃圾外运运距包干</w:t>
      </w:r>
      <w:r>
        <w:rPr>
          <w:rFonts w:hint="eastAsia" w:ascii="宋体" w:hAnsi="宋体" w:cs="宋体"/>
          <w:color w:val="auto"/>
          <w:highlight w:val="none"/>
          <w:u w:val="single"/>
        </w:rPr>
        <w:t>，结算时不因实际调整，由承包人在报价时综合考虑</w:t>
      </w:r>
      <w:r>
        <w:rPr>
          <w:rFonts w:hint="eastAsia" w:ascii="宋体" w:hAnsi="宋体" w:cs="宋体"/>
          <w:color w:val="auto"/>
          <w:szCs w:val="21"/>
          <w:highlight w:val="none"/>
          <w:u w:val="single"/>
        </w:rPr>
        <w:t>；</w:t>
      </w:r>
    </w:p>
    <w:p>
      <w:pPr>
        <w:spacing w:line="36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台州市第一中学二楼食堂备餐间、洗碗间等改造项目：</w:t>
      </w:r>
    </w:p>
    <w:p>
      <w:pPr>
        <w:spacing w:line="36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13）</w:t>
      </w:r>
      <w:r>
        <w:rPr>
          <w:rFonts w:hint="eastAsia" w:ascii="宋体" w:hAnsi="宋体" w:cs="宋体"/>
          <w:color w:val="auto"/>
          <w:highlight w:val="none"/>
          <w:u w:val="single"/>
        </w:rPr>
        <w:t>垂直运输费用按1500元结合结算率计算</w:t>
      </w:r>
      <w:bookmarkStart w:id="350" w:name="OLE_LINK24"/>
      <w:r>
        <w:rPr>
          <w:rFonts w:hint="eastAsia" w:ascii="宋体" w:hAnsi="宋体" w:cs="宋体"/>
          <w:color w:val="auto"/>
          <w:highlight w:val="none"/>
          <w:u w:val="single"/>
        </w:rPr>
        <w:t>，结算时不作调整</w:t>
      </w:r>
      <w:r>
        <w:rPr>
          <w:rFonts w:hint="eastAsia" w:ascii="宋体" w:hAnsi="宋体" w:cs="宋体"/>
          <w:color w:val="auto"/>
          <w:szCs w:val="21"/>
          <w:highlight w:val="none"/>
          <w:u w:val="single"/>
        </w:rPr>
        <w:t>；</w:t>
      </w:r>
      <w:bookmarkEnd w:id="350"/>
    </w:p>
    <w:p>
      <w:pPr>
        <w:spacing w:line="36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台州一中新疆班卫生间改造项目：</w:t>
      </w:r>
    </w:p>
    <w:p>
      <w:pPr>
        <w:spacing w:line="36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13）食堂卫生间位于一楼，不计垂直运输，其他垂直运输费按定额的30%计取，结算时不作调整。</w:t>
      </w:r>
    </w:p>
    <w:p>
      <w:pPr>
        <w:spacing w:line="360" w:lineRule="exact"/>
        <w:ind w:firstLine="420" w:firstLineChars="200"/>
        <w:rPr>
          <w:color w:val="auto"/>
          <w:szCs w:val="21"/>
          <w:highlight w:val="none"/>
          <w:u w:val="single"/>
        </w:rPr>
      </w:pPr>
      <w:r>
        <w:rPr>
          <w:color w:val="auto"/>
          <w:szCs w:val="21"/>
          <w:highlight w:val="none"/>
        </w:rPr>
        <w:t>风险费用的计算方法：</w:t>
      </w:r>
      <w:r>
        <w:rPr>
          <w:rFonts w:hint="eastAsia"/>
          <w:color w:val="auto"/>
          <w:szCs w:val="21"/>
          <w:highlight w:val="none"/>
          <w:u w:val="single"/>
        </w:rPr>
        <w:t>已包含在合同价内</w:t>
      </w:r>
      <w:r>
        <w:rPr>
          <w:color w:val="auto"/>
          <w:szCs w:val="21"/>
          <w:highlight w:val="none"/>
          <w:u w:val="single"/>
        </w:rPr>
        <w:t>。</w:t>
      </w:r>
    </w:p>
    <w:p>
      <w:pPr>
        <w:spacing w:line="360" w:lineRule="exact"/>
        <w:ind w:firstLine="420" w:firstLineChars="200"/>
        <w:rPr>
          <w:color w:val="auto"/>
          <w:szCs w:val="21"/>
          <w:highlight w:val="none"/>
        </w:rPr>
      </w:pPr>
      <w:r>
        <w:rPr>
          <w:rFonts w:hint="eastAsia"/>
          <w:color w:val="auto"/>
          <w:szCs w:val="21"/>
          <w:highlight w:val="none"/>
        </w:rPr>
        <w:t>风险范围以外的合同价款调整方法：</w:t>
      </w:r>
    </w:p>
    <w:p>
      <w:pPr>
        <w:spacing w:line="360" w:lineRule="exact"/>
        <w:ind w:firstLine="420" w:firstLineChars="200"/>
        <w:rPr>
          <w:color w:val="auto"/>
          <w:szCs w:val="21"/>
          <w:highlight w:val="none"/>
          <w:u w:val="single"/>
        </w:rPr>
      </w:pPr>
      <w:r>
        <w:rPr>
          <w:rFonts w:hint="eastAsia"/>
          <w:color w:val="auto"/>
          <w:szCs w:val="21"/>
          <w:highlight w:val="none"/>
          <w:u w:val="single"/>
        </w:rPr>
        <w:t>1）工程量按照专用合同条款12.3.1条规定，由承包人计量，发包人或其委托的相关中介机构审核；</w:t>
      </w:r>
    </w:p>
    <w:p>
      <w:pPr>
        <w:spacing w:line="360" w:lineRule="exact"/>
        <w:ind w:firstLine="420" w:firstLineChars="200"/>
        <w:rPr>
          <w:color w:val="auto"/>
          <w:szCs w:val="21"/>
          <w:highlight w:val="none"/>
          <w:u w:val="single"/>
        </w:rPr>
      </w:pPr>
      <w:r>
        <w:rPr>
          <w:rFonts w:hint="eastAsia"/>
          <w:color w:val="auto"/>
          <w:szCs w:val="21"/>
          <w:highlight w:val="none"/>
          <w:u w:val="single"/>
        </w:rPr>
        <w:t>2）因市场价格波动引起的调整按本合同专用条款第11.1款的约定调整；</w:t>
      </w:r>
    </w:p>
    <w:p>
      <w:pPr>
        <w:spacing w:line="360" w:lineRule="exact"/>
        <w:ind w:firstLine="420" w:firstLineChars="200"/>
        <w:rPr>
          <w:color w:val="auto"/>
          <w:szCs w:val="21"/>
          <w:highlight w:val="none"/>
          <w:u w:val="single"/>
        </w:rPr>
      </w:pPr>
      <w:r>
        <w:rPr>
          <w:rFonts w:hint="eastAsia"/>
          <w:color w:val="auto"/>
          <w:szCs w:val="21"/>
          <w:highlight w:val="none"/>
          <w:u w:val="single"/>
        </w:rPr>
        <w:t>3）发包人提供的直接工程费如发现计算错误、定额子目套用错误，施工图预算出现漏项、新增项目，均可按实调整；</w:t>
      </w:r>
    </w:p>
    <w:p>
      <w:pPr>
        <w:spacing w:line="360" w:lineRule="exact"/>
        <w:ind w:firstLine="420" w:firstLineChars="200"/>
        <w:rPr>
          <w:color w:val="auto"/>
          <w:szCs w:val="21"/>
          <w:highlight w:val="none"/>
          <w:u w:val="single"/>
        </w:rPr>
      </w:pPr>
      <w:r>
        <w:rPr>
          <w:rFonts w:hint="eastAsia"/>
          <w:color w:val="auto"/>
          <w:szCs w:val="21"/>
          <w:highlight w:val="none"/>
          <w:u w:val="single"/>
        </w:rPr>
        <w:t>4）合同内的新增材料按发包人预算的当期信息价（正刊）计算。暂定价和变更引起的无价材料按采购前发包人的签证结算，经核定的无价材料仍执行结算率无信息价的由发包人签证确定。</w:t>
      </w:r>
    </w:p>
    <w:p>
      <w:pPr>
        <w:spacing w:line="360" w:lineRule="exact"/>
        <w:ind w:firstLine="420" w:firstLineChars="200"/>
        <w:rPr>
          <w:color w:val="auto"/>
          <w:szCs w:val="21"/>
          <w:highlight w:val="none"/>
          <w:u w:val="single"/>
        </w:rPr>
      </w:pPr>
      <w:r>
        <w:rPr>
          <w:rFonts w:hint="eastAsia"/>
          <w:color w:val="auto"/>
          <w:szCs w:val="21"/>
          <w:highlight w:val="none"/>
          <w:u w:val="single"/>
        </w:rPr>
        <w:t>5）实际施工时，未达到施工安全文明有关规定或因此被相关建设（建筑业）主管部门通报处罚的，在结算时扣减施工组织措施费中的相应费用。</w:t>
      </w:r>
    </w:p>
    <w:p>
      <w:pPr>
        <w:spacing w:line="360" w:lineRule="exact"/>
        <w:ind w:firstLine="420" w:firstLineChars="200"/>
        <w:rPr>
          <w:color w:val="auto"/>
          <w:szCs w:val="21"/>
          <w:highlight w:val="none"/>
          <w:u w:val="single"/>
        </w:rPr>
      </w:pPr>
      <w:r>
        <w:rPr>
          <w:rFonts w:hint="eastAsia"/>
          <w:color w:val="auto"/>
          <w:szCs w:val="21"/>
          <w:highlight w:val="none"/>
          <w:u w:val="single"/>
        </w:rPr>
        <w:t>6）因工程变更增加的费用不得超过合同总额的10%，否则不予认可。</w:t>
      </w:r>
    </w:p>
    <w:p>
      <w:pPr>
        <w:spacing w:line="360" w:lineRule="exact"/>
        <w:ind w:firstLine="420" w:firstLineChars="200"/>
        <w:rPr>
          <w:color w:val="auto"/>
          <w:szCs w:val="21"/>
          <w:highlight w:val="none"/>
        </w:rPr>
      </w:pPr>
      <w:r>
        <w:rPr>
          <w:color w:val="auto"/>
          <w:szCs w:val="21"/>
          <w:highlight w:val="none"/>
        </w:rPr>
        <w:t>2．总价合同。</w:t>
      </w:r>
    </w:p>
    <w:p>
      <w:pPr>
        <w:spacing w:line="360" w:lineRule="exact"/>
        <w:ind w:firstLine="420" w:firstLineChars="200"/>
        <w:rPr>
          <w:color w:val="auto"/>
          <w:szCs w:val="21"/>
          <w:highlight w:val="none"/>
        </w:rPr>
      </w:pPr>
      <w:r>
        <w:rPr>
          <w:color w:val="auto"/>
          <w:szCs w:val="21"/>
          <w:highlight w:val="none"/>
        </w:rPr>
        <w:t>总价包含的风险范围：</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风险费用的计算方法：</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风险范围以外合同价格的调整方法：</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3．其他价格方式：</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bookmarkStart w:id="351" w:name="_Toc303539161"/>
      <w:bookmarkStart w:id="352" w:name="_Toc300935004"/>
      <w:bookmarkStart w:id="353" w:name="_Toc304295581"/>
      <w:bookmarkStart w:id="354" w:name="_Toc297123554"/>
      <w:bookmarkStart w:id="355" w:name="_Toc297216213"/>
      <w:bookmarkStart w:id="356" w:name="_Toc312678042"/>
      <w:bookmarkStart w:id="357" w:name="_Toc297048393"/>
      <w:bookmarkStart w:id="358" w:name="_Toc292559412"/>
      <w:bookmarkStart w:id="359" w:name="_Toc296503207"/>
      <w:bookmarkStart w:id="360" w:name="_Toc297120507"/>
      <w:bookmarkStart w:id="361" w:name="_Toc296346708"/>
      <w:bookmarkStart w:id="362" w:name="_Toc296891035"/>
      <w:bookmarkStart w:id="363" w:name="_Toc296891247"/>
      <w:bookmarkStart w:id="364" w:name="_Toc296347206"/>
      <w:bookmarkStart w:id="365" w:name="_Toc296944546"/>
      <w:bookmarkStart w:id="366" w:name="_Toc292559917"/>
      <w:r>
        <w:rPr>
          <w:color w:val="auto"/>
          <w:szCs w:val="21"/>
          <w:highlight w:val="none"/>
        </w:rPr>
        <w:t>12.2 预付款</w:t>
      </w:r>
    </w:p>
    <w:bookmarkEnd w:id="351"/>
    <w:bookmarkEnd w:id="352"/>
    <w:bookmarkEnd w:id="353"/>
    <w:bookmarkEnd w:id="354"/>
    <w:bookmarkEnd w:id="355"/>
    <w:bookmarkEnd w:id="356"/>
    <w:p>
      <w:pPr>
        <w:spacing w:line="360" w:lineRule="exact"/>
        <w:ind w:firstLine="420" w:firstLineChars="200"/>
        <w:rPr>
          <w:color w:val="auto"/>
          <w:szCs w:val="21"/>
          <w:highlight w:val="none"/>
        </w:rPr>
      </w:pPr>
      <w:r>
        <w:rPr>
          <w:color w:val="auto"/>
          <w:szCs w:val="21"/>
          <w:highlight w:val="none"/>
        </w:rPr>
        <w:t>12.2.1 预付款的支付</w:t>
      </w:r>
    </w:p>
    <w:p>
      <w:pPr>
        <w:spacing w:line="360" w:lineRule="exact"/>
        <w:ind w:firstLine="420" w:firstLineChars="200"/>
        <w:rPr>
          <w:color w:val="auto"/>
          <w:szCs w:val="21"/>
          <w:highlight w:val="none"/>
        </w:rPr>
      </w:pPr>
      <w:r>
        <w:rPr>
          <w:color w:val="auto"/>
          <w:szCs w:val="21"/>
          <w:highlight w:val="none"/>
        </w:rPr>
        <w:t>预付款支付比例或金额：</w:t>
      </w:r>
      <w:r>
        <w:rPr>
          <w:rFonts w:hint="eastAsia"/>
          <w:color w:val="auto"/>
          <w:szCs w:val="21"/>
          <w:highlight w:val="none"/>
          <w:u w:val="single"/>
        </w:rPr>
        <w:t>签约合同价的40%，金额       元。</w:t>
      </w:r>
    </w:p>
    <w:p>
      <w:pPr>
        <w:spacing w:line="360" w:lineRule="exact"/>
        <w:ind w:firstLine="420" w:firstLineChars="200"/>
        <w:rPr>
          <w:color w:val="auto"/>
          <w:szCs w:val="21"/>
          <w:highlight w:val="none"/>
        </w:rPr>
      </w:pPr>
      <w:r>
        <w:rPr>
          <w:color w:val="auto"/>
          <w:szCs w:val="21"/>
          <w:highlight w:val="none"/>
        </w:rPr>
        <w:t>预付款支付期限：</w:t>
      </w:r>
      <w:r>
        <w:rPr>
          <w:color w:val="auto"/>
          <w:szCs w:val="21"/>
          <w:highlight w:val="none"/>
          <w:u w:val="single"/>
        </w:rPr>
        <w:t xml:space="preserve"> 按投标承诺的人员、机械设备进场且发包人收到承包人</w:t>
      </w:r>
      <w:r>
        <w:rPr>
          <w:rFonts w:hint="eastAsia"/>
          <w:color w:val="auto"/>
          <w:szCs w:val="21"/>
          <w:highlight w:val="none"/>
          <w:u w:val="single"/>
        </w:rPr>
        <w:t>符合国家税务规定的对应金额财务票据后支付</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预付款扣回的方式：</w:t>
      </w:r>
      <w:r>
        <w:rPr>
          <w:color w:val="auto"/>
          <w:szCs w:val="21"/>
          <w:highlight w:val="none"/>
          <w:u w:val="single"/>
        </w:rPr>
        <w:t>不扣回，作为工程款</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12.2.2 预付款担保</w:t>
      </w:r>
    </w:p>
    <w:p>
      <w:pPr>
        <w:spacing w:line="360" w:lineRule="exact"/>
        <w:ind w:firstLine="420" w:firstLineChars="200"/>
        <w:rPr>
          <w:color w:val="auto"/>
          <w:szCs w:val="21"/>
          <w:highlight w:val="none"/>
        </w:rPr>
      </w:pPr>
      <w:r>
        <w:rPr>
          <w:color w:val="auto"/>
          <w:szCs w:val="21"/>
          <w:highlight w:val="none"/>
        </w:rPr>
        <w:t>承包人提交预付款担保的期限：</w:t>
      </w:r>
      <w:r>
        <w:rPr>
          <w:color w:val="auto"/>
          <w:szCs w:val="21"/>
          <w:highlight w:val="none"/>
          <w:u w:val="single"/>
        </w:rPr>
        <w:t xml:space="preserve"> </w:t>
      </w:r>
      <w:r>
        <w:rPr>
          <w:rFonts w:hint="eastAsia"/>
          <w:color w:val="auto"/>
          <w:szCs w:val="21"/>
          <w:highlight w:val="none"/>
          <w:u w:val="single"/>
        </w:rPr>
        <w:t>提交付款申请前7天内</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预付款担保的形式为：</w:t>
      </w:r>
      <w:r>
        <w:rPr>
          <w:rFonts w:hint="eastAsia"/>
          <w:color w:val="auto"/>
          <w:szCs w:val="21"/>
          <w:highlight w:val="none"/>
          <w:u w:val="single"/>
        </w:rPr>
        <w:t>提交与发包人支付的预付款同等金额的预付款担保（预付款担保的形式为银行或保险公司或融资担保公司出具的预付款保函）</w:t>
      </w:r>
      <w:r>
        <w:rPr>
          <w:color w:val="auto"/>
          <w:szCs w:val="21"/>
          <w:highlight w:val="none"/>
        </w:rPr>
        <w:t>。</w:t>
      </w:r>
    </w:p>
    <w:bookmarkEnd w:id="357"/>
    <w:bookmarkEnd w:id="358"/>
    <w:bookmarkEnd w:id="359"/>
    <w:bookmarkEnd w:id="360"/>
    <w:bookmarkEnd w:id="361"/>
    <w:bookmarkEnd w:id="362"/>
    <w:bookmarkEnd w:id="363"/>
    <w:bookmarkEnd w:id="364"/>
    <w:bookmarkEnd w:id="365"/>
    <w:bookmarkEnd w:id="366"/>
    <w:p>
      <w:pPr>
        <w:spacing w:line="360" w:lineRule="exact"/>
        <w:ind w:firstLine="420" w:firstLineChars="200"/>
        <w:rPr>
          <w:color w:val="auto"/>
          <w:szCs w:val="21"/>
          <w:highlight w:val="none"/>
        </w:rPr>
      </w:pPr>
      <w:r>
        <w:rPr>
          <w:color w:val="auto"/>
          <w:szCs w:val="21"/>
          <w:highlight w:val="none"/>
        </w:rPr>
        <w:t>12.3 计量</w:t>
      </w:r>
    </w:p>
    <w:p>
      <w:pPr>
        <w:spacing w:line="360" w:lineRule="exact"/>
        <w:ind w:firstLine="420" w:firstLineChars="200"/>
        <w:rPr>
          <w:color w:val="auto"/>
          <w:szCs w:val="21"/>
          <w:highlight w:val="none"/>
        </w:rPr>
      </w:pPr>
      <w:r>
        <w:rPr>
          <w:color w:val="auto"/>
          <w:szCs w:val="21"/>
          <w:highlight w:val="none"/>
        </w:rPr>
        <w:t>12.3.1 计量原则</w:t>
      </w:r>
    </w:p>
    <w:p>
      <w:pPr>
        <w:spacing w:line="360" w:lineRule="exact"/>
        <w:ind w:firstLine="420" w:firstLineChars="200"/>
        <w:rPr>
          <w:color w:val="auto"/>
          <w:szCs w:val="21"/>
          <w:highlight w:val="none"/>
          <w:u w:val="single"/>
        </w:rPr>
      </w:pPr>
      <w:r>
        <w:rPr>
          <w:rFonts w:hint="eastAsia"/>
          <w:color w:val="auto"/>
          <w:szCs w:val="21"/>
          <w:highlight w:val="none"/>
          <w:u w:val="single"/>
        </w:rPr>
        <w:t>《浙江省建设工程计价规则》（2018版）、《浙江省房屋建筑与装饰工程预算定额》（2018版）、《浙江省通用安装工程预算定额》（2018版）、《建设工程工程量清单计价规范》（GB50500-2013）、《房屋建筑与装饰工程工程量计算规范》（GB50854-2013）、《通用安装工程工程量计算规范》（GB50856-2013）及有关补充规定进行计量。以上规定的工程量计算规则中没有的子目，其工程量按照有合同约束力的图纸所标示尺寸的理论净量计算。计量采用中华人民共和国法定的基本计量单位。</w:t>
      </w:r>
    </w:p>
    <w:p>
      <w:pPr>
        <w:spacing w:line="360" w:lineRule="exact"/>
        <w:ind w:firstLine="420" w:firstLineChars="200"/>
        <w:rPr>
          <w:color w:val="auto"/>
          <w:szCs w:val="21"/>
          <w:highlight w:val="none"/>
        </w:rPr>
      </w:pPr>
      <w:r>
        <w:rPr>
          <w:color w:val="auto"/>
          <w:szCs w:val="21"/>
          <w:highlight w:val="none"/>
        </w:rPr>
        <w:t>12.3.2 计量周期：</w:t>
      </w:r>
    </w:p>
    <w:p>
      <w:pPr>
        <w:spacing w:line="360" w:lineRule="exact"/>
        <w:ind w:firstLine="420" w:firstLineChars="200"/>
        <w:rPr>
          <w:color w:val="auto"/>
          <w:szCs w:val="21"/>
          <w:highlight w:val="none"/>
        </w:rPr>
      </w:pPr>
      <w:r>
        <w:rPr>
          <w:color w:val="auto"/>
          <w:szCs w:val="21"/>
          <w:highlight w:val="none"/>
        </w:rPr>
        <w:t>关于计量周期的约定：</w:t>
      </w:r>
      <w:r>
        <w:rPr>
          <w:rFonts w:hint="eastAsia"/>
          <w:color w:val="auto"/>
          <w:szCs w:val="21"/>
          <w:highlight w:val="none"/>
          <w:u w:val="single"/>
        </w:rPr>
        <w:t>按形象进度支付</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12.3.3 单价合同的计量</w:t>
      </w:r>
    </w:p>
    <w:p>
      <w:pPr>
        <w:spacing w:line="360" w:lineRule="exact"/>
        <w:ind w:firstLine="420" w:firstLineChars="200"/>
        <w:rPr>
          <w:color w:val="auto"/>
          <w:szCs w:val="21"/>
          <w:highlight w:val="none"/>
        </w:rPr>
      </w:pPr>
      <w:r>
        <w:rPr>
          <w:color w:val="auto"/>
          <w:szCs w:val="21"/>
          <w:highlight w:val="none"/>
        </w:rPr>
        <w:t>关于单价合同计量的约定</w:t>
      </w:r>
      <w:r>
        <w:rPr>
          <w:color w:val="auto"/>
          <w:szCs w:val="21"/>
          <w:highlight w:val="none"/>
          <w:u w:val="single"/>
        </w:rPr>
        <w:t>：按合同通用条款执行，但确认的工程量和单价仅作为本期工程款支付的依据。</w:t>
      </w:r>
    </w:p>
    <w:p>
      <w:pPr>
        <w:spacing w:line="360" w:lineRule="exact"/>
        <w:ind w:firstLine="420" w:firstLineChars="200"/>
        <w:rPr>
          <w:color w:val="auto"/>
          <w:szCs w:val="21"/>
          <w:highlight w:val="none"/>
        </w:rPr>
      </w:pPr>
      <w:r>
        <w:rPr>
          <w:color w:val="auto"/>
          <w:szCs w:val="21"/>
          <w:highlight w:val="none"/>
        </w:rPr>
        <w:t>12.3.4 总价合同的计量</w:t>
      </w:r>
    </w:p>
    <w:p>
      <w:pPr>
        <w:spacing w:line="360" w:lineRule="exact"/>
        <w:ind w:firstLine="420" w:firstLineChars="200"/>
        <w:rPr>
          <w:color w:val="auto"/>
          <w:szCs w:val="21"/>
          <w:highlight w:val="none"/>
        </w:rPr>
      </w:pPr>
      <w:r>
        <w:rPr>
          <w:color w:val="auto"/>
          <w:szCs w:val="21"/>
          <w:highlight w:val="none"/>
        </w:rPr>
        <w:t>关于总价合同计量的约定：</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12.3.5总价合同采用支付分解表计量支付的，是否适用第12.3.4 项〔总价合同的计量〕约定进行计量：</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12.3.6 其他价格形式合同的计量</w:t>
      </w:r>
    </w:p>
    <w:p>
      <w:pPr>
        <w:spacing w:line="360" w:lineRule="exact"/>
        <w:ind w:firstLine="420" w:firstLineChars="200"/>
        <w:rPr>
          <w:color w:val="auto"/>
          <w:szCs w:val="21"/>
          <w:highlight w:val="none"/>
        </w:rPr>
      </w:pPr>
      <w:r>
        <w:rPr>
          <w:color w:val="auto"/>
          <w:szCs w:val="21"/>
          <w:highlight w:val="none"/>
        </w:rPr>
        <w:t>其他价格形式的计量方式和程序：</w:t>
      </w:r>
      <w:r>
        <w:rPr>
          <w:rFonts w:hint="eastAsia"/>
          <w:color w:val="auto"/>
          <w:szCs w:val="21"/>
          <w:highlight w:val="none"/>
          <w:u w:val="single"/>
        </w:rPr>
        <w:t>/</w:t>
      </w:r>
      <w:r>
        <w:rPr>
          <w:rFonts w:hint="eastAsia"/>
          <w:color w:val="auto"/>
          <w:szCs w:val="21"/>
          <w:highlight w:val="none"/>
        </w:rPr>
        <w:t>。</w:t>
      </w:r>
    </w:p>
    <w:p>
      <w:pPr>
        <w:spacing w:line="360" w:lineRule="exact"/>
        <w:ind w:firstLine="420" w:firstLineChars="200"/>
        <w:rPr>
          <w:color w:val="auto"/>
          <w:szCs w:val="21"/>
          <w:highlight w:val="none"/>
        </w:rPr>
      </w:pPr>
      <w:r>
        <w:rPr>
          <w:color w:val="auto"/>
          <w:szCs w:val="21"/>
          <w:highlight w:val="none"/>
        </w:rPr>
        <w:t>12.4 工程进度款支付</w:t>
      </w:r>
    </w:p>
    <w:p>
      <w:pPr>
        <w:spacing w:line="360" w:lineRule="exact"/>
        <w:ind w:firstLine="420" w:firstLineChars="200"/>
        <w:rPr>
          <w:color w:val="auto"/>
          <w:szCs w:val="21"/>
          <w:highlight w:val="none"/>
        </w:rPr>
      </w:pPr>
      <w:bookmarkStart w:id="367" w:name="_Toc292559416"/>
      <w:bookmarkStart w:id="368" w:name="_Toc296944550"/>
      <w:bookmarkStart w:id="369" w:name="_Toc297216215"/>
      <w:bookmarkStart w:id="370" w:name="_Toc296346712"/>
      <w:bookmarkStart w:id="371" w:name="_Toc296891039"/>
      <w:bookmarkStart w:id="372" w:name="_Toc303539163"/>
      <w:bookmarkStart w:id="373" w:name="_Toc292559921"/>
      <w:bookmarkStart w:id="374" w:name="_Toc296503211"/>
      <w:bookmarkStart w:id="375" w:name="_Toc297123556"/>
      <w:bookmarkStart w:id="376" w:name="_Toc297048397"/>
      <w:bookmarkStart w:id="377" w:name="_Toc296347210"/>
      <w:bookmarkStart w:id="378" w:name="_Toc296891251"/>
      <w:bookmarkStart w:id="379" w:name="_Toc297120511"/>
      <w:bookmarkStart w:id="380" w:name="_Toc300935006"/>
      <w:r>
        <w:rPr>
          <w:color w:val="auto"/>
          <w:szCs w:val="21"/>
          <w:highlight w:val="none"/>
        </w:rPr>
        <w:t>12.4.1 付款周期</w:t>
      </w:r>
    </w:p>
    <w:p>
      <w:pPr>
        <w:spacing w:line="360" w:lineRule="exact"/>
        <w:ind w:firstLine="420" w:firstLineChars="200"/>
        <w:rPr>
          <w:color w:val="auto"/>
          <w:szCs w:val="21"/>
          <w:highlight w:val="none"/>
          <w:u w:val="single"/>
        </w:rPr>
      </w:pPr>
      <w:r>
        <w:rPr>
          <w:color w:val="auto"/>
          <w:szCs w:val="21"/>
          <w:highlight w:val="none"/>
        </w:rPr>
        <w:t>关于付款周期的约定：</w:t>
      </w:r>
      <w:r>
        <w:rPr>
          <w:rFonts w:hint="eastAsia"/>
          <w:color w:val="auto"/>
          <w:szCs w:val="21"/>
          <w:highlight w:val="none"/>
          <w:u w:val="single"/>
        </w:rPr>
        <w:t>按形象进度支付。</w:t>
      </w:r>
    </w:p>
    <w:p>
      <w:pPr>
        <w:spacing w:line="360" w:lineRule="exact"/>
        <w:ind w:firstLine="420" w:firstLineChars="200"/>
        <w:rPr>
          <w:color w:val="auto"/>
          <w:szCs w:val="21"/>
          <w:highlight w:val="none"/>
        </w:rPr>
      </w:pPr>
      <w:r>
        <w:rPr>
          <w:color w:val="auto"/>
          <w:szCs w:val="21"/>
          <w:highlight w:val="none"/>
        </w:rPr>
        <w:t>12.4.2 进度付款申请单的编制</w:t>
      </w:r>
    </w:p>
    <w:p>
      <w:pPr>
        <w:spacing w:line="360" w:lineRule="exact"/>
        <w:ind w:firstLine="420" w:firstLineChars="200"/>
        <w:rPr>
          <w:color w:val="auto"/>
          <w:szCs w:val="21"/>
          <w:highlight w:val="none"/>
          <w:u w:val="single"/>
        </w:rPr>
      </w:pPr>
      <w:r>
        <w:rPr>
          <w:color w:val="auto"/>
          <w:szCs w:val="21"/>
          <w:highlight w:val="none"/>
        </w:rPr>
        <w:t>关于进度付款申请单编制的约定：</w:t>
      </w:r>
      <w:r>
        <w:rPr>
          <w:rFonts w:hint="eastAsia"/>
          <w:color w:val="auto"/>
          <w:szCs w:val="21"/>
          <w:highlight w:val="none"/>
          <w:u w:val="single"/>
        </w:rPr>
        <w:t>合同范围内施工内容施工完成，参建各方（建设、监理、施工、设计单位等）对工程验收并签署工程质量合格文件后，支付至合同价的85%</w:t>
      </w:r>
      <w:r>
        <w:rPr>
          <w:color w:val="auto"/>
          <w:szCs w:val="21"/>
          <w:highlight w:val="none"/>
          <w:u w:val="single"/>
        </w:rPr>
        <w:t>。</w:t>
      </w:r>
      <w:r>
        <w:rPr>
          <w:rFonts w:hint="eastAsia"/>
          <w:color w:val="auto"/>
          <w:szCs w:val="21"/>
          <w:highlight w:val="none"/>
          <w:u w:val="single"/>
        </w:rPr>
        <w:t>工程竣工验收合格及承包人结算报送并经发包人或相关部门审核后，付至审定金额的100%(发包人支付完成最后工程结算付款前，承包人提供质量保证金保函)。</w:t>
      </w:r>
    </w:p>
    <w:bookmarkEnd w:id="330"/>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Pr>
        <w:spacing w:line="360" w:lineRule="exact"/>
        <w:ind w:firstLine="420" w:firstLineChars="200"/>
        <w:rPr>
          <w:color w:val="auto"/>
          <w:szCs w:val="21"/>
          <w:highlight w:val="none"/>
        </w:rPr>
      </w:pPr>
      <w:r>
        <w:rPr>
          <w:color w:val="auto"/>
          <w:szCs w:val="21"/>
          <w:highlight w:val="none"/>
        </w:rPr>
        <w:t>12.4.3 进度付款申请单的提交</w:t>
      </w:r>
    </w:p>
    <w:p>
      <w:pPr>
        <w:spacing w:line="360" w:lineRule="exact"/>
        <w:ind w:firstLine="420" w:firstLineChars="200"/>
        <w:rPr>
          <w:color w:val="auto"/>
          <w:szCs w:val="21"/>
          <w:highlight w:val="none"/>
        </w:rPr>
      </w:pPr>
      <w:r>
        <w:rPr>
          <w:color w:val="auto"/>
          <w:szCs w:val="21"/>
          <w:highlight w:val="none"/>
        </w:rPr>
        <w:t>（1）单价合同进度付款申请单提交的约定：</w:t>
      </w:r>
      <w:r>
        <w:rPr>
          <w:color w:val="auto"/>
          <w:szCs w:val="21"/>
          <w:highlight w:val="none"/>
          <w:u w:val="single"/>
        </w:rPr>
        <w:t>按合同通用条款</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（2）总价合同进度付款申请单提交的约定：</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（3）其他价格形式合同进度付款申请单提交的约定：</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12.4.4 进度款审核和支付</w:t>
      </w:r>
    </w:p>
    <w:p>
      <w:pPr>
        <w:spacing w:line="360" w:lineRule="exact"/>
        <w:ind w:firstLine="420" w:firstLineChars="200"/>
        <w:rPr>
          <w:color w:val="auto"/>
          <w:szCs w:val="21"/>
          <w:highlight w:val="none"/>
          <w:u w:val="single"/>
        </w:rPr>
      </w:pPr>
      <w:r>
        <w:rPr>
          <w:color w:val="auto"/>
          <w:szCs w:val="21"/>
          <w:highlight w:val="none"/>
        </w:rPr>
        <w:t>（1）监理人审查并报送发包人的期限：</w:t>
      </w:r>
      <w:r>
        <w:rPr>
          <w:color w:val="auto"/>
          <w:szCs w:val="21"/>
          <w:highlight w:val="none"/>
          <w:u w:val="single"/>
        </w:rPr>
        <w:t xml:space="preserve">按合同通用条款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发包人完成审批并签发进度款支付证书的期限：</w:t>
      </w:r>
      <w:r>
        <w:rPr>
          <w:color w:val="auto"/>
          <w:szCs w:val="21"/>
          <w:highlight w:val="none"/>
          <w:u w:val="single"/>
        </w:rPr>
        <w:t>按合同通用条款</w:t>
      </w:r>
      <w:r>
        <w:rPr>
          <w:color w:val="auto"/>
          <w:szCs w:val="21"/>
          <w:highlight w:val="none"/>
        </w:rPr>
        <w:t>。</w:t>
      </w:r>
    </w:p>
    <w:p>
      <w:pPr>
        <w:spacing w:line="360" w:lineRule="exact"/>
        <w:ind w:firstLine="420" w:firstLineChars="200"/>
        <w:rPr>
          <w:color w:val="auto"/>
          <w:szCs w:val="21"/>
          <w:highlight w:val="none"/>
          <w:u w:val="single"/>
        </w:rPr>
      </w:pPr>
      <w:r>
        <w:rPr>
          <w:color w:val="auto"/>
          <w:szCs w:val="21"/>
          <w:highlight w:val="none"/>
        </w:rPr>
        <w:t>（2）发包人支付进度款的期限：</w:t>
      </w:r>
      <w:r>
        <w:rPr>
          <w:color w:val="auto"/>
          <w:szCs w:val="21"/>
          <w:highlight w:val="none"/>
          <w:u w:val="single"/>
        </w:rPr>
        <w:t>在发包人确认计量结果后14天内完成支付。</w:t>
      </w:r>
    </w:p>
    <w:p>
      <w:pPr>
        <w:spacing w:line="360" w:lineRule="exact"/>
        <w:ind w:firstLine="420" w:firstLineChars="200"/>
        <w:rPr>
          <w:color w:val="auto"/>
          <w:szCs w:val="21"/>
          <w:highlight w:val="none"/>
        </w:rPr>
      </w:pPr>
      <w:r>
        <w:rPr>
          <w:color w:val="auto"/>
          <w:szCs w:val="21"/>
          <w:highlight w:val="none"/>
        </w:rPr>
        <w:t>发包人逾期支付进度款的违约金的计算方式：</w:t>
      </w:r>
      <w:r>
        <w:rPr>
          <w:rFonts w:hint="eastAsia"/>
          <w:color w:val="auto"/>
          <w:szCs w:val="21"/>
          <w:highlight w:val="none"/>
          <w:u w:val="single"/>
        </w:rPr>
        <w:t>支付应付工程进度款的利息，利率按同期全国银行间同业拆借中心公布的贷款市场报价利率，时间为从约定应付之日起至支付之日止计算利息。</w:t>
      </w:r>
    </w:p>
    <w:p>
      <w:pPr>
        <w:spacing w:line="360" w:lineRule="exact"/>
        <w:ind w:firstLine="420" w:firstLineChars="200"/>
        <w:rPr>
          <w:color w:val="auto"/>
          <w:szCs w:val="21"/>
          <w:highlight w:val="none"/>
        </w:rPr>
      </w:pPr>
      <w:r>
        <w:rPr>
          <w:color w:val="auto"/>
          <w:szCs w:val="21"/>
          <w:highlight w:val="none"/>
        </w:rPr>
        <w:t>（3）</w:t>
      </w:r>
      <w:r>
        <w:rPr>
          <w:rFonts w:hint="eastAsia"/>
          <w:color w:val="auto"/>
          <w:szCs w:val="21"/>
          <w:highlight w:val="none"/>
          <w:u w:val="single"/>
        </w:rPr>
        <w:t>发包人签发的工程量审核报告、 进度款支付证书或临时进度款支付证书，仅为本期工程进度款支付依据，不作为发包人已同意、批准或接受了承包人完成的相应部分工作或已确认计量结果</w:t>
      </w:r>
      <w:r>
        <w:rPr>
          <w:color w:val="auto"/>
          <w:szCs w:val="21"/>
          <w:highlight w:val="none"/>
          <w:u w:val="single"/>
        </w:rPr>
        <w:t>。</w:t>
      </w:r>
    </w:p>
    <w:p>
      <w:pPr>
        <w:spacing w:line="360" w:lineRule="exact"/>
        <w:ind w:firstLine="422" w:firstLineChars="200"/>
        <w:rPr>
          <w:b/>
          <w:color w:val="auto"/>
          <w:szCs w:val="21"/>
          <w:highlight w:val="none"/>
        </w:rPr>
      </w:pPr>
      <w:r>
        <w:rPr>
          <w:b/>
          <w:color w:val="auto"/>
          <w:szCs w:val="21"/>
          <w:highlight w:val="none"/>
        </w:rPr>
        <w:t>12.4.6 支付分解表的编制</w:t>
      </w:r>
    </w:p>
    <w:p>
      <w:pPr>
        <w:spacing w:line="360" w:lineRule="exact"/>
        <w:ind w:firstLine="420" w:firstLineChars="200"/>
        <w:rPr>
          <w:color w:val="auto"/>
          <w:szCs w:val="21"/>
          <w:highlight w:val="none"/>
        </w:rPr>
      </w:pPr>
      <w:r>
        <w:rPr>
          <w:color w:val="auto"/>
          <w:szCs w:val="21"/>
          <w:highlight w:val="none"/>
        </w:rPr>
        <w:t xml:space="preserve">2、总价合同支付分解表的编制与审批： </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3、单价合同的总价项目支付分解表的编制与审批：</w:t>
      </w:r>
      <w:r>
        <w:rPr>
          <w:color w:val="auto"/>
          <w:szCs w:val="21"/>
          <w:highlight w:val="none"/>
          <w:u w:val="single"/>
        </w:rPr>
        <w:t>按通用条款执行。</w:t>
      </w:r>
    </w:p>
    <w:p>
      <w:pPr>
        <w:spacing w:line="360" w:lineRule="exact"/>
        <w:ind w:firstLine="420" w:firstLineChars="200"/>
        <w:rPr>
          <w:color w:val="auto"/>
          <w:szCs w:val="21"/>
          <w:highlight w:val="none"/>
        </w:rPr>
      </w:pPr>
      <w:r>
        <w:rPr>
          <w:rFonts w:hint="eastAsia"/>
          <w:color w:val="auto"/>
          <w:szCs w:val="21"/>
          <w:highlight w:val="none"/>
        </w:rPr>
        <w:t>12.5 支付账户</w:t>
      </w:r>
    </w:p>
    <w:p>
      <w:pPr>
        <w:spacing w:line="360" w:lineRule="exact"/>
        <w:ind w:firstLine="420" w:firstLineChars="200"/>
        <w:rPr>
          <w:color w:val="auto"/>
          <w:szCs w:val="21"/>
          <w:highlight w:val="none"/>
        </w:rPr>
      </w:pPr>
      <w:r>
        <w:rPr>
          <w:rFonts w:hint="eastAsia" w:ascii="宋体" w:hAnsi="宋体" w:cs="宋体"/>
          <w:color w:val="auto"/>
          <w:szCs w:val="21"/>
          <w:highlight w:val="none"/>
          <w:u w:val="single"/>
        </w:rPr>
        <w:t>发包人将当期已完工程价款的(20)% 拨付到承包人的农民工工资专用账</w:t>
      </w:r>
      <w:r>
        <w:rPr>
          <w:rFonts w:hint="eastAsia" w:ascii="宋体" w:hAnsi="宋体" w:cs="宋体"/>
          <w:color w:val="auto"/>
          <w:szCs w:val="21"/>
          <w:highlight w:val="none"/>
        </w:rPr>
        <w:t>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其余合同价款支付至合同协议书中约定的承包人账户</w:t>
      </w:r>
      <w:r>
        <w:rPr>
          <w:rFonts w:hint="eastAsia"/>
          <w:color w:val="auto"/>
          <w:szCs w:val="21"/>
          <w:highlight w:val="none"/>
        </w:rPr>
        <w:t>。</w:t>
      </w:r>
    </w:p>
    <w:p>
      <w:pPr>
        <w:spacing w:line="360" w:lineRule="exact"/>
        <w:ind w:firstLine="420" w:firstLineChars="200"/>
        <w:rPr>
          <w:color w:val="auto"/>
          <w:szCs w:val="21"/>
          <w:highlight w:val="none"/>
        </w:rPr>
      </w:pPr>
      <w:r>
        <w:rPr>
          <w:rFonts w:hint="eastAsia"/>
          <w:color w:val="auto"/>
          <w:szCs w:val="21"/>
          <w:highlight w:val="none"/>
        </w:rPr>
        <w:t>如承包人因经营需要将合同价款支付至其他指定账户时，应向发包人书面申请，并由承包人法定代表人或授权代表签字、盖章。</w:t>
      </w:r>
    </w:p>
    <w:p>
      <w:pPr>
        <w:spacing w:line="360" w:lineRule="exact"/>
        <w:ind w:firstLine="422" w:firstLineChars="200"/>
        <w:rPr>
          <w:b/>
          <w:bCs/>
          <w:color w:val="auto"/>
          <w:szCs w:val="21"/>
          <w:highlight w:val="none"/>
        </w:rPr>
      </w:pPr>
      <w:bookmarkStart w:id="381" w:name="_Toc351203645"/>
      <w:bookmarkStart w:id="382" w:name="_Toc297048405"/>
      <w:bookmarkStart w:id="383" w:name="_Toc292559424"/>
      <w:bookmarkStart w:id="384" w:name="_Toc303539172"/>
      <w:bookmarkStart w:id="385" w:name="_Toc297216223"/>
      <w:bookmarkStart w:id="386" w:name="_Toc297120519"/>
      <w:bookmarkStart w:id="387" w:name="_Toc296346720"/>
      <w:bookmarkStart w:id="388" w:name="_Toc296891047"/>
      <w:bookmarkStart w:id="389" w:name="_Toc296891259"/>
      <w:bookmarkStart w:id="390" w:name="_Toc312678053"/>
      <w:bookmarkStart w:id="391" w:name="_Toc296944558"/>
      <w:bookmarkStart w:id="392" w:name="_Toc297123564"/>
      <w:bookmarkStart w:id="393" w:name="_Toc296503219"/>
      <w:bookmarkStart w:id="394" w:name="_Toc300935015"/>
      <w:bookmarkStart w:id="395" w:name="_Toc292559929"/>
      <w:bookmarkStart w:id="396" w:name="_Toc304295593"/>
      <w:bookmarkStart w:id="397" w:name="_Toc296347218"/>
      <w:r>
        <w:rPr>
          <w:b/>
          <w:bCs/>
          <w:color w:val="auto"/>
          <w:szCs w:val="21"/>
          <w:highlight w:val="none"/>
        </w:rPr>
        <w:t>13. 验收和工程试车</w:t>
      </w:r>
      <w:bookmarkEnd w:id="381"/>
    </w:p>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Pr>
        <w:spacing w:line="360" w:lineRule="exact"/>
        <w:ind w:firstLine="420" w:firstLineChars="200"/>
        <w:rPr>
          <w:color w:val="auto"/>
          <w:szCs w:val="21"/>
          <w:highlight w:val="none"/>
        </w:rPr>
      </w:pPr>
      <w:bookmarkStart w:id="398" w:name="_Toc267251470"/>
      <w:bookmarkStart w:id="399" w:name="_Toc267251476"/>
      <w:bookmarkStart w:id="400" w:name="_Toc280868709"/>
      <w:bookmarkStart w:id="401" w:name="_Toc267251473"/>
      <w:bookmarkStart w:id="402" w:name="_Toc267251471"/>
      <w:bookmarkStart w:id="403" w:name="_Toc267251475"/>
      <w:bookmarkStart w:id="404" w:name="_Toc267251474"/>
      <w:bookmarkStart w:id="405" w:name="_Toc267251472"/>
      <w:r>
        <w:rPr>
          <w:color w:val="auto"/>
          <w:szCs w:val="21"/>
          <w:highlight w:val="none"/>
        </w:rPr>
        <w:t>13.1 分部分项工程验收</w:t>
      </w:r>
    </w:p>
    <w:p>
      <w:pPr>
        <w:spacing w:line="360" w:lineRule="exact"/>
        <w:ind w:firstLine="420" w:firstLineChars="200"/>
        <w:rPr>
          <w:color w:val="auto"/>
          <w:szCs w:val="21"/>
          <w:highlight w:val="none"/>
        </w:rPr>
      </w:pPr>
      <w:r>
        <w:rPr>
          <w:color w:val="auto"/>
          <w:szCs w:val="21"/>
          <w:highlight w:val="none"/>
        </w:rPr>
        <w:t>13.1.2监理人不能按时进行验收时，应提前</w:t>
      </w:r>
      <w:r>
        <w:rPr>
          <w:color w:val="auto"/>
          <w:szCs w:val="21"/>
          <w:highlight w:val="none"/>
          <w:u w:val="single"/>
        </w:rPr>
        <w:t xml:space="preserve">  24  </w:t>
      </w:r>
      <w:r>
        <w:rPr>
          <w:color w:val="auto"/>
          <w:szCs w:val="21"/>
          <w:highlight w:val="none"/>
        </w:rPr>
        <w:t>小时提交书面延期要求。</w:t>
      </w:r>
    </w:p>
    <w:p>
      <w:pPr>
        <w:spacing w:line="360" w:lineRule="exact"/>
        <w:ind w:firstLine="420" w:firstLineChars="200"/>
        <w:rPr>
          <w:color w:val="auto"/>
          <w:szCs w:val="21"/>
          <w:highlight w:val="none"/>
        </w:rPr>
      </w:pPr>
      <w:r>
        <w:rPr>
          <w:color w:val="auto"/>
          <w:szCs w:val="21"/>
          <w:highlight w:val="none"/>
        </w:rPr>
        <w:t>关于延期最长不得超过：</w:t>
      </w:r>
      <w:r>
        <w:rPr>
          <w:color w:val="auto"/>
          <w:szCs w:val="21"/>
          <w:highlight w:val="none"/>
          <w:u w:val="single"/>
        </w:rPr>
        <w:t xml:space="preserve">  24</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小时。</w:t>
      </w:r>
    </w:p>
    <w:p>
      <w:pPr>
        <w:spacing w:line="360" w:lineRule="exact"/>
        <w:ind w:firstLine="420" w:firstLineChars="200"/>
        <w:rPr>
          <w:b/>
          <w:color w:val="auto"/>
          <w:szCs w:val="21"/>
          <w:highlight w:val="none"/>
          <w:u w:val="single"/>
        </w:rPr>
      </w:pPr>
      <w:r>
        <w:rPr>
          <w:color w:val="auto"/>
          <w:szCs w:val="21"/>
          <w:highlight w:val="none"/>
          <w:u w:val="single"/>
        </w:rPr>
        <w:t>工程验收过程、验收部位除办理纸质验收记录，还应留置验收部位、验收过程、主要验收人员相片、影像等资料</w:t>
      </w:r>
      <w:r>
        <w:rPr>
          <w:color w:val="auto"/>
          <w:szCs w:val="21"/>
          <w:highlight w:val="none"/>
        </w:rPr>
        <w:t>。</w:t>
      </w:r>
    </w:p>
    <w:p>
      <w:pPr>
        <w:spacing w:line="360" w:lineRule="exact"/>
        <w:ind w:firstLine="420" w:firstLineChars="200"/>
        <w:rPr>
          <w:color w:val="auto"/>
          <w:szCs w:val="21"/>
          <w:highlight w:val="none"/>
        </w:rPr>
      </w:pPr>
      <w:bookmarkStart w:id="406" w:name="_Toc297216224"/>
      <w:bookmarkStart w:id="407" w:name="_Toc296944562"/>
      <w:bookmarkStart w:id="408" w:name="_Toc296503223"/>
      <w:bookmarkStart w:id="409" w:name="_Toc312678056"/>
      <w:bookmarkStart w:id="410" w:name="_Toc292559428"/>
      <w:bookmarkStart w:id="411" w:name="_Toc304295596"/>
      <w:bookmarkStart w:id="412" w:name="_Toc296346724"/>
      <w:bookmarkStart w:id="413" w:name="_Toc297120523"/>
      <w:bookmarkStart w:id="414" w:name="_Toc292559933"/>
      <w:bookmarkStart w:id="415" w:name="_Toc303539173"/>
      <w:bookmarkStart w:id="416" w:name="_Toc296891263"/>
      <w:bookmarkStart w:id="417" w:name="_Toc297048409"/>
      <w:bookmarkStart w:id="418" w:name="_Toc296891051"/>
      <w:bookmarkStart w:id="419" w:name="_Toc297123565"/>
      <w:bookmarkStart w:id="420" w:name="_Toc300935016"/>
      <w:bookmarkStart w:id="421" w:name="_Toc296347222"/>
      <w:r>
        <w:rPr>
          <w:color w:val="auto"/>
          <w:szCs w:val="21"/>
          <w:highlight w:val="none"/>
        </w:rPr>
        <w:t>13.2 竣工验收</w:t>
      </w:r>
    </w:p>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Pr>
        <w:spacing w:line="360" w:lineRule="exact"/>
        <w:ind w:firstLine="420" w:firstLineChars="200"/>
        <w:rPr>
          <w:color w:val="auto"/>
          <w:szCs w:val="21"/>
          <w:highlight w:val="none"/>
        </w:rPr>
      </w:pPr>
      <w:bookmarkStart w:id="422" w:name="_Toc280868704"/>
      <w:bookmarkStart w:id="423" w:name="_Toc280868705"/>
      <w:bookmarkStart w:id="424" w:name="_Toc280868706"/>
      <w:bookmarkStart w:id="425" w:name="_Toc280868707"/>
      <w:bookmarkStart w:id="426" w:name="_Toc280868708"/>
      <w:r>
        <w:rPr>
          <w:color w:val="auto"/>
          <w:szCs w:val="21"/>
          <w:highlight w:val="none"/>
        </w:rPr>
        <w:t>13.2.2竣工验收程序</w:t>
      </w:r>
    </w:p>
    <w:bookmarkEnd w:id="422"/>
    <w:p>
      <w:pPr>
        <w:spacing w:line="360" w:lineRule="exact"/>
        <w:ind w:firstLine="420" w:firstLineChars="200"/>
        <w:rPr>
          <w:color w:val="auto"/>
          <w:szCs w:val="21"/>
          <w:highlight w:val="none"/>
        </w:rPr>
      </w:pPr>
      <w:r>
        <w:rPr>
          <w:color w:val="auto"/>
          <w:szCs w:val="21"/>
          <w:highlight w:val="none"/>
        </w:rPr>
        <w:t>关于竣工验收程序的约定：</w:t>
      </w:r>
      <w:r>
        <w:rPr>
          <w:rFonts w:hint="eastAsia"/>
          <w:color w:val="auto"/>
          <w:szCs w:val="21"/>
          <w:highlight w:val="none"/>
          <w:u w:val="single"/>
        </w:rPr>
        <w:t>竣工验收程序按通用条款</w:t>
      </w:r>
      <w:r>
        <w:rPr>
          <w:color w:val="auto"/>
          <w:szCs w:val="21"/>
          <w:highlight w:val="none"/>
        </w:rPr>
        <w:t>。</w:t>
      </w:r>
    </w:p>
    <w:p>
      <w:pPr>
        <w:spacing w:line="360" w:lineRule="exact"/>
        <w:ind w:firstLine="420" w:firstLineChars="200"/>
        <w:rPr>
          <w:color w:val="auto"/>
          <w:szCs w:val="21"/>
          <w:highlight w:val="none"/>
          <w:u w:val="single"/>
        </w:rPr>
      </w:pPr>
      <w:r>
        <w:rPr>
          <w:rFonts w:hint="eastAsia"/>
          <w:color w:val="auto"/>
          <w:szCs w:val="21"/>
          <w:highlight w:val="none"/>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承包人须配合发包人进行工程竣工验收。</w:t>
      </w:r>
    </w:p>
    <w:p>
      <w:pPr>
        <w:spacing w:line="360" w:lineRule="exact"/>
        <w:ind w:firstLine="420" w:firstLineChars="200"/>
        <w:rPr>
          <w:color w:val="auto"/>
          <w:szCs w:val="21"/>
          <w:highlight w:val="none"/>
          <w:u w:val="single"/>
        </w:rPr>
      </w:pPr>
      <w:r>
        <w:rPr>
          <w:color w:val="auto"/>
          <w:szCs w:val="21"/>
          <w:highlight w:val="none"/>
        </w:rPr>
        <w:t>发包人不按照本项约定组织竣工验收、颁发工程接收证书的违约金的计算方法：</w:t>
      </w:r>
      <w:r>
        <w:rPr>
          <w:color w:val="auto"/>
          <w:szCs w:val="21"/>
          <w:highlight w:val="none"/>
          <w:u w:val="single"/>
        </w:rPr>
        <w:t>不计违约金。</w:t>
      </w:r>
    </w:p>
    <w:p>
      <w:pPr>
        <w:spacing w:line="360" w:lineRule="exact"/>
        <w:ind w:firstLine="420" w:firstLineChars="200"/>
        <w:rPr>
          <w:color w:val="auto"/>
          <w:szCs w:val="21"/>
          <w:highlight w:val="none"/>
        </w:rPr>
      </w:pPr>
      <w:r>
        <w:rPr>
          <w:color w:val="auto"/>
          <w:szCs w:val="21"/>
          <w:highlight w:val="none"/>
          <w:u w:val="single"/>
        </w:rPr>
        <w:t>因发包人原因，未在监理人接收到承包人提交的竣工验收申请报告42天内完成验收，或完成验收不予签发工程接收证书的，以提交竣工验收申请报告的日期为实际竣工日期</w:t>
      </w:r>
      <w:r>
        <w:rPr>
          <w:color w:val="auto"/>
          <w:szCs w:val="21"/>
          <w:highlight w:val="none"/>
        </w:rPr>
        <w:t>。</w:t>
      </w:r>
    </w:p>
    <w:bookmarkEnd w:id="423"/>
    <w:p>
      <w:pPr>
        <w:spacing w:line="360" w:lineRule="exact"/>
        <w:ind w:firstLine="420" w:firstLineChars="200"/>
        <w:rPr>
          <w:color w:val="auto"/>
          <w:szCs w:val="21"/>
          <w:highlight w:val="none"/>
        </w:rPr>
      </w:pPr>
      <w:r>
        <w:rPr>
          <w:color w:val="auto"/>
          <w:szCs w:val="21"/>
          <w:highlight w:val="none"/>
        </w:rPr>
        <w:t>13.2.5移交、接收全部与部分工程</w:t>
      </w:r>
    </w:p>
    <w:bookmarkEnd w:id="424"/>
    <w:p>
      <w:pPr>
        <w:spacing w:line="360" w:lineRule="exact"/>
        <w:ind w:firstLine="420" w:firstLineChars="200"/>
        <w:rPr>
          <w:color w:val="auto"/>
          <w:szCs w:val="21"/>
          <w:highlight w:val="none"/>
        </w:rPr>
      </w:pPr>
      <w:r>
        <w:rPr>
          <w:color w:val="auto"/>
          <w:szCs w:val="21"/>
          <w:highlight w:val="none"/>
        </w:rPr>
        <w:t>承包人向发包人移交工程的期限：</w:t>
      </w:r>
      <w:r>
        <w:rPr>
          <w:color w:val="auto"/>
          <w:szCs w:val="21"/>
          <w:highlight w:val="none"/>
          <w:u w:val="single"/>
        </w:rPr>
        <w:t xml:space="preserve">  按通用条款执行  </w:t>
      </w:r>
      <w:r>
        <w:rPr>
          <w:color w:val="auto"/>
          <w:szCs w:val="21"/>
          <w:highlight w:val="none"/>
        </w:rPr>
        <w:t>。</w:t>
      </w:r>
    </w:p>
    <w:p>
      <w:pPr>
        <w:spacing w:line="360" w:lineRule="exact"/>
        <w:ind w:firstLine="420" w:firstLineChars="200"/>
        <w:rPr>
          <w:color w:val="auto"/>
          <w:szCs w:val="21"/>
          <w:highlight w:val="none"/>
          <w:u w:val="single"/>
        </w:rPr>
      </w:pPr>
      <w:r>
        <w:rPr>
          <w:color w:val="auto"/>
          <w:szCs w:val="21"/>
          <w:highlight w:val="none"/>
        </w:rPr>
        <w:t>发包人未按本合同约定接收全部或部分工程的，违约金的计算方法为：</w:t>
      </w:r>
      <w:r>
        <w:rPr>
          <w:color w:val="auto"/>
          <w:szCs w:val="21"/>
          <w:highlight w:val="none"/>
          <w:u w:val="single"/>
        </w:rPr>
        <w:t xml:space="preserve"> </w:t>
      </w:r>
      <w:r>
        <w:rPr>
          <w:rFonts w:hint="eastAsia"/>
          <w:color w:val="auto"/>
          <w:szCs w:val="21"/>
          <w:highlight w:val="none"/>
          <w:u w:val="single"/>
        </w:rPr>
        <w:t>按通用条款</w:t>
      </w:r>
      <w:r>
        <w:rPr>
          <w:color w:val="auto"/>
          <w:szCs w:val="21"/>
          <w:highlight w:val="none"/>
          <w:u w:val="single"/>
        </w:rPr>
        <w:t xml:space="preserve"> </w:t>
      </w:r>
      <w:r>
        <w:rPr>
          <w:color w:val="auto"/>
          <w:szCs w:val="21"/>
          <w:highlight w:val="none"/>
        </w:rPr>
        <w:t>。</w:t>
      </w:r>
    </w:p>
    <w:bookmarkEnd w:id="425"/>
    <w:p>
      <w:pPr>
        <w:spacing w:line="360" w:lineRule="exact"/>
        <w:ind w:firstLine="420" w:firstLineChars="200"/>
        <w:rPr>
          <w:color w:val="auto"/>
          <w:szCs w:val="21"/>
          <w:highlight w:val="none"/>
        </w:rPr>
      </w:pPr>
      <w:r>
        <w:rPr>
          <w:color w:val="auto"/>
          <w:szCs w:val="21"/>
          <w:highlight w:val="none"/>
        </w:rPr>
        <w:t>承包人未按时移交工程的，违约金的计算方法为：</w:t>
      </w:r>
      <w:r>
        <w:rPr>
          <w:rFonts w:hint="eastAsia"/>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13.3 工程试车</w:t>
      </w:r>
    </w:p>
    <w:bookmarkEnd w:id="426"/>
    <w:p>
      <w:pPr>
        <w:spacing w:line="360" w:lineRule="exact"/>
        <w:ind w:firstLine="420" w:firstLineChars="200"/>
        <w:rPr>
          <w:color w:val="auto"/>
          <w:szCs w:val="21"/>
          <w:highlight w:val="none"/>
        </w:rPr>
      </w:pPr>
      <w:r>
        <w:rPr>
          <w:color w:val="auto"/>
          <w:szCs w:val="21"/>
          <w:highlight w:val="none"/>
        </w:rPr>
        <w:t>13.3.1 试车程序</w:t>
      </w:r>
    </w:p>
    <w:p>
      <w:pPr>
        <w:spacing w:line="360" w:lineRule="exact"/>
        <w:ind w:firstLine="420" w:firstLineChars="200"/>
        <w:rPr>
          <w:color w:val="auto"/>
          <w:szCs w:val="21"/>
          <w:highlight w:val="none"/>
        </w:rPr>
      </w:pPr>
      <w:r>
        <w:rPr>
          <w:color w:val="auto"/>
          <w:szCs w:val="21"/>
          <w:highlight w:val="none"/>
        </w:rPr>
        <w:t>工程试车内容：</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rFonts w:hint="eastAsia"/>
          <w:color w:val="auto"/>
          <w:szCs w:val="21"/>
          <w:highlight w:val="none"/>
        </w:rPr>
        <w:t>（1）单机无负荷试车费用由</w:t>
      </w:r>
      <w:r>
        <w:rPr>
          <w:rFonts w:hint="eastAsia"/>
          <w:color w:val="auto"/>
          <w:szCs w:val="21"/>
          <w:highlight w:val="none"/>
          <w:u w:val="single"/>
        </w:rPr>
        <w:t xml:space="preserve">           承包人         </w:t>
      </w:r>
      <w:r>
        <w:rPr>
          <w:rFonts w:hint="eastAsia"/>
          <w:color w:val="auto"/>
          <w:szCs w:val="21"/>
          <w:highlight w:val="none"/>
        </w:rPr>
        <w:t>承担；</w:t>
      </w:r>
    </w:p>
    <w:p>
      <w:pPr>
        <w:spacing w:line="360" w:lineRule="exact"/>
        <w:ind w:firstLine="420" w:firstLineChars="200"/>
        <w:rPr>
          <w:color w:val="auto"/>
          <w:szCs w:val="21"/>
          <w:highlight w:val="none"/>
        </w:rPr>
      </w:pPr>
      <w:r>
        <w:rPr>
          <w:rFonts w:hint="eastAsia"/>
          <w:color w:val="auto"/>
          <w:szCs w:val="21"/>
          <w:highlight w:val="none"/>
        </w:rPr>
        <w:t>（2）无负荷联动试车费用由</w:t>
      </w:r>
      <w:r>
        <w:rPr>
          <w:rFonts w:hint="eastAsia"/>
          <w:color w:val="auto"/>
          <w:szCs w:val="21"/>
          <w:highlight w:val="none"/>
          <w:u w:val="single"/>
        </w:rPr>
        <w:t xml:space="preserve">          承包人          </w:t>
      </w:r>
      <w:r>
        <w:rPr>
          <w:rFonts w:hint="eastAsia"/>
          <w:color w:val="auto"/>
          <w:szCs w:val="21"/>
          <w:highlight w:val="none"/>
        </w:rPr>
        <w:t>承担。</w:t>
      </w:r>
    </w:p>
    <w:p>
      <w:pPr>
        <w:tabs>
          <w:tab w:val="left" w:pos="8012"/>
        </w:tabs>
        <w:spacing w:line="360" w:lineRule="exact"/>
        <w:ind w:firstLine="420" w:firstLineChars="200"/>
        <w:rPr>
          <w:color w:val="auto"/>
          <w:szCs w:val="21"/>
          <w:highlight w:val="none"/>
        </w:rPr>
      </w:pPr>
      <w:r>
        <w:rPr>
          <w:color w:val="auto"/>
          <w:szCs w:val="21"/>
          <w:highlight w:val="none"/>
        </w:rPr>
        <w:t>13.3.3 投料试车</w:t>
      </w:r>
      <w:r>
        <w:rPr>
          <w:rFonts w:hint="eastAsia"/>
          <w:color w:val="auto"/>
          <w:szCs w:val="21"/>
          <w:highlight w:val="none"/>
        </w:rPr>
        <w:tab/>
      </w:r>
    </w:p>
    <w:p>
      <w:pPr>
        <w:spacing w:line="360" w:lineRule="exact"/>
        <w:ind w:firstLine="420" w:firstLineChars="200"/>
        <w:rPr>
          <w:color w:val="auto"/>
          <w:szCs w:val="21"/>
          <w:highlight w:val="none"/>
        </w:rPr>
      </w:pPr>
      <w:r>
        <w:rPr>
          <w:color w:val="auto"/>
          <w:szCs w:val="21"/>
          <w:highlight w:val="none"/>
        </w:rPr>
        <w:t>关于投料试车相关事项的约定：</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13.6 竣工退场</w:t>
      </w:r>
    </w:p>
    <w:p>
      <w:pPr>
        <w:spacing w:line="360" w:lineRule="exact"/>
        <w:ind w:firstLine="420" w:firstLineChars="200"/>
        <w:rPr>
          <w:color w:val="auto"/>
          <w:szCs w:val="21"/>
          <w:highlight w:val="none"/>
        </w:rPr>
      </w:pPr>
      <w:r>
        <w:rPr>
          <w:color w:val="auto"/>
          <w:szCs w:val="21"/>
          <w:highlight w:val="none"/>
        </w:rPr>
        <w:t>13.6.1 竣工退场</w:t>
      </w:r>
    </w:p>
    <w:p>
      <w:pPr>
        <w:spacing w:line="360" w:lineRule="exact"/>
        <w:ind w:firstLine="420" w:firstLineChars="200"/>
        <w:rPr>
          <w:color w:val="auto"/>
          <w:szCs w:val="21"/>
          <w:highlight w:val="none"/>
        </w:rPr>
      </w:pPr>
      <w:r>
        <w:rPr>
          <w:color w:val="auto"/>
          <w:szCs w:val="21"/>
          <w:highlight w:val="none"/>
        </w:rPr>
        <w:t>承包人完成竣工退场的期限：</w:t>
      </w:r>
      <w:r>
        <w:rPr>
          <w:color w:val="auto"/>
          <w:szCs w:val="21"/>
          <w:highlight w:val="none"/>
          <w:u w:val="single"/>
        </w:rPr>
        <w:t xml:space="preserve"> 颁发工程接收证书后7天内</w:t>
      </w:r>
      <w:r>
        <w:rPr>
          <w:color w:val="auto"/>
          <w:szCs w:val="21"/>
          <w:highlight w:val="none"/>
        </w:rPr>
        <w:t>。</w:t>
      </w:r>
    </w:p>
    <w:p>
      <w:pPr>
        <w:spacing w:line="360" w:lineRule="exact"/>
        <w:ind w:firstLine="422" w:firstLineChars="200"/>
        <w:rPr>
          <w:b/>
          <w:bCs/>
          <w:color w:val="auto"/>
          <w:szCs w:val="21"/>
          <w:highlight w:val="none"/>
        </w:rPr>
      </w:pPr>
      <w:bookmarkStart w:id="427" w:name="_Toc351203646"/>
      <w:r>
        <w:rPr>
          <w:b/>
          <w:bCs/>
          <w:color w:val="auto"/>
          <w:szCs w:val="21"/>
          <w:highlight w:val="none"/>
        </w:rPr>
        <w:t>14. 竣工结算</w:t>
      </w:r>
      <w:bookmarkEnd w:id="427"/>
    </w:p>
    <w:p>
      <w:pPr>
        <w:spacing w:line="360" w:lineRule="exact"/>
        <w:ind w:firstLine="420" w:firstLineChars="200"/>
        <w:rPr>
          <w:color w:val="auto"/>
          <w:szCs w:val="21"/>
          <w:highlight w:val="none"/>
          <w:u w:val="single"/>
        </w:rPr>
      </w:pPr>
      <w:r>
        <w:rPr>
          <w:color w:val="auto"/>
          <w:szCs w:val="21"/>
          <w:highlight w:val="none"/>
          <w:u w:val="single"/>
        </w:rPr>
        <w:t>14.1 竣工结算申请</w:t>
      </w:r>
    </w:p>
    <w:p>
      <w:pPr>
        <w:spacing w:line="360" w:lineRule="exact"/>
        <w:ind w:firstLine="420" w:firstLineChars="200"/>
        <w:rPr>
          <w:color w:val="auto"/>
          <w:szCs w:val="21"/>
          <w:highlight w:val="none"/>
        </w:rPr>
      </w:pPr>
      <w:r>
        <w:rPr>
          <w:rFonts w:hint="eastAsia"/>
          <w:color w:val="auto"/>
          <w:szCs w:val="21"/>
          <w:highlight w:val="none"/>
        </w:rPr>
        <w:t>1.承包人提交竣工结算申请的期限：</w:t>
      </w:r>
    </w:p>
    <w:p>
      <w:pPr>
        <w:spacing w:line="360" w:lineRule="exact"/>
        <w:ind w:firstLine="420" w:firstLineChars="200"/>
        <w:rPr>
          <w:color w:val="auto"/>
          <w:szCs w:val="21"/>
          <w:highlight w:val="none"/>
          <w:u w:val="single"/>
        </w:rPr>
      </w:pPr>
      <w:r>
        <w:rPr>
          <w:rFonts w:hint="eastAsia"/>
          <w:color w:val="auto"/>
          <w:szCs w:val="21"/>
          <w:highlight w:val="none"/>
          <w:u w:val="single"/>
        </w:rPr>
        <w:t>承包人应在完成合同范围内施工内容，经工程竣工验收合格后28天内向发包人和监理人提交竣工结算申请单，并提交完整的工程结算资料一套。</w:t>
      </w:r>
    </w:p>
    <w:p>
      <w:pPr>
        <w:spacing w:line="360" w:lineRule="exact"/>
        <w:ind w:firstLine="420" w:firstLineChars="200"/>
        <w:rPr>
          <w:color w:val="auto"/>
          <w:szCs w:val="21"/>
          <w:highlight w:val="none"/>
          <w:u w:val="single"/>
        </w:rPr>
      </w:pPr>
      <w:r>
        <w:rPr>
          <w:rFonts w:hint="eastAsia"/>
          <w:color w:val="auto"/>
          <w:szCs w:val="21"/>
          <w:highlight w:val="none"/>
          <w:u w:val="single"/>
        </w:rPr>
        <w:t>工程验收后，承包人超过</w:t>
      </w:r>
      <w:r>
        <w:rPr>
          <w:color w:val="auto"/>
          <w:szCs w:val="21"/>
          <w:highlight w:val="none"/>
          <w:u w:val="single"/>
        </w:rPr>
        <w:t>90</w:t>
      </w:r>
      <w:r>
        <w:rPr>
          <w:rFonts w:hint="eastAsia"/>
          <w:color w:val="auto"/>
          <w:szCs w:val="21"/>
          <w:highlight w:val="none"/>
          <w:u w:val="single"/>
        </w:rPr>
        <w:t>天未提交竣工结算资料，经发包人催告后</w:t>
      </w:r>
      <w:r>
        <w:rPr>
          <w:color w:val="auto"/>
          <w:szCs w:val="21"/>
          <w:highlight w:val="none"/>
          <w:u w:val="single"/>
        </w:rPr>
        <w:t>28</w:t>
      </w:r>
      <w:r>
        <w:rPr>
          <w:rFonts w:hint="eastAsia"/>
          <w:color w:val="auto"/>
          <w:szCs w:val="21"/>
          <w:highlight w:val="none"/>
          <w:u w:val="single"/>
        </w:rPr>
        <w:t>天，承包人还不提交竣工结算资料的，发包人可根据自己资料办理竣工结算，且视为承包人认可竣工结算结果。</w:t>
      </w:r>
    </w:p>
    <w:p>
      <w:pPr>
        <w:spacing w:line="360" w:lineRule="exact"/>
        <w:ind w:firstLine="420" w:firstLineChars="200"/>
        <w:rPr>
          <w:color w:val="auto"/>
          <w:szCs w:val="21"/>
          <w:highlight w:val="none"/>
          <w:u w:val="single"/>
        </w:rPr>
      </w:pPr>
      <w:r>
        <w:rPr>
          <w:rFonts w:hint="eastAsia"/>
          <w:color w:val="auto"/>
          <w:szCs w:val="21"/>
          <w:highlight w:val="none"/>
          <w:u w:val="single"/>
        </w:rPr>
        <w:t>2.</w:t>
      </w:r>
      <w:r>
        <w:rPr>
          <w:rFonts w:hint="eastAsia"/>
          <w:color w:val="auto"/>
          <w:szCs w:val="21"/>
          <w:highlight w:val="none"/>
        </w:rPr>
        <w:t xml:space="preserve"> </w:t>
      </w:r>
      <w:r>
        <w:rPr>
          <w:rFonts w:hint="eastAsia"/>
          <w:color w:val="auto"/>
          <w:szCs w:val="21"/>
          <w:highlight w:val="none"/>
          <w:u w:val="single"/>
        </w:rPr>
        <w:t>竣工结算申请单应包括的内容： 包括但不限于施工合同、 补充协议、采购文件、响应文件、竣工图纸、施工方案以及经确认的工程变更、工程索赔、现场签证，相关施工记录，工程款收款证明、逾期付款利息计算书等相关资料。</w:t>
      </w:r>
    </w:p>
    <w:p>
      <w:pPr>
        <w:spacing w:line="360" w:lineRule="exact"/>
        <w:ind w:firstLine="420" w:firstLineChars="200"/>
        <w:rPr>
          <w:color w:val="auto"/>
          <w:szCs w:val="21"/>
          <w:highlight w:val="none"/>
          <w:u w:val="single"/>
        </w:rPr>
      </w:pPr>
      <w:r>
        <w:rPr>
          <w:color w:val="auto"/>
          <w:szCs w:val="21"/>
          <w:highlight w:val="none"/>
          <w:u w:val="single"/>
        </w:rPr>
        <w:t>14.2 竣工结算审核</w:t>
      </w:r>
    </w:p>
    <w:p>
      <w:pPr>
        <w:spacing w:line="360" w:lineRule="exact"/>
        <w:ind w:firstLine="420" w:firstLineChars="200"/>
        <w:rPr>
          <w:color w:val="auto"/>
          <w:szCs w:val="21"/>
          <w:highlight w:val="none"/>
          <w:u w:val="single"/>
        </w:rPr>
      </w:pPr>
      <w:r>
        <w:rPr>
          <w:rFonts w:hint="eastAsia"/>
          <w:color w:val="auto"/>
          <w:szCs w:val="21"/>
          <w:highlight w:val="none"/>
        </w:rPr>
        <w:t>（</w:t>
      </w:r>
      <w:r>
        <w:rPr>
          <w:color w:val="auto"/>
          <w:szCs w:val="21"/>
          <w:highlight w:val="none"/>
        </w:rPr>
        <w:t>1</w:t>
      </w:r>
      <w:r>
        <w:rPr>
          <w:rFonts w:hint="eastAsia"/>
          <w:color w:val="auto"/>
          <w:szCs w:val="21"/>
          <w:highlight w:val="none"/>
        </w:rPr>
        <w:t>）发包人结算审核时间：</w:t>
      </w:r>
    </w:p>
    <w:p>
      <w:pPr>
        <w:spacing w:line="360" w:lineRule="exact"/>
        <w:ind w:firstLine="420" w:firstLineChars="200"/>
        <w:rPr>
          <w:color w:val="auto"/>
          <w:szCs w:val="21"/>
          <w:highlight w:val="none"/>
          <w:u w:val="single"/>
        </w:rPr>
      </w:pPr>
      <w:r>
        <w:rPr>
          <w:rFonts w:hint="eastAsia"/>
          <w:color w:val="auto"/>
          <w:szCs w:val="21"/>
          <w:highlight w:val="none"/>
          <w:u w:val="single"/>
        </w:rPr>
        <w:t>发包人收到承包人递交的最终工程结算报告及完整的结算资料后，在90天内审核完毕，并签发最终工程结算证书。</w:t>
      </w:r>
    </w:p>
    <w:p>
      <w:pPr>
        <w:spacing w:line="360" w:lineRule="exact"/>
        <w:ind w:firstLine="420" w:firstLineChars="200"/>
        <w:rPr>
          <w:color w:val="auto"/>
          <w:szCs w:val="21"/>
          <w:highlight w:val="none"/>
          <w:u w:val="single"/>
        </w:rPr>
      </w:pPr>
      <w:r>
        <w:rPr>
          <w:rFonts w:hint="eastAsia"/>
          <w:color w:val="auto"/>
          <w:szCs w:val="21"/>
          <w:highlight w:val="none"/>
          <w:u w:val="single"/>
        </w:rPr>
        <w:t>因非承包人原因逾期审核责任：发包人（或其委托监理、造价审核单位）收到承包人递交的最终工程结算申请后，由非承包人原因导致的未在约定时间内完成审核。发包人向承包人支付违约金，违约金为工程结算后应付工程款的利息，逾期审核时间 60天内，利率按同期全国银行间同业拆借中心公布的贷款市场报价利率，利息计算时间为应付工程款日至支付工程款日止；逾期审核时间超过 60 天，超过时间的利率按同期全国银行间同业拆借中心公布的贷款市场报价利率的 2 倍计算；</w:t>
      </w:r>
    </w:p>
    <w:p>
      <w:pPr>
        <w:spacing w:line="360" w:lineRule="exact"/>
        <w:ind w:firstLine="420" w:firstLineChars="200"/>
        <w:rPr>
          <w:color w:val="auto"/>
          <w:szCs w:val="21"/>
          <w:highlight w:val="none"/>
          <w:u w:val="single"/>
        </w:rPr>
      </w:pPr>
      <w:r>
        <w:rPr>
          <w:rFonts w:hint="eastAsia"/>
          <w:color w:val="auto"/>
          <w:szCs w:val="21"/>
          <w:highlight w:val="none"/>
          <w:u w:val="single"/>
        </w:rPr>
        <w:t>（</w:t>
      </w:r>
      <w:r>
        <w:rPr>
          <w:color w:val="auto"/>
          <w:szCs w:val="21"/>
          <w:highlight w:val="none"/>
          <w:u w:val="single"/>
        </w:rPr>
        <w:t>2</w:t>
      </w:r>
      <w:r>
        <w:rPr>
          <w:rFonts w:hint="eastAsia"/>
          <w:color w:val="auto"/>
          <w:szCs w:val="21"/>
          <w:highlight w:val="none"/>
          <w:u w:val="single"/>
        </w:rPr>
        <w:t>）发包人在签署最终工程结算证书后 14 天内，按专用条款 15.3条办理工程质量保证金留置手续后完成对承包人的竣工付款。逾期支付按同期全国银行间同业拆借中心公布的贷款市场报价利率支付违约金；逾期超过 56天，按同期全国银行间同业拆借中心公布的贷款市场报价利率的 2倍支付违约金。</w:t>
      </w:r>
    </w:p>
    <w:p>
      <w:pPr>
        <w:spacing w:line="360" w:lineRule="exact"/>
        <w:ind w:firstLine="420" w:firstLineChars="200"/>
        <w:rPr>
          <w:color w:val="auto"/>
          <w:szCs w:val="21"/>
          <w:highlight w:val="none"/>
          <w:u w:val="single"/>
        </w:rPr>
      </w:pPr>
      <w:r>
        <w:rPr>
          <w:rFonts w:hint="eastAsia"/>
          <w:color w:val="auto"/>
          <w:szCs w:val="21"/>
          <w:highlight w:val="none"/>
          <w:u w:val="single"/>
        </w:rPr>
        <w:t>（</w:t>
      </w:r>
      <w:r>
        <w:rPr>
          <w:color w:val="auto"/>
          <w:szCs w:val="21"/>
          <w:highlight w:val="none"/>
          <w:u w:val="single"/>
        </w:rPr>
        <w:t>3</w:t>
      </w:r>
      <w:r>
        <w:rPr>
          <w:rFonts w:hint="eastAsia"/>
          <w:color w:val="auto"/>
          <w:szCs w:val="21"/>
          <w:highlight w:val="none"/>
          <w:u w:val="single"/>
        </w:rPr>
        <w:t>）承包人对发包人签认的结算价有异议的，发包人可先支付承包人无异议部分结算款。异议部分重新进行复核或按照第</w:t>
      </w:r>
      <w:r>
        <w:rPr>
          <w:color w:val="auto"/>
          <w:szCs w:val="21"/>
          <w:highlight w:val="none"/>
          <w:u w:val="single"/>
        </w:rPr>
        <w:t>20</w:t>
      </w:r>
      <w:r>
        <w:rPr>
          <w:rFonts w:hint="eastAsia"/>
          <w:color w:val="auto"/>
          <w:szCs w:val="21"/>
          <w:highlight w:val="none"/>
          <w:u w:val="single"/>
        </w:rPr>
        <w:t>条〔争议解决约定〕处理。</w:t>
      </w:r>
    </w:p>
    <w:p>
      <w:pPr>
        <w:spacing w:line="360" w:lineRule="exact"/>
        <w:ind w:firstLine="420" w:firstLineChars="200"/>
        <w:rPr>
          <w:color w:val="auto"/>
          <w:szCs w:val="21"/>
          <w:highlight w:val="none"/>
          <w:u w:val="single"/>
        </w:rPr>
      </w:pPr>
      <w:r>
        <w:rPr>
          <w:rFonts w:hint="eastAsia"/>
          <w:color w:val="auto"/>
          <w:szCs w:val="21"/>
          <w:highlight w:val="none"/>
          <w:u w:val="single"/>
        </w:rPr>
        <w:t>（4）结算特殊要求：工程结算审价单位由发包人指定，承包人无权干预。对于工程结算审核费用支付的约定：基本费由发包人承担；核减追加费按核减超过送审造价5%的幅度以外的核减额为基数计取5%的费用，核增追加费按核增额的5%计算费用，核增额与核减额不作抵扣，核减、核增追加费由承包人承担，即核增减追加费=(核减额-送审造价×5%)×5%+核增额×5%。当上述应由承包人支付的费用，承包人没有支付时，发包人可以在应付款中代扣支付。</w:t>
      </w:r>
    </w:p>
    <w:p>
      <w:pPr>
        <w:spacing w:line="360" w:lineRule="exact"/>
        <w:ind w:firstLine="420" w:firstLineChars="200"/>
        <w:rPr>
          <w:color w:val="auto"/>
          <w:szCs w:val="21"/>
          <w:highlight w:val="none"/>
        </w:rPr>
      </w:pPr>
      <w:r>
        <w:rPr>
          <w:color w:val="auto"/>
          <w:szCs w:val="21"/>
          <w:highlight w:val="none"/>
        </w:rPr>
        <w:t>14.4 最终结清</w:t>
      </w:r>
    </w:p>
    <w:p>
      <w:pPr>
        <w:spacing w:line="360" w:lineRule="exact"/>
        <w:ind w:firstLine="420" w:firstLineChars="200"/>
        <w:rPr>
          <w:color w:val="auto"/>
          <w:szCs w:val="21"/>
          <w:highlight w:val="none"/>
        </w:rPr>
      </w:pPr>
      <w:r>
        <w:rPr>
          <w:color w:val="auto"/>
          <w:szCs w:val="21"/>
          <w:highlight w:val="none"/>
        </w:rPr>
        <w:t>14.4.1 最终结清申请单</w:t>
      </w:r>
    </w:p>
    <w:p>
      <w:pPr>
        <w:spacing w:line="360" w:lineRule="exact"/>
        <w:ind w:firstLine="420" w:firstLineChars="200"/>
        <w:rPr>
          <w:color w:val="auto"/>
          <w:szCs w:val="21"/>
          <w:highlight w:val="none"/>
        </w:rPr>
      </w:pPr>
      <w:r>
        <w:rPr>
          <w:color w:val="auto"/>
          <w:szCs w:val="21"/>
          <w:highlight w:val="none"/>
        </w:rPr>
        <w:t>承包人提交最终结清申请单的份数：</w:t>
      </w:r>
      <w:r>
        <w:rPr>
          <w:color w:val="auto"/>
          <w:szCs w:val="21"/>
          <w:highlight w:val="none"/>
          <w:u w:val="single"/>
        </w:rPr>
        <w:t xml:space="preserve">   </w:t>
      </w:r>
      <w:r>
        <w:rPr>
          <w:rFonts w:hint="eastAsia"/>
          <w:color w:val="auto"/>
          <w:szCs w:val="21"/>
          <w:highlight w:val="none"/>
          <w:u w:val="single"/>
        </w:rPr>
        <w:t>2份</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承包人提交最终结算申请单的期限：</w:t>
      </w:r>
      <w:r>
        <w:rPr>
          <w:color w:val="auto"/>
          <w:szCs w:val="21"/>
          <w:highlight w:val="none"/>
          <w:u w:val="single"/>
        </w:rPr>
        <w:t xml:space="preserve">  </w:t>
      </w:r>
      <w:r>
        <w:rPr>
          <w:rFonts w:hint="eastAsia"/>
          <w:color w:val="auto"/>
          <w:szCs w:val="21"/>
          <w:highlight w:val="none"/>
          <w:u w:val="single"/>
        </w:rPr>
        <w:t xml:space="preserve">缺陷责任期终止后 7 天内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14.4.2 最终结清证书和支付</w:t>
      </w:r>
    </w:p>
    <w:p>
      <w:pPr>
        <w:spacing w:line="360" w:lineRule="exact"/>
        <w:ind w:firstLine="420" w:firstLineChars="200"/>
        <w:rPr>
          <w:color w:val="auto"/>
          <w:szCs w:val="21"/>
          <w:highlight w:val="none"/>
        </w:rPr>
      </w:pPr>
      <w:r>
        <w:rPr>
          <w:color w:val="auto"/>
          <w:szCs w:val="21"/>
          <w:highlight w:val="none"/>
        </w:rPr>
        <w:t>（1）发包人完成最终结清申请单的审批并颁发最终结清证书的期限：</w:t>
      </w:r>
      <w:r>
        <w:rPr>
          <w:color w:val="auto"/>
          <w:szCs w:val="21"/>
          <w:highlight w:val="none"/>
          <w:u w:val="single"/>
        </w:rPr>
        <w:t xml:space="preserve"> 按通用条款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（2）发包人完成支付的期限：</w:t>
      </w:r>
      <w:r>
        <w:rPr>
          <w:rFonts w:hint="eastAsia"/>
          <w:color w:val="auto"/>
          <w:szCs w:val="21"/>
          <w:highlight w:val="none"/>
          <w:u w:val="single"/>
        </w:rPr>
        <w:t xml:space="preserve"> </w:t>
      </w:r>
      <w:r>
        <w:rPr>
          <w:color w:val="auto"/>
          <w:szCs w:val="21"/>
          <w:highlight w:val="none"/>
          <w:u w:val="single"/>
        </w:rPr>
        <w:t>按通用条款</w:t>
      </w:r>
      <w:r>
        <w:rPr>
          <w:rFonts w:hint="eastAsia"/>
          <w:color w:val="auto"/>
          <w:szCs w:val="21"/>
          <w:highlight w:val="none"/>
          <w:u w:val="single"/>
        </w:rPr>
        <w:t xml:space="preserve"> </w:t>
      </w:r>
      <w:r>
        <w:rPr>
          <w:color w:val="auto"/>
          <w:szCs w:val="21"/>
          <w:highlight w:val="none"/>
        </w:rPr>
        <w:t>。</w:t>
      </w:r>
    </w:p>
    <w:bookmarkEnd w:id="398"/>
    <w:bookmarkEnd w:id="399"/>
    <w:bookmarkEnd w:id="400"/>
    <w:bookmarkEnd w:id="401"/>
    <w:bookmarkEnd w:id="402"/>
    <w:bookmarkEnd w:id="403"/>
    <w:bookmarkEnd w:id="404"/>
    <w:bookmarkEnd w:id="405"/>
    <w:p>
      <w:pPr>
        <w:spacing w:line="360" w:lineRule="exact"/>
        <w:ind w:firstLine="422" w:firstLineChars="200"/>
        <w:rPr>
          <w:bCs/>
          <w:color w:val="auto"/>
          <w:szCs w:val="21"/>
          <w:highlight w:val="none"/>
        </w:rPr>
      </w:pPr>
      <w:bookmarkStart w:id="428" w:name="_Toc351203647"/>
      <w:bookmarkStart w:id="429" w:name="_Toc267251483"/>
      <w:bookmarkStart w:id="430" w:name="_Toc267251485"/>
      <w:bookmarkStart w:id="431" w:name="_Toc267251482"/>
      <w:bookmarkStart w:id="432" w:name="_Toc267251484"/>
      <w:bookmarkStart w:id="433" w:name="_Toc267251490"/>
      <w:bookmarkStart w:id="434" w:name="_Toc267251489"/>
      <w:bookmarkStart w:id="435" w:name="_Toc267251488"/>
      <w:bookmarkStart w:id="436" w:name="_Toc267251486"/>
      <w:bookmarkStart w:id="437" w:name="_Toc267251496"/>
      <w:bookmarkStart w:id="438" w:name="_Toc267251503"/>
      <w:bookmarkStart w:id="439" w:name="_Toc267251495"/>
      <w:bookmarkStart w:id="440" w:name="_Toc267251491"/>
      <w:bookmarkStart w:id="441" w:name="_Toc267251499"/>
      <w:bookmarkStart w:id="442" w:name="_Toc267251502"/>
      <w:bookmarkStart w:id="443" w:name="_Toc267251501"/>
      <w:bookmarkStart w:id="444" w:name="_Toc267251492"/>
      <w:bookmarkStart w:id="445" w:name="_Toc267251498"/>
      <w:bookmarkStart w:id="446" w:name="_Toc267251494"/>
      <w:bookmarkStart w:id="447" w:name="_Toc267251493"/>
      <w:bookmarkStart w:id="448" w:name="_Toc267251497"/>
      <w:bookmarkStart w:id="449" w:name="_Toc267251513"/>
      <w:bookmarkStart w:id="450" w:name="_Toc267251514"/>
      <w:bookmarkStart w:id="451" w:name="_Toc267251509"/>
      <w:bookmarkStart w:id="452" w:name="_Toc267251506"/>
      <w:bookmarkStart w:id="453" w:name="_Toc267251510"/>
      <w:bookmarkStart w:id="454" w:name="_Toc267251507"/>
      <w:bookmarkStart w:id="455" w:name="_Toc267251508"/>
      <w:bookmarkStart w:id="456" w:name="_Toc267251515"/>
      <w:bookmarkStart w:id="457" w:name="_Toc267251511"/>
      <w:bookmarkStart w:id="458" w:name="_Toc267251504"/>
      <w:r>
        <w:rPr>
          <w:b/>
          <w:bCs/>
          <w:color w:val="auto"/>
          <w:szCs w:val="21"/>
          <w:highlight w:val="none"/>
        </w:rPr>
        <w:t>15. 缺陷责任期与保修</w:t>
      </w:r>
      <w:bookmarkEnd w:id="428"/>
    </w:p>
    <w:bookmarkEnd w:id="429"/>
    <w:bookmarkEnd w:id="430"/>
    <w:bookmarkEnd w:id="431"/>
    <w:bookmarkEnd w:id="432"/>
    <w:p>
      <w:pPr>
        <w:spacing w:line="360" w:lineRule="exact"/>
        <w:ind w:firstLine="420" w:firstLineChars="200"/>
        <w:rPr>
          <w:color w:val="auto"/>
          <w:szCs w:val="21"/>
          <w:highlight w:val="none"/>
        </w:rPr>
      </w:pPr>
      <w:r>
        <w:rPr>
          <w:color w:val="auto"/>
          <w:szCs w:val="21"/>
          <w:highlight w:val="none"/>
        </w:rPr>
        <w:t>15.2缺陷责任期</w:t>
      </w:r>
    </w:p>
    <w:p>
      <w:pPr>
        <w:spacing w:line="360" w:lineRule="exact"/>
        <w:ind w:firstLine="420" w:firstLineChars="200"/>
        <w:rPr>
          <w:color w:val="auto"/>
          <w:szCs w:val="21"/>
          <w:highlight w:val="none"/>
        </w:rPr>
      </w:pPr>
      <w:r>
        <w:rPr>
          <w:color w:val="auto"/>
          <w:szCs w:val="21"/>
          <w:highlight w:val="none"/>
        </w:rPr>
        <w:t>缺陷责任期的具体期限：</w:t>
      </w:r>
      <w:r>
        <w:rPr>
          <w:color w:val="auto"/>
          <w:szCs w:val="21"/>
          <w:highlight w:val="none"/>
          <w:u w:val="single"/>
        </w:rPr>
        <w:t xml:space="preserve"> 缺陷责任期</w:t>
      </w:r>
      <w:r>
        <w:rPr>
          <w:rFonts w:hint="eastAsia"/>
          <w:color w:val="auto"/>
          <w:szCs w:val="21"/>
          <w:highlight w:val="none"/>
          <w:u w:val="single"/>
        </w:rPr>
        <w:t>24</w:t>
      </w:r>
      <w:r>
        <w:rPr>
          <w:color w:val="auto"/>
          <w:szCs w:val="21"/>
          <w:highlight w:val="none"/>
          <w:u w:val="single"/>
        </w:rPr>
        <w:t>个月，其余按通用条款执行</w:t>
      </w:r>
      <w:r>
        <w:rPr>
          <w:rFonts w:hint="eastAsia"/>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15.3 质量保证金</w:t>
      </w:r>
    </w:p>
    <w:p>
      <w:pPr>
        <w:spacing w:line="360" w:lineRule="exact"/>
        <w:ind w:firstLine="420" w:firstLineChars="200"/>
        <w:rPr>
          <w:color w:val="auto"/>
          <w:szCs w:val="21"/>
          <w:highlight w:val="none"/>
        </w:rPr>
      </w:pPr>
      <w:r>
        <w:rPr>
          <w:color w:val="auto"/>
          <w:szCs w:val="21"/>
          <w:highlight w:val="none"/>
        </w:rPr>
        <w:t>关于是否扣留质量保证金的约定：</w:t>
      </w:r>
      <w:r>
        <w:rPr>
          <w:color w:val="auto"/>
          <w:szCs w:val="21"/>
          <w:highlight w:val="none"/>
          <w:u w:val="single"/>
        </w:rPr>
        <w:t xml:space="preserve"> </w:t>
      </w:r>
      <w:r>
        <w:rPr>
          <w:rFonts w:hint="eastAsia"/>
          <w:color w:val="auto"/>
          <w:szCs w:val="21"/>
          <w:highlight w:val="none"/>
          <w:u w:val="single"/>
        </w:rPr>
        <w:t xml:space="preserve">留置质量保证金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15.3.1 承包人提供质量保证金的方式</w:t>
      </w:r>
    </w:p>
    <w:p>
      <w:pPr>
        <w:spacing w:line="360" w:lineRule="exact"/>
        <w:ind w:firstLine="420" w:firstLineChars="200"/>
        <w:rPr>
          <w:color w:val="auto"/>
          <w:szCs w:val="21"/>
          <w:highlight w:val="none"/>
        </w:rPr>
      </w:pPr>
      <w:r>
        <w:rPr>
          <w:color w:val="auto"/>
          <w:szCs w:val="21"/>
          <w:highlight w:val="none"/>
        </w:rPr>
        <w:t>质量保证金采用以下第</w:t>
      </w:r>
      <w:r>
        <w:rPr>
          <w:rFonts w:hint="eastAsia"/>
          <w:color w:val="auto"/>
          <w:szCs w:val="21"/>
          <w:highlight w:val="none"/>
          <w:u w:val="single"/>
        </w:rPr>
        <w:t>（1）</w:t>
      </w:r>
      <w:r>
        <w:rPr>
          <w:color w:val="auto"/>
          <w:szCs w:val="21"/>
          <w:highlight w:val="none"/>
        </w:rPr>
        <w:t>种方式：</w:t>
      </w:r>
    </w:p>
    <w:p>
      <w:pPr>
        <w:spacing w:line="360" w:lineRule="exact"/>
        <w:ind w:firstLine="420" w:firstLineChars="200"/>
        <w:rPr>
          <w:color w:val="auto"/>
          <w:szCs w:val="21"/>
          <w:highlight w:val="none"/>
        </w:rPr>
      </w:pPr>
      <w:r>
        <w:rPr>
          <w:color w:val="auto"/>
          <w:szCs w:val="21"/>
          <w:highlight w:val="none"/>
        </w:rPr>
        <w:t>（1）</w:t>
      </w:r>
      <w:r>
        <w:rPr>
          <w:rFonts w:hint="eastAsia"/>
          <w:color w:val="auto"/>
          <w:szCs w:val="21"/>
          <w:highlight w:val="none"/>
        </w:rPr>
        <w:t>质量保证金保函，保函形式为银行保函〔保险保函〕，金额为1.5 %的工程结算价款</w:t>
      </w:r>
      <w:r>
        <w:rPr>
          <w:color w:val="auto"/>
          <w:szCs w:val="21"/>
          <w:highlight w:val="none"/>
        </w:rPr>
        <w:t xml:space="preserve">； </w:t>
      </w:r>
    </w:p>
    <w:p>
      <w:pPr>
        <w:spacing w:line="360" w:lineRule="exact"/>
        <w:ind w:firstLine="420" w:firstLineChars="200"/>
        <w:rPr>
          <w:color w:val="auto"/>
          <w:szCs w:val="21"/>
          <w:highlight w:val="none"/>
        </w:rPr>
      </w:pPr>
      <w:r>
        <w:rPr>
          <w:color w:val="auto"/>
          <w:szCs w:val="21"/>
          <w:highlight w:val="none"/>
        </w:rPr>
        <w:t>（2）</w:t>
      </w:r>
      <w:r>
        <w:rPr>
          <w:rFonts w:hint="eastAsia"/>
          <w:color w:val="auto"/>
          <w:szCs w:val="21"/>
          <w:highlight w:val="none"/>
          <w:u w:val="single"/>
        </w:rPr>
        <w:t>1.5</w:t>
      </w:r>
      <w:r>
        <w:rPr>
          <w:color w:val="auto"/>
          <w:szCs w:val="21"/>
          <w:highlight w:val="none"/>
        </w:rPr>
        <w:t>%的工程</w:t>
      </w:r>
      <w:r>
        <w:rPr>
          <w:rFonts w:hint="eastAsia"/>
          <w:color w:val="auto"/>
          <w:szCs w:val="21"/>
          <w:highlight w:val="none"/>
        </w:rPr>
        <w:t>结算价</w:t>
      </w:r>
      <w:r>
        <w:rPr>
          <w:color w:val="auto"/>
          <w:szCs w:val="21"/>
          <w:highlight w:val="none"/>
        </w:rPr>
        <w:t>款；</w:t>
      </w:r>
    </w:p>
    <w:p>
      <w:pPr>
        <w:spacing w:line="360" w:lineRule="exact"/>
        <w:ind w:firstLine="420" w:firstLineChars="200"/>
        <w:rPr>
          <w:color w:val="auto"/>
          <w:szCs w:val="21"/>
          <w:highlight w:val="none"/>
        </w:rPr>
      </w:pPr>
      <w:r>
        <w:rPr>
          <w:color w:val="auto"/>
          <w:szCs w:val="21"/>
          <w:highlight w:val="none"/>
        </w:rPr>
        <w:t>（3）其他方式:</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 xml:space="preserve">15.3.2 质量保证金的扣留 </w:t>
      </w:r>
    </w:p>
    <w:p>
      <w:pPr>
        <w:spacing w:line="360" w:lineRule="exact"/>
        <w:ind w:firstLine="420" w:firstLineChars="200"/>
        <w:rPr>
          <w:color w:val="auto"/>
          <w:szCs w:val="21"/>
          <w:highlight w:val="none"/>
        </w:rPr>
      </w:pPr>
      <w:r>
        <w:rPr>
          <w:color w:val="auto"/>
          <w:szCs w:val="21"/>
          <w:highlight w:val="none"/>
        </w:rPr>
        <w:t>质量保证金的扣留采取以下第</w:t>
      </w:r>
      <w:r>
        <w:rPr>
          <w:rFonts w:hint="eastAsia"/>
          <w:color w:val="auto"/>
          <w:szCs w:val="21"/>
          <w:highlight w:val="none"/>
          <w:u w:val="single"/>
        </w:rPr>
        <w:t>（3）</w:t>
      </w:r>
      <w:r>
        <w:rPr>
          <w:color w:val="auto"/>
          <w:szCs w:val="21"/>
          <w:highlight w:val="none"/>
        </w:rPr>
        <w:t xml:space="preserve">种方式： </w:t>
      </w:r>
    </w:p>
    <w:p>
      <w:pPr>
        <w:spacing w:line="360" w:lineRule="exact"/>
        <w:ind w:firstLine="420" w:firstLineChars="200"/>
        <w:rPr>
          <w:color w:val="auto"/>
          <w:szCs w:val="21"/>
          <w:highlight w:val="none"/>
        </w:rPr>
      </w:pPr>
      <w:r>
        <w:rPr>
          <w:color w:val="auto"/>
          <w:szCs w:val="21"/>
          <w:highlight w:val="none"/>
        </w:rPr>
        <w:t>（1）在支付工程进度款时逐次扣留，在此情形下，质量保证金的计算基数不包括预付款的支付、扣回以及价格调整的金额；</w:t>
      </w:r>
    </w:p>
    <w:p>
      <w:pPr>
        <w:spacing w:line="360" w:lineRule="exact"/>
        <w:ind w:firstLine="420" w:firstLineChars="200"/>
        <w:rPr>
          <w:color w:val="auto"/>
          <w:szCs w:val="21"/>
          <w:highlight w:val="none"/>
        </w:rPr>
      </w:pPr>
      <w:r>
        <w:rPr>
          <w:color w:val="auto"/>
          <w:szCs w:val="21"/>
          <w:highlight w:val="none"/>
        </w:rPr>
        <w:t>（2）工程竣工结算时一次性扣留质量保证金；</w:t>
      </w:r>
    </w:p>
    <w:p>
      <w:pPr>
        <w:spacing w:line="360" w:lineRule="exact"/>
        <w:ind w:firstLine="420" w:firstLineChars="200"/>
        <w:rPr>
          <w:color w:val="auto"/>
          <w:szCs w:val="21"/>
          <w:highlight w:val="none"/>
        </w:rPr>
      </w:pPr>
      <w:r>
        <w:rPr>
          <w:color w:val="auto"/>
          <w:szCs w:val="21"/>
          <w:highlight w:val="none"/>
        </w:rPr>
        <w:t>（3）其他扣留方式</w:t>
      </w:r>
      <w:r>
        <w:rPr>
          <w:rFonts w:hint="eastAsia"/>
          <w:color w:val="auto"/>
          <w:szCs w:val="21"/>
          <w:highlight w:val="none"/>
        </w:rPr>
        <w:t>：</w:t>
      </w:r>
      <w:r>
        <w:rPr>
          <w:rFonts w:hint="eastAsia"/>
          <w:color w:val="auto"/>
          <w:szCs w:val="21"/>
          <w:highlight w:val="none"/>
          <w:u w:val="single"/>
        </w:rPr>
        <w:t>发包人支付完成最后工程结算付款前，承包人提供质量保证金保函</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关于质量保证金的补充约定：</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15.3.3 质量保证金的退还</w:t>
      </w:r>
    </w:p>
    <w:p>
      <w:pPr>
        <w:spacing w:line="360" w:lineRule="exact"/>
        <w:ind w:firstLine="420" w:firstLineChars="200"/>
        <w:rPr>
          <w:color w:val="auto"/>
          <w:szCs w:val="21"/>
          <w:highlight w:val="none"/>
        </w:rPr>
      </w:pPr>
      <w:r>
        <w:rPr>
          <w:rFonts w:hint="eastAsia"/>
          <w:color w:val="auto"/>
          <w:szCs w:val="21"/>
          <w:highlight w:val="none"/>
        </w:rPr>
        <w:t>质量保证金按以下第</w:t>
      </w:r>
      <w:r>
        <w:rPr>
          <w:rFonts w:hint="eastAsia"/>
          <w:color w:val="auto"/>
          <w:szCs w:val="21"/>
          <w:highlight w:val="none"/>
          <w:u w:val="single"/>
        </w:rPr>
        <w:t xml:space="preserve"> （1）</w:t>
      </w:r>
      <w:r>
        <w:rPr>
          <w:rFonts w:hint="eastAsia"/>
          <w:color w:val="auto"/>
          <w:szCs w:val="21"/>
          <w:highlight w:val="none"/>
        </w:rPr>
        <w:t>方式退回：</w:t>
      </w:r>
    </w:p>
    <w:p>
      <w:pPr>
        <w:spacing w:line="360" w:lineRule="exact"/>
        <w:ind w:firstLine="420" w:firstLineChars="200"/>
        <w:rPr>
          <w:color w:val="auto"/>
          <w:szCs w:val="21"/>
          <w:highlight w:val="none"/>
        </w:rPr>
      </w:pPr>
      <w:r>
        <w:rPr>
          <w:rFonts w:hint="eastAsia"/>
          <w:color w:val="auto"/>
          <w:szCs w:val="21"/>
          <w:highlight w:val="none"/>
        </w:rPr>
        <w:t>（1）缺陷责任期终止后，发包人退还剩余的质量保证金。</w:t>
      </w:r>
    </w:p>
    <w:p>
      <w:pPr>
        <w:spacing w:line="360" w:lineRule="exact"/>
        <w:ind w:firstLine="420" w:firstLineChars="200"/>
        <w:rPr>
          <w:color w:val="auto"/>
          <w:szCs w:val="21"/>
          <w:highlight w:val="none"/>
          <w:u w:val="single"/>
        </w:rPr>
      </w:pPr>
      <w:r>
        <w:rPr>
          <w:rFonts w:hint="eastAsia"/>
          <w:color w:val="auto"/>
          <w:szCs w:val="21"/>
          <w:highlight w:val="none"/>
        </w:rPr>
        <w:t>（2）建筑工程：</w:t>
      </w:r>
      <w:r>
        <w:rPr>
          <w:rFonts w:hint="eastAsia"/>
          <w:color w:val="auto"/>
          <w:szCs w:val="21"/>
          <w:highlight w:val="none"/>
          <w:u w:val="single"/>
        </w:rPr>
        <w:t>工程竣工验收合格后满 1 年返还质量保证金的 30%，满 2 年返还全部预留的质量保证金。</w:t>
      </w:r>
    </w:p>
    <w:p>
      <w:pPr>
        <w:spacing w:line="360" w:lineRule="exact"/>
        <w:ind w:firstLine="420" w:firstLineChars="200"/>
        <w:rPr>
          <w:color w:val="auto"/>
          <w:szCs w:val="21"/>
          <w:highlight w:val="none"/>
        </w:rPr>
      </w:pPr>
      <w:r>
        <w:rPr>
          <w:rFonts w:hint="eastAsia"/>
          <w:color w:val="auto"/>
          <w:szCs w:val="21"/>
          <w:highlight w:val="none"/>
        </w:rPr>
        <w:t>（3）市政工程：工程竣工验收合格后满 1 年返还全部质量保证金。</w:t>
      </w:r>
    </w:p>
    <w:p>
      <w:pPr>
        <w:spacing w:line="360" w:lineRule="exact"/>
        <w:ind w:firstLine="420" w:firstLineChars="200"/>
        <w:rPr>
          <w:color w:val="auto"/>
          <w:szCs w:val="21"/>
          <w:highlight w:val="none"/>
        </w:rPr>
      </w:pPr>
      <w:r>
        <w:rPr>
          <w:rFonts w:hint="eastAsia"/>
          <w:color w:val="auto"/>
          <w:szCs w:val="21"/>
          <w:highlight w:val="none"/>
        </w:rPr>
        <w:t>（4）其它：</w:t>
      </w:r>
      <w:r>
        <w:rPr>
          <w:rFonts w:hint="eastAsia"/>
          <w:color w:val="auto"/>
          <w:szCs w:val="21"/>
          <w:highlight w:val="none"/>
          <w:u w:val="single"/>
        </w:rPr>
        <w:t>/。</w:t>
      </w:r>
    </w:p>
    <w:p>
      <w:pPr>
        <w:spacing w:line="360" w:lineRule="exact"/>
        <w:ind w:firstLine="420" w:firstLineChars="200"/>
        <w:rPr>
          <w:color w:val="auto"/>
          <w:szCs w:val="21"/>
          <w:highlight w:val="none"/>
        </w:rPr>
      </w:pPr>
      <w:r>
        <w:rPr>
          <w:color w:val="auto"/>
          <w:szCs w:val="21"/>
          <w:highlight w:val="none"/>
        </w:rPr>
        <w:t>15.4保修</w:t>
      </w:r>
    </w:p>
    <w:p>
      <w:pPr>
        <w:spacing w:line="360" w:lineRule="exact"/>
        <w:ind w:firstLine="420" w:firstLineChars="200"/>
        <w:rPr>
          <w:color w:val="auto"/>
          <w:szCs w:val="21"/>
          <w:highlight w:val="none"/>
        </w:rPr>
      </w:pPr>
      <w:r>
        <w:rPr>
          <w:color w:val="auto"/>
          <w:szCs w:val="21"/>
          <w:highlight w:val="none"/>
        </w:rPr>
        <w:t>15.4.1 保修责任</w:t>
      </w:r>
    </w:p>
    <w:p>
      <w:pPr>
        <w:spacing w:line="360" w:lineRule="exact"/>
        <w:ind w:firstLine="420" w:firstLineChars="200"/>
        <w:rPr>
          <w:color w:val="auto"/>
          <w:szCs w:val="21"/>
          <w:highlight w:val="none"/>
        </w:rPr>
      </w:pPr>
      <w:r>
        <w:rPr>
          <w:color w:val="auto"/>
          <w:szCs w:val="21"/>
          <w:highlight w:val="none"/>
        </w:rPr>
        <w:t>工程保修期为：</w:t>
      </w:r>
      <w:r>
        <w:rPr>
          <w:color w:val="auto"/>
          <w:szCs w:val="21"/>
          <w:highlight w:val="none"/>
          <w:u w:val="single"/>
        </w:rPr>
        <w:t xml:space="preserve"> 按本合同附件3《工程质量保修书》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15.4.3 修复通知</w:t>
      </w:r>
    </w:p>
    <w:p>
      <w:pPr>
        <w:spacing w:line="360" w:lineRule="exact"/>
        <w:ind w:firstLine="420" w:firstLineChars="200"/>
        <w:rPr>
          <w:color w:val="auto"/>
          <w:szCs w:val="21"/>
          <w:highlight w:val="none"/>
        </w:rPr>
      </w:pPr>
      <w:r>
        <w:rPr>
          <w:color w:val="auto"/>
          <w:szCs w:val="21"/>
          <w:highlight w:val="none"/>
        </w:rPr>
        <w:t>承包人收到保修通知并到达工程现场的合理时间：</w:t>
      </w:r>
      <w:r>
        <w:rPr>
          <w:rFonts w:hint="eastAsia"/>
          <w:color w:val="auto"/>
          <w:szCs w:val="21"/>
          <w:highlight w:val="none"/>
          <w:u w:val="single"/>
        </w:rPr>
        <w:t>按本合同附件3《工程质量保修书》执行</w:t>
      </w:r>
      <w:r>
        <w:rPr>
          <w:color w:val="auto"/>
          <w:szCs w:val="21"/>
          <w:highlight w:val="none"/>
        </w:rPr>
        <w:t>。</w:t>
      </w:r>
    </w:p>
    <w:bookmarkEnd w:id="433"/>
    <w:bookmarkEnd w:id="434"/>
    <w:bookmarkEnd w:id="435"/>
    <w:bookmarkEnd w:id="436"/>
    <w:p>
      <w:pPr>
        <w:spacing w:line="360" w:lineRule="exact"/>
        <w:ind w:firstLine="422" w:firstLineChars="200"/>
        <w:rPr>
          <w:b/>
          <w:bCs/>
          <w:color w:val="auto"/>
          <w:szCs w:val="21"/>
          <w:highlight w:val="none"/>
        </w:rPr>
      </w:pPr>
      <w:bookmarkStart w:id="459" w:name="_Toc351203648"/>
      <w:bookmarkStart w:id="460" w:name="_Toc280868717"/>
      <w:bookmarkStart w:id="461" w:name="_Toc280868718"/>
      <w:r>
        <w:rPr>
          <w:b/>
          <w:bCs/>
          <w:color w:val="auto"/>
          <w:szCs w:val="21"/>
          <w:highlight w:val="none"/>
        </w:rPr>
        <w:t>16. 违约</w:t>
      </w:r>
      <w:bookmarkEnd w:id="459"/>
    </w:p>
    <w:p>
      <w:pPr>
        <w:spacing w:line="360" w:lineRule="exact"/>
        <w:ind w:firstLine="420" w:firstLineChars="200"/>
        <w:rPr>
          <w:color w:val="auto"/>
          <w:szCs w:val="21"/>
          <w:highlight w:val="none"/>
        </w:rPr>
      </w:pPr>
      <w:r>
        <w:rPr>
          <w:color w:val="auto"/>
          <w:szCs w:val="21"/>
          <w:highlight w:val="none"/>
        </w:rPr>
        <w:t>16.1 发包人违约</w:t>
      </w:r>
    </w:p>
    <w:p>
      <w:pPr>
        <w:spacing w:line="360" w:lineRule="exact"/>
        <w:ind w:firstLine="420" w:firstLineChars="200"/>
        <w:rPr>
          <w:color w:val="auto"/>
          <w:szCs w:val="21"/>
          <w:highlight w:val="none"/>
        </w:rPr>
      </w:pPr>
      <w:r>
        <w:rPr>
          <w:color w:val="auto"/>
          <w:szCs w:val="21"/>
          <w:highlight w:val="none"/>
        </w:rPr>
        <w:t>16.1.1发包人违约的情形</w:t>
      </w:r>
    </w:p>
    <w:p>
      <w:pPr>
        <w:spacing w:line="360" w:lineRule="exact"/>
        <w:ind w:firstLine="420" w:firstLineChars="200"/>
        <w:rPr>
          <w:color w:val="auto"/>
          <w:szCs w:val="21"/>
          <w:highlight w:val="none"/>
        </w:rPr>
      </w:pPr>
      <w:r>
        <w:rPr>
          <w:color w:val="auto"/>
          <w:szCs w:val="21"/>
          <w:highlight w:val="none"/>
        </w:rPr>
        <w:t>发包人违约的其他情形：</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16.1.2 发包人违约的责任</w:t>
      </w:r>
    </w:p>
    <w:p>
      <w:pPr>
        <w:spacing w:line="360" w:lineRule="exact"/>
        <w:ind w:firstLine="420" w:firstLineChars="200"/>
        <w:rPr>
          <w:color w:val="auto"/>
          <w:szCs w:val="21"/>
          <w:highlight w:val="none"/>
        </w:rPr>
      </w:pPr>
      <w:r>
        <w:rPr>
          <w:color w:val="auto"/>
          <w:szCs w:val="21"/>
          <w:highlight w:val="none"/>
        </w:rPr>
        <w:t>发包人违约责任的承担方式和计算方法：</w:t>
      </w:r>
    </w:p>
    <w:p>
      <w:pPr>
        <w:spacing w:line="360" w:lineRule="exact"/>
        <w:ind w:firstLine="420" w:firstLineChars="200"/>
        <w:rPr>
          <w:color w:val="auto"/>
          <w:szCs w:val="21"/>
          <w:highlight w:val="none"/>
          <w:u w:val="single"/>
        </w:rPr>
      </w:pPr>
      <w:r>
        <w:rPr>
          <w:color w:val="auto"/>
          <w:szCs w:val="21"/>
          <w:highlight w:val="none"/>
        </w:rPr>
        <w:t>（1）因发包人原因未能在计划开工日期前7天内下达开工通知的违约责任：</w:t>
      </w:r>
      <w:r>
        <w:rPr>
          <w:color w:val="auto"/>
          <w:szCs w:val="21"/>
          <w:highlight w:val="none"/>
          <w:u w:val="single"/>
        </w:rPr>
        <w:t xml:space="preserve"> </w:t>
      </w:r>
      <w:r>
        <w:rPr>
          <w:rFonts w:hint="eastAsia"/>
          <w:color w:val="auto"/>
          <w:szCs w:val="21"/>
          <w:highlight w:val="none"/>
          <w:u w:val="single"/>
        </w:rPr>
        <w:t>赔偿承包人相关损失；属于专用合同条款 7.3.2 条约定情形的，按该条款约定处理</w:t>
      </w:r>
      <w:r>
        <w:rPr>
          <w:color w:val="auto"/>
          <w:szCs w:val="21"/>
          <w:highlight w:val="none"/>
          <w:u w:val="single"/>
        </w:rPr>
        <w:t>。</w:t>
      </w:r>
    </w:p>
    <w:p>
      <w:pPr>
        <w:spacing w:line="360" w:lineRule="exact"/>
        <w:ind w:firstLine="420" w:firstLineChars="200"/>
        <w:rPr>
          <w:color w:val="auto"/>
          <w:szCs w:val="21"/>
          <w:highlight w:val="none"/>
        </w:rPr>
      </w:pPr>
      <w:r>
        <w:rPr>
          <w:color w:val="auto"/>
          <w:szCs w:val="21"/>
          <w:highlight w:val="none"/>
        </w:rPr>
        <w:t>（2）因发包人原因未能按合同约定支付合同价款的违约责任：</w:t>
      </w:r>
      <w:r>
        <w:rPr>
          <w:rFonts w:hint="eastAsia" w:ascii="宋体" w:hAnsi="宋体" w:cs="宋体"/>
          <w:color w:val="auto"/>
          <w:szCs w:val="21"/>
          <w:highlight w:val="none"/>
          <w:u w:val="single"/>
        </w:rPr>
        <w:t>逾期支付在56天内的按同期全国银行间同业拆借中心公布的贷款市场报价利率支付违约金；逾期超过56天，按同期全国银行间同业拆借中心公布的贷款市场报价利率的两倍支付违约金。</w:t>
      </w:r>
    </w:p>
    <w:p>
      <w:pPr>
        <w:spacing w:line="360" w:lineRule="exact"/>
        <w:ind w:firstLine="420" w:firstLineChars="200"/>
        <w:rPr>
          <w:color w:val="auto"/>
          <w:szCs w:val="21"/>
          <w:highlight w:val="none"/>
        </w:rPr>
      </w:pPr>
      <w:r>
        <w:rPr>
          <w:color w:val="auto"/>
          <w:szCs w:val="21"/>
          <w:highlight w:val="none"/>
        </w:rPr>
        <w:t>（3）发包人违反第10.1款〔变更的范围〕第（2）项约定，自行实施被取消的工作或转由他人实施的违约责任：</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（4）发包人提供的材料、工程设备的规格、数量或质量不符合合同约定，或因发包人原因导致交货日期延误或交货地点变更等情况的违约责任：</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（5）因发包人违反合同约定造成暂停施工的违约责任：</w:t>
      </w:r>
      <w:r>
        <w:rPr>
          <w:color w:val="auto"/>
          <w:szCs w:val="21"/>
          <w:highlight w:val="none"/>
          <w:u w:val="single"/>
        </w:rPr>
        <w:t xml:space="preserve"> </w:t>
      </w:r>
      <w:r>
        <w:rPr>
          <w:rFonts w:hint="eastAsia"/>
          <w:color w:val="auto"/>
          <w:szCs w:val="21"/>
          <w:highlight w:val="none"/>
          <w:u w:val="single"/>
        </w:rPr>
        <w:t xml:space="preserve">            /            </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（6）发包人无正当理由没有在约定期限内发出复工指示，导致承包人无法复工的违约责任：</w:t>
      </w:r>
      <w:r>
        <w:rPr>
          <w:color w:val="auto"/>
          <w:szCs w:val="21"/>
          <w:highlight w:val="none"/>
          <w:u w:val="single"/>
        </w:rPr>
        <w:t xml:space="preserve">     </w:t>
      </w:r>
      <w:r>
        <w:rPr>
          <w:rFonts w:hint="eastAsia"/>
          <w:color w:val="auto"/>
          <w:szCs w:val="21"/>
          <w:highlight w:val="none"/>
          <w:u w:val="single"/>
        </w:rPr>
        <w:t xml:space="preserve">   /   </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（7）其他：</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16.1.3 因发包人违约解除合同</w:t>
      </w:r>
    </w:p>
    <w:p>
      <w:pPr>
        <w:spacing w:line="360" w:lineRule="exact"/>
        <w:ind w:firstLine="420" w:firstLineChars="200"/>
        <w:rPr>
          <w:color w:val="auto"/>
          <w:szCs w:val="21"/>
          <w:highlight w:val="none"/>
        </w:rPr>
      </w:pPr>
      <w:r>
        <w:rPr>
          <w:color w:val="auto"/>
          <w:szCs w:val="21"/>
          <w:highlight w:val="none"/>
        </w:rPr>
        <w:t>承包人按16.1.1项〔发包人违约的情形〕约定暂停施工满</w:t>
      </w:r>
      <w:r>
        <w:rPr>
          <w:rFonts w:hint="eastAsia"/>
          <w:color w:val="auto"/>
          <w:szCs w:val="21"/>
          <w:highlight w:val="none"/>
          <w:u w:val="single"/>
        </w:rPr>
        <w:t>28</w:t>
      </w:r>
      <w:r>
        <w:rPr>
          <w:color w:val="auto"/>
          <w:szCs w:val="21"/>
          <w:highlight w:val="none"/>
        </w:rPr>
        <w:t>天后发包人仍不纠正其违约行为并致使合同目的不能实现的，承包人有权解除合同。</w:t>
      </w:r>
    </w:p>
    <w:p>
      <w:pPr>
        <w:spacing w:line="360" w:lineRule="exact"/>
        <w:ind w:firstLine="420" w:firstLineChars="200"/>
        <w:rPr>
          <w:color w:val="auto"/>
          <w:szCs w:val="21"/>
          <w:highlight w:val="none"/>
        </w:rPr>
      </w:pPr>
      <w:r>
        <w:rPr>
          <w:color w:val="auto"/>
          <w:szCs w:val="21"/>
          <w:highlight w:val="none"/>
        </w:rPr>
        <w:t>16.2 承包人违约</w:t>
      </w:r>
    </w:p>
    <w:p>
      <w:pPr>
        <w:spacing w:line="360" w:lineRule="exact"/>
        <w:ind w:firstLine="420" w:firstLineChars="200"/>
        <w:rPr>
          <w:color w:val="auto"/>
          <w:szCs w:val="21"/>
          <w:highlight w:val="none"/>
        </w:rPr>
      </w:pPr>
      <w:r>
        <w:rPr>
          <w:color w:val="auto"/>
          <w:szCs w:val="21"/>
          <w:highlight w:val="none"/>
        </w:rPr>
        <w:t>16.2.1 承包人违约的情形</w:t>
      </w:r>
    </w:p>
    <w:p>
      <w:pPr>
        <w:spacing w:line="360" w:lineRule="exact"/>
        <w:ind w:firstLine="420" w:firstLineChars="200"/>
        <w:rPr>
          <w:color w:val="auto"/>
          <w:szCs w:val="21"/>
          <w:highlight w:val="none"/>
          <w:u w:val="single"/>
        </w:rPr>
      </w:pPr>
      <w:r>
        <w:rPr>
          <w:color w:val="auto"/>
          <w:szCs w:val="21"/>
          <w:highlight w:val="none"/>
        </w:rPr>
        <w:t>承包人违约的其他情形：</w:t>
      </w:r>
    </w:p>
    <w:p>
      <w:pPr>
        <w:spacing w:line="360" w:lineRule="exact"/>
        <w:ind w:firstLine="420" w:firstLineChars="200"/>
        <w:rPr>
          <w:color w:val="auto"/>
          <w:szCs w:val="21"/>
          <w:highlight w:val="none"/>
          <w:u w:val="single"/>
        </w:rPr>
      </w:pPr>
      <w:r>
        <w:rPr>
          <w:color w:val="auto"/>
          <w:szCs w:val="21"/>
          <w:highlight w:val="none"/>
        </w:rPr>
        <w:t>（1）</w:t>
      </w:r>
      <w:r>
        <w:rPr>
          <w:color w:val="auto"/>
          <w:szCs w:val="21"/>
          <w:highlight w:val="none"/>
          <w:u w:val="single"/>
        </w:rPr>
        <w:t>机械设备、施工项目班子未按投标承诺及时到位</w:t>
      </w:r>
      <w:r>
        <w:rPr>
          <w:color w:val="auto"/>
          <w:szCs w:val="21"/>
          <w:highlight w:val="none"/>
        </w:rPr>
        <w:t>；</w:t>
      </w:r>
    </w:p>
    <w:p>
      <w:pPr>
        <w:spacing w:line="360" w:lineRule="exact"/>
        <w:ind w:firstLine="420" w:firstLineChars="200"/>
        <w:rPr>
          <w:color w:val="auto"/>
          <w:szCs w:val="21"/>
          <w:highlight w:val="none"/>
          <w:u w:val="single"/>
        </w:rPr>
      </w:pPr>
      <w:r>
        <w:rPr>
          <w:color w:val="auto"/>
          <w:szCs w:val="21"/>
          <w:highlight w:val="none"/>
        </w:rPr>
        <w:t>（2）</w:t>
      </w:r>
      <w:r>
        <w:rPr>
          <w:color w:val="auto"/>
          <w:szCs w:val="21"/>
          <w:highlight w:val="none"/>
          <w:u w:val="single"/>
        </w:rPr>
        <w:t>本工程在实施过程中，如承包人的施工队伍素质、力量、现场管理班子、现场安全文明施工不符合投标书的承诺，造成现场管理混乱、工程质量和进度达不到投标所承诺的要求；</w:t>
      </w:r>
    </w:p>
    <w:p>
      <w:pPr>
        <w:spacing w:line="360" w:lineRule="exact"/>
        <w:ind w:firstLine="420" w:firstLineChars="200"/>
        <w:rPr>
          <w:color w:val="auto"/>
          <w:szCs w:val="21"/>
          <w:highlight w:val="none"/>
          <w:u w:val="single"/>
        </w:rPr>
      </w:pPr>
      <w:r>
        <w:rPr>
          <w:color w:val="auto"/>
          <w:szCs w:val="21"/>
          <w:highlight w:val="none"/>
        </w:rPr>
        <w:t>（3）</w:t>
      </w:r>
      <w:r>
        <w:rPr>
          <w:color w:val="auto"/>
          <w:szCs w:val="21"/>
          <w:highlight w:val="none"/>
          <w:u w:val="single"/>
        </w:rPr>
        <w:t>承包人允许其他人挂靠经营、私自转包</w:t>
      </w:r>
      <w:r>
        <w:rPr>
          <w:color w:val="auto"/>
          <w:szCs w:val="21"/>
          <w:highlight w:val="none"/>
        </w:rPr>
        <w:t>；</w:t>
      </w:r>
    </w:p>
    <w:p>
      <w:pPr>
        <w:spacing w:line="360" w:lineRule="exact"/>
        <w:ind w:firstLine="420" w:firstLineChars="200"/>
        <w:rPr>
          <w:color w:val="auto"/>
          <w:szCs w:val="21"/>
          <w:highlight w:val="none"/>
          <w:u w:val="single"/>
        </w:rPr>
      </w:pPr>
      <w:r>
        <w:rPr>
          <w:color w:val="auto"/>
          <w:szCs w:val="21"/>
          <w:highlight w:val="none"/>
        </w:rPr>
        <w:t>（4）</w:t>
      </w:r>
      <w:r>
        <w:rPr>
          <w:color w:val="auto"/>
          <w:szCs w:val="21"/>
          <w:highlight w:val="none"/>
          <w:u w:val="single"/>
        </w:rPr>
        <w:t>承包人未达到投标时所承诺的诚信与技术标准</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16.2.2承包人违约的责任</w:t>
      </w:r>
    </w:p>
    <w:p>
      <w:pPr>
        <w:spacing w:line="360" w:lineRule="exact"/>
        <w:ind w:firstLine="420" w:firstLineChars="200"/>
        <w:rPr>
          <w:color w:val="auto"/>
          <w:szCs w:val="21"/>
          <w:highlight w:val="none"/>
        </w:rPr>
      </w:pPr>
      <w:r>
        <w:rPr>
          <w:color w:val="auto"/>
          <w:szCs w:val="21"/>
          <w:highlight w:val="none"/>
        </w:rPr>
        <w:t>承包人违约责任的承担方式和计算方法：</w:t>
      </w:r>
    </w:p>
    <w:p>
      <w:pPr>
        <w:spacing w:line="360" w:lineRule="exact"/>
        <w:ind w:firstLine="420" w:firstLineChars="200"/>
        <w:rPr>
          <w:color w:val="auto"/>
          <w:szCs w:val="21"/>
          <w:highlight w:val="none"/>
          <w:u w:val="single"/>
        </w:rPr>
      </w:pPr>
      <w:r>
        <w:rPr>
          <w:color w:val="auto"/>
          <w:szCs w:val="21"/>
          <w:highlight w:val="none"/>
          <w:u w:val="single"/>
        </w:rPr>
        <w:t>（1）</w:t>
      </w:r>
      <w:r>
        <w:rPr>
          <w:rFonts w:hint="eastAsia"/>
          <w:color w:val="auto"/>
          <w:szCs w:val="21"/>
          <w:highlight w:val="none"/>
          <w:u w:val="single"/>
        </w:rPr>
        <w:t>机械设备未按投标承诺到位，每项扣除履约担保金2%；</w:t>
      </w:r>
    </w:p>
    <w:p>
      <w:pPr>
        <w:spacing w:line="360" w:lineRule="exact"/>
        <w:ind w:firstLine="420" w:firstLineChars="200"/>
        <w:rPr>
          <w:color w:val="auto"/>
          <w:szCs w:val="21"/>
          <w:highlight w:val="none"/>
          <w:u w:val="single"/>
        </w:rPr>
      </w:pPr>
      <w:r>
        <w:rPr>
          <w:rFonts w:hint="eastAsia"/>
          <w:color w:val="auto"/>
          <w:szCs w:val="21"/>
          <w:highlight w:val="none"/>
          <w:u w:val="single"/>
        </w:rPr>
        <w:t>（2）现场安全文明施工不符合投标书承诺，扣减相应安全文明施工费用；承包人原因造成现场管理混乱、工程质量和进度达不到投标承诺的要求，发包人有权要求承包人调整充实施工力量、更换项目班子，及至解除施工合同，所有履约担保金归发包人，在工程款支付时扣除，并赔偿发包人损失。</w:t>
      </w:r>
    </w:p>
    <w:p>
      <w:pPr>
        <w:spacing w:line="360" w:lineRule="exact"/>
        <w:ind w:firstLine="420" w:firstLineChars="200"/>
        <w:rPr>
          <w:color w:val="auto"/>
          <w:szCs w:val="21"/>
          <w:highlight w:val="none"/>
          <w:u w:val="single"/>
        </w:rPr>
      </w:pPr>
      <w:r>
        <w:rPr>
          <w:rFonts w:hint="eastAsia"/>
          <w:color w:val="auto"/>
          <w:szCs w:val="21"/>
          <w:highlight w:val="none"/>
        </w:rPr>
        <w:t>（3）</w:t>
      </w:r>
      <w:r>
        <w:rPr>
          <w:rFonts w:hint="eastAsia"/>
          <w:color w:val="auto"/>
          <w:szCs w:val="21"/>
          <w:highlight w:val="none"/>
          <w:u w:val="single"/>
        </w:rPr>
        <w:t>发现承包人允许其他人挂靠经营、私自转包，所有履约担保归发包人，</w:t>
      </w:r>
      <w:r>
        <w:rPr>
          <w:color w:val="auto"/>
          <w:szCs w:val="21"/>
          <w:highlight w:val="none"/>
          <w:u w:val="single"/>
        </w:rPr>
        <w:t>在工程款支付时扣除</w:t>
      </w:r>
      <w:r>
        <w:rPr>
          <w:rFonts w:hint="eastAsia"/>
          <w:color w:val="auto"/>
          <w:szCs w:val="21"/>
          <w:highlight w:val="none"/>
          <w:u w:val="single"/>
        </w:rPr>
        <w:t>，同时赔偿发包人损失，并责令退出工地。</w:t>
      </w:r>
    </w:p>
    <w:p>
      <w:pPr>
        <w:spacing w:line="360" w:lineRule="exact"/>
        <w:ind w:firstLine="420" w:firstLineChars="200"/>
        <w:rPr>
          <w:color w:val="auto"/>
          <w:szCs w:val="21"/>
          <w:highlight w:val="none"/>
          <w:u w:val="single"/>
        </w:rPr>
      </w:pPr>
      <w:r>
        <w:rPr>
          <w:rFonts w:hint="eastAsia"/>
          <w:color w:val="auto"/>
          <w:szCs w:val="21"/>
          <w:highlight w:val="none"/>
        </w:rPr>
        <w:t>（4）</w:t>
      </w:r>
      <w:r>
        <w:rPr>
          <w:rFonts w:hint="eastAsia"/>
          <w:color w:val="auto"/>
          <w:szCs w:val="21"/>
          <w:highlight w:val="none"/>
          <w:u w:val="single"/>
        </w:rPr>
        <w:t>未达到投标所承诺的诚信与技术标准，按每一项扣减履约担保金的10%，</w:t>
      </w:r>
      <w:r>
        <w:rPr>
          <w:color w:val="auto"/>
          <w:szCs w:val="21"/>
          <w:highlight w:val="none"/>
          <w:u w:val="single"/>
        </w:rPr>
        <w:t>在当期工程款支付时扣除</w:t>
      </w:r>
      <w:r>
        <w:rPr>
          <w:rFonts w:hint="eastAsia"/>
          <w:color w:val="auto"/>
          <w:szCs w:val="21"/>
          <w:highlight w:val="none"/>
          <w:u w:val="single"/>
        </w:rPr>
        <w:t>。</w:t>
      </w:r>
    </w:p>
    <w:p>
      <w:pPr>
        <w:spacing w:line="360" w:lineRule="exact"/>
        <w:ind w:firstLine="420" w:firstLineChars="200"/>
        <w:rPr>
          <w:color w:val="auto"/>
          <w:szCs w:val="21"/>
          <w:highlight w:val="none"/>
          <w:u w:val="single"/>
        </w:rPr>
      </w:pPr>
      <w:r>
        <w:rPr>
          <w:rFonts w:hint="eastAsia"/>
          <w:color w:val="auto"/>
          <w:szCs w:val="21"/>
          <w:highlight w:val="none"/>
        </w:rPr>
        <w:t>（5）</w:t>
      </w:r>
      <w:r>
        <w:rPr>
          <w:rFonts w:hint="eastAsia"/>
          <w:color w:val="auto"/>
          <w:szCs w:val="21"/>
          <w:highlight w:val="none"/>
          <w:u w:val="single"/>
        </w:rPr>
        <w:t>承包人原因导致的工程延误，工期不予顺延，由工期延误引起人工、材料价格上涨由承包人承担，按原合同约定价格结算；价格下降归发包人受益，按下降后价格结算。工期顺延对发包人造成损失的，赔偿发包人相应损失；当施工工期超过合同工期50%以上时，可解除施工合同。</w:t>
      </w:r>
    </w:p>
    <w:p>
      <w:pPr>
        <w:spacing w:line="360" w:lineRule="exact"/>
        <w:ind w:firstLine="420" w:firstLineChars="200"/>
        <w:rPr>
          <w:color w:val="auto"/>
          <w:szCs w:val="21"/>
          <w:highlight w:val="none"/>
          <w:u w:val="single"/>
        </w:rPr>
      </w:pPr>
      <w:r>
        <w:rPr>
          <w:color w:val="auto"/>
          <w:szCs w:val="21"/>
          <w:highlight w:val="none"/>
        </w:rPr>
        <w:t>（</w:t>
      </w:r>
      <w:r>
        <w:rPr>
          <w:rFonts w:hint="eastAsia"/>
          <w:color w:val="auto"/>
          <w:szCs w:val="21"/>
          <w:highlight w:val="none"/>
        </w:rPr>
        <w:t>6</w:t>
      </w:r>
      <w:r>
        <w:rPr>
          <w:color w:val="auto"/>
          <w:szCs w:val="21"/>
          <w:highlight w:val="none"/>
        </w:rPr>
        <w:t>）</w:t>
      </w:r>
      <w:r>
        <w:rPr>
          <w:color w:val="auto"/>
          <w:szCs w:val="21"/>
          <w:highlight w:val="none"/>
          <w:u w:val="single"/>
        </w:rPr>
        <w:t>承包人无法继续履行、明确表示不履行或实质上已停止履行合同，发包人可通知承包人全部解除合同，所有履约担保归发包人，同时赔偿发包人损失。</w:t>
      </w:r>
    </w:p>
    <w:p>
      <w:pPr>
        <w:spacing w:line="360" w:lineRule="exact"/>
        <w:ind w:firstLine="420" w:firstLineChars="200"/>
        <w:rPr>
          <w:color w:val="auto"/>
          <w:szCs w:val="21"/>
          <w:highlight w:val="none"/>
        </w:rPr>
      </w:pPr>
      <w:r>
        <w:rPr>
          <w:color w:val="auto"/>
          <w:szCs w:val="21"/>
          <w:highlight w:val="none"/>
        </w:rPr>
        <w:t>16.2.3 因承包人违约解除合同</w:t>
      </w:r>
    </w:p>
    <w:p>
      <w:pPr>
        <w:spacing w:line="360" w:lineRule="exact"/>
        <w:ind w:firstLine="420" w:firstLineChars="200"/>
        <w:rPr>
          <w:color w:val="auto"/>
          <w:szCs w:val="21"/>
          <w:highlight w:val="none"/>
          <w:u w:val="single"/>
        </w:rPr>
      </w:pPr>
      <w:r>
        <w:rPr>
          <w:color w:val="auto"/>
          <w:szCs w:val="21"/>
          <w:highlight w:val="none"/>
        </w:rPr>
        <w:t>关于承包人违约解除合同的特别约定：</w:t>
      </w:r>
      <w:r>
        <w:rPr>
          <w:color w:val="auto"/>
          <w:szCs w:val="21"/>
          <w:highlight w:val="none"/>
          <w:u w:val="single"/>
        </w:rPr>
        <w:t xml:space="preserve">         /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发包人继续使用承包人在施工现场的材料、设备、临时工程、承包人文件和由承包人或以其名义编制的其他文件的费用承担方式：</w:t>
      </w:r>
      <w:r>
        <w:rPr>
          <w:color w:val="auto"/>
          <w:szCs w:val="21"/>
          <w:highlight w:val="none"/>
          <w:u w:val="single"/>
        </w:rPr>
        <w:t xml:space="preserve">使用施工现场的材料、设备按实结算，使用施工机械、器具按租赁费结算，临时工程折算成费用按完成造价比例计算，无偿使用承包人为本工程施工所编制的相应文件等 </w:t>
      </w:r>
      <w:r>
        <w:rPr>
          <w:color w:val="auto"/>
          <w:szCs w:val="21"/>
          <w:highlight w:val="none"/>
        </w:rPr>
        <w:t>。</w:t>
      </w:r>
    </w:p>
    <w:p>
      <w:pPr>
        <w:spacing w:line="360" w:lineRule="exact"/>
        <w:ind w:firstLine="420" w:firstLineChars="200"/>
        <w:rPr>
          <w:color w:val="auto"/>
          <w:szCs w:val="21"/>
          <w:highlight w:val="none"/>
          <w:u w:val="single"/>
        </w:rPr>
      </w:pPr>
      <w:r>
        <w:rPr>
          <w:color w:val="auto"/>
          <w:szCs w:val="21"/>
          <w:highlight w:val="none"/>
        </w:rPr>
        <w:t>16.2.4 因承包人违约解除合同后的处理：</w:t>
      </w:r>
      <w:r>
        <w:rPr>
          <w:color w:val="auto"/>
          <w:szCs w:val="21"/>
          <w:highlight w:val="none"/>
          <w:u w:val="single"/>
        </w:rPr>
        <w:t xml:space="preserve">          /         </w:t>
      </w:r>
      <w:r>
        <w:rPr>
          <w:color w:val="auto"/>
          <w:szCs w:val="21"/>
          <w:highlight w:val="none"/>
        </w:rPr>
        <w:t>。</w:t>
      </w:r>
    </w:p>
    <w:p>
      <w:pPr>
        <w:spacing w:line="360" w:lineRule="exact"/>
        <w:ind w:firstLine="422" w:firstLineChars="200"/>
        <w:rPr>
          <w:bCs/>
          <w:color w:val="auto"/>
          <w:szCs w:val="21"/>
          <w:highlight w:val="none"/>
        </w:rPr>
      </w:pPr>
      <w:bookmarkStart w:id="462" w:name="_Toc351203649"/>
      <w:r>
        <w:rPr>
          <w:b/>
          <w:bCs/>
          <w:color w:val="auto"/>
          <w:szCs w:val="21"/>
          <w:highlight w:val="none"/>
        </w:rPr>
        <w:t>17. 不可抗力</w:t>
      </w:r>
      <w:bookmarkEnd w:id="462"/>
      <w:r>
        <w:rPr>
          <w:bCs/>
          <w:color w:val="auto"/>
          <w:szCs w:val="21"/>
          <w:highlight w:val="none"/>
        </w:rPr>
        <w:t xml:space="preserve"> </w:t>
      </w:r>
      <w:bookmarkEnd w:id="460"/>
    </w:p>
    <w:p>
      <w:pPr>
        <w:spacing w:line="360" w:lineRule="exact"/>
        <w:ind w:firstLine="420" w:firstLineChars="200"/>
        <w:rPr>
          <w:color w:val="auto"/>
          <w:szCs w:val="21"/>
          <w:highlight w:val="none"/>
        </w:rPr>
      </w:pPr>
      <w:r>
        <w:rPr>
          <w:color w:val="auto"/>
          <w:szCs w:val="21"/>
          <w:highlight w:val="none"/>
        </w:rPr>
        <w:t>17.1 不可抗力的确认</w:t>
      </w:r>
    </w:p>
    <w:p>
      <w:pPr>
        <w:spacing w:line="360" w:lineRule="exact"/>
        <w:ind w:firstLine="420" w:firstLineChars="200"/>
        <w:rPr>
          <w:color w:val="auto"/>
          <w:szCs w:val="21"/>
          <w:highlight w:val="none"/>
          <w:u w:val="single"/>
        </w:rPr>
      </w:pPr>
      <w:r>
        <w:rPr>
          <w:color w:val="auto"/>
          <w:szCs w:val="21"/>
          <w:highlight w:val="none"/>
        </w:rPr>
        <w:t>除通用合同条款约定的不可抗力事件之外，视为不可抗力的其他情形：</w:t>
      </w:r>
      <w:r>
        <w:rPr>
          <w:rFonts w:hint="eastAsia"/>
          <w:color w:val="auto"/>
          <w:szCs w:val="21"/>
          <w:highlight w:val="none"/>
          <w:u w:val="single"/>
        </w:rPr>
        <w:t>10 级（不含 10 级）以上台风、10 年一遇洪水、暴风雪、干旱，罢工、政府禁令。</w:t>
      </w:r>
    </w:p>
    <w:p>
      <w:pPr>
        <w:spacing w:line="360" w:lineRule="exact"/>
        <w:ind w:firstLine="420" w:firstLineChars="200"/>
        <w:rPr>
          <w:color w:val="auto"/>
          <w:szCs w:val="21"/>
          <w:highlight w:val="none"/>
        </w:rPr>
      </w:pPr>
      <w:r>
        <w:rPr>
          <w:rFonts w:hint="eastAsia"/>
          <w:color w:val="auto"/>
          <w:szCs w:val="21"/>
          <w:highlight w:val="none"/>
        </w:rPr>
        <w:t>17.2 不可抗力的通知</w:t>
      </w:r>
    </w:p>
    <w:p>
      <w:pPr>
        <w:spacing w:line="360" w:lineRule="exact"/>
        <w:ind w:firstLine="420" w:firstLineChars="200"/>
        <w:rPr>
          <w:color w:val="auto"/>
          <w:szCs w:val="21"/>
          <w:highlight w:val="none"/>
          <w:u w:val="single"/>
        </w:rPr>
      </w:pPr>
      <w:r>
        <w:rPr>
          <w:rFonts w:hint="eastAsia"/>
          <w:color w:val="auto"/>
          <w:szCs w:val="21"/>
          <w:highlight w:val="none"/>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pPr>
        <w:spacing w:line="360" w:lineRule="exact"/>
        <w:ind w:firstLine="420" w:firstLineChars="200"/>
        <w:rPr>
          <w:color w:val="auto"/>
          <w:szCs w:val="21"/>
          <w:highlight w:val="none"/>
        </w:rPr>
      </w:pPr>
      <w:r>
        <w:rPr>
          <w:rFonts w:hint="eastAsia"/>
          <w:color w:val="auto"/>
          <w:szCs w:val="21"/>
          <w:highlight w:val="none"/>
        </w:rPr>
        <w:t>17.3 不可抗力后果的承担</w:t>
      </w:r>
    </w:p>
    <w:p>
      <w:pPr>
        <w:spacing w:line="360" w:lineRule="exact"/>
        <w:ind w:firstLine="420" w:firstLineChars="200"/>
        <w:rPr>
          <w:color w:val="auto"/>
          <w:szCs w:val="21"/>
          <w:highlight w:val="none"/>
          <w:u w:val="single"/>
        </w:rPr>
      </w:pPr>
      <w:r>
        <w:rPr>
          <w:rFonts w:hint="eastAsia"/>
          <w:color w:val="auto"/>
          <w:szCs w:val="21"/>
          <w:highlight w:val="none"/>
          <w:u w:val="single"/>
        </w:rPr>
        <w:t>按通用条款。</w:t>
      </w:r>
    </w:p>
    <w:p>
      <w:pPr>
        <w:spacing w:line="360" w:lineRule="exact"/>
        <w:ind w:firstLine="420" w:firstLineChars="200"/>
        <w:rPr>
          <w:color w:val="auto"/>
          <w:szCs w:val="21"/>
          <w:highlight w:val="none"/>
        </w:rPr>
      </w:pPr>
      <w:r>
        <w:rPr>
          <w:color w:val="auto"/>
          <w:szCs w:val="21"/>
          <w:highlight w:val="none"/>
        </w:rPr>
        <w:t>17.4 因不可抗力解除合同</w:t>
      </w:r>
    </w:p>
    <w:p>
      <w:pPr>
        <w:spacing w:line="360" w:lineRule="exact"/>
        <w:ind w:firstLine="420" w:firstLineChars="200"/>
        <w:rPr>
          <w:color w:val="auto"/>
          <w:szCs w:val="21"/>
          <w:highlight w:val="none"/>
        </w:rPr>
      </w:pPr>
      <w:r>
        <w:rPr>
          <w:color w:val="auto"/>
          <w:szCs w:val="21"/>
          <w:highlight w:val="none"/>
        </w:rPr>
        <w:t>合同解除后，发包人应在商定或确定发包人应支付款项后</w:t>
      </w:r>
      <w:r>
        <w:rPr>
          <w:rFonts w:hint="eastAsia"/>
          <w:color w:val="auto"/>
          <w:szCs w:val="21"/>
          <w:highlight w:val="none"/>
          <w:u w:val="single"/>
        </w:rPr>
        <w:t>14</w:t>
      </w:r>
      <w:r>
        <w:rPr>
          <w:color w:val="auto"/>
          <w:szCs w:val="21"/>
          <w:highlight w:val="none"/>
        </w:rPr>
        <w:t>天内完成款项的支付。</w:t>
      </w:r>
    </w:p>
    <w:p>
      <w:pPr>
        <w:spacing w:line="360" w:lineRule="exact"/>
        <w:ind w:firstLine="422" w:firstLineChars="200"/>
        <w:rPr>
          <w:b/>
          <w:bCs/>
          <w:color w:val="auto"/>
          <w:szCs w:val="21"/>
          <w:highlight w:val="none"/>
        </w:rPr>
      </w:pPr>
      <w:bookmarkStart w:id="463" w:name="_Toc351203650"/>
      <w:r>
        <w:rPr>
          <w:b/>
          <w:bCs/>
          <w:color w:val="auto"/>
          <w:szCs w:val="21"/>
          <w:highlight w:val="none"/>
        </w:rPr>
        <w:t>18. 保险</w:t>
      </w:r>
      <w:bookmarkEnd w:id="463"/>
    </w:p>
    <w:bookmarkEnd w:id="461"/>
    <w:p>
      <w:pPr>
        <w:spacing w:line="360" w:lineRule="exact"/>
        <w:ind w:firstLine="420" w:firstLineChars="200"/>
        <w:rPr>
          <w:color w:val="auto"/>
          <w:szCs w:val="21"/>
          <w:highlight w:val="none"/>
        </w:rPr>
      </w:pPr>
      <w:r>
        <w:rPr>
          <w:rFonts w:hint="eastAsia"/>
          <w:color w:val="auto"/>
          <w:szCs w:val="21"/>
          <w:highlight w:val="none"/>
        </w:rPr>
        <w:t>18.1 工程保险</w:t>
      </w:r>
    </w:p>
    <w:p>
      <w:pPr>
        <w:spacing w:line="360" w:lineRule="exact"/>
        <w:ind w:firstLine="420" w:firstLineChars="200"/>
        <w:rPr>
          <w:color w:val="auto"/>
          <w:szCs w:val="21"/>
          <w:highlight w:val="none"/>
        </w:rPr>
      </w:pPr>
      <w:r>
        <w:rPr>
          <w:rFonts w:hint="eastAsia"/>
          <w:color w:val="auto"/>
          <w:szCs w:val="21"/>
          <w:highlight w:val="none"/>
        </w:rPr>
        <w:t>关于工程保险的特别约定：</w:t>
      </w:r>
      <w:r>
        <w:rPr>
          <w:rFonts w:hint="eastAsia"/>
          <w:color w:val="auto"/>
          <w:szCs w:val="21"/>
          <w:highlight w:val="none"/>
          <w:u w:val="single"/>
        </w:rPr>
        <w:t xml:space="preserve">  按规定必须投保的强制性保险</w:t>
      </w:r>
      <w:r>
        <w:rPr>
          <w:rFonts w:hint="eastAsia"/>
          <w:color w:val="auto"/>
          <w:szCs w:val="21"/>
          <w:highlight w:val="none"/>
        </w:rPr>
        <w:t>。</w:t>
      </w:r>
    </w:p>
    <w:p>
      <w:pPr>
        <w:spacing w:line="360" w:lineRule="exact"/>
        <w:ind w:firstLine="420" w:firstLineChars="200"/>
        <w:rPr>
          <w:color w:val="auto"/>
          <w:szCs w:val="21"/>
          <w:highlight w:val="none"/>
        </w:rPr>
      </w:pPr>
      <w:r>
        <w:rPr>
          <w:rFonts w:hint="eastAsia"/>
          <w:color w:val="auto"/>
          <w:szCs w:val="21"/>
          <w:highlight w:val="none"/>
        </w:rPr>
        <w:t>18.3 其他保险</w:t>
      </w:r>
    </w:p>
    <w:p>
      <w:pPr>
        <w:spacing w:line="360" w:lineRule="exact"/>
        <w:ind w:firstLine="420" w:firstLineChars="200"/>
        <w:rPr>
          <w:color w:val="auto"/>
          <w:szCs w:val="21"/>
          <w:highlight w:val="none"/>
        </w:rPr>
      </w:pPr>
      <w:r>
        <w:rPr>
          <w:rFonts w:hint="eastAsia"/>
          <w:color w:val="auto"/>
          <w:szCs w:val="21"/>
          <w:highlight w:val="none"/>
        </w:rPr>
        <w:t>关于其他保险的约定：</w:t>
      </w:r>
      <w:r>
        <w:rPr>
          <w:rFonts w:hint="eastAsia"/>
          <w:color w:val="auto"/>
          <w:szCs w:val="21"/>
          <w:highlight w:val="none"/>
          <w:u w:val="single"/>
        </w:rPr>
        <w:t xml:space="preserve">     </w:t>
      </w:r>
      <w:r>
        <w:rPr>
          <w:color w:val="auto"/>
          <w:szCs w:val="21"/>
          <w:highlight w:val="none"/>
          <w:u w:val="single"/>
        </w:rPr>
        <w:t>/</w:t>
      </w:r>
      <w:r>
        <w:rPr>
          <w:rFonts w:hint="eastAsia"/>
          <w:color w:val="auto"/>
          <w:szCs w:val="21"/>
          <w:highlight w:val="none"/>
          <w:u w:val="single"/>
        </w:rPr>
        <w:t xml:space="preserve">     </w:t>
      </w:r>
      <w:r>
        <w:rPr>
          <w:rFonts w:hint="eastAsia"/>
          <w:color w:val="auto"/>
          <w:szCs w:val="21"/>
          <w:highlight w:val="none"/>
        </w:rPr>
        <w:t>。</w:t>
      </w:r>
    </w:p>
    <w:p>
      <w:pPr>
        <w:spacing w:line="360" w:lineRule="exact"/>
        <w:ind w:firstLine="420" w:firstLineChars="200"/>
        <w:rPr>
          <w:color w:val="auto"/>
          <w:szCs w:val="21"/>
          <w:highlight w:val="none"/>
          <w:u w:val="single"/>
        </w:rPr>
      </w:pPr>
      <w:r>
        <w:rPr>
          <w:rFonts w:hint="eastAsia"/>
          <w:color w:val="auto"/>
          <w:szCs w:val="21"/>
          <w:highlight w:val="none"/>
        </w:rPr>
        <w:t>承包人是否应为其施工设备等办理财产保险：</w:t>
      </w:r>
      <w:r>
        <w:rPr>
          <w:rFonts w:hint="eastAsia"/>
          <w:color w:val="auto"/>
          <w:szCs w:val="21"/>
          <w:highlight w:val="none"/>
          <w:u w:val="single"/>
        </w:rPr>
        <w:t xml:space="preserve">              </w:t>
      </w:r>
      <w:r>
        <w:rPr>
          <w:rFonts w:hint="eastAsia"/>
          <w:color w:val="auto"/>
          <w:szCs w:val="21"/>
          <w:highlight w:val="none"/>
        </w:rPr>
        <w:t>。</w:t>
      </w:r>
    </w:p>
    <w:p>
      <w:pPr>
        <w:spacing w:line="360" w:lineRule="exact"/>
        <w:ind w:firstLine="420" w:firstLineChars="200"/>
        <w:rPr>
          <w:color w:val="auto"/>
          <w:szCs w:val="21"/>
          <w:highlight w:val="none"/>
        </w:rPr>
      </w:pPr>
      <w:r>
        <w:rPr>
          <w:color w:val="auto"/>
          <w:szCs w:val="21"/>
          <w:highlight w:val="none"/>
        </w:rPr>
        <w:t>18.7 通知义务</w:t>
      </w:r>
    </w:p>
    <w:p>
      <w:pPr>
        <w:spacing w:line="360" w:lineRule="exact"/>
        <w:ind w:firstLine="420" w:firstLineChars="200"/>
        <w:rPr>
          <w:color w:val="auto"/>
          <w:szCs w:val="21"/>
          <w:highlight w:val="none"/>
        </w:rPr>
      </w:pPr>
      <w:r>
        <w:rPr>
          <w:color w:val="auto"/>
          <w:szCs w:val="21"/>
          <w:highlight w:val="none"/>
        </w:rPr>
        <w:t>关于变更保险合同时的通知义务的约定：</w:t>
      </w:r>
      <w:r>
        <w:rPr>
          <w:rFonts w:hint="eastAsia"/>
          <w:color w:val="auto"/>
          <w:szCs w:val="21"/>
          <w:highlight w:val="none"/>
          <w:u w:val="single"/>
        </w:rPr>
        <w:t>按通用条款执行</w:t>
      </w:r>
      <w:r>
        <w:rPr>
          <w:color w:val="auto"/>
          <w:szCs w:val="21"/>
          <w:highlight w:val="none"/>
        </w:rPr>
        <w:t>。</w:t>
      </w:r>
    </w:p>
    <w:bookmarkEnd w:id="437"/>
    <w:bookmarkEnd w:id="438"/>
    <w:bookmarkEnd w:id="439"/>
    <w:bookmarkEnd w:id="440"/>
    <w:bookmarkEnd w:id="441"/>
    <w:bookmarkEnd w:id="442"/>
    <w:bookmarkEnd w:id="443"/>
    <w:bookmarkEnd w:id="444"/>
    <w:bookmarkEnd w:id="445"/>
    <w:bookmarkEnd w:id="446"/>
    <w:bookmarkEnd w:id="447"/>
    <w:bookmarkEnd w:id="448"/>
    <w:p>
      <w:pPr>
        <w:spacing w:line="360" w:lineRule="exact"/>
        <w:ind w:firstLine="422" w:firstLineChars="200"/>
        <w:rPr>
          <w:b/>
          <w:bCs/>
          <w:color w:val="auto"/>
          <w:szCs w:val="21"/>
          <w:highlight w:val="none"/>
        </w:rPr>
      </w:pPr>
      <w:bookmarkStart w:id="464" w:name="_Toc351203651"/>
      <w:r>
        <w:rPr>
          <w:b/>
          <w:bCs/>
          <w:color w:val="auto"/>
          <w:szCs w:val="21"/>
          <w:highlight w:val="none"/>
        </w:rPr>
        <w:t>20. 争议解决</w:t>
      </w:r>
      <w:bookmarkEnd w:id="464"/>
    </w:p>
    <w:bookmarkEnd w:id="449"/>
    <w:bookmarkEnd w:id="450"/>
    <w:bookmarkEnd w:id="451"/>
    <w:bookmarkEnd w:id="452"/>
    <w:bookmarkEnd w:id="453"/>
    <w:bookmarkEnd w:id="454"/>
    <w:bookmarkEnd w:id="455"/>
    <w:bookmarkEnd w:id="456"/>
    <w:bookmarkEnd w:id="457"/>
    <w:bookmarkEnd w:id="458"/>
    <w:p>
      <w:pPr>
        <w:spacing w:line="360" w:lineRule="exact"/>
        <w:ind w:firstLine="420" w:firstLineChars="200"/>
        <w:rPr>
          <w:color w:val="auto"/>
          <w:szCs w:val="21"/>
          <w:highlight w:val="none"/>
        </w:rPr>
      </w:pPr>
      <w:r>
        <w:rPr>
          <w:color w:val="auto"/>
          <w:szCs w:val="21"/>
          <w:highlight w:val="none"/>
        </w:rPr>
        <w:t>20.3 争议评审</w:t>
      </w:r>
    </w:p>
    <w:p>
      <w:pPr>
        <w:spacing w:line="360" w:lineRule="exact"/>
        <w:ind w:firstLine="420" w:firstLineChars="200"/>
        <w:rPr>
          <w:color w:val="auto"/>
          <w:szCs w:val="21"/>
          <w:highlight w:val="none"/>
        </w:rPr>
      </w:pPr>
      <w:r>
        <w:rPr>
          <w:color w:val="auto"/>
          <w:szCs w:val="21"/>
          <w:highlight w:val="none"/>
        </w:rPr>
        <w:t>合同当事人是否同意将工程争议提交争议评审小组决定：</w:t>
      </w:r>
      <w:r>
        <w:rPr>
          <w:rFonts w:hint="eastAsia"/>
          <w:color w:val="auto"/>
          <w:szCs w:val="21"/>
          <w:highlight w:val="none"/>
          <w:u w:val="single"/>
        </w:rPr>
        <w:t xml:space="preserve">  /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20.3.1 争议评审小组的确定</w:t>
      </w:r>
    </w:p>
    <w:p>
      <w:pPr>
        <w:spacing w:line="360" w:lineRule="exact"/>
        <w:ind w:firstLine="420" w:firstLineChars="200"/>
        <w:rPr>
          <w:color w:val="auto"/>
          <w:szCs w:val="21"/>
          <w:highlight w:val="none"/>
          <w:u w:val="single"/>
        </w:rPr>
      </w:pPr>
      <w:r>
        <w:rPr>
          <w:color w:val="auto"/>
          <w:szCs w:val="21"/>
          <w:highlight w:val="none"/>
        </w:rPr>
        <w:t>争议评审小组成员的确定：</w:t>
      </w:r>
      <w:r>
        <w:rPr>
          <w:color w:val="auto"/>
          <w:szCs w:val="21"/>
          <w:highlight w:val="none"/>
          <w:u w:val="single"/>
        </w:rPr>
        <w:t xml:space="preserve">              /              </w:t>
      </w:r>
      <w:r>
        <w:rPr>
          <w:color w:val="auto"/>
          <w:szCs w:val="21"/>
          <w:highlight w:val="none"/>
        </w:rPr>
        <w:t xml:space="preserve">。 </w:t>
      </w:r>
    </w:p>
    <w:p>
      <w:pPr>
        <w:spacing w:line="360" w:lineRule="exact"/>
        <w:ind w:firstLine="420" w:firstLineChars="200"/>
        <w:rPr>
          <w:color w:val="auto"/>
          <w:szCs w:val="21"/>
          <w:highlight w:val="none"/>
        </w:rPr>
      </w:pPr>
      <w:r>
        <w:rPr>
          <w:color w:val="auto"/>
          <w:szCs w:val="21"/>
          <w:highlight w:val="none"/>
        </w:rPr>
        <w:t>选定争议评审员的期限：</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争议评审小组成员的报酬承担方式：</w:t>
      </w:r>
      <w:r>
        <w:rPr>
          <w:color w:val="auto"/>
          <w:szCs w:val="21"/>
          <w:highlight w:val="none"/>
          <w:u w:val="single"/>
        </w:rPr>
        <w:t xml:space="preserve">          </w:t>
      </w:r>
      <w:r>
        <w:rPr>
          <w:rFonts w:hint="eastAsia"/>
          <w:color w:val="auto"/>
          <w:szCs w:val="21"/>
          <w:highlight w:val="none"/>
          <w:u w:val="single"/>
        </w:rPr>
        <w:t xml:space="preserve"> / </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其他事项的约定：</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20.3.2 争议评审小组的决定</w:t>
      </w:r>
    </w:p>
    <w:p>
      <w:pPr>
        <w:spacing w:line="360" w:lineRule="exact"/>
        <w:ind w:firstLine="420" w:firstLineChars="200"/>
        <w:rPr>
          <w:color w:val="auto"/>
          <w:szCs w:val="21"/>
          <w:highlight w:val="none"/>
          <w:u w:val="single"/>
        </w:rPr>
      </w:pPr>
      <w:r>
        <w:rPr>
          <w:color w:val="auto"/>
          <w:szCs w:val="21"/>
          <w:highlight w:val="none"/>
        </w:rPr>
        <w:t>合同当事人关于本项的约定：</w:t>
      </w:r>
      <w:r>
        <w:rPr>
          <w:color w:val="auto"/>
          <w:szCs w:val="21"/>
          <w:highlight w:val="none"/>
          <w:u w:val="single"/>
        </w:rPr>
        <w:t xml:space="preserve">  按通用条款。</w:t>
      </w:r>
    </w:p>
    <w:p>
      <w:pPr>
        <w:spacing w:line="360" w:lineRule="exact"/>
        <w:ind w:firstLine="420" w:firstLineChars="200"/>
        <w:rPr>
          <w:color w:val="auto"/>
          <w:szCs w:val="21"/>
          <w:highlight w:val="none"/>
          <w:u w:val="single"/>
        </w:rPr>
      </w:pPr>
      <w:r>
        <w:rPr>
          <w:color w:val="auto"/>
          <w:szCs w:val="21"/>
          <w:highlight w:val="none"/>
          <w:u w:val="single"/>
        </w:rPr>
        <w:t>20.3.3 争议评审小组决定的效力：按通用条款执行。</w:t>
      </w:r>
    </w:p>
    <w:p>
      <w:pPr>
        <w:spacing w:line="360" w:lineRule="exact"/>
        <w:ind w:firstLine="420" w:firstLineChars="200"/>
        <w:rPr>
          <w:color w:val="auto"/>
          <w:szCs w:val="21"/>
          <w:highlight w:val="none"/>
        </w:rPr>
      </w:pPr>
      <w:r>
        <w:rPr>
          <w:color w:val="auto"/>
          <w:szCs w:val="21"/>
          <w:highlight w:val="none"/>
        </w:rPr>
        <w:t>20.4仲裁或诉讼</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因合同及合同有关事项发生的争议，按下列第</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种方式解决：</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（1）向</w:t>
      </w:r>
      <w:r>
        <w:rPr>
          <w:rFonts w:hint="eastAsia" w:ascii="宋体" w:hAnsi="宋体" w:cs="宋体"/>
          <w:color w:val="auto"/>
          <w:szCs w:val="21"/>
          <w:highlight w:val="none"/>
          <w:u w:val="single"/>
        </w:rPr>
        <w:t>台州</w:t>
      </w:r>
      <w:r>
        <w:rPr>
          <w:rFonts w:hint="eastAsia" w:ascii="宋体" w:hAnsi="宋体" w:cs="宋体"/>
          <w:color w:val="auto"/>
          <w:szCs w:val="21"/>
          <w:highlight w:val="none"/>
        </w:rPr>
        <w:t>仲裁委员会申请仲裁；</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（2）向</w:t>
      </w:r>
      <w:r>
        <w:rPr>
          <w:rFonts w:hint="eastAsia" w:ascii="宋体" w:hAnsi="宋体" w:cs="宋体"/>
          <w:color w:val="auto"/>
          <w:szCs w:val="21"/>
          <w:highlight w:val="none"/>
          <w:u w:val="single"/>
        </w:rPr>
        <w:t>工程所在地</w:t>
      </w:r>
      <w:r>
        <w:rPr>
          <w:rFonts w:hint="eastAsia" w:ascii="宋体" w:hAnsi="宋体" w:cs="宋体"/>
          <w:color w:val="auto"/>
          <w:szCs w:val="21"/>
          <w:highlight w:val="none"/>
        </w:rPr>
        <w:t>人民法院起诉。</w:t>
      </w:r>
    </w:p>
    <w:p>
      <w:pPr>
        <w:spacing w:line="360" w:lineRule="exact"/>
        <w:ind w:firstLine="420" w:firstLineChars="200"/>
        <w:rPr>
          <w:color w:val="auto"/>
          <w:szCs w:val="21"/>
          <w:highlight w:val="none"/>
        </w:rPr>
      </w:pPr>
      <w:r>
        <w:rPr>
          <w:rFonts w:hint="eastAsia"/>
          <w:color w:val="auto"/>
          <w:szCs w:val="21"/>
          <w:highlight w:val="none"/>
        </w:rPr>
        <w:t>21.补充条款</w:t>
      </w:r>
    </w:p>
    <w:p>
      <w:pPr>
        <w:spacing w:line="360" w:lineRule="exact"/>
        <w:rPr>
          <w:rFonts w:eastAsia="黑体"/>
          <w:b/>
          <w:color w:val="auto"/>
          <w:szCs w:val="21"/>
          <w:highlight w:val="none"/>
        </w:rPr>
      </w:pPr>
      <w:r>
        <w:rPr>
          <w:color w:val="auto"/>
          <w:szCs w:val="21"/>
          <w:highlight w:val="none"/>
        </w:rPr>
        <w:br w:type="page"/>
      </w:r>
      <w:bookmarkEnd w:id="157"/>
      <w:r>
        <w:rPr>
          <w:rFonts w:eastAsia="黑体"/>
          <w:b/>
          <w:color w:val="auto"/>
          <w:szCs w:val="21"/>
          <w:highlight w:val="none"/>
        </w:rPr>
        <w:t>附件</w:t>
      </w:r>
    </w:p>
    <w:p>
      <w:pPr>
        <w:spacing w:line="360" w:lineRule="exact"/>
        <w:rPr>
          <w:rFonts w:eastAsia="黑体"/>
          <w:color w:val="auto"/>
          <w:szCs w:val="21"/>
          <w:highlight w:val="none"/>
        </w:rPr>
      </w:pPr>
    </w:p>
    <w:p>
      <w:pPr>
        <w:spacing w:line="360" w:lineRule="exact"/>
        <w:ind w:firstLine="420" w:firstLineChars="200"/>
        <w:rPr>
          <w:color w:val="auto"/>
          <w:szCs w:val="21"/>
          <w:highlight w:val="none"/>
        </w:rPr>
      </w:pPr>
      <w:r>
        <w:rPr>
          <w:rFonts w:hint="eastAsia"/>
          <w:color w:val="auto"/>
          <w:szCs w:val="21"/>
          <w:highlight w:val="none"/>
        </w:rPr>
        <w:t>协议书附件：</w:t>
      </w:r>
    </w:p>
    <w:p>
      <w:pPr>
        <w:spacing w:line="360" w:lineRule="exact"/>
        <w:ind w:firstLine="420" w:firstLineChars="200"/>
        <w:rPr>
          <w:color w:val="auto"/>
          <w:szCs w:val="21"/>
          <w:highlight w:val="none"/>
        </w:rPr>
      </w:pPr>
      <w:r>
        <w:rPr>
          <w:color w:val="auto"/>
          <w:szCs w:val="21"/>
          <w:highlight w:val="none"/>
        </w:rPr>
        <w:t>附件1：承包人承揽工程项目一览表</w:t>
      </w:r>
      <w:r>
        <w:rPr>
          <w:rFonts w:hint="eastAsia"/>
          <w:color w:val="auto"/>
          <w:szCs w:val="21"/>
          <w:highlight w:val="none"/>
        </w:rPr>
        <w:t>（略）</w:t>
      </w:r>
    </w:p>
    <w:p>
      <w:pPr>
        <w:spacing w:line="360" w:lineRule="exact"/>
        <w:ind w:firstLine="420" w:firstLineChars="200"/>
        <w:rPr>
          <w:color w:val="auto"/>
          <w:szCs w:val="21"/>
          <w:highlight w:val="none"/>
        </w:rPr>
      </w:pPr>
      <w:r>
        <w:rPr>
          <w:rFonts w:hint="eastAsia"/>
          <w:color w:val="auto"/>
          <w:szCs w:val="21"/>
          <w:highlight w:val="none"/>
        </w:rPr>
        <w:t>专用合同条款附件：</w:t>
      </w:r>
    </w:p>
    <w:p>
      <w:pPr>
        <w:spacing w:line="360" w:lineRule="exact"/>
        <w:ind w:firstLine="420" w:firstLineChars="200"/>
        <w:rPr>
          <w:color w:val="auto"/>
          <w:szCs w:val="21"/>
          <w:highlight w:val="none"/>
        </w:rPr>
      </w:pPr>
      <w:r>
        <w:rPr>
          <w:color w:val="auto"/>
          <w:szCs w:val="21"/>
          <w:highlight w:val="none"/>
        </w:rPr>
        <w:t>附件2：发包人供应材料设备一览表</w:t>
      </w:r>
      <w:r>
        <w:rPr>
          <w:rFonts w:hint="eastAsia"/>
          <w:color w:val="auto"/>
          <w:szCs w:val="21"/>
          <w:highlight w:val="none"/>
        </w:rPr>
        <w:t>（略）</w:t>
      </w:r>
    </w:p>
    <w:p>
      <w:pPr>
        <w:spacing w:line="360" w:lineRule="exact"/>
        <w:ind w:firstLine="420" w:firstLineChars="200"/>
        <w:rPr>
          <w:color w:val="auto"/>
          <w:szCs w:val="21"/>
          <w:highlight w:val="none"/>
        </w:rPr>
      </w:pPr>
      <w:r>
        <w:rPr>
          <w:color w:val="auto"/>
          <w:szCs w:val="21"/>
          <w:highlight w:val="none"/>
        </w:rPr>
        <w:t>附件3：工程质量保修书</w:t>
      </w:r>
    </w:p>
    <w:p>
      <w:pPr>
        <w:spacing w:line="360" w:lineRule="exact"/>
        <w:ind w:firstLine="420" w:firstLineChars="200"/>
        <w:rPr>
          <w:color w:val="auto"/>
          <w:szCs w:val="21"/>
          <w:highlight w:val="none"/>
        </w:rPr>
      </w:pPr>
      <w:r>
        <w:rPr>
          <w:color w:val="auto"/>
          <w:szCs w:val="21"/>
          <w:highlight w:val="none"/>
        </w:rPr>
        <w:t>附件4：主要建设工程文件目录</w:t>
      </w:r>
      <w:r>
        <w:rPr>
          <w:rFonts w:hint="eastAsia"/>
          <w:color w:val="auto"/>
          <w:szCs w:val="21"/>
          <w:highlight w:val="none"/>
        </w:rPr>
        <w:t>（略）</w:t>
      </w:r>
    </w:p>
    <w:p>
      <w:pPr>
        <w:spacing w:line="360" w:lineRule="exact"/>
        <w:ind w:firstLine="420" w:firstLineChars="200"/>
        <w:rPr>
          <w:color w:val="auto"/>
          <w:szCs w:val="21"/>
          <w:highlight w:val="none"/>
        </w:rPr>
      </w:pPr>
      <w:r>
        <w:rPr>
          <w:color w:val="auto"/>
          <w:szCs w:val="21"/>
          <w:highlight w:val="none"/>
        </w:rPr>
        <w:t>附件5：承包人用于本工程施工的机械设备表</w:t>
      </w:r>
      <w:r>
        <w:rPr>
          <w:rFonts w:hint="eastAsia"/>
          <w:color w:val="auto"/>
          <w:szCs w:val="21"/>
          <w:highlight w:val="none"/>
        </w:rPr>
        <w:t>（略）</w:t>
      </w:r>
    </w:p>
    <w:p>
      <w:pPr>
        <w:spacing w:line="360" w:lineRule="exact"/>
        <w:ind w:firstLine="420" w:firstLineChars="200"/>
        <w:rPr>
          <w:color w:val="auto"/>
          <w:szCs w:val="21"/>
          <w:highlight w:val="none"/>
        </w:rPr>
      </w:pPr>
      <w:r>
        <w:rPr>
          <w:color w:val="auto"/>
          <w:szCs w:val="21"/>
          <w:highlight w:val="none"/>
        </w:rPr>
        <w:t>附件6：承包人主要施工管理人员表</w:t>
      </w:r>
      <w:r>
        <w:rPr>
          <w:rFonts w:hint="eastAsia"/>
          <w:color w:val="auto"/>
          <w:szCs w:val="21"/>
          <w:highlight w:val="none"/>
        </w:rPr>
        <w:t>（略）</w:t>
      </w:r>
    </w:p>
    <w:p>
      <w:pPr>
        <w:spacing w:line="360" w:lineRule="exact"/>
        <w:ind w:firstLine="420" w:firstLineChars="200"/>
        <w:rPr>
          <w:color w:val="auto"/>
          <w:szCs w:val="21"/>
          <w:highlight w:val="none"/>
        </w:rPr>
      </w:pPr>
      <w:r>
        <w:rPr>
          <w:color w:val="auto"/>
          <w:szCs w:val="21"/>
          <w:highlight w:val="none"/>
        </w:rPr>
        <w:t>附件7：</w:t>
      </w:r>
      <w:r>
        <w:rPr>
          <w:rFonts w:hint="eastAsia"/>
          <w:color w:val="auto"/>
          <w:szCs w:val="21"/>
          <w:highlight w:val="none"/>
        </w:rPr>
        <w:t>承包人</w:t>
      </w:r>
      <w:r>
        <w:rPr>
          <w:color w:val="auto"/>
          <w:szCs w:val="21"/>
          <w:highlight w:val="none"/>
        </w:rPr>
        <w:t>主要施工管理人员表</w:t>
      </w:r>
      <w:r>
        <w:rPr>
          <w:rFonts w:hint="eastAsia"/>
          <w:color w:val="auto"/>
          <w:szCs w:val="21"/>
          <w:highlight w:val="none"/>
        </w:rPr>
        <w:t>（略）</w:t>
      </w:r>
    </w:p>
    <w:p>
      <w:pPr>
        <w:spacing w:line="360" w:lineRule="exact"/>
        <w:ind w:firstLine="420" w:firstLineChars="200"/>
        <w:rPr>
          <w:color w:val="auto"/>
          <w:szCs w:val="21"/>
          <w:highlight w:val="none"/>
        </w:rPr>
      </w:pPr>
      <w:r>
        <w:rPr>
          <w:color w:val="auto"/>
          <w:szCs w:val="21"/>
          <w:highlight w:val="none"/>
        </w:rPr>
        <w:t>附件8：履约担保格式</w:t>
      </w:r>
      <w:r>
        <w:rPr>
          <w:rFonts w:hint="eastAsia"/>
          <w:color w:val="auto"/>
          <w:szCs w:val="21"/>
          <w:highlight w:val="none"/>
        </w:rPr>
        <w:t>（略）</w:t>
      </w:r>
    </w:p>
    <w:p>
      <w:pPr>
        <w:spacing w:line="360" w:lineRule="exact"/>
        <w:ind w:firstLine="420" w:firstLineChars="200"/>
        <w:rPr>
          <w:color w:val="auto"/>
          <w:szCs w:val="21"/>
          <w:highlight w:val="none"/>
        </w:rPr>
      </w:pPr>
      <w:r>
        <w:rPr>
          <w:color w:val="auto"/>
          <w:szCs w:val="21"/>
          <w:highlight w:val="none"/>
        </w:rPr>
        <w:t>附件9：预付款担保格式</w:t>
      </w:r>
      <w:r>
        <w:rPr>
          <w:rFonts w:hint="eastAsia"/>
          <w:color w:val="auto"/>
          <w:szCs w:val="21"/>
          <w:highlight w:val="none"/>
        </w:rPr>
        <w:t>（略）</w:t>
      </w:r>
    </w:p>
    <w:p>
      <w:pPr>
        <w:spacing w:line="360" w:lineRule="exact"/>
        <w:ind w:firstLine="420" w:firstLineChars="200"/>
        <w:rPr>
          <w:color w:val="auto"/>
          <w:szCs w:val="21"/>
          <w:highlight w:val="none"/>
        </w:rPr>
      </w:pPr>
      <w:r>
        <w:rPr>
          <w:color w:val="auto"/>
          <w:szCs w:val="21"/>
          <w:highlight w:val="none"/>
        </w:rPr>
        <w:t>附件10：支付担保格式</w:t>
      </w:r>
      <w:r>
        <w:rPr>
          <w:rFonts w:hint="eastAsia"/>
          <w:color w:val="auto"/>
          <w:szCs w:val="21"/>
          <w:highlight w:val="none"/>
        </w:rPr>
        <w:t>（略）</w:t>
      </w:r>
    </w:p>
    <w:p>
      <w:pPr>
        <w:spacing w:line="360" w:lineRule="exact"/>
        <w:ind w:firstLine="420" w:firstLineChars="200"/>
        <w:rPr>
          <w:color w:val="auto"/>
          <w:szCs w:val="21"/>
          <w:highlight w:val="none"/>
        </w:rPr>
      </w:pPr>
      <w:r>
        <w:rPr>
          <w:color w:val="auto"/>
          <w:szCs w:val="21"/>
          <w:highlight w:val="none"/>
        </w:rPr>
        <w:t>附件11：暂估价一览表</w:t>
      </w:r>
      <w:r>
        <w:rPr>
          <w:rFonts w:hint="eastAsia"/>
          <w:color w:val="auto"/>
          <w:szCs w:val="21"/>
          <w:highlight w:val="none"/>
        </w:rPr>
        <w:t>（略）</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rFonts w:eastAsia="黑体"/>
          <w:b/>
          <w:bCs/>
          <w:color w:val="auto"/>
          <w:szCs w:val="21"/>
          <w:highlight w:val="none"/>
        </w:rPr>
      </w:pPr>
      <w:r>
        <w:rPr>
          <w:rFonts w:eastAsia="黑体"/>
          <w:b/>
          <w:bCs/>
          <w:color w:val="auto"/>
          <w:szCs w:val="21"/>
          <w:highlight w:val="none"/>
        </w:rPr>
        <w:br w:type="page"/>
      </w:r>
    </w:p>
    <w:p>
      <w:pPr>
        <w:keepNext/>
        <w:keepLines/>
        <w:spacing w:line="360" w:lineRule="exact"/>
        <w:outlineLvl w:val="3"/>
        <w:rPr>
          <w:rFonts w:eastAsia="黑体"/>
          <w:b/>
          <w:bCs/>
          <w:color w:val="auto"/>
          <w:szCs w:val="21"/>
          <w:highlight w:val="none"/>
        </w:rPr>
      </w:pPr>
      <w:r>
        <w:rPr>
          <w:rFonts w:eastAsia="黑体"/>
          <w:b/>
          <w:bCs/>
          <w:color w:val="auto"/>
          <w:szCs w:val="21"/>
          <w:highlight w:val="none"/>
        </w:rPr>
        <w:t>附</w:t>
      </w:r>
      <w:bookmarkStart w:id="465" w:name="_Toc296891266"/>
      <w:bookmarkStart w:id="466" w:name="_Toc296346727"/>
      <w:bookmarkStart w:id="467" w:name="_Toc267261693"/>
      <w:bookmarkStart w:id="468" w:name="_Toc296891054"/>
      <w:bookmarkStart w:id="469" w:name="_Toc296944565"/>
      <w:bookmarkStart w:id="470" w:name="_Toc296347225"/>
      <w:bookmarkStart w:id="471" w:name="_Toc296503226"/>
      <w:r>
        <w:rPr>
          <w:rFonts w:eastAsia="黑体"/>
          <w:b/>
          <w:bCs/>
          <w:color w:val="auto"/>
          <w:szCs w:val="21"/>
          <w:highlight w:val="none"/>
        </w:rPr>
        <w:t>件3：</w:t>
      </w:r>
      <w:bookmarkEnd w:id="465"/>
      <w:bookmarkEnd w:id="466"/>
      <w:bookmarkEnd w:id="467"/>
      <w:bookmarkEnd w:id="468"/>
      <w:bookmarkEnd w:id="469"/>
      <w:bookmarkEnd w:id="470"/>
      <w:bookmarkEnd w:id="471"/>
      <w:r>
        <w:rPr>
          <w:rFonts w:eastAsia="黑体"/>
          <w:b/>
          <w:bCs/>
          <w:color w:val="auto"/>
          <w:szCs w:val="21"/>
          <w:highlight w:val="none"/>
        </w:rPr>
        <w:t xml:space="preserve">    </w:t>
      </w:r>
    </w:p>
    <w:p>
      <w:pPr>
        <w:spacing w:line="360" w:lineRule="exact"/>
        <w:ind w:firstLine="600" w:firstLineChars="200"/>
        <w:jc w:val="center"/>
        <w:rPr>
          <w:rFonts w:eastAsia="黑体"/>
          <w:bCs/>
          <w:color w:val="auto"/>
          <w:sz w:val="30"/>
          <w:szCs w:val="30"/>
          <w:highlight w:val="none"/>
        </w:rPr>
      </w:pPr>
      <w:r>
        <w:rPr>
          <w:rFonts w:hint="eastAsia" w:eastAsia="黑体"/>
          <w:bCs/>
          <w:color w:val="auto"/>
          <w:sz w:val="30"/>
          <w:szCs w:val="30"/>
          <w:highlight w:val="none"/>
        </w:rPr>
        <w:t>工程质量保修书</w:t>
      </w:r>
    </w:p>
    <w:p>
      <w:pPr>
        <w:spacing w:line="586" w:lineRule="exact"/>
        <w:rPr>
          <w:rFonts w:eastAsia="黑体"/>
          <w:color w:val="auto"/>
          <w:sz w:val="30"/>
          <w:szCs w:val="30"/>
          <w:highlight w:val="none"/>
        </w:rPr>
      </w:pPr>
    </w:p>
    <w:p>
      <w:pPr>
        <w:spacing w:line="360" w:lineRule="exact"/>
        <w:rPr>
          <w:color w:val="auto"/>
          <w:szCs w:val="21"/>
          <w:highlight w:val="none"/>
        </w:rPr>
      </w:pPr>
      <w:r>
        <w:rPr>
          <w:color w:val="auto"/>
          <w:szCs w:val="21"/>
          <w:highlight w:val="none"/>
        </w:rPr>
        <w:t>发包人（全称）：</w:t>
      </w:r>
      <w:r>
        <w:rPr>
          <w:rFonts w:hint="eastAsia" w:ascii="宋体" w:hAnsi="宋体" w:cs="宋体"/>
          <w:color w:val="auto"/>
          <w:szCs w:val="21"/>
          <w:highlight w:val="none"/>
          <w:u w:val="single"/>
        </w:rPr>
        <w:t xml:space="preserve">  </w:t>
      </w:r>
      <w:r>
        <w:rPr>
          <w:rFonts w:hint="eastAsia"/>
          <w:color w:val="auto"/>
          <w:szCs w:val="21"/>
          <w:highlight w:val="none"/>
          <w:u w:val="single"/>
        </w:rPr>
        <w:t xml:space="preserve">台州市第一中学 </w:t>
      </w:r>
      <w:r>
        <w:rPr>
          <w:rFonts w:hint="eastAsia" w:ascii="宋体" w:hAnsi="宋体" w:cs="宋体"/>
          <w:color w:val="auto"/>
          <w:szCs w:val="21"/>
          <w:highlight w:val="none"/>
        </w:rPr>
        <w:t xml:space="preserve">  </w:t>
      </w:r>
    </w:p>
    <w:p>
      <w:pPr>
        <w:spacing w:line="360" w:lineRule="exact"/>
        <w:rPr>
          <w:color w:val="auto"/>
          <w:szCs w:val="21"/>
          <w:highlight w:val="none"/>
        </w:rPr>
      </w:pPr>
      <w:r>
        <w:rPr>
          <w:color w:val="auto"/>
          <w:szCs w:val="21"/>
          <w:highlight w:val="none"/>
        </w:rPr>
        <w:t>承包人（全称）：</w:t>
      </w:r>
      <w:r>
        <w:rPr>
          <w:color w:val="auto"/>
          <w:szCs w:val="21"/>
          <w:highlight w:val="none"/>
          <w:u w:val="single"/>
        </w:rPr>
        <w:t xml:space="preserve">                                </w:t>
      </w:r>
      <w:r>
        <w:rPr>
          <w:color w:val="auto"/>
          <w:szCs w:val="21"/>
          <w:highlight w:val="none"/>
        </w:rPr>
        <w:t xml:space="preserve"> </w:t>
      </w:r>
    </w:p>
    <w:p>
      <w:pPr>
        <w:spacing w:line="360" w:lineRule="exact"/>
        <w:rPr>
          <w:color w:val="auto"/>
          <w:szCs w:val="21"/>
          <w:highlight w:val="none"/>
        </w:rPr>
      </w:pPr>
    </w:p>
    <w:p>
      <w:pPr>
        <w:spacing w:line="360" w:lineRule="exact"/>
        <w:ind w:firstLine="420" w:firstLineChars="200"/>
        <w:rPr>
          <w:color w:val="auto"/>
          <w:szCs w:val="21"/>
          <w:highlight w:val="none"/>
        </w:rPr>
      </w:pPr>
      <w:r>
        <w:rPr>
          <w:color w:val="auto"/>
          <w:szCs w:val="21"/>
          <w:highlight w:val="none"/>
        </w:rPr>
        <w:t>发包人和承包人根据《中华人民共和国建筑法》和《建设工程质量管理条例》，经协商一致就</w:t>
      </w:r>
      <w:r>
        <w:rPr>
          <w:color w:val="auto"/>
          <w:szCs w:val="21"/>
          <w:highlight w:val="none"/>
          <w:u w:val="single"/>
        </w:rPr>
        <w:t xml:space="preserve">                </w:t>
      </w:r>
      <w:r>
        <w:rPr>
          <w:color w:val="auto"/>
          <w:szCs w:val="21"/>
          <w:highlight w:val="none"/>
        </w:rPr>
        <w:t>（工程全称）签订工程质量保修书。</w:t>
      </w:r>
    </w:p>
    <w:p>
      <w:pPr>
        <w:spacing w:line="360" w:lineRule="exact"/>
        <w:ind w:firstLine="422" w:firstLineChars="200"/>
        <w:rPr>
          <w:b/>
          <w:bCs/>
          <w:color w:val="auto"/>
          <w:szCs w:val="21"/>
          <w:highlight w:val="none"/>
        </w:rPr>
      </w:pPr>
      <w:r>
        <w:rPr>
          <w:b/>
          <w:bCs/>
          <w:color w:val="auto"/>
          <w:szCs w:val="21"/>
          <w:highlight w:val="none"/>
        </w:rPr>
        <w:t>一、工程质量保修范围和内容</w:t>
      </w:r>
    </w:p>
    <w:p>
      <w:pPr>
        <w:spacing w:line="360" w:lineRule="exact"/>
        <w:ind w:firstLine="420" w:firstLineChars="200"/>
        <w:rPr>
          <w:color w:val="auto"/>
          <w:szCs w:val="21"/>
          <w:highlight w:val="none"/>
        </w:rPr>
      </w:pPr>
      <w:r>
        <w:rPr>
          <w:color w:val="auto"/>
          <w:szCs w:val="21"/>
          <w:highlight w:val="none"/>
        </w:rPr>
        <w:t>承包人在质量保修期内，按照有关法律规定和合同约定，承担工程质量保修责任。</w:t>
      </w:r>
    </w:p>
    <w:p>
      <w:pPr>
        <w:spacing w:line="360" w:lineRule="exact"/>
        <w:ind w:firstLine="420" w:firstLineChars="200"/>
        <w:rPr>
          <w:color w:val="auto"/>
          <w:szCs w:val="21"/>
          <w:highlight w:val="none"/>
        </w:rPr>
      </w:pPr>
      <w:r>
        <w:rPr>
          <w:color w:val="auto"/>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color w:val="auto"/>
          <w:szCs w:val="21"/>
          <w:highlight w:val="none"/>
        </w:rPr>
        <w:t>本工程合同范围内的所有工程</w:t>
      </w:r>
      <w:r>
        <w:rPr>
          <w:color w:val="auto"/>
          <w:szCs w:val="21"/>
          <w:highlight w:val="none"/>
        </w:rPr>
        <w:t>。</w:t>
      </w:r>
    </w:p>
    <w:p>
      <w:pPr>
        <w:spacing w:line="360" w:lineRule="exact"/>
        <w:ind w:firstLine="422" w:firstLineChars="200"/>
        <w:rPr>
          <w:b/>
          <w:bCs/>
          <w:color w:val="auto"/>
          <w:szCs w:val="21"/>
          <w:highlight w:val="none"/>
        </w:rPr>
      </w:pPr>
      <w:r>
        <w:rPr>
          <w:b/>
          <w:bCs/>
          <w:color w:val="auto"/>
          <w:szCs w:val="21"/>
          <w:highlight w:val="none"/>
        </w:rPr>
        <w:t>二、质量保修期</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根据《建设工程质量管理条例》及有关规定，工程的质量保修期如下：</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1．地基基础工程和主体结构工程为设计文件规定的工程合理使用年限；</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2．屋面防水工程、有防水要求的卫生间、房间和外墙面、</w:t>
      </w:r>
      <w:r>
        <w:rPr>
          <w:rFonts w:hint="eastAsia" w:hAnsi="宋体"/>
          <w:color w:val="auto"/>
          <w:szCs w:val="21"/>
          <w:highlight w:val="none"/>
        </w:rPr>
        <w:t>地下室、门窗框</w:t>
      </w:r>
      <w:r>
        <w:rPr>
          <w:rFonts w:hint="eastAsia" w:ascii="宋体" w:hAnsi="宋体" w:cs="宋体"/>
          <w:color w:val="auto"/>
          <w:szCs w:val="21"/>
          <w:highlight w:val="none"/>
        </w:rPr>
        <w:t>的防渗为</w:t>
      </w:r>
      <w:r>
        <w:rPr>
          <w:rFonts w:hint="eastAsia" w:ascii="宋体" w:hAnsi="宋体" w:cs="宋体"/>
          <w:bCs/>
          <w:color w:val="auto"/>
          <w:szCs w:val="21"/>
          <w:highlight w:val="none"/>
          <w:u w:val="single"/>
        </w:rPr>
        <w:t>5</w:t>
      </w:r>
      <w:r>
        <w:rPr>
          <w:rFonts w:hint="eastAsia" w:ascii="宋体" w:hAnsi="宋体" w:cs="宋体"/>
          <w:color w:val="auto"/>
          <w:szCs w:val="21"/>
          <w:highlight w:val="none"/>
        </w:rPr>
        <w:t>年；</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3．装修工程为</w:t>
      </w:r>
      <w:r>
        <w:rPr>
          <w:rFonts w:hint="eastAsia" w:ascii="宋体" w:hAnsi="宋体" w:cs="宋体"/>
          <w:color w:val="auto"/>
          <w:szCs w:val="21"/>
          <w:highlight w:val="none"/>
          <w:u w:val="single"/>
        </w:rPr>
        <w:t>2</w:t>
      </w:r>
      <w:r>
        <w:rPr>
          <w:rFonts w:hint="eastAsia" w:ascii="宋体" w:hAnsi="宋体" w:cs="宋体"/>
          <w:color w:val="auto"/>
          <w:szCs w:val="21"/>
          <w:highlight w:val="none"/>
        </w:rPr>
        <w:t>年；</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4．电气管线、给排水管道、设备安装工程为</w:t>
      </w:r>
      <w:r>
        <w:rPr>
          <w:rFonts w:hint="eastAsia" w:ascii="宋体" w:hAnsi="宋体" w:cs="宋体"/>
          <w:color w:val="auto"/>
          <w:szCs w:val="21"/>
          <w:highlight w:val="none"/>
          <w:u w:val="single"/>
        </w:rPr>
        <w:t xml:space="preserve"> 2</w:t>
      </w:r>
      <w:r>
        <w:rPr>
          <w:rFonts w:hint="eastAsia" w:ascii="宋体" w:hAnsi="宋体" w:cs="宋体"/>
          <w:color w:val="auto"/>
          <w:szCs w:val="21"/>
          <w:highlight w:val="none"/>
        </w:rPr>
        <w:t>年；</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5．供热与供冷系统为</w:t>
      </w:r>
      <w:r>
        <w:rPr>
          <w:rFonts w:hint="eastAsia" w:ascii="宋体" w:hAnsi="宋体" w:cs="宋体"/>
          <w:color w:val="auto"/>
          <w:szCs w:val="21"/>
          <w:highlight w:val="none"/>
          <w:u w:val="single"/>
        </w:rPr>
        <w:t>2</w:t>
      </w:r>
      <w:r>
        <w:rPr>
          <w:rFonts w:hint="eastAsia" w:ascii="宋体" w:hAnsi="宋体" w:cs="宋体"/>
          <w:color w:val="auto"/>
          <w:szCs w:val="21"/>
          <w:highlight w:val="none"/>
        </w:rPr>
        <w:t>个采暖期、供冷期；</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6．住宅小区内的给排水设施、道路等配套工程为</w:t>
      </w:r>
      <w:r>
        <w:rPr>
          <w:rFonts w:hint="eastAsia" w:ascii="宋体" w:hAnsi="宋体" w:cs="宋体"/>
          <w:color w:val="auto"/>
          <w:szCs w:val="21"/>
          <w:highlight w:val="none"/>
          <w:u w:val="single"/>
        </w:rPr>
        <w:t xml:space="preserve"> 2</w:t>
      </w:r>
      <w:r>
        <w:rPr>
          <w:rFonts w:hint="eastAsia" w:ascii="宋体" w:hAnsi="宋体" w:cs="宋体"/>
          <w:color w:val="auto"/>
          <w:szCs w:val="21"/>
          <w:highlight w:val="none"/>
        </w:rPr>
        <w:t>年；</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7．其他项目保修期限约定如下：</w:t>
      </w:r>
      <w:r>
        <w:rPr>
          <w:rFonts w:hint="eastAsia" w:ascii="宋体" w:hAnsi="宋体" w:cs="宋体"/>
          <w:b/>
          <w:bCs/>
          <w:color w:val="auto"/>
          <w:szCs w:val="21"/>
          <w:highlight w:val="none"/>
          <w:u w:val="single"/>
        </w:rPr>
        <w:t>本项目除防水工程外其他项目质量保修期为2年，质量保修期自工程竣工验收合格之日起计算。</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质量保修期自工程竣工验收合格之日起计算。</w:t>
      </w:r>
    </w:p>
    <w:p>
      <w:pPr>
        <w:spacing w:line="360" w:lineRule="exact"/>
        <w:ind w:firstLine="422" w:firstLineChars="200"/>
        <w:rPr>
          <w:b/>
          <w:bCs/>
          <w:color w:val="auto"/>
          <w:szCs w:val="21"/>
          <w:highlight w:val="none"/>
        </w:rPr>
      </w:pPr>
      <w:r>
        <w:rPr>
          <w:b/>
          <w:bCs/>
          <w:color w:val="auto"/>
          <w:szCs w:val="21"/>
          <w:highlight w:val="none"/>
        </w:rPr>
        <w:t>三、缺陷责任期</w:t>
      </w:r>
    </w:p>
    <w:p>
      <w:pPr>
        <w:spacing w:line="360" w:lineRule="exact"/>
        <w:ind w:firstLine="420" w:firstLineChars="200"/>
        <w:rPr>
          <w:color w:val="auto"/>
          <w:szCs w:val="21"/>
          <w:highlight w:val="none"/>
        </w:rPr>
      </w:pPr>
      <w:r>
        <w:rPr>
          <w:color w:val="auto"/>
          <w:szCs w:val="21"/>
          <w:highlight w:val="none"/>
        </w:rPr>
        <w:t>工程缺陷责任期为</w:t>
      </w:r>
      <w:r>
        <w:rPr>
          <w:rFonts w:hint="eastAsia"/>
          <w:color w:val="auto"/>
          <w:szCs w:val="21"/>
          <w:highlight w:val="none"/>
          <w:u w:val="single"/>
        </w:rPr>
        <w:t>24</w:t>
      </w:r>
      <w:r>
        <w:rPr>
          <w:color w:val="auto"/>
          <w:szCs w:val="21"/>
          <w:highlight w:val="none"/>
        </w:rPr>
        <w:t>个月，缺陷责任期自工程竣工验收合格之日起计算。单位工程先于全部工程进行验收，单位工程缺陷责任期自单位工程验收合格之日起算。</w:t>
      </w:r>
    </w:p>
    <w:p>
      <w:pPr>
        <w:spacing w:line="360" w:lineRule="exact"/>
        <w:ind w:firstLine="422" w:firstLineChars="200"/>
        <w:rPr>
          <w:b/>
          <w:bCs/>
          <w:color w:val="auto"/>
          <w:szCs w:val="21"/>
          <w:highlight w:val="none"/>
        </w:rPr>
      </w:pPr>
      <w:r>
        <w:rPr>
          <w:b/>
          <w:bCs/>
          <w:color w:val="auto"/>
          <w:szCs w:val="21"/>
          <w:highlight w:val="none"/>
        </w:rPr>
        <w:t>四、质量保修责任</w:t>
      </w:r>
    </w:p>
    <w:p>
      <w:pPr>
        <w:spacing w:line="360" w:lineRule="exact"/>
        <w:ind w:firstLine="420" w:firstLineChars="200"/>
        <w:rPr>
          <w:color w:val="auto"/>
          <w:szCs w:val="21"/>
          <w:highlight w:val="none"/>
        </w:rPr>
      </w:pPr>
      <w:r>
        <w:rPr>
          <w:rFonts w:hint="eastAsia"/>
          <w:color w:val="auto"/>
          <w:szCs w:val="21"/>
          <w:highlight w:val="none"/>
        </w:rPr>
        <w:t>1．</w:t>
      </w:r>
      <w:r>
        <w:rPr>
          <w:color w:val="auto"/>
          <w:szCs w:val="21"/>
          <w:highlight w:val="none"/>
        </w:rPr>
        <w:t>属于保修范围、内容的项目，承包人应当在接到保修通知之日起7天内派人保修。承包人不在约定期限内派人保修的，发包人可以委托他人修理。</w:t>
      </w:r>
    </w:p>
    <w:p>
      <w:pPr>
        <w:spacing w:line="360" w:lineRule="exact"/>
        <w:ind w:firstLine="420" w:firstLineChars="200"/>
        <w:rPr>
          <w:color w:val="auto"/>
          <w:szCs w:val="21"/>
          <w:highlight w:val="none"/>
        </w:rPr>
      </w:pPr>
      <w:r>
        <w:rPr>
          <w:rFonts w:hint="eastAsia"/>
          <w:color w:val="auto"/>
          <w:szCs w:val="21"/>
          <w:highlight w:val="none"/>
        </w:rPr>
        <w:t>2．</w:t>
      </w:r>
      <w:r>
        <w:rPr>
          <w:color w:val="auto"/>
          <w:szCs w:val="21"/>
          <w:highlight w:val="none"/>
        </w:rPr>
        <w:t>发生紧急事故需抢修的，承包人在接到事故通知后，应当立即到达事故现场抢修。</w:t>
      </w:r>
    </w:p>
    <w:p>
      <w:pPr>
        <w:spacing w:line="360" w:lineRule="exact"/>
        <w:ind w:firstLine="420" w:firstLineChars="200"/>
        <w:rPr>
          <w:color w:val="auto"/>
          <w:szCs w:val="21"/>
          <w:highlight w:val="none"/>
        </w:rPr>
      </w:pPr>
      <w:r>
        <w:rPr>
          <w:rFonts w:hint="eastAsia"/>
          <w:color w:val="auto"/>
          <w:szCs w:val="21"/>
          <w:highlight w:val="none"/>
        </w:rPr>
        <w:t>3．</w:t>
      </w:r>
      <w:r>
        <w:rPr>
          <w:color w:val="auto"/>
          <w:szCs w:val="21"/>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exact"/>
        <w:ind w:firstLine="420" w:firstLineChars="200"/>
        <w:rPr>
          <w:color w:val="auto"/>
          <w:szCs w:val="21"/>
          <w:highlight w:val="none"/>
        </w:rPr>
      </w:pPr>
      <w:r>
        <w:rPr>
          <w:rFonts w:hint="eastAsia"/>
          <w:color w:val="auto"/>
          <w:szCs w:val="21"/>
          <w:highlight w:val="none"/>
        </w:rPr>
        <w:t>4．</w:t>
      </w:r>
      <w:r>
        <w:rPr>
          <w:color w:val="auto"/>
          <w:szCs w:val="21"/>
          <w:highlight w:val="none"/>
        </w:rPr>
        <w:t>质量保修完成后，由发包人组织验收。</w:t>
      </w:r>
    </w:p>
    <w:p>
      <w:pPr>
        <w:spacing w:line="360" w:lineRule="exact"/>
        <w:ind w:firstLine="422" w:firstLineChars="200"/>
        <w:rPr>
          <w:b/>
          <w:bCs/>
          <w:color w:val="auto"/>
          <w:szCs w:val="21"/>
          <w:highlight w:val="none"/>
        </w:rPr>
      </w:pPr>
      <w:r>
        <w:rPr>
          <w:b/>
          <w:bCs/>
          <w:color w:val="auto"/>
          <w:szCs w:val="21"/>
          <w:highlight w:val="none"/>
        </w:rPr>
        <w:t>五、保修费用</w:t>
      </w:r>
    </w:p>
    <w:p>
      <w:pPr>
        <w:spacing w:line="360" w:lineRule="exact"/>
        <w:ind w:firstLine="420" w:firstLineChars="200"/>
        <w:rPr>
          <w:color w:val="auto"/>
          <w:szCs w:val="21"/>
          <w:highlight w:val="none"/>
        </w:rPr>
      </w:pPr>
      <w:r>
        <w:rPr>
          <w:color w:val="auto"/>
          <w:szCs w:val="21"/>
          <w:highlight w:val="none"/>
        </w:rPr>
        <w:t>保修费用由造成质量缺陷的责任方承担。</w:t>
      </w:r>
    </w:p>
    <w:p>
      <w:pPr>
        <w:spacing w:line="360" w:lineRule="exact"/>
        <w:ind w:firstLine="420" w:firstLineChars="200"/>
        <w:rPr>
          <w:color w:val="auto"/>
          <w:szCs w:val="21"/>
          <w:highlight w:val="none"/>
        </w:rPr>
      </w:pPr>
      <w:r>
        <w:rPr>
          <w:rFonts w:hint="eastAsia"/>
          <w:color w:val="auto"/>
          <w:szCs w:val="21"/>
          <w:highlight w:val="none"/>
        </w:rPr>
        <w:t>六</w:t>
      </w:r>
      <w:r>
        <w:rPr>
          <w:color w:val="auto"/>
          <w:szCs w:val="21"/>
          <w:highlight w:val="none"/>
        </w:rPr>
        <w:t>、双方约定的其他工程质量保修事项</w:t>
      </w:r>
      <w:r>
        <w:rPr>
          <w:bCs/>
          <w:color w:val="auto"/>
          <w:szCs w:val="21"/>
          <w:highlight w:val="none"/>
        </w:rPr>
        <w:t>：</w:t>
      </w:r>
      <w:r>
        <w:rPr>
          <w:rFonts w:hint="eastAsia" w:ascii="宋体" w:hAnsi="宋体" w:cs="宋体"/>
          <w:color w:val="auto"/>
          <w:szCs w:val="21"/>
          <w:highlight w:val="none"/>
          <w:u w:val="single"/>
        </w:rPr>
        <w:t>①</w:t>
      </w:r>
      <w:r>
        <w:rPr>
          <w:rFonts w:hint="eastAsia" w:ascii="宋体" w:hAnsi="宋体"/>
          <w:color w:val="auto"/>
          <w:highlight w:val="none"/>
          <w:u w:val="single"/>
        </w:rPr>
        <w:t>工程质量保修期间，发包人已书面文件送达至承包人，即视为承包人已收到发包人的相关通知。②</w:t>
      </w:r>
      <w:r>
        <w:rPr>
          <w:rFonts w:hint="eastAsia"/>
          <w:color w:val="auto"/>
          <w:szCs w:val="21"/>
          <w:highlight w:val="none"/>
          <w:u w:val="single"/>
        </w:rPr>
        <w:t>如承包人未按《工程质量保修书》所规定的期限内保修的，发包人可以委托他人修理，由此造成的一切责任（包括安全责任）由承包人承担，所需的保修费用从质量保证金中扣除，不足部分由承包人承担</w:t>
      </w:r>
      <w:r>
        <w:rPr>
          <w:color w:val="auto"/>
          <w:szCs w:val="21"/>
          <w:highlight w:val="none"/>
        </w:rPr>
        <w:t>。</w:t>
      </w:r>
    </w:p>
    <w:p>
      <w:pPr>
        <w:spacing w:line="360" w:lineRule="exact"/>
        <w:ind w:firstLine="399" w:firstLineChars="190"/>
        <w:rPr>
          <w:color w:val="auto"/>
          <w:szCs w:val="21"/>
          <w:highlight w:val="none"/>
        </w:rPr>
      </w:pPr>
      <w:r>
        <w:rPr>
          <w:color w:val="auto"/>
          <w:szCs w:val="21"/>
          <w:highlight w:val="none"/>
        </w:rPr>
        <w:t>工程质量保修书由发包人、承包人在工程竣工验收前共同签署，作为施工合同附件，其有效期限至保修期满。</w:t>
      </w:r>
    </w:p>
    <w:p>
      <w:pPr>
        <w:spacing w:line="360" w:lineRule="exact"/>
        <w:rPr>
          <w:color w:val="auto"/>
          <w:szCs w:val="21"/>
          <w:highlight w:val="none"/>
        </w:rPr>
      </w:pPr>
    </w:p>
    <w:p>
      <w:pPr>
        <w:spacing w:line="360" w:lineRule="exact"/>
        <w:rPr>
          <w:color w:val="auto"/>
          <w:szCs w:val="21"/>
          <w:highlight w:val="none"/>
        </w:rPr>
      </w:pPr>
    </w:p>
    <w:p>
      <w:pPr>
        <w:spacing w:line="360" w:lineRule="exact"/>
        <w:rPr>
          <w:color w:val="auto"/>
          <w:szCs w:val="21"/>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发包人（公章）：                               承包人（公章）：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地址：                                           地址：</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法定代表人或                                 法定代表人或</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委托代理人（签字）：                         委托代理人（签字）：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电话：                                           电话：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传真：                                           传真：</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开户银行：                                       开户银行</w:t>
      </w:r>
    </w:p>
    <w:p>
      <w:pPr>
        <w:spacing w:line="360" w:lineRule="auto"/>
        <w:rPr>
          <w:rFonts w:ascii="宋体" w:hAnsi="宋体" w:cs="宋体"/>
          <w:color w:val="auto"/>
          <w:szCs w:val="21"/>
          <w:highlight w:val="none"/>
        </w:rPr>
      </w:pPr>
      <w:r>
        <w:rPr>
          <w:rFonts w:hint="eastAsia" w:ascii="宋体" w:hAnsi="宋体" w:cs="宋体"/>
          <w:color w:val="auto"/>
          <w:szCs w:val="21"/>
          <w:highlight w:val="none"/>
        </w:rPr>
        <w:t>账号：                                           账号：</w:t>
      </w:r>
    </w:p>
    <w:p>
      <w:pPr>
        <w:spacing w:line="360" w:lineRule="auto"/>
        <w:rPr>
          <w:rFonts w:ascii="宋体" w:hAnsi="宋体"/>
          <w:color w:val="auto"/>
          <w:szCs w:val="21"/>
          <w:highlight w:val="none"/>
        </w:rPr>
      </w:pPr>
      <w:r>
        <w:rPr>
          <w:rFonts w:hint="eastAsia" w:ascii="宋体" w:hAnsi="宋体"/>
          <w:color w:val="auto"/>
          <w:szCs w:val="21"/>
          <w:highlight w:val="none"/>
        </w:rPr>
        <w:t>邮政编码：                                     邮政编码：</w:t>
      </w:r>
    </w:p>
    <w:p>
      <w:pPr>
        <w:spacing w:line="360" w:lineRule="exact"/>
        <w:ind w:firstLine="480" w:firstLineChars="200"/>
        <w:jc w:val="center"/>
        <w:rPr>
          <w:rFonts w:eastAsia="黑体"/>
          <w:bCs/>
          <w:color w:val="auto"/>
          <w:sz w:val="24"/>
          <w:highlight w:val="none"/>
        </w:rPr>
      </w:pPr>
    </w:p>
    <w:p>
      <w:pPr>
        <w:spacing w:line="360" w:lineRule="exact"/>
        <w:ind w:firstLine="480" w:firstLineChars="200"/>
        <w:jc w:val="center"/>
        <w:rPr>
          <w:rFonts w:eastAsia="黑体"/>
          <w:bCs/>
          <w:color w:val="auto"/>
          <w:sz w:val="24"/>
          <w:highlight w:val="none"/>
        </w:rPr>
      </w:pPr>
    </w:p>
    <w:p>
      <w:pPr>
        <w:spacing w:line="360" w:lineRule="exact"/>
        <w:ind w:firstLine="480" w:firstLineChars="200"/>
        <w:jc w:val="center"/>
        <w:rPr>
          <w:rFonts w:eastAsia="黑体"/>
          <w:bCs/>
          <w:color w:val="auto"/>
          <w:sz w:val="24"/>
          <w:highlight w:val="none"/>
        </w:rPr>
      </w:pPr>
    </w:p>
    <w:p>
      <w:pPr>
        <w:spacing w:line="360" w:lineRule="exact"/>
        <w:ind w:firstLine="480" w:firstLineChars="200"/>
        <w:jc w:val="center"/>
        <w:rPr>
          <w:rFonts w:eastAsia="黑体"/>
          <w:bCs/>
          <w:color w:val="auto"/>
          <w:sz w:val="24"/>
          <w:highlight w:val="none"/>
        </w:rPr>
      </w:pPr>
    </w:p>
    <w:p>
      <w:pPr>
        <w:spacing w:line="360" w:lineRule="exact"/>
        <w:ind w:firstLine="480" w:firstLineChars="200"/>
        <w:jc w:val="center"/>
        <w:rPr>
          <w:rFonts w:eastAsia="黑体"/>
          <w:bCs/>
          <w:color w:val="auto"/>
          <w:sz w:val="24"/>
          <w:highlight w:val="none"/>
        </w:rPr>
      </w:pPr>
    </w:p>
    <w:p>
      <w:pPr>
        <w:spacing w:line="360" w:lineRule="exact"/>
        <w:ind w:firstLine="480" w:firstLineChars="200"/>
        <w:jc w:val="center"/>
        <w:rPr>
          <w:rFonts w:eastAsia="黑体"/>
          <w:bCs/>
          <w:color w:val="auto"/>
          <w:sz w:val="24"/>
          <w:highlight w:val="none"/>
        </w:rPr>
      </w:pPr>
    </w:p>
    <w:p>
      <w:pPr>
        <w:spacing w:line="360" w:lineRule="exact"/>
        <w:ind w:firstLine="480" w:firstLineChars="200"/>
        <w:jc w:val="center"/>
        <w:rPr>
          <w:rFonts w:eastAsia="黑体"/>
          <w:bCs/>
          <w:color w:val="auto"/>
          <w:sz w:val="24"/>
          <w:highlight w:val="none"/>
        </w:rPr>
      </w:pPr>
    </w:p>
    <w:p>
      <w:pPr>
        <w:spacing w:line="360" w:lineRule="exact"/>
        <w:ind w:firstLine="480" w:firstLineChars="200"/>
        <w:jc w:val="center"/>
        <w:rPr>
          <w:rFonts w:eastAsia="黑体"/>
          <w:bCs/>
          <w:color w:val="auto"/>
          <w:sz w:val="24"/>
          <w:highlight w:val="none"/>
        </w:rPr>
      </w:pPr>
    </w:p>
    <w:p>
      <w:pPr>
        <w:spacing w:line="360" w:lineRule="exact"/>
        <w:ind w:firstLine="480" w:firstLineChars="200"/>
        <w:jc w:val="center"/>
        <w:rPr>
          <w:rFonts w:eastAsia="黑体"/>
          <w:bCs/>
          <w:color w:val="auto"/>
          <w:sz w:val="24"/>
          <w:highlight w:val="none"/>
        </w:rPr>
      </w:pPr>
    </w:p>
    <w:p>
      <w:pPr>
        <w:spacing w:line="360" w:lineRule="exact"/>
        <w:ind w:firstLine="480" w:firstLineChars="200"/>
        <w:jc w:val="center"/>
        <w:rPr>
          <w:rFonts w:eastAsia="黑体"/>
          <w:bCs/>
          <w:color w:val="auto"/>
          <w:sz w:val="24"/>
          <w:highlight w:val="none"/>
        </w:rPr>
      </w:pPr>
    </w:p>
    <w:p>
      <w:pPr>
        <w:spacing w:line="360" w:lineRule="exact"/>
        <w:ind w:firstLine="480" w:firstLineChars="200"/>
        <w:jc w:val="center"/>
        <w:rPr>
          <w:rFonts w:eastAsia="黑体"/>
          <w:bCs/>
          <w:color w:val="auto"/>
          <w:sz w:val="24"/>
          <w:highlight w:val="none"/>
        </w:rPr>
      </w:pPr>
    </w:p>
    <w:p>
      <w:pPr>
        <w:spacing w:line="360" w:lineRule="exact"/>
        <w:ind w:firstLine="480" w:firstLineChars="200"/>
        <w:jc w:val="center"/>
        <w:rPr>
          <w:rFonts w:eastAsia="黑体"/>
          <w:bCs/>
          <w:color w:val="auto"/>
          <w:sz w:val="24"/>
          <w:highlight w:val="none"/>
        </w:rPr>
      </w:pPr>
    </w:p>
    <w:p>
      <w:pPr>
        <w:spacing w:line="360" w:lineRule="exact"/>
        <w:ind w:firstLine="480" w:firstLineChars="200"/>
        <w:jc w:val="center"/>
        <w:rPr>
          <w:rFonts w:eastAsia="黑体"/>
          <w:bCs/>
          <w:color w:val="auto"/>
          <w:sz w:val="24"/>
          <w:highlight w:val="none"/>
        </w:rPr>
      </w:pPr>
    </w:p>
    <w:p>
      <w:pPr>
        <w:spacing w:line="360" w:lineRule="exact"/>
        <w:ind w:firstLine="480" w:firstLineChars="200"/>
        <w:jc w:val="center"/>
        <w:rPr>
          <w:rFonts w:eastAsia="黑体"/>
          <w:bCs/>
          <w:color w:val="auto"/>
          <w:sz w:val="24"/>
          <w:highlight w:val="none"/>
        </w:rPr>
      </w:pPr>
    </w:p>
    <w:p>
      <w:pPr>
        <w:spacing w:line="360" w:lineRule="exact"/>
        <w:ind w:firstLine="480" w:firstLineChars="200"/>
        <w:jc w:val="center"/>
        <w:rPr>
          <w:rFonts w:eastAsia="黑体"/>
          <w:bCs/>
          <w:color w:val="auto"/>
          <w:sz w:val="24"/>
          <w:highlight w:val="none"/>
        </w:rPr>
      </w:pPr>
    </w:p>
    <w:p>
      <w:pPr>
        <w:spacing w:line="360" w:lineRule="exact"/>
        <w:ind w:firstLine="480" w:firstLineChars="200"/>
        <w:jc w:val="center"/>
        <w:rPr>
          <w:rFonts w:eastAsia="黑体"/>
          <w:bCs/>
          <w:color w:val="auto"/>
          <w:sz w:val="24"/>
          <w:highlight w:val="none"/>
        </w:rPr>
      </w:pPr>
    </w:p>
    <w:p>
      <w:pPr>
        <w:spacing w:line="360" w:lineRule="exact"/>
        <w:ind w:firstLine="480" w:firstLineChars="200"/>
        <w:jc w:val="center"/>
        <w:rPr>
          <w:rFonts w:eastAsia="黑体"/>
          <w:bCs/>
          <w:color w:val="auto"/>
          <w:sz w:val="24"/>
          <w:highlight w:val="none"/>
        </w:rPr>
      </w:pPr>
    </w:p>
    <w:p>
      <w:pPr>
        <w:spacing w:line="360" w:lineRule="exact"/>
        <w:ind w:firstLine="480" w:firstLineChars="200"/>
        <w:jc w:val="center"/>
        <w:rPr>
          <w:rFonts w:eastAsia="黑体"/>
          <w:bCs/>
          <w:color w:val="auto"/>
          <w:sz w:val="24"/>
          <w:highlight w:val="none"/>
        </w:rPr>
      </w:pPr>
    </w:p>
    <w:p>
      <w:pPr>
        <w:spacing w:line="360" w:lineRule="exact"/>
        <w:ind w:firstLine="480" w:firstLineChars="200"/>
        <w:jc w:val="center"/>
        <w:rPr>
          <w:rFonts w:eastAsia="黑体"/>
          <w:bCs/>
          <w:color w:val="auto"/>
          <w:sz w:val="24"/>
          <w:highlight w:val="none"/>
        </w:rPr>
      </w:pPr>
    </w:p>
    <w:p>
      <w:pPr>
        <w:spacing w:line="360" w:lineRule="exact"/>
        <w:ind w:firstLine="480" w:firstLineChars="200"/>
        <w:jc w:val="center"/>
        <w:rPr>
          <w:rFonts w:eastAsia="黑体"/>
          <w:bCs/>
          <w:color w:val="auto"/>
          <w:sz w:val="24"/>
          <w:highlight w:val="none"/>
        </w:rPr>
      </w:pPr>
    </w:p>
    <w:p>
      <w:pPr>
        <w:spacing w:line="360" w:lineRule="exact"/>
        <w:ind w:firstLine="600" w:firstLineChars="200"/>
        <w:jc w:val="center"/>
        <w:rPr>
          <w:rFonts w:ascii="宋体" w:hAnsi="宋体" w:cs="宋体"/>
          <w:bCs/>
          <w:color w:val="auto"/>
          <w:sz w:val="30"/>
          <w:szCs w:val="30"/>
          <w:highlight w:val="none"/>
        </w:rPr>
      </w:pPr>
      <w:r>
        <w:rPr>
          <w:rFonts w:hint="eastAsia" w:ascii="宋体" w:hAnsi="宋体" w:cs="宋体"/>
          <w:bCs/>
          <w:color w:val="auto"/>
          <w:sz w:val="30"/>
          <w:szCs w:val="30"/>
          <w:highlight w:val="none"/>
        </w:rPr>
        <w:t>第四部分    工程建设项目廉政责任书</w:t>
      </w:r>
    </w:p>
    <w:p>
      <w:pPr>
        <w:spacing w:line="360" w:lineRule="exact"/>
        <w:jc w:val="left"/>
        <w:rPr>
          <w:color w:val="auto"/>
          <w:szCs w:val="21"/>
          <w:highlight w:val="none"/>
        </w:rPr>
      </w:pPr>
    </w:p>
    <w:p>
      <w:pPr>
        <w:spacing w:line="360" w:lineRule="exact"/>
        <w:jc w:val="left"/>
        <w:rPr>
          <w:color w:val="auto"/>
          <w:szCs w:val="21"/>
          <w:highlight w:val="none"/>
        </w:rPr>
      </w:pPr>
      <w:r>
        <w:rPr>
          <w:rFonts w:hint="eastAsia"/>
          <w:color w:val="auto"/>
          <w:szCs w:val="21"/>
          <w:highlight w:val="none"/>
        </w:rPr>
        <w:t>工程项目名称：</w:t>
      </w:r>
      <w:r>
        <w:rPr>
          <w:rFonts w:hint="eastAsia"/>
          <w:color w:val="auto"/>
          <w:szCs w:val="21"/>
          <w:highlight w:val="none"/>
          <w:u w:val="single"/>
        </w:rPr>
        <w:t xml:space="preserve"> 台州市第一中学食堂二楼备餐间、洗碗间和新疆班卫生间改造工程项目 </w:t>
      </w:r>
      <w:r>
        <w:rPr>
          <w:rFonts w:hint="eastAsia"/>
          <w:color w:val="auto"/>
          <w:szCs w:val="21"/>
          <w:highlight w:val="none"/>
        </w:rPr>
        <w:t xml:space="preserve">                            </w:t>
      </w:r>
    </w:p>
    <w:p>
      <w:pPr>
        <w:spacing w:line="360" w:lineRule="exact"/>
        <w:jc w:val="left"/>
        <w:rPr>
          <w:color w:val="auto"/>
          <w:szCs w:val="21"/>
          <w:highlight w:val="none"/>
        </w:rPr>
      </w:pPr>
      <w:r>
        <w:rPr>
          <w:rFonts w:hint="eastAsia"/>
          <w:color w:val="auto"/>
          <w:szCs w:val="21"/>
          <w:highlight w:val="none"/>
        </w:rPr>
        <w:t>工程项目地址：</w:t>
      </w:r>
      <w:r>
        <w:rPr>
          <w:rFonts w:hint="eastAsia"/>
          <w:color w:val="auto"/>
          <w:szCs w:val="21"/>
          <w:highlight w:val="none"/>
          <w:u w:val="single"/>
        </w:rPr>
        <w:t xml:space="preserve"> 台州市第一中学内 </w:t>
      </w:r>
      <w:r>
        <w:rPr>
          <w:rFonts w:hint="eastAsia"/>
          <w:color w:val="auto"/>
          <w:szCs w:val="21"/>
          <w:highlight w:val="none"/>
        </w:rPr>
        <w:t xml:space="preserve">。                     </w:t>
      </w:r>
    </w:p>
    <w:p>
      <w:pPr>
        <w:spacing w:line="360" w:lineRule="exact"/>
        <w:jc w:val="left"/>
        <w:rPr>
          <w:color w:val="auto"/>
          <w:szCs w:val="21"/>
          <w:highlight w:val="none"/>
        </w:rPr>
      </w:pPr>
      <w:r>
        <w:rPr>
          <w:rFonts w:hint="eastAsia"/>
          <w:color w:val="auto"/>
          <w:szCs w:val="21"/>
          <w:highlight w:val="none"/>
        </w:rPr>
        <w:t>建设单位（甲方）：</w:t>
      </w:r>
      <w:r>
        <w:rPr>
          <w:rFonts w:hint="eastAsia"/>
          <w:color w:val="auto"/>
          <w:szCs w:val="21"/>
          <w:highlight w:val="none"/>
          <w:u w:val="single"/>
        </w:rPr>
        <w:t xml:space="preserve"> 台州市第一中学 </w:t>
      </w:r>
      <w:r>
        <w:rPr>
          <w:rFonts w:hint="eastAsia"/>
          <w:color w:val="auto"/>
          <w:szCs w:val="21"/>
          <w:highlight w:val="none"/>
        </w:rPr>
        <w:t xml:space="preserve">。                                </w:t>
      </w:r>
    </w:p>
    <w:p>
      <w:pPr>
        <w:spacing w:line="360" w:lineRule="exact"/>
        <w:jc w:val="left"/>
        <w:rPr>
          <w:color w:val="auto"/>
          <w:szCs w:val="21"/>
          <w:highlight w:val="none"/>
        </w:rPr>
      </w:pPr>
      <w:r>
        <w:rPr>
          <w:rFonts w:hint="eastAsia"/>
          <w:color w:val="auto"/>
          <w:szCs w:val="21"/>
          <w:highlight w:val="none"/>
        </w:rPr>
        <w:t>施工单位（乙方）：</w:t>
      </w:r>
      <w:r>
        <w:rPr>
          <w:rFonts w:hint="eastAsia"/>
          <w:color w:val="auto"/>
          <w:szCs w:val="21"/>
          <w:highlight w:val="none"/>
          <w:u w:val="single"/>
        </w:rPr>
        <w:t xml:space="preserve">                </w:t>
      </w:r>
      <w:r>
        <w:rPr>
          <w:rFonts w:hint="eastAsia"/>
          <w:color w:val="auto"/>
          <w:szCs w:val="21"/>
          <w:highlight w:val="none"/>
        </w:rPr>
        <w:t>。</w:t>
      </w:r>
    </w:p>
    <w:p>
      <w:pPr>
        <w:autoSpaceDE w:val="0"/>
        <w:autoSpaceDN w:val="0"/>
        <w:spacing w:line="360" w:lineRule="exact"/>
        <w:ind w:firstLine="482"/>
        <w:rPr>
          <w:color w:val="auto"/>
          <w:szCs w:val="21"/>
          <w:highlight w:val="none"/>
        </w:rPr>
      </w:pPr>
    </w:p>
    <w:p>
      <w:pPr>
        <w:autoSpaceDE w:val="0"/>
        <w:autoSpaceDN w:val="0"/>
        <w:spacing w:line="360" w:lineRule="exact"/>
        <w:ind w:firstLine="482"/>
        <w:rPr>
          <w:color w:val="auto"/>
          <w:szCs w:val="21"/>
          <w:highlight w:val="none"/>
        </w:rPr>
      </w:pPr>
      <w:r>
        <w:rPr>
          <w:rFonts w:hint="eastAsia"/>
          <w:color w:val="auto"/>
          <w:szCs w:val="21"/>
          <w:highlight w:val="none"/>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pPr>
        <w:autoSpaceDE w:val="0"/>
        <w:autoSpaceDN w:val="0"/>
        <w:spacing w:line="360" w:lineRule="exact"/>
        <w:rPr>
          <w:color w:val="auto"/>
          <w:szCs w:val="21"/>
          <w:highlight w:val="none"/>
        </w:rPr>
      </w:pPr>
      <w:r>
        <w:rPr>
          <w:rFonts w:hint="eastAsia"/>
          <w:color w:val="auto"/>
          <w:szCs w:val="21"/>
          <w:highlight w:val="none"/>
        </w:rPr>
        <w:t>　　第一条 甲乙双方的责任</w:t>
      </w:r>
    </w:p>
    <w:p>
      <w:pPr>
        <w:spacing w:line="360" w:lineRule="exact"/>
        <w:jc w:val="left"/>
        <w:rPr>
          <w:color w:val="auto"/>
          <w:szCs w:val="21"/>
          <w:highlight w:val="none"/>
        </w:rPr>
      </w:pPr>
      <w:r>
        <w:rPr>
          <w:rFonts w:hint="eastAsia"/>
          <w:color w:val="auto"/>
          <w:szCs w:val="21"/>
          <w:highlight w:val="none"/>
        </w:rPr>
        <w:t>　　（一）应严格遵守国家关于市场准入、项目招标投标、工程建设、施工安装和市场活动等有关法律、法规，相关政策，以及廉政建设的各项规定。</w:t>
      </w:r>
    </w:p>
    <w:p>
      <w:pPr>
        <w:autoSpaceDE w:val="0"/>
        <w:autoSpaceDN w:val="0"/>
        <w:spacing w:line="360" w:lineRule="exact"/>
        <w:rPr>
          <w:color w:val="auto"/>
          <w:szCs w:val="21"/>
          <w:highlight w:val="none"/>
        </w:rPr>
      </w:pPr>
      <w:r>
        <w:rPr>
          <w:rFonts w:hint="eastAsia"/>
          <w:color w:val="auto"/>
          <w:szCs w:val="21"/>
          <w:highlight w:val="none"/>
        </w:rPr>
        <w:t>　　（二）严格执行建设工程项目承发包合同文件，自觉按合同办事。</w:t>
      </w:r>
    </w:p>
    <w:p>
      <w:pPr>
        <w:spacing w:line="360" w:lineRule="exact"/>
        <w:rPr>
          <w:color w:val="auto"/>
          <w:szCs w:val="21"/>
          <w:highlight w:val="none"/>
        </w:rPr>
      </w:pPr>
      <w:r>
        <w:rPr>
          <w:rFonts w:hint="eastAsia"/>
          <w:color w:val="auto"/>
          <w:szCs w:val="21"/>
          <w:highlight w:val="none"/>
        </w:rPr>
        <w:t>　　（三）业务活动必须坚持公开、公平、公正、诚信、透明的原则（除法律法规另有规定者外），不得为获取不正当的利益，损害国家、集体和对方利益，不得违反工程建设管理、施工安装的规章制度。</w:t>
      </w:r>
    </w:p>
    <w:p>
      <w:pPr>
        <w:spacing w:line="360" w:lineRule="exact"/>
        <w:jc w:val="left"/>
        <w:rPr>
          <w:color w:val="auto"/>
          <w:szCs w:val="21"/>
          <w:highlight w:val="none"/>
        </w:rPr>
      </w:pPr>
      <w:r>
        <w:rPr>
          <w:rFonts w:hint="eastAsia"/>
          <w:color w:val="auto"/>
          <w:szCs w:val="21"/>
          <w:highlight w:val="none"/>
        </w:rPr>
        <w:t>　　（四）发现对方在业务活动中有违规、违纪、违法行为的，应及时提醒对方，情节严重的，应向其上级主管部门或纪检监察、司法等有关机关举报。</w:t>
      </w:r>
    </w:p>
    <w:p>
      <w:pPr>
        <w:autoSpaceDE w:val="0"/>
        <w:autoSpaceDN w:val="0"/>
        <w:spacing w:line="360" w:lineRule="exact"/>
        <w:rPr>
          <w:color w:val="auto"/>
          <w:szCs w:val="21"/>
          <w:highlight w:val="none"/>
        </w:rPr>
      </w:pPr>
      <w:r>
        <w:rPr>
          <w:rFonts w:hint="eastAsia"/>
          <w:color w:val="auto"/>
          <w:szCs w:val="21"/>
          <w:highlight w:val="none"/>
        </w:rPr>
        <w:t>　　第二条 甲方的责任</w:t>
      </w:r>
    </w:p>
    <w:p>
      <w:pPr>
        <w:autoSpaceDE w:val="0"/>
        <w:autoSpaceDN w:val="0"/>
        <w:spacing w:line="360" w:lineRule="exact"/>
        <w:rPr>
          <w:color w:val="auto"/>
          <w:szCs w:val="21"/>
          <w:highlight w:val="none"/>
        </w:rPr>
      </w:pPr>
      <w:r>
        <w:rPr>
          <w:rFonts w:hint="eastAsia"/>
          <w:color w:val="auto"/>
          <w:szCs w:val="21"/>
          <w:highlight w:val="none"/>
        </w:rPr>
        <w:t>　　甲方的领导和从事该建设工程项目的工作人员，在工程建设的事前、事中、事后应遵守以下规定：</w:t>
      </w:r>
    </w:p>
    <w:p>
      <w:pPr>
        <w:autoSpaceDE w:val="0"/>
        <w:autoSpaceDN w:val="0"/>
        <w:spacing w:line="360" w:lineRule="exact"/>
        <w:rPr>
          <w:color w:val="auto"/>
          <w:szCs w:val="21"/>
          <w:highlight w:val="none"/>
        </w:rPr>
      </w:pPr>
      <w:r>
        <w:rPr>
          <w:rFonts w:hint="eastAsia"/>
          <w:color w:val="auto"/>
          <w:szCs w:val="21"/>
          <w:highlight w:val="none"/>
        </w:rPr>
        <w:t>　　（一）不准向乙方和相关单位索要或接受回扣、礼金、有价证券、贵重物品和好处费、感谢费等。</w:t>
      </w:r>
    </w:p>
    <w:p>
      <w:pPr>
        <w:autoSpaceDE w:val="0"/>
        <w:autoSpaceDN w:val="0"/>
        <w:spacing w:line="360" w:lineRule="exact"/>
        <w:rPr>
          <w:color w:val="auto"/>
          <w:szCs w:val="21"/>
          <w:highlight w:val="none"/>
        </w:rPr>
      </w:pPr>
      <w:r>
        <w:rPr>
          <w:rFonts w:hint="eastAsia"/>
          <w:color w:val="auto"/>
          <w:szCs w:val="21"/>
          <w:highlight w:val="none"/>
        </w:rPr>
        <w:t>　　（二）不准在乙方和相关单位报销任何应由甲方或个人支付的费用。</w:t>
      </w:r>
    </w:p>
    <w:p>
      <w:pPr>
        <w:spacing w:line="360" w:lineRule="exact"/>
        <w:jc w:val="left"/>
        <w:rPr>
          <w:color w:val="auto"/>
          <w:szCs w:val="21"/>
          <w:highlight w:val="none"/>
        </w:rPr>
      </w:pPr>
      <w:r>
        <w:rPr>
          <w:rFonts w:hint="eastAsia"/>
          <w:color w:val="auto"/>
          <w:szCs w:val="21"/>
          <w:highlight w:val="none"/>
        </w:rPr>
        <w:t>　　（三）不准要求、暗示和接受乙方和相关单位为个人装修住房、婚丧嫁娶、配偶子女的工作安排以及出国（境）、旅游等提供方便。</w:t>
      </w:r>
    </w:p>
    <w:p>
      <w:pPr>
        <w:autoSpaceDE w:val="0"/>
        <w:autoSpaceDN w:val="0"/>
        <w:spacing w:line="360" w:lineRule="exact"/>
        <w:rPr>
          <w:color w:val="auto"/>
          <w:szCs w:val="21"/>
          <w:highlight w:val="none"/>
        </w:rPr>
      </w:pPr>
      <w:r>
        <w:rPr>
          <w:rFonts w:hint="eastAsia"/>
          <w:color w:val="auto"/>
          <w:szCs w:val="21"/>
          <w:highlight w:val="none"/>
        </w:rPr>
        <w:t>　　（四）不准参加有可能影响公正执行公务的乙方和相关单位的宴请和健身、娱乐等活动。</w:t>
      </w:r>
    </w:p>
    <w:p>
      <w:pPr>
        <w:spacing w:line="360" w:lineRule="exact"/>
        <w:jc w:val="left"/>
        <w:rPr>
          <w:color w:val="auto"/>
          <w:szCs w:val="21"/>
          <w:highlight w:val="none"/>
        </w:rPr>
      </w:pPr>
      <w:r>
        <w:rPr>
          <w:rFonts w:hint="eastAsia"/>
          <w:color w:val="auto"/>
          <w:szCs w:val="21"/>
          <w:highlight w:val="none"/>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autoSpaceDE w:val="0"/>
        <w:autoSpaceDN w:val="0"/>
        <w:spacing w:line="360" w:lineRule="exact"/>
        <w:rPr>
          <w:color w:val="auto"/>
          <w:szCs w:val="21"/>
          <w:highlight w:val="none"/>
        </w:rPr>
      </w:pPr>
      <w:r>
        <w:rPr>
          <w:rFonts w:hint="eastAsia"/>
          <w:color w:val="auto"/>
          <w:szCs w:val="21"/>
          <w:highlight w:val="none"/>
        </w:rPr>
        <w:t>　　第三条 乙方的责任</w:t>
      </w:r>
    </w:p>
    <w:p>
      <w:pPr>
        <w:spacing w:line="360" w:lineRule="exact"/>
        <w:jc w:val="left"/>
        <w:rPr>
          <w:color w:val="auto"/>
          <w:szCs w:val="21"/>
          <w:highlight w:val="none"/>
        </w:rPr>
      </w:pPr>
      <w:r>
        <w:rPr>
          <w:rFonts w:hint="eastAsia"/>
          <w:color w:val="auto"/>
          <w:szCs w:val="21"/>
          <w:highlight w:val="none"/>
        </w:rPr>
        <w:t>　　应与甲方保持正常的业务交往，按照有关法律法规和程序开展业务工作，严格执行工程建设的有关方针、政策，尤其是有关建筑施工安装的强制性标准和规范，并遵守以下规定：</w:t>
      </w:r>
    </w:p>
    <w:p>
      <w:pPr>
        <w:spacing w:line="360" w:lineRule="exact"/>
        <w:jc w:val="left"/>
        <w:rPr>
          <w:color w:val="auto"/>
          <w:szCs w:val="21"/>
          <w:highlight w:val="none"/>
        </w:rPr>
      </w:pPr>
      <w:r>
        <w:rPr>
          <w:rFonts w:hint="eastAsia"/>
          <w:color w:val="auto"/>
          <w:szCs w:val="21"/>
          <w:highlight w:val="none"/>
        </w:rPr>
        <w:t>　　（一）不准以任何理由向甲方、相关单位及其工作人员索要、接受或赠送礼金、有价证券、贵重物品和回扣、好处费、感谢费等。</w:t>
      </w:r>
    </w:p>
    <w:p>
      <w:pPr>
        <w:autoSpaceDE w:val="0"/>
        <w:autoSpaceDN w:val="0"/>
        <w:spacing w:line="360" w:lineRule="exact"/>
        <w:rPr>
          <w:color w:val="auto"/>
          <w:szCs w:val="21"/>
          <w:highlight w:val="none"/>
        </w:rPr>
      </w:pPr>
      <w:r>
        <w:rPr>
          <w:rFonts w:hint="eastAsia"/>
          <w:color w:val="auto"/>
          <w:szCs w:val="21"/>
          <w:highlight w:val="none"/>
        </w:rPr>
        <w:t>　　（二）不准以任何理由为甲方和相关单位报销应由对方或个人支付的费用。</w:t>
      </w:r>
    </w:p>
    <w:p>
      <w:pPr>
        <w:spacing w:line="360" w:lineRule="exact"/>
        <w:jc w:val="left"/>
        <w:rPr>
          <w:color w:val="auto"/>
          <w:szCs w:val="21"/>
          <w:highlight w:val="none"/>
        </w:rPr>
      </w:pPr>
      <w:r>
        <w:rPr>
          <w:rFonts w:hint="eastAsia"/>
          <w:color w:val="auto"/>
          <w:szCs w:val="21"/>
          <w:highlight w:val="none"/>
        </w:rPr>
        <w:t>　　（三）不准接受或暗示为甲方、相关单位或个人装修住房、婚丧嫁娶、配偶子女的工作安排以及出国（境）、旅游等提供方便。</w:t>
      </w:r>
    </w:p>
    <w:p>
      <w:pPr>
        <w:spacing w:line="360" w:lineRule="exact"/>
        <w:jc w:val="left"/>
        <w:rPr>
          <w:color w:val="auto"/>
          <w:szCs w:val="21"/>
          <w:highlight w:val="none"/>
        </w:rPr>
      </w:pPr>
      <w:r>
        <w:rPr>
          <w:rFonts w:hint="eastAsia"/>
          <w:color w:val="auto"/>
          <w:szCs w:val="21"/>
          <w:highlight w:val="none"/>
        </w:rPr>
        <w:t>　　（四）不准以任何理由为甲方、相关单位或个人组织有可能影响公正执行公务的宴请、健身、娱乐等活动。</w:t>
      </w:r>
    </w:p>
    <w:p>
      <w:pPr>
        <w:autoSpaceDE w:val="0"/>
        <w:autoSpaceDN w:val="0"/>
        <w:spacing w:line="360" w:lineRule="exact"/>
        <w:rPr>
          <w:color w:val="auto"/>
          <w:szCs w:val="21"/>
          <w:highlight w:val="none"/>
        </w:rPr>
      </w:pPr>
      <w:r>
        <w:rPr>
          <w:rFonts w:hint="eastAsia"/>
          <w:color w:val="auto"/>
          <w:szCs w:val="21"/>
          <w:highlight w:val="none"/>
        </w:rPr>
        <w:t>　　第四条 违约责任</w:t>
      </w:r>
    </w:p>
    <w:p>
      <w:pPr>
        <w:spacing w:line="360" w:lineRule="exact"/>
        <w:jc w:val="left"/>
        <w:rPr>
          <w:color w:val="auto"/>
          <w:szCs w:val="21"/>
          <w:highlight w:val="none"/>
        </w:rPr>
      </w:pPr>
      <w:r>
        <w:rPr>
          <w:rFonts w:hint="eastAsia"/>
          <w:color w:val="auto"/>
          <w:szCs w:val="21"/>
          <w:highlight w:val="none"/>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pPr>
        <w:spacing w:line="360" w:lineRule="exact"/>
        <w:jc w:val="left"/>
        <w:rPr>
          <w:color w:val="auto"/>
          <w:szCs w:val="21"/>
          <w:highlight w:val="none"/>
        </w:rPr>
      </w:pPr>
      <w:r>
        <w:rPr>
          <w:rFonts w:hint="eastAsia"/>
          <w:color w:val="auto"/>
          <w:szCs w:val="21"/>
          <w:highlight w:val="none"/>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pPr>
        <w:autoSpaceDE w:val="0"/>
        <w:autoSpaceDN w:val="0"/>
        <w:spacing w:line="360" w:lineRule="exact"/>
        <w:rPr>
          <w:color w:val="auto"/>
          <w:szCs w:val="21"/>
          <w:highlight w:val="none"/>
        </w:rPr>
      </w:pPr>
      <w:r>
        <w:rPr>
          <w:rFonts w:hint="eastAsia"/>
          <w:color w:val="auto"/>
          <w:szCs w:val="21"/>
          <w:highlight w:val="none"/>
        </w:rPr>
        <w:t>　　第五条 本责任书作为工程施工合同的附件，与工程施工合同具有同等法律效力。经双方签署后立即生效。</w:t>
      </w:r>
    </w:p>
    <w:p>
      <w:pPr>
        <w:autoSpaceDE w:val="0"/>
        <w:autoSpaceDN w:val="0"/>
        <w:spacing w:line="360" w:lineRule="exact"/>
        <w:rPr>
          <w:color w:val="auto"/>
          <w:szCs w:val="21"/>
          <w:highlight w:val="none"/>
        </w:rPr>
      </w:pPr>
      <w:r>
        <w:rPr>
          <w:rFonts w:hint="eastAsia"/>
          <w:color w:val="auto"/>
          <w:szCs w:val="21"/>
          <w:highlight w:val="none"/>
        </w:rPr>
        <w:t>　　第六条 本责任书的有效期为双方签署之日起至该工程项目竣工验收合格时止。</w:t>
      </w:r>
    </w:p>
    <w:p>
      <w:pPr>
        <w:autoSpaceDE w:val="0"/>
        <w:autoSpaceDN w:val="0"/>
        <w:spacing w:line="360" w:lineRule="exact"/>
        <w:rPr>
          <w:color w:val="auto"/>
          <w:szCs w:val="21"/>
          <w:highlight w:val="none"/>
        </w:rPr>
      </w:pPr>
      <w:r>
        <w:rPr>
          <w:rFonts w:hint="eastAsia"/>
          <w:color w:val="auto"/>
          <w:szCs w:val="21"/>
          <w:highlight w:val="none"/>
        </w:rPr>
        <w:t>　　第七条 本责任书份数同合同份数。</w:t>
      </w:r>
    </w:p>
    <w:p>
      <w:pPr>
        <w:autoSpaceDE w:val="0"/>
        <w:autoSpaceDN w:val="0"/>
        <w:spacing w:line="360" w:lineRule="exact"/>
        <w:ind w:firstLine="482"/>
        <w:rPr>
          <w:color w:val="auto"/>
          <w:szCs w:val="21"/>
          <w:highlight w:val="none"/>
        </w:rPr>
      </w:pPr>
    </w:p>
    <w:p>
      <w:pPr>
        <w:autoSpaceDE w:val="0"/>
        <w:autoSpaceDN w:val="0"/>
        <w:spacing w:line="360" w:lineRule="exact"/>
        <w:ind w:firstLine="482"/>
        <w:rPr>
          <w:color w:val="auto"/>
          <w:szCs w:val="21"/>
          <w:highlight w:val="none"/>
        </w:rPr>
      </w:pPr>
    </w:p>
    <w:p>
      <w:pPr>
        <w:autoSpaceDE w:val="0"/>
        <w:autoSpaceDN w:val="0"/>
        <w:spacing w:line="360" w:lineRule="exact"/>
        <w:ind w:firstLine="482"/>
        <w:rPr>
          <w:color w:val="auto"/>
          <w:szCs w:val="21"/>
          <w:highlight w:val="none"/>
        </w:rPr>
      </w:pPr>
      <w:r>
        <w:rPr>
          <w:rFonts w:hint="eastAsia"/>
          <w:color w:val="auto"/>
          <w:szCs w:val="21"/>
          <w:highlight w:val="none"/>
        </w:rPr>
        <w:t>甲方单位：（盖章）　　　　　　　　                 乙方单位：（盖章）</w:t>
      </w:r>
    </w:p>
    <w:p>
      <w:pPr>
        <w:autoSpaceDE w:val="0"/>
        <w:autoSpaceDN w:val="0"/>
        <w:spacing w:line="360" w:lineRule="exact"/>
        <w:ind w:firstLine="482"/>
        <w:rPr>
          <w:color w:val="auto"/>
          <w:szCs w:val="21"/>
          <w:highlight w:val="none"/>
        </w:rPr>
      </w:pPr>
      <w:r>
        <w:rPr>
          <w:rFonts w:hint="eastAsia"/>
          <w:color w:val="auto"/>
          <w:szCs w:val="21"/>
          <w:highlight w:val="none"/>
        </w:rPr>
        <w:t>法定代表人：　　　　　　　　　               　　　法定代表人：</w:t>
      </w:r>
    </w:p>
    <w:p>
      <w:pPr>
        <w:autoSpaceDE w:val="0"/>
        <w:autoSpaceDN w:val="0"/>
        <w:spacing w:line="360" w:lineRule="exact"/>
        <w:ind w:firstLine="482"/>
        <w:rPr>
          <w:color w:val="auto"/>
          <w:szCs w:val="21"/>
          <w:highlight w:val="none"/>
        </w:rPr>
      </w:pPr>
      <w:r>
        <w:rPr>
          <w:rFonts w:hint="eastAsia"/>
          <w:color w:val="auto"/>
          <w:szCs w:val="21"/>
          <w:highlight w:val="none"/>
        </w:rPr>
        <w:t>地址：　　　　　　　　　　　　　               　　地址：</w:t>
      </w:r>
    </w:p>
    <w:p>
      <w:pPr>
        <w:autoSpaceDE w:val="0"/>
        <w:autoSpaceDN w:val="0"/>
        <w:spacing w:line="360" w:lineRule="exact"/>
        <w:ind w:firstLine="482"/>
        <w:rPr>
          <w:color w:val="auto"/>
          <w:szCs w:val="21"/>
          <w:highlight w:val="none"/>
        </w:rPr>
      </w:pPr>
      <w:r>
        <w:rPr>
          <w:rFonts w:hint="eastAsia"/>
          <w:color w:val="auto"/>
          <w:szCs w:val="21"/>
          <w:highlight w:val="none"/>
        </w:rPr>
        <w:t>电话：　　　　　　　　　　　　　　　               电话：</w:t>
      </w:r>
    </w:p>
    <w:p>
      <w:pPr>
        <w:autoSpaceDE w:val="0"/>
        <w:autoSpaceDN w:val="0"/>
        <w:spacing w:line="360" w:lineRule="exact"/>
        <w:ind w:firstLine="482"/>
        <w:rPr>
          <w:color w:val="auto"/>
          <w:szCs w:val="21"/>
          <w:highlight w:val="none"/>
        </w:rPr>
      </w:pPr>
      <w:r>
        <w:rPr>
          <w:rFonts w:hint="eastAsia"/>
          <w:color w:val="auto"/>
          <w:szCs w:val="21"/>
          <w:highlight w:val="none"/>
        </w:rPr>
        <w:t>年　月　日　　　　　　　　　　　　　               年　月　日</w:t>
      </w:r>
    </w:p>
    <w:p>
      <w:pPr>
        <w:autoSpaceDE w:val="0"/>
        <w:autoSpaceDN w:val="0"/>
        <w:spacing w:line="360" w:lineRule="exact"/>
        <w:ind w:firstLine="482"/>
        <w:rPr>
          <w:color w:val="auto"/>
          <w:szCs w:val="21"/>
          <w:highlight w:val="none"/>
        </w:rPr>
      </w:pPr>
    </w:p>
    <w:p>
      <w:pPr>
        <w:autoSpaceDE w:val="0"/>
        <w:autoSpaceDN w:val="0"/>
        <w:spacing w:line="360" w:lineRule="exact"/>
        <w:ind w:firstLine="482"/>
        <w:rPr>
          <w:color w:val="auto"/>
          <w:szCs w:val="21"/>
          <w:highlight w:val="none"/>
        </w:rPr>
      </w:pPr>
    </w:p>
    <w:p>
      <w:pPr>
        <w:spacing w:line="360" w:lineRule="auto"/>
        <w:ind w:firstLine="4410" w:firstLineChars="2100"/>
        <w:rPr>
          <w:color w:val="auto"/>
          <w:highlight w:val="none"/>
        </w:rPr>
      </w:pPr>
    </w:p>
    <w:p>
      <w:pPr>
        <w:rPr>
          <w:rFonts w:asciiTheme="minorEastAsia" w:hAnsiTheme="minorEastAsia" w:eastAsiaTheme="minorEastAsia"/>
          <w:b/>
          <w:color w:val="auto"/>
          <w:sz w:val="36"/>
          <w:szCs w:val="36"/>
          <w:highlight w:val="none"/>
        </w:rPr>
      </w:pPr>
      <w:bookmarkStart w:id="472" w:name="_Toc101280597"/>
      <w:r>
        <w:rPr>
          <w:rFonts w:hint="eastAsia" w:asciiTheme="minorEastAsia" w:hAnsiTheme="minorEastAsia" w:eastAsiaTheme="minorEastAsia"/>
          <w:b/>
          <w:color w:val="auto"/>
          <w:sz w:val="36"/>
          <w:szCs w:val="36"/>
          <w:highlight w:val="none"/>
        </w:rPr>
        <w:br w:type="page"/>
      </w:r>
    </w:p>
    <w:p>
      <w:pPr>
        <w:spacing w:line="360" w:lineRule="auto"/>
        <w:jc w:val="center"/>
        <w:outlineLvl w:val="0"/>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第六章 响应文件格式</w:t>
      </w:r>
      <w:bookmarkEnd w:id="145"/>
      <w:bookmarkEnd w:id="472"/>
    </w:p>
    <w:p>
      <w:pPr>
        <w:rPr>
          <w:rFonts w:asciiTheme="minorEastAsia" w:hAnsiTheme="minorEastAsia" w:eastAsiaTheme="minorEastAsia"/>
          <w:b/>
          <w:color w:val="auto"/>
          <w:sz w:val="30"/>
          <w:szCs w:val="30"/>
          <w:highlight w:val="none"/>
        </w:rPr>
      </w:pPr>
      <w:r>
        <w:rPr>
          <w:rFonts w:hint="eastAsia" w:ascii="宋体" w:hAnsi="宋体"/>
          <w:b/>
          <w:color w:val="auto"/>
          <w:kern w:val="0"/>
          <w:sz w:val="28"/>
          <w:szCs w:val="28"/>
          <w:highlight w:val="none"/>
        </w:rPr>
        <w:t>附件1</w:t>
      </w:r>
      <w:r>
        <w:rPr>
          <w:rFonts w:hint="eastAsia" w:ascii="宋体" w:hAnsi="宋体"/>
          <w:b/>
          <w:color w:val="auto"/>
          <w:sz w:val="30"/>
          <w:szCs w:val="30"/>
          <w:highlight w:val="none"/>
        </w:rPr>
        <w:t xml:space="preserve">                            </w:t>
      </w:r>
      <w:r>
        <w:rPr>
          <w:rFonts w:hint="eastAsia" w:ascii="宋体" w:hAnsi="宋体"/>
          <w:color w:val="auto"/>
          <w:sz w:val="30"/>
          <w:szCs w:val="30"/>
          <w:highlight w:val="none"/>
        </w:rPr>
        <w:t xml:space="preserve"> 　　　</w:t>
      </w:r>
      <w:r>
        <w:rPr>
          <w:rFonts w:hint="eastAsia" w:ascii="宋体" w:hAnsi="宋体"/>
          <w:b/>
          <w:color w:val="auto"/>
          <w:sz w:val="28"/>
          <w:highlight w:val="none"/>
        </w:rPr>
        <w:t xml:space="preserve">        </w:t>
      </w:r>
    </w:p>
    <w:p>
      <w:pPr>
        <w:adjustRightInd w:val="0"/>
        <w:snapToGrid w:val="0"/>
        <w:spacing w:line="312" w:lineRule="auto"/>
        <w:ind w:right="480"/>
        <w:jc w:val="center"/>
        <w:rPr>
          <w:rFonts w:ascii="宋体" w:hAnsi="宋体"/>
          <w:b/>
          <w:color w:val="auto"/>
          <w:kern w:val="0"/>
          <w:sz w:val="32"/>
          <w:szCs w:val="32"/>
          <w:highlight w:val="none"/>
          <w:lang w:val="zh-CN"/>
        </w:rPr>
      </w:pPr>
      <w:bookmarkStart w:id="473" w:name="_Toc31708_WPSOffice_Level1"/>
      <w:bookmarkStart w:id="474" w:name="_Toc30723_WPSOffice_Level1"/>
      <w:r>
        <w:rPr>
          <w:rFonts w:hint="eastAsia" w:ascii="宋体" w:hAnsi="宋体"/>
          <w:b/>
          <w:color w:val="auto"/>
          <w:kern w:val="0"/>
          <w:sz w:val="32"/>
          <w:szCs w:val="32"/>
          <w:highlight w:val="none"/>
        </w:rPr>
        <w:t>磋商</w:t>
      </w:r>
      <w:r>
        <w:rPr>
          <w:rFonts w:hint="eastAsia" w:ascii="宋体" w:hAnsi="宋体"/>
          <w:b/>
          <w:color w:val="auto"/>
          <w:kern w:val="0"/>
          <w:sz w:val="32"/>
          <w:szCs w:val="32"/>
          <w:highlight w:val="none"/>
          <w:lang w:val="zh-CN"/>
        </w:rPr>
        <w:t>声明书</w:t>
      </w:r>
      <w:bookmarkEnd w:id="473"/>
      <w:bookmarkEnd w:id="474"/>
    </w:p>
    <w:p>
      <w:pPr>
        <w:snapToGrid w:val="0"/>
        <w:spacing w:before="120" w:beforeLines="50" w:after="50" w:line="312" w:lineRule="auto"/>
        <w:rPr>
          <w:rFonts w:ascii="宋体" w:hAnsi="宋体" w:cs="宋体"/>
          <w:color w:val="auto"/>
          <w:kern w:val="0"/>
          <w:sz w:val="24"/>
          <w:highlight w:val="none"/>
        </w:rPr>
      </w:pPr>
      <w:r>
        <w:rPr>
          <w:rFonts w:hint="eastAsia" w:ascii="宋体" w:hAnsi="宋体" w:cs="宋体"/>
          <w:color w:val="auto"/>
          <w:sz w:val="24"/>
          <w:highlight w:val="none"/>
          <w:u w:val="single"/>
        </w:rPr>
        <w:t xml:space="preserve">台州市第一中学  </w:t>
      </w:r>
      <w:r>
        <w:rPr>
          <w:rFonts w:hint="eastAsia" w:ascii="宋体" w:hAnsi="宋体" w:cs="仿宋_GB2312"/>
          <w:bCs/>
          <w:color w:val="auto"/>
          <w:kern w:val="0"/>
          <w:sz w:val="24"/>
          <w:highlight w:val="none"/>
          <w:lang w:val="zh-CN"/>
        </w:rPr>
        <w:t>（采购人）</w:t>
      </w:r>
      <w:r>
        <w:rPr>
          <w:rFonts w:hint="eastAsia" w:ascii="宋体" w:hAnsi="宋体" w:cs="宋体"/>
          <w:color w:val="auto"/>
          <w:kern w:val="0"/>
          <w:sz w:val="24"/>
          <w:highlight w:val="none"/>
        </w:rPr>
        <w:t>：</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rPr>
        <w:t>系中华人民共和国合法企业，经营地址。</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u w:val="single"/>
        </w:rPr>
        <w:t xml:space="preserve"> 姓名 </w:t>
      </w:r>
      <w:r>
        <w:rPr>
          <w:rFonts w:hint="eastAsia" w:ascii="宋体" w:hAnsi="宋体" w:cs="宋体"/>
          <w:color w:val="auto"/>
          <w:kern w:val="0"/>
          <w:sz w:val="24"/>
          <w:highlight w:val="none"/>
        </w:rPr>
        <w:t>）系（</w:t>
      </w:r>
      <w:r>
        <w:rPr>
          <w:rFonts w:hint="eastAsia" w:ascii="宋体" w:hAnsi="宋体" w:cs="宋体"/>
          <w:color w:val="auto"/>
          <w:kern w:val="0"/>
          <w:sz w:val="24"/>
          <w:highlight w:val="none"/>
          <w:u w:val="single"/>
        </w:rPr>
        <w:t xml:space="preserve"> 供应商名称 </w:t>
      </w:r>
      <w:r>
        <w:rPr>
          <w:rFonts w:hint="eastAsia" w:ascii="宋体" w:hAnsi="宋体" w:cs="宋体"/>
          <w:color w:val="auto"/>
          <w:kern w:val="0"/>
          <w:sz w:val="24"/>
          <w:highlight w:val="none"/>
        </w:rPr>
        <w:t>）的法定代表人，我公司自愿参加贵方组织的</w:t>
      </w:r>
      <w:r>
        <w:rPr>
          <w:rFonts w:hint="eastAsia" w:ascii="宋体" w:hAnsi="宋体" w:cs="宋体"/>
          <w:color w:val="auto"/>
          <w:kern w:val="0"/>
          <w:sz w:val="24"/>
          <w:highlight w:val="none"/>
          <w:u w:val="single"/>
        </w:rPr>
        <w:t>台州市第一中学食堂二楼备餐间、洗碗间和新疆班卫生间改造工程项目</w:t>
      </w:r>
      <w:r>
        <w:rPr>
          <w:rFonts w:hint="eastAsia" w:ascii="宋体" w:hAnsi="宋体" w:cs="仿宋_GB2312"/>
          <w:bCs/>
          <w:color w:val="auto"/>
          <w:kern w:val="0"/>
          <w:sz w:val="24"/>
          <w:highlight w:val="none"/>
          <w:lang w:val="zh-CN"/>
        </w:rPr>
        <w:t>（项目编号：</w:t>
      </w:r>
      <w:r>
        <w:rPr>
          <w:rFonts w:hint="eastAsia" w:ascii="宋体" w:hAnsi="宋体" w:cs="仿宋_GB2312"/>
          <w:bCs/>
          <w:color w:val="auto"/>
          <w:kern w:val="0"/>
          <w:sz w:val="24"/>
          <w:highlight w:val="none"/>
          <w:u w:val="single"/>
        </w:rPr>
        <w:t>ZYZFCG〔2025〕017</w:t>
      </w:r>
      <w:r>
        <w:rPr>
          <w:rFonts w:hint="eastAsia" w:ascii="宋体" w:hAnsi="宋体" w:cs="仿宋_GB2312"/>
          <w:bCs/>
          <w:color w:val="auto"/>
          <w:kern w:val="0"/>
          <w:sz w:val="24"/>
          <w:highlight w:val="none"/>
          <w:lang w:val="zh-CN"/>
        </w:rPr>
        <w:t>）</w:t>
      </w:r>
      <w:r>
        <w:rPr>
          <w:rFonts w:hint="eastAsia" w:ascii="宋体" w:hAnsi="宋体" w:cs="宋体"/>
          <w:color w:val="auto"/>
          <w:kern w:val="0"/>
          <w:sz w:val="24"/>
          <w:highlight w:val="none"/>
        </w:rPr>
        <w:t>的竞争性磋商，为此，我公司就本次响应有关事项郑重声明如下：</w:t>
      </w:r>
    </w:p>
    <w:p>
      <w:pPr>
        <w:numPr>
          <w:ilvl w:val="0"/>
          <w:numId w:val="9"/>
        </w:num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公司声明截止响应时间近三年以来：未被列入失信被执行人、重大税收违法案件当事人名单、政府采购严重违法失信行为记录名单，以及不存在其他不符合《中华人民共和国政府采购法》第二十二条规定的条件。【说明：响应供应商在截止响应时间近三年以来，如有上述所列情形，但限制期届满的，可按实陈述，并提供相应证明文件。】</w:t>
      </w:r>
    </w:p>
    <w:p>
      <w:pPr>
        <w:numPr>
          <w:ilvl w:val="0"/>
          <w:numId w:val="9"/>
        </w:num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我公司在参与响应前已详细审查了采购文件和所有相关资料，我方完全知悉并认为此采购文件没有倾向性，也没有存在排斥潜在响应供应商的内容，我方对采购文件的所有内容没有任何异议，不申请澄清和质疑。</w:t>
      </w:r>
    </w:p>
    <w:p>
      <w:pPr>
        <w:numPr>
          <w:ilvl w:val="0"/>
          <w:numId w:val="9"/>
        </w:numPr>
        <w:snapToGrid w:val="0"/>
        <w:spacing w:line="360" w:lineRule="auto"/>
        <w:ind w:firstLine="480" w:firstLineChars="200"/>
        <w:rPr>
          <w:rFonts w:ascii="宋体" w:hAnsi="宋体"/>
          <w:color w:val="auto"/>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rPr>
        <w:t>不是采购人的附属机构；</w:t>
      </w:r>
      <w:r>
        <w:rPr>
          <w:rFonts w:hint="eastAsia" w:ascii="宋体" w:hAnsi="宋体"/>
          <w:color w:val="auto"/>
          <w:sz w:val="24"/>
          <w:highlight w:val="none"/>
        </w:rPr>
        <w:t>在获知本项目采购信息后，与采购人聘请的为此项目提供咨询服务的公司及其附属机构没有任何联系。</w:t>
      </w:r>
    </w:p>
    <w:p>
      <w:pPr>
        <w:snapToGrid w:val="0"/>
        <w:spacing w:line="360" w:lineRule="auto"/>
        <w:ind w:firstLine="480" w:firstLineChars="200"/>
        <w:rPr>
          <w:rFonts w:ascii="宋体" w:hAnsi="宋体"/>
          <w:color w:val="auto"/>
          <w:kern w:val="0"/>
          <w:sz w:val="24"/>
          <w:highlight w:val="none"/>
          <w:lang w:val="af-ZA"/>
        </w:rPr>
      </w:pPr>
      <w:r>
        <w:rPr>
          <w:rFonts w:hint="eastAsia" w:ascii="宋体" w:hAnsi="宋体"/>
          <w:color w:val="auto"/>
          <w:sz w:val="24"/>
          <w:highlight w:val="none"/>
        </w:rPr>
        <w:t>4、</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s="宋体"/>
          <w:color w:val="auto"/>
          <w:kern w:val="0"/>
          <w:sz w:val="24"/>
          <w:highlight w:val="none"/>
        </w:rPr>
        <w:t>保证，</w:t>
      </w:r>
      <w:r>
        <w:rPr>
          <w:rFonts w:hint="eastAsia" w:ascii="宋体" w:hAnsi="宋体"/>
          <w:color w:val="auto"/>
          <w:kern w:val="0"/>
          <w:sz w:val="24"/>
          <w:highlight w:val="none"/>
          <w:lang w:val="af-ZA"/>
        </w:rPr>
        <w:t>采购人在中华人民共和国境内使用</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olor w:val="auto"/>
          <w:kern w:val="0"/>
          <w:sz w:val="24"/>
          <w:highlight w:val="none"/>
          <w:lang w:val="af-ZA"/>
        </w:rPr>
        <w:t>响应货物、资料、技术、服务或其任何一部分时，享有不受限制的无偿使用权，如有第三方向采购人提出侵犯其专利权、商标权或其它知识产权的主张，该责任由</w:t>
      </w:r>
      <w:r>
        <w:rPr>
          <w:rFonts w:hint="eastAsia" w:ascii="宋体" w:hAnsi="宋体" w:cs="宋体"/>
          <w:color w:val="auto"/>
          <w:kern w:val="0"/>
          <w:sz w:val="24"/>
          <w:highlight w:val="none"/>
          <w:lang w:val="af-ZA"/>
        </w:rPr>
        <w:t>我方</w:t>
      </w:r>
      <w:r>
        <w:rPr>
          <w:rFonts w:hint="eastAsia" w:ascii="宋体" w:hAnsi="宋体"/>
          <w:color w:val="auto"/>
          <w:kern w:val="0"/>
          <w:sz w:val="24"/>
          <w:highlight w:val="none"/>
          <w:lang w:val="af-ZA"/>
        </w:rPr>
        <w:t>承担。</w:t>
      </w:r>
      <w:r>
        <w:rPr>
          <w:rFonts w:hint="eastAsia" w:ascii="宋体" w:hAnsi="宋体" w:cs="宋体"/>
          <w:color w:val="auto"/>
          <w:kern w:val="0"/>
          <w:sz w:val="24"/>
          <w:highlight w:val="none"/>
          <w:lang w:val="af-ZA"/>
        </w:rPr>
        <w:t>我方的</w:t>
      </w:r>
      <w:r>
        <w:rPr>
          <w:rFonts w:hint="eastAsia" w:ascii="宋体" w:hAnsi="宋体"/>
          <w:color w:val="auto"/>
          <w:kern w:val="0"/>
          <w:sz w:val="24"/>
          <w:highlight w:val="none"/>
          <w:lang w:val="af-ZA"/>
        </w:rPr>
        <w:t>响应报价</w:t>
      </w:r>
      <w:r>
        <w:rPr>
          <w:rFonts w:hint="eastAsia" w:ascii="宋体" w:hAnsi="宋体" w:cs="宋体"/>
          <w:color w:val="auto"/>
          <w:kern w:val="0"/>
          <w:sz w:val="24"/>
          <w:highlight w:val="none"/>
          <w:lang w:val="af-ZA"/>
        </w:rPr>
        <w:t>已</w:t>
      </w:r>
      <w:r>
        <w:rPr>
          <w:rFonts w:hint="eastAsia" w:ascii="宋体" w:hAnsi="宋体"/>
          <w:color w:val="auto"/>
          <w:kern w:val="0"/>
          <w:sz w:val="24"/>
          <w:highlight w:val="none"/>
          <w:lang w:val="af-ZA"/>
        </w:rPr>
        <w:t>包含所有应向所有权人支付的专利权、商标权或其它知识产权的一切相关费用。</w:t>
      </w:r>
    </w:p>
    <w:p>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宋体" w:hAnsi="宋体" w:cs="宋体"/>
          <w:color w:val="auto"/>
          <w:kern w:val="0"/>
          <w:sz w:val="24"/>
          <w:highlight w:val="none"/>
          <w:lang w:val="af-ZA"/>
        </w:rPr>
        <w:t>5、我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lang w:val="af-ZA"/>
        </w:rPr>
        <w:t>严格履行政府采购合同，</w:t>
      </w:r>
      <w:r>
        <w:rPr>
          <w:rFonts w:hint="eastAsia" w:ascii="宋体" w:hAnsi="宋体" w:cs="宋体"/>
          <w:color w:val="auto"/>
          <w:kern w:val="0"/>
          <w:sz w:val="24"/>
          <w:highlight w:val="none"/>
        </w:rPr>
        <w:t>除在响应文件中明确拒绝之外，均接受磋商文件中的全部条件，</w:t>
      </w:r>
      <w:r>
        <w:rPr>
          <w:rFonts w:hint="eastAsia" w:ascii="宋体" w:hAnsi="宋体" w:cs="宋体"/>
          <w:color w:val="auto"/>
          <w:kern w:val="0"/>
          <w:sz w:val="24"/>
          <w:highlight w:val="none"/>
          <w:lang w:val="af-ZA"/>
        </w:rPr>
        <w:t>不降低合同约定的产品质量和服务，不擅自变更、中止、终止合同，或拒绝履行合同义务；</w:t>
      </w:r>
    </w:p>
    <w:p>
      <w:pPr>
        <w:snapToGrid w:val="0"/>
        <w:spacing w:line="360" w:lineRule="auto"/>
        <w:ind w:firstLine="480" w:firstLineChars="200"/>
        <w:rPr>
          <w:rFonts w:ascii="宋体" w:hAnsi="宋体" w:cs="仿宋_GB2312"/>
          <w:color w:val="auto"/>
          <w:kern w:val="0"/>
          <w:sz w:val="24"/>
          <w:highlight w:val="none"/>
        </w:rPr>
      </w:pPr>
      <w:r>
        <w:rPr>
          <w:rFonts w:hint="eastAsia" w:ascii="宋体" w:hAnsi="宋体"/>
          <w:color w:val="auto"/>
          <w:sz w:val="24"/>
          <w:highlight w:val="none"/>
        </w:rPr>
        <w:t>6、以上事项如有虚假或隐瞒，我</w:t>
      </w:r>
      <w:r>
        <w:rPr>
          <w:rFonts w:hint="eastAsia" w:ascii="宋体" w:hAnsi="宋体" w:cs="仿宋_GB2312"/>
          <w:color w:val="auto"/>
          <w:kern w:val="0"/>
          <w:sz w:val="24"/>
          <w:highlight w:val="none"/>
          <w:lang w:val="zh-CN"/>
        </w:rPr>
        <w:t>公司</w:t>
      </w:r>
      <w:r>
        <w:rPr>
          <w:rFonts w:hint="eastAsia" w:ascii="宋体" w:hAnsi="宋体"/>
          <w:color w:val="auto"/>
          <w:sz w:val="24"/>
          <w:highlight w:val="none"/>
        </w:rPr>
        <w:t>愿意承担一切后果，并不再寻求任何旨在减轻或免除法律责任的辩解。</w:t>
      </w:r>
    </w:p>
    <w:p>
      <w:pPr>
        <w:adjustRightInd w:val="0"/>
        <w:snapToGrid w:val="0"/>
        <w:spacing w:line="360" w:lineRule="auto"/>
        <w:ind w:firstLine="4680" w:firstLineChars="195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供应商名称(电子印章)：</w:t>
      </w:r>
    </w:p>
    <w:p>
      <w:pPr>
        <w:adjustRightInd w:val="0"/>
        <w:snapToGrid w:val="0"/>
        <w:spacing w:line="360" w:lineRule="auto"/>
        <w:ind w:left="5281" w:leftChars="114" w:hanging="5042" w:hangingChars="2101"/>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法定代表人或授权委托人签字或电子印章：                                       日期：</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 日</w:t>
      </w:r>
    </w:p>
    <w:p>
      <w:pPr>
        <w:rPr>
          <w:rFonts w:ascii="宋体" w:hAnsi="宋体"/>
          <w:b/>
          <w:color w:val="auto"/>
          <w:kern w:val="0"/>
          <w:sz w:val="28"/>
          <w:szCs w:val="28"/>
          <w:highlight w:val="none"/>
        </w:rPr>
      </w:pPr>
      <w:r>
        <w:rPr>
          <w:rFonts w:hint="eastAsia" w:ascii="宋体" w:hAnsi="宋体"/>
          <w:b/>
          <w:color w:val="auto"/>
          <w:kern w:val="0"/>
          <w:sz w:val="28"/>
          <w:szCs w:val="28"/>
          <w:highlight w:val="none"/>
        </w:rPr>
        <w:t>附件2</w:t>
      </w:r>
    </w:p>
    <w:p>
      <w:pPr>
        <w:spacing w:line="360" w:lineRule="auto"/>
        <w:ind w:firstLine="321" w:firstLineChars="100"/>
        <w:jc w:val="center"/>
        <w:rPr>
          <w:rFonts w:hAnsi="宋体"/>
          <w:b/>
          <w:color w:val="auto"/>
          <w:sz w:val="32"/>
          <w:szCs w:val="32"/>
          <w:highlight w:val="none"/>
          <w:u w:val="single"/>
        </w:rPr>
      </w:pPr>
      <w:bookmarkStart w:id="475" w:name="_Toc6870_WPSOffice_Level1"/>
      <w:bookmarkStart w:id="476" w:name="_Toc24373_WPSOffice_Level1"/>
      <w:r>
        <w:rPr>
          <w:b/>
          <w:color w:val="auto"/>
          <w:sz w:val="32"/>
          <w:szCs w:val="32"/>
          <w:highlight w:val="none"/>
        </w:rPr>
        <w:t>授权</w:t>
      </w:r>
      <w:r>
        <w:rPr>
          <w:rFonts w:hint="eastAsia"/>
          <w:b/>
          <w:color w:val="auto"/>
          <w:sz w:val="32"/>
          <w:szCs w:val="32"/>
          <w:highlight w:val="none"/>
        </w:rPr>
        <w:t>委托</w:t>
      </w:r>
      <w:r>
        <w:rPr>
          <w:b/>
          <w:color w:val="auto"/>
          <w:sz w:val="32"/>
          <w:szCs w:val="32"/>
          <w:highlight w:val="none"/>
        </w:rPr>
        <w:t>书</w:t>
      </w:r>
      <w:bookmarkEnd w:id="475"/>
      <w:bookmarkEnd w:id="476"/>
    </w:p>
    <w:p>
      <w:pPr>
        <w:snapToGrid w:val="0"/>
        <w:spacing w:before="120" w:beforeLines="50" w:after="50" w:line="312" w:lineRule="auto"/>
        <w:rPr>
          <w:rFonts w:ascii="宋体" w:hAnsi="宋体" w:cs="宋体"/>
          <w:color w:val="auto"/>
          <w:kern w:val="0"/>
          <w:sz w:val="24"/>
          <w:highlight w:val="none"/>
        </w:rPr>
      </w:pPr>
      <w:r>
        <w:rPr>
          <w:rFonts w:hint="eastAsia" w:ascii="宋体" w:hAnsi="宋体" w:cs="宋体"/>
          <w:color w:val="auto"/>
          <w:sz w:val="24"/>
          <w:highlight w:val="none"/>
          <w:u w:val="single"/>
        </w:rPr>
        <w:t xml:space="preserve">台州市第一中学  </w:t>
      </w:r>
      <w:r>
        <w:rPr>
          <w:rFonts w:hint="eastAsia" w:ascii="宋体" w:hAnsi="宋体" w:cs="仿宋_GB2312"/>
          <w:bCs/>
          <w:color w:val="auto"/>
          <w:kern w:val="0"/>
          <w:sz w:val="24"/>
          <w:highlight w:val="none"/>
          <w:lang w:val="zh-CN"/>
        </w:rPr>
        <w:t>（采购人）</w:t>
      </w:r>
      <w:r>
        <w:rPr>
          <w:rFonts w:hint="eastAsia" w:ascii="宋体" w:hAnsi="宋体" w:cs="宋体"/>
          <w:color w:val="auto"/>
          <w:kern w:val="0"/>
          <w:sz w:val="24"/>
          <w:highlight w:val="none"/>
        </w:rPr>
        <w:t>：</w:t>
      </w:r>
    </w:p>
    <w:p>
      <w:pPr>
        <w:pStyle w:val="15"/>
        <w:spacing w:line="360" w:lineRule="auto"/>
        <w:ind w:firstLine="480" w:firstLineChars="200"/>
        <w:rPr>
          <w:rFonts w:hAnsi="宋体"/>
          <w:color w:val="auto"/>
          <w:sz w:val="24"/>
          <w:highlight w:val="none"/>
        </w:rPr>
      </w:pPr>
      <w:r>
        <w:rPr>
          <w:rFonts w:hAnsi="宋体"/>
          <w:color w:val="auto"/>
          <w:sz w:val="24"/>
          <w:highlight w:val="none"/>
          <w:u w:val="single"/>
        </w:rPr>
        <w:t xml:space="preserve">  （</w:t>
      </w:r>
      <w:r>
        <w:rPr>
          <w:rFonts w:hint="eastAsia" w:hAnsi="宋体"/>
          <w:color w:val="auto"/>
          <w:sz w:val="24"/>
          <w:highlight w:val="none"/>
          <w:u w:val="single"/>
        </w:rPr>
        <w:t>供应商</w:t>
      </w:r>
      <w:r>
        <w:rPr>
          <w:rFonts w:hAnsi="宋体"/>
          <w:color w:val="auto"/>
          <w:sz w:val="24"/>
          <w:highlight w:val="none"/>
          <w:u w:val="single"/>
        </w:rPr>
        <w:t xml:space="preserve">全称）  </w:t>
      </w:r>
      <w:r>
        <w:rPr>
          <w:rFonts w:hAnsi="宋体"/>
          <w:color w:val="auto"/>
          <w:sz w:val="24"/>
          <w:highlight w:val="none"/>
        </w:rPr>
        <w:t>法定代表人</w:t>
      </w:r>
      <w:r>
        <w:rPr>
          <w:rFonts w:hint="eastAsia" w:ascii="Arial" w:hAnsi="Arial" w:cs="Arial"/>
          <w:color w:val="auto"/>
          <w:sz w:val="24"/>
          <w:highlight w:val="none"/>
        </w:rPr>
        <w:t>（或营业执照中单位负责人）</w:t>
      </w:r>
      <w:r>
        <w:rPr>
          <w:rFonts w:hAnsi="宋体"/>
          <w:color w:val="auto"/>
          <w:sz w:val="24"/>
          <w:highlight w:val="none"/>
          <w:u w:val="single"/>
        </w:rPr>
        <w:tab/>
      </w:r>
      <w:r>
        <w:rPr>
          <w:rFonts w:hAnsi="宋体"/>
          <w:color w:val="auto"/>
          <w:sz w:val="24"/>
          <w:highlight w:val="none"/>
          <w:u w:val="single"/>
        </w:rPr>
        <w:t>（法定代表</w:t>
      </w:r>
      <w:r>
        <w:rPr>
          <w:rFonts w:hint="eastAsia" w:hAnsi="宋体"/>
          <w:color w:val="auto"/>
          <w:sz w:val="24"/>
          <w:highlight w:val="none"/>
          <w:u w:val="single"/>
        </w:rPr>
        <w:t>人</w:t>
      </w:r>
      <w:r>
        <w:rPr>
          <w:rFonts w:hint="eastAsia" w:ascii="Arial" w:hAnsi="Arial" w:cs="Arial"/>
          <w:color w:val="auto"/>
          <w:sz w:val="24"/>
          <w:highlight w:val="none"/>
          <w:u w:val="single"/>
        </w:rPr>
        <w:t>或营业执照中单位负责人</w:t>
      </w:r>
      <w:r>
        <w:rPr>
          <w:rFonts w:hAnsi="宋体"/>
          <w:color w:val="auto"/>
          <w:sz w:val="24"/>
          <w:highlight w:val="none"/>
          <w:u w:val="single"/>
        </w:rPr>
        <w:t xml:space="preserve">姓名） </w:t>
      </w:r>
      <w:r>
        <w:rPr>
          <w:rFonts w:hAnsi="宋体"/>
          <w:color w:val="auto"/>
          <w:sz w:val="24"/>
          <w:highlight w:val="none"/>
        </w:rPr>
        <w:t>授权</w:t>
      </w:r>
      <w:r>
        <w:rPr>
          <w:rFonts w:hint="eastAsia" w:hAnsi="宋体"/>
          <w:color w:val="auto"/>
          <w:sz w:val="24"/>
          <w:highlight w:val="none"/>
          <w:u w:val="single"/>
        </w:rPr>
        <w:t xml:space="preserve">   （全权代表</w:t>
      </w:r>
      <w:r>
        <w:rPr>
          <w:rFonts w:hAnsi="宋体"/>
          <w:color w:val="auto"/>
          <w:sz w:val="24"/>
          <w:highlight w:val="none"/>
          <w:u w:val="single"/>
        </w:rPr>
        <w:t>姓名</w:t>
      </w:r>
      <w:r>
        <w:rPr>
          <w:rFonts w:hint="eastAsia" w:hAnsi="宋体"/>
          <w:color w:val="auto"/>
          <w:sz w:val="24"/>
          <w:highlight w:val="none"/>
          <w:u w:val="single"/>
        </w:rPr>
        <w:t xml:space="preserve">） </w:t>
      </w:r>
      <w:r>
        <w:rPr>
          <w:rFonts w:hAnsi="宋体"/>
          <w:color w:val="auto"/>
          <w:sz w:val="24"/>
          <w:highlight w:val="none"/>
        </w:rPr>
        <w:t>为</w:t>
      </w:r>
      <w:r>
        <w:rPr>
          <w:rFonts w:hint="eastAsia" w:hAnsi="宋体"/>
          <w:color w:val="auto"/>
          <w:sz w:val="24"/>
          <w:highlight w:val="none"/>
        </w:rPr>
        <w:t>全权代表</w:t>
      </w:r>
      <w:r>
        <w:rPr>
          <w:rFonts w:hAnsi="宋体"/>
          <w:color w:val="auto"/>
          <w:sz w:val="24"/>
          <w:highlight w:val="none"/>
        </w:rPr>
        <w:t>，参加贵单位组织的</w:t>
      </w:r>
      <w:r>
        <w:rPr>
          <w:rFonts w:hint="eastAsia" w:hAnsi="宋体" w:cs="宋体"/>
          <w:color w:val="auto"/>
          <w:kern w:val="0"/>
          <w:sz w:val="24"/>
          <w:highlight w:val="none"/>
          <w:u w:val="single"/>
        </w:rPr>
        <w:t>台州市第一中学食堂二楼备餐间、洗碗间和新疆班卫生间改造工程项目</w:t>
      </w:r>
      <w:r>
        <w:rPr>
          <w:rFonts w:hint="eastAsia" w:hAnsi="宋体" w:cs="仿宋_GB2312"/>
          <w:bCs/>
          <w:color w:val="auto"/>
          <w:kern w:val="0"/>
          <w:sz w:val="24"/>
          <w:highlight w:val="none"/>
          <w:lang w:val="zh-CN"/>
        </w:rPr>
        <w:t>（项目编号：</w:t>
      </w:r>
      <w:r>
        <w:rPr>
          <w:rFonts w:hint="eastAsia" w:hAnsi="宋体" w:cs="仿宋_GB2312"/>
          <w:bCs/>
          <w:color w:val="auto"/>
          <w:kern w:val="0"/>
          <w:sz w:val="24"/>
          <w:highlight w:val="none"/>
          <w:u w:val="single"/>
        </w:rPr>
        <w:t>ZYZFCG〔2025〕017</w:t>
      </w:r>
      <w:r>
        <w:rPr>
          <w:rFonts w:hint="eastAsia" w:hAnsi="宋体" w:cs="仿宋_GB2312"/>
          <w:bCs/>
          <w:color w:val="auto"/>
          <w:kern w:val="0"/>
          <w:sz w:val="24"/>
          <w:highlight w:val="none"/>
          <w:lang w:val="zh-CN"/>
        </w:rPr>
        <w:t>）</w:t>
      </w:r>
      <w:r>
        <w:rPr>
          <w:rFonts w:hAnsi="宋体"/>
          <w:color w:val="auto"/>
          <w:sz w:val="24"/>
          <w:highlight w:val="none"/>
        </w:rPr>
        <w:t>的采购活动，并代表我方全权办理针对上述项目的</w:t>
      </w:r>
      <w:r>
        <w:rPr>
          <w:rFonts w:hint="eastAsia" w:hAnsi="宋体"/>
          <w:color w:val="auto"/>
          <w:sz w:val="24"/>
          <w:highlight w:val="none"/>
        </w:rPr>
        <w:t>磋商</w:t>
      </w:r>
      <w:r>
        <w:rPr>
          <w:rFonts w:hAnsi="宋体"/>
          <w:color w:val="auto"/>
          <w:sz w:val="24"/>
          <w:highlight w:val="none"/>
        </w:rPr>
        <w:t>、签约等具体事务和签署相关文件。</w:t>
      </w:r>
      <w:r>
        <w:rPr>
          <w:rFonts w:hint="eastAsia" w:hAnsi="宋体"/>
          <w:color w:val="auto"/>
          <w:sz w:val="24"/>
          <w:highlight w:val="none"/>
        </w:rPr>
        <w:t>我方对全权代表的签字事项负全部责任。</w:t>
      </w:r>
    </w:p>
    <w:p>
      <w:pPr>
        <w:pStyle w:val="15"/>
        <w:spacing w:line="360" w:lineRule="auto"/>
        <w:ind w:firstLine="480" w:firstLineChars="200"/>
        <w:rPr>
          <w:rFonts w:hAnsi="宋体"/>
          <w:color w:val="auto"/>
          <w:sz w:val="24"/>
          <w:highlight w:val="none"/>
        </w:rPr>
      </w:pPr>
      <w:r>
        <w:rPr>
          <w:rFonts w:hint="eastAsia" w:hAnsi="宋体"/>
          <w:color w:val="auto"/>
          <w:sz w:val="24"/>
          <w:highlight w:val="none"/>
        </w:rPr>
        <w:t>在撤销授权的书面通知以前，本授权书一直有效。全权代表在授权委托书有效期内签署的所有文件不因授权的撤销而失效。</w:t>
      </w:r>
    </w:p>
    <w:p>
      <w:pPr>
        <w:pStyle w:val="15"/>
        <w:spacing w:line="360" w:lineRule="auto"/>
        <w:ind w:firstLine="480" w:firstLineChars="200"/>
        <w:rPr>
          <w:rFonts w:hAnsi="宋体"/>
          <w:color w:val="auto"/>
          <w:sz w:val="24"/>
          <w:highlight w:val="none"/>
        </w:rPr>
      </w:pPr>
      <w:r>
        <w:rPr>
          <w:rFonts w:hint="eastAsia" w:hAnsi="宋体"/>
          <w:color w:val="auto"/>
          <w:sz w:val="24"/>
          <w:highlight w:val="none"/>
        </w:rPr>
        <w:t>全权代表无转委托权，特此委托。</w:t>
      </w:r>
    </w:p>
    <w:p>
      <w:pPr>
        <w:spacing w:line="360" w:lineRule="auto"/>
        <w:rPr>
          <w:color w:val="auto"/>
          <w:sz w:val="24"/>
          <w:highlight w:val="none"/>
        </w:rPr>
      </w:pPr>
    </w:p>
    <w:p>
      <w:pPr>
        <w:spacing w:line="360" w:lineRule="auto"/>
        <w:rPr>
          <w:color w:val="auto"/>
          <w:sz w:val="24"/>
          <w:highlight w:val="none"/>
        </w:rPr>
      </w:pPr>
      <w:r>
        <w:rPr>
          <w:rFonts w:hint="eastAsia" w:ascii="宋体"/>
          <w:color w:val="auto"/>
          <w:sz w:val="24"/>
          <w:highlight w:val="none"/>
        </w:rPr>
        <w:t>法定代表人签字或盖章：</w:t>
      </w:r>
    </w:p>
    <w:p>
      <w:pPr>
        <w:spacing w:line="360" w:lineRule="auto"/>
        <w:rPr>
          <w:color w:val="auto"/>
          <w:sz w:val="24"/>
          <w:highlight w:val="none"/>
        </w:rPr>
      </w:pPr>
      <w:r>
        <w:rPr>
          <w:rFonts w:hint="eastAsia" w:ascii="宋体"/>
          <w:color w:val="auto"/>
          <w:sz w:val="24"/>
          <w:highlight w:val="none"/>
        </w:rPr>
        <w:t>供应商全称（电子印章）：                              日期：</w:t>
      </w:r>
    </w:p>
    <w:p>
      <w:pPr>
        <w:spacing w:line="360" w:lineRule="auto"/>
        <w:rPr>
          <w:color w:val="auto"/>
          <w:sz w:val="24"/>
          <w:highlight w:val="none"/>
        </w:rPr>
      </w:pPr>
    </w:p>
    <w:p>
      <w:pPr>
        <w:spacing w:line="360" w:lineRule="auto"/>
        <w:rPr>
          <w:b/>
          <w:color w:val="auto"/>
          <w:sz w:val="24"/>
          <w:highlight w:val="none"/>
        </w:rPr>
      </w:pPr>
      <w:r>
        <w:rPr>
          <w:rFonts w:hint="eastAsia" w:ascii="宋体"/>
          <w:b/>
          <w:color w:val="auto"/>
          <w:sz w:val="24"/>
          <w:highlight w:val="none"/>
        </w:rPr>
        <w:t>附：</w:t>
      </w:r>
    </w:p>
    <w:tbl>
      <w:tblPr>
        <w:tblStyle w:val="2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4080" w:type="dxa"/>
          </w:tcPr>
          <w:p>
            <w:pPr>
              <w:spacing w:line="360" w:lineRule="auto"/>
              <w:rPr>
                <w:rFonts w:ascii="宋体"/>
                <w:b/>
                <w:color w:val="auto"/>
                <w:sz w:val="24"/>
                <w:highlight w:val="none"/>
              </w:rPr>
            </w:pPr>
          </w:p>
          <w:p>
            <w:pPr>
              <w:spacing w:line="360" w:lineRule="auto"/>
              <w:ind w:firstLine="361" w:firstLineChars="150"/>
              <w:rPr>
                <w:rFonts w:ascii="宋体"/>
                <w:b/>
                <w:color w:val="auto"/>
                <w:sz w:val="24"/>
                <w:highlight w:val="none"/>
              </w:rPr>
            </w:pPr>
            <w:r>
              <w:rPr>
                <w:rFonts w:hint="eastAsia" w:ascii="宋体"/>
                <w:b/>
                <w:color w:val="auto"/>
                <w:sz w:val="24"/>
                <w:highlight w:val="none"/>
              </w:rPr>
              <w:t>法定代表身份证扫描件或影印件粘贴处</w:t>
            </w:r>
          </w:p>
        </w:tc>
      </w:tr>
    </w:tbl>
    <w:p>
      <w:pPr>
        <w:spacing w:line="360" w:lineRule="auto"/>
        <w:rPr>
          <w:color w:val="auto"/>
          <w:sz w:val="24"/>
          <w:highlight w:val="none"/>
        </w:rPr>
      </w:pPr>
      <w:r>
        <w:rPr>
          <w:rFonts w:hint="eastAsia" w:ascii="宋体"/>
          <w:color w:val="auto"/>
          <w:sz w:val="24"/>
          <w:highlight w:val="none"/>
        </w:rPr>
        <w:t xml:space="preserve">法定代表人姓名：                                 </w:t>
      </w:r>
    </w:p>
    <w:p>
      <w:pPr>
        <w:spacing w:line="360" w:lineRule="auto"/>
        <w:rPr>
          <w:color w:val="auto"/>
          <w:sz w:val="24"/>
          <w:highlight w:val="none"/>
        </w:rPr>
      </w:pPr>
      <w:r>
        <w:rPr>
          <w:rFonts w:hint="eastAsia" w:ascii="宋体"/>
          <w:color w:val="auto"/>
          <w:sz w:val="24"/>
          <w:highlight w:val="none"/>
        </w:rPr>
        <w:t>传真：</w:t>
      </w:r>
    </w:p>
    <w:p>
      <w:pPr>
        <w:spacing w:line="360" w:lineRule="auto"/>
        <w:rPr>
          <w:rFonts w:ascii="宋体"/>
          <w:color w:val="auto"/>
          <w:sz w:val="24"/>
          <w:highlight w:val="none"/>
        </w:rPr>
      </w:pPr>
      <w:r>
        <w:rPr>
          <w:rFonts w:hint="eastAsia" w:ascii="宋体"/>
          <w:color w:val="auto"/>
          <w:sz w:val="24"/>
          <w:highlight w:val="none"/>
        </w:rPr>
        <w:t>电话：</w:t>
      </w:r>
    </w:p>
    <w:p>
      <w:pPr>
        <w:spacing w:line="360" w:lineRule="auto"/>
        <w:rPr>
          <w:color w:val="auto"/>
          <w:sz w:val="24"/>
          <w:highlight w:val="none"/>
        </w:rPr>
      </w:pPr>
      <w:r>
        <w:rPr>
          <w:rFonts w:hint="eastAsia" w:ascii="宋体"/>
          <w:color w:val="auto"/>
          <w:sz w:val="24"/>
          <w:highlight w:val="none"/>
        </w:rPr>
        <w:t>详细通讯地址：</w:t>
      </w:r>
    </w:p>
    <w:p>
      <w:pPr>
        <w:spacing w:line="360" w:lineRule="auto"/>
        <w:rPr>
          <w:rFonts w:ascii="宋体"/>
          <w:color w:val="auto"/>
          <w:sz w:val="24"/>
          <w:highlight w:val="none"/>
        </w:rPr>
      </w:pPr>
      <w:r>
        <w:rPr>
          <w:rFonts w:hint="eastAsia" w:ascii="宋体"/>
          <w:color w:val="auto"/>
          <w:sz w:val="24"/>
          <w:highlight w:val="none"/>
        </w:rPr>
        <w:t>邮政编码：</w:t>
      </w:r>
    </w:p>
    <w:p>
      <w:pPr>
        <w:spacing w:line="360" w:lineRule="auto"/>
        <w:rPr>
          <w:b/>
          <w:color w:val="auto"/>
          <w:sz w:val="24"/>
          <w:highlight w:val="none"/>
        </w:rPr>
      </w:pPr>
    </w:p>
    <w:tbl>
      <w:tblPr>
        <w:tblStyle w:val="2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4080" w:type="dxa"/>
          </w:tcPr>
          <w:p>
            <w:pPr>
              <w:spacing w:line="360" w:lineRule="auto"/>
              <w:rPr>
                <w:rFonts w:ascii="宋体"/>
                <w:b/>
                <w:color w:val="auto"/>
                <w:sz w:val="24"/>
                <w:highlight w:val="none"/>
              </w:rPr>
            </w:pPr>
          </w:p>
          <w:p>
            <w:pPr>
              <w:spacing w:line="360" w:lineRule="auto"/>
              <w:ind w:firstLine="361" w:firstLineChars="150"/>
              <w:rPr>
                <w:rFonts w:ascii="宋体"/>
                <w:b/>
                <w:color w:val="auto"/>
                <w:sz w:val="24"/>
                <w:highlight w:val="none"/>
              </w:rPr>
            </w:pPr>
            <w:r>
              <w:rPr>
                <w:rFonts w:hint="eastAsia" w:ascii="宋体"/>
                <w:b/>
                <w:color w:val="auto"/>
                <w:sz w:val="24"/>
                <w:highlight w:val="none"/>
              </w:rPr>
              <w:t>全权代表身份证扫描件或影印件粘贴处</w:t>
            </w:r>
          </w:p>
        </w:tc>
      </w:tr>
    </w:tbl>
    <w:p>
      <w:pPr>
        <w:spacing w:line="360" w:lineRule="auto"/>
        <w:rPr>
          <w:rFonts w:ascii="宋体"/>
          <w:color w:val="auto"/>
          <w:sz w:val="24"/>
          <w:highlight w:val="none"/>
        </w:rPr>
      </w:pPr>
      <w:r>
        <w:rPr>
          <w:rFonts w:hint="eastAsia" w:ascii="宋体"/>
          <w:color w:val="auto"/>
          <w:sz w:val="24"/>
          <w:highlight w:val="none"/>
        </w:rPr>
        <w:t xml:space="preserve">全权代表姓名：       </w:t>
      </w:r>
    </w:p>
    <w:p>
      <w:pPr>
        <w:spacing w:line="360" w:lineRule="auto"/>
        <w:rPr>
          <w:color w:val="auto"/>
          <w:sz w:val="24"/>
          <w:highlight w:val="none"/>
        </w:rPr>
      </w:pPr>
      <w:r>
        <w:rPr>
          <w:rFonts w:hint="eastAsia" w:ascii="宋体"/>
          <w:color w:val="auto"/>
          <w:sz w:val="24"/>
          <w:highlight w:val="none"/>
        </w:rPr>
        <w:t xml:space="preserve">职务：                           </w:t>
      </w:r>
    </w:p>
    <w:p>
      <w:pPr>
        <w:spacing w:line="360" w:lineRule="auto"/>
        <w:rPr>
          <w:color w:val="auto"/>
          <w:sz w:val="24"/>
          <w:highlight w:val="none"/>
        </w:rPr>
      </w:pPr>
      <w:r>
        <w:rPr>
          <w:rFonts w:hint="eastAsia" w:ascii="宋体"/>
          <w:color w:val="auto"/>
          <w:sz w:val="24"/>
          <w:highlight w:val="none"/>
        </w:rPr>
        <w:t>传真：</w:t>
      </w:r>
    </w:p>
    <w:p>
      <w:pPr>
        <w:spacing w:line="360" w:lineRule="auto"/>
        <w:rPr>
          <w:rFonts w:ascii="宋体"/>
          <w:color w:val="auto"/>
          <w:sz w:val="24"/>
          <w:highlight w:val="none"/>
        </w:rPr>
      </w:pPr>
      <w:r>
        <w:rPr>
          <w:rFonts w:hint="eastAsia" w:ascii="宋体"/>
          <w:color w:val="auto"/>
          <w:sz w:val="24"/>
          <w:highlight w:val="none"/>
        </w:rPr>
        <w:t>电话：</w:t>
      </w:r>
    </w:p>
    <w:p>
      <w:pPr>
        <w:spacing w:line="360" w:lineRule="auto"/>
        <w:rPr>
          <w:color w:val="auto"/>
          <w:sz w:val="24"/>
          <w:highlight w:val="none"/>
        </w:rPr>
      </w:pPr>
      <w:r>
        <w:rPr>
          <w:rFonts w:hint="eastAsia" w:ascii="宋体"/>
          <w:color w:val="auto"/>
          <w:sz w:val="24"/>
          <w:highlight w:val="none"/>
        </w:rPr>
        <w:t>详细通讯地址：</w:t>
      </w:r>
    </w:p>
    <w:p>
      <w:pPr>
        <w:spacing w:line="360" w:lineRule="auto"/>
        <w:rPr>
          <w:rFonts w:ascii="宋体"/>
          <w:color w:val="auto"/>
          <w:sz w:val="24"/>
          <w:highlight w:val="none"/>
        </w:rPr>
      </w:pPr>
      <w:r>
        <w:rPr>
          <w:rFonts w:hint="eastAsia" w:ascii="宋体"/>
          <w:color w:val="auto"/>
          <w:sz w:val="24"/>
          <w:highlight w:val="none"/>
        </w:rPr>
        <w:t>邮政编码：</w:t>
      </w:r>
    </w:p>
    <w:p>
      <w:pPr>
        <w:rPr>
          <w:rFonts w:ascii="宋体" w:hAnsi="宋体"/>
          <w:b/>
          <w:color w:val="auto"/>
          <w:sz w:val="28"/>
          <w:highlight w:val="none"/>
        </w:rPr>
      </w:pPr>
      <w:r>
        <w:rPr>
          <w:rFonts w:hint="eastAsia" w:ascii="宋体" w:hAnsi="宋体"/>
          <w:b/>
          <w:color w:val="auto"/>
          <w:sz w:val="28"/>
          <w:highlight w:val="none"/>
        </w:rPr>
        <w:br w:type="page"/>
      </w:r>
    </w:p>
    <w:p>
      <w:pPr>
        <w:rPr>
          <w:rFonts w:ascii="宋体" w:hAnsi="宋体"/>
          <w:b/>
          <w:color w:val="auto"/>
          <w:kern w:val="0"/>
          <w:sz w:val="28"/>
          <w:szCs w:val="28"/>
          <w:highlight w:val="none"/>
        </w:rPr>
      </w:pPr>
      <w:bookmarkStart w:id="477" w:name="_Toc20519_WPSOffice_Level1"/>
      <w:bookmarkStart w:id="478" w:name="_Toc351_WPSOffice_Level1"/>
      <w:r>
        <w:rPr>
          <w:rFonts w:hint="eastAsia" w:ascii="宋体" w:hAnsi="宋体"/>
          <w:b/>
          <w:color w:val="auto"/>
          <w:kern w:val="0"/>
          <w:sz w:val="28"/>
          <w:szCs w:val="28"/>
          <w:highlight w:val="none"/>
        </w:rPr>
        <w:t>附件</w:t>
      </w:r>
      <w:bookmarkStart w:id="479" w:name="_Toc51489575"/>
      <w:r>
        <w:rPr>
          <w:rFonts w:hint="eastAsia" w:ascii="宋体" w:hAnsi="宋体"/>
          <w:b/>
          <w:color w:val="auto"/>
          <w:kern w:val="0"/>
          <w:sz w:val="28"/>
          <w:szCs w:val="28"/>
          <w:highlight w:val="none"/>
        </w:rPr>
        <w:t>3</w:t>
      </w:r>
    </w:p>
    <w:p>
      <w:pPr>
        <w:spacing w:after="240" w:afterLines="100" w:line="480" w:lineRule="auto"/>
        <w:jc w:val="center"/>
        <w:rPr>
          <w:rFonts w:ascii="宋体" w:hAnsi="宋体" w:cs="宋体"/>
          <w:b/>
          <w:bCs/>
          <w:color w:val="auto"/>
          <w:kern w:val="0"/>
          <w:sz w:val="32"/>
          <w:szCs w:val="32"/>
          <w:highlight w:val="none"/>
          <w:lang w:val="zh-CN"/>
        </w:rPr>
      </w:pPr>
    </w:p>
    <w:bookmarkEnd w:id="479"/>
    <w:p>
      <w:pPr>
        <w:spacing w:after="240" w:afterLines="100" w:line="360" w:lineRule="auto"/>
        <w:jc w:val="center"/>
        <w:rPr>
          <w:rFonts w:ascii="宋体" w:hAnsi="宋体" w:cs="宋体"/>
          <w:b/>
          <w:bCs/>
          <w:color w:val="auto"/>
          <w:kern w:val="0"/>
          <w:sz w:val="32"/>
          <w:szCs w:val="32"/>
          <w:highlight w:val="none"/>
          <w:lang w:val="zh-CN"/>
        </w:rPr>
      </w:pPr>
      <w:r>
        <w:rPr>
          <w:rFonts w:hint="eastAsia" w:ascii="宋体" w:hAnsi="宋体" w:cs="宋体"/>
          <w:b/>
          <w:bCs/>
          <w:color w:val="auto"/>
          <w:kern w:val="0"/>
          <w:sz w:val="32"/>
          <w:szCs w:val="32"/>
          <w:highlight w:val="none"/>
          <w:lang w:val="zh-CN"/>
        </w:rPr>
        <w:t>符合参与政府采购活动的资格条件、具备良好的商业信誉和健全的财务会计制度并且没有税收缴纳、社会保障等书面方面的失信记录的承诺函</w:t>
      </w:r>
    </w:p>
    <w:p>
      <w:pPr>
        <w:spacing w:after="240" w:afterLines="100" w:line="360" w:lineRule="auto"/>
        <w:jc w:val="left"/>
        <w:rPr>
          <w:rFonts w:ascii="宋体" w:hAnsi="宋体" w:cs="仿宋_GB2312"/>
          <w:bCs/>
          <w:color w:val="auto"/>
          <w:kern w:val="0"/>
          <w:sz w:val="24"/>
          <w:highlight w:val="none"/>
          <w:lang w:val="zh-CN"/>
        </w:rPr>
      </w:pPr>
      <w:r>
        <w:rPr>
          <w:rFonts w:hint="eastAsia" w:ascii="宋体" w:hAnsi="宋体" w:cs="仿宋_GB2312"/>
          <w:bCs/>
          <w:color w:val="auto"/>
          <w:kern w:val="0"/>
          <w:sz w:val="24"/>
          <w:highlight w:val="none"/>
          <w:lang w:val="zh-CN"/>
        </w:rPr>
        <w:t>致：</w:t>
      </w:r>
      <w:r>
        <w:rPr>
          <w:rFonts w:hint="eastAsia" w:ascii="宋体" w:hAnsi="宋体" w:cs="宋体"/>
          <w:color w:val="auto"/>
          <w:sz w:val="24"/>
          <w:highlight w:val="none"/>
          <w:u w:val="single"/>
        </w:rPr>
        <w:t xml:space="preserve">  台州市第一中学  </w:t>
      </w:r>
      <w:r>
        <w:rPr>
          <w:rFonts w:hint="eastAsia" w:ascii="宋体" w:hAnsi="宋体" w:cs="仿宋_GB2312"/>
          <w:bCs/>
          <w:color w:val="auto"/>
          <w:kern w:val="0"/>
          <w:sz w:val="24"/>
          <w:highlight w:val="none"/>
          <w:lang w:val="zh-CN"/>
        </w:rPr>
        <w:t>（采购人）</w:t>
      </w:r>
    </w:p>
    <w:p>
      <w:pPr>
        <w:snapToGrid w:val="0"/>
        <w:spacing w:line="48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我公司作为本次采购项目的供应商，参加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（项目名称）采购活动，根据采购文件要求，现郑重承诺：</w:t>
      </w:r>
    </w:p>
    <w:p>
      <w:pPr>
        <w:snapToGrid w:val="0"/>
        <w:spacing w:line="48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1.我公司符合参与政府采购活动的资格条件，不存在税收缴纳、社会保障等方面的失信记录。</w:t>
      </w:r>
    </w:p>
    <w:p>
      <w:pPr>
        <w:snapToGrid w:val="0"/>
        <w:spacing w:line="48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2.我公司具有良好的商业信誉和健全的财务会计制度。</w:t>
      </w:r>
    </w:p>
    <w:p>
      <w:pPr>
        <w:snapToGrid w:val="0"/>
        <w:spacing w:line="48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如本公司对以上条款提供虚假承诺，采购组织机构可取消我方任何资格（投标/中标/签订合同），我方对此无任何异议。</w:t>
      </w:r>
    </w:p>
    <w:p>
      <w:pPr>
        <w:widowControl/>
        <w:jc w:val="left"/>
        <w:rPr>
          <w:b/>
          <w:bCs/>
          <w:color w:val="auto"/>
          <w:sz w:val="32"/>
          <w:szCs w:val="32"/>
          <w:highlight w:val="none"/>
          <w:lang w:val="zh-CN"/>
        </w:rPr>
      </w:pPr>
    </w:p>
    <w:p>
      <w:pPr>
        <w:widowControl/>
        <w:jc w:val="left"/>
        <w:rPr>
          <w:rFonts w:ascii="宋体" w:hAnsi="Courier New"/>
          <w:b/>
          <w:bCs/>
          <w:color w:val="auto"/>
          <w:sz w:val="24"/>
          <w:szCs w:val="20"/>
          <w:highlight w:val="none"/>
          <w:lang w:val="zh-CN"/>
        </w:rPr>
      </w:pPr>
    </w:p>
    <w:p>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供应商名称（电子印章）：</w:t>
      </w:r>
    </w:p>
    <w:p>
      <w:pPr>
        <w:spacing w:line="360" w:lineRule="auto"/>
        <w:ind w:left="420"/>
        <w:rPr>
          <w:rFonts w:ascii="宋体" w:hAnsi="宋体"/>
          <w:color w:val="auto"/>
          <w:sz w:val="24"/>
          <w:highlight w:val="none"/>
        </w:rPr>
      </w:pPr>
    </w:p>
    <w:p>
      <w:pPr>
        <w:spacing w:line="360" w:lineRule="auto"/>
        <w:ind w:firstLine="424" w:firstLineChars="177"/>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法定代表人或授权委托人签字或电子印章</w:t>
      </w:r>
      <w:r>
        <w:rPr>
          <w:rFonts w:hint="eastAsia" w:ascii="宋体" w:hAnsi="宋体"/>
          <w:color w:val="auto"/>
          <w:sz w:val="24"/>
          <w:highlight w:val="none"/>
        </w:rPr>
        <w:t>：</w:t>
      </w:r>
    </w:p>
    <w:p>
      <w:pPr>
        <w:spacing w:line="360" w:lineRule="auto"/>
        <w:rPr>
          <w:rFonts w:ascii="宋体" w:hAnsi="宋体"/>
          <w:color w:val="auto"/>
          <w:sz w:val="24"/>
          <w:highlight w:val="none"/>
        </w:rPr>
      </w:pPr>
    </w:p>
    <w:p>
      <w:pPr>
        <w:spacing w:line="360" w:lineRule="auto"/>
        <w:ind w:firstLine="424" w:firstLineChars="177"/>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        期：</w:t>
      </w:r>
    </w:p>
    <w:p>
      <w:pPr>
        <w:widowControl/>
        <w:jc w:val="left"/>
        <w:rPr>
          <w:rFonts w:ascii="宋体" w:hAnsi="宋体"/>
          <w:b/>
          <w:color w:val="auto"/>
          <w:sz w:val="24"/>
          <w:szCs w:val="20"/>
          <w:highlight w:val="none"/>
        </w:rPr>
      </w:pPr>
    </w:p>
    <w:p>
      <w:pPr>
        <w:rPr>
          <w:rFonts w:ascii="宋体" w:hAnsi="宋体"/>
          <w:b/>
          <w:color w:val="auto"/>
          <w:kern w:val="0"/>
          <w:sz w:val="28"/>
          <w:szCs w:val="28"/>
          <w:highlight w:val="none"/>
        </w:rPr>
      </w:pPr>
      <w:r>
        <w:rPr>
          <w:rFonts w:hint="eastAsia" w:ascii="宋体" w:hAnsi="宋体"/>
          <w:b/>
          <w:color w:val="auto"/>
          <w:kern w:val="0"/>
          <w:sz w:val="28"/>
          <w:szCs w:val="28"/>
          <w:highlight w:val="none"/>
        </w:rPr>
        <w:br w:type="page"/>
      </w:r>
    </w:p>
    <w:p>
      <w:pPr>
        <w:rPr>
          <w:rFonts w:ascii="宋体" w:hAnsi="宋体"/>
          <w:b/>
          <w:color w:val="auto"/>
          <w:kern w:val="0"/>
          <w:sz w:val="28"/>
          <w:szCs w:val="28"/>
          <w:highlight w:val="none"/>
        </w:rPr>
      </w:pPr>
      <w:r>
        <w:rPr>
          <w:rFonts w:hint="eastAsia" w:ascii="宋体" w:hAnsi="宋体"/>
          <w:b/>
          <w:color w:val="auto"/>
          <w:kern w:val="0"/>
          <w:sz w:val="28"/>
          <w:szCs w:val="28"/>
          <w:highlight w:val="none"/>
        </w:rPr>
        <w:t>附件4</w:t>
      </w:r>
    </w:p>
    <w:p>
      <w:pPr>
        <w:spacing w:after="240" w:afterLines="100"/>
        <w:jc w:val="center"/>
        <w:rPr>
          <w:rFonts w:ascii="宋体" w:hAnsi="宋体" w:cs="仿宋_GB2312"/>
          <w:b/>
          <w:bCs/>
          <w:color w:val="auto"/>
          <w:kern w:val="0"/>
          <w:sz w:val="24"/>
          <w:highlight w:val="none"/>
          <w:lang w:val="zh-CN"/>
        </w:rPr>
      </w:pPr>
    </w:p>
    <w:p>
      <w:pPr>
        <w:spacing w:after="240" w:afterLines="100" w:line="480" w:lineRule="auto"/>
        <w:jc w:val="center"/>
        <w:rPr>
          <w:rFonts w:ascii="宋体" w:hAnsi="宋体" w:cs="宋体"/>
          <w:b/>
          <w:bCs/>
          <w:color w:val="auto"/>
          <w:kern w:val="0"/>
          <w:sz w:val="32"/>
          <w:szCs w:val="32"/>
          <w:highlight w:val="none"/>
          <w:lang w:val="zh-CN"/>
        </w:rPr>
      </w:pPr>
      <w:r>
        <w:rPr>
          <w:rFonts w:hint="eastAsia" w:ascii="宋体" w:hAnsi="宋体" w:cs="宋体"/>
          <w:b/>
          <w:bCs/>
          <w:color w:val="auto"/>
          <w:kern w:val="0"/>
          <w:sz w:val="32"/>
          <w:szCs w:val="32"/>
          <w:highlight w:val="none"/>
          <w:lang w:val="zh-CN"/>
        </w:rPr>
        <w:t>具有履行合同所必须的设备和专业技术能力的承诺函</w:t>
      </w:r>
    </w:p>
    <w:p>
      <w:pPr>
        <w:spacing w:after="240" w:afterLines="100" w:line="360" w:lineRule="auto"/>
        <w:jc w:val="left"/>
        <w:rPr>
          <w:rFonts w:ascii="宋体" w:hAnsi="宋体" w:cs="仿宋_GB2312"/>
          <w:bCs/>
          <w:color w:val="auto"/>
          <w:kern w:val="0"/>
          <w:sz w:val="24"/>
          <w:highlight w:val="none"/>
          <w:lang w:val="zh-CN"/>
        </w:rPr>
      </w:pPr>
      <w:r>
        <w:rPr>
          <w:rFonts w:hint="eastAsia" w:ascii="宋体" w:hAnsi="宋体" w:cs="仿宋_GB2312"/>
          <w:bCs/>
          <w:color w:val="auto"/>
          <w:kern w:val="0"/>
          <w:sz w:val="24"/>
          <w:highlight w:val="none"/>
          <w:lang w:val="zh-CN"/>
        </w:rPr>
        <w:t>致：</w:t>
      </w:r>
      <w:r>
        <w:rPr>
          <w:rFonts w:hint="eastAsia" w:ascii="宋体" w:hAnsi="宋体" w:cs="宋体"/>
          <w:color w:val="auto"/>
          <w:sz w:val="24"/>
          <w:highlight w:val="none"/>
          <w:u w:val="single"/>
        </w:rPr>
        <w:t xml:space="preserve">  台州市第一中学  </w:t>
      </w:r>
      <w:r>
        <w:rPr>
          <w:rFonts w:hint="eastAsia" w:ascii="宋体" w:hAnsi="宋体" w:cs="仿宋_GB2312"/>
          <w:bCs/>
          <w:color w:val="auto"/>
          <w:kern w:val="0"/>
          <w:sz w:val="24"/>
          <w:highlight w:val="none"/>
          <w:lang w:val="zh-CN"/>
        </w:rPr>
        <w:t>（采购人）</w:t>
      </w:r>
    </w:p>
    <w:p>
      <w:pPr>
        <w:spacing w:line="360" w:lineRule="auto"/>
        <w:ind w:firstLine="424" w:firstLineChars="177"/>
        <w:rPr>
          <w:rFonts w:ascii="宋体" w:hAnsi="宋体"/>
          <w:color w:val="auto"/>
          <w:sz w:val="24"/>
          <w:highlight w:val="none"/>
        </w:rPr>
      </w:pPr>
      <w:r>
        <w:rPr>
          <w:rFonts w:hint="eastAsia" w:ascii="宋体" w:hAnsi="宋体" w:cs="仿宋_GB2312"/>
          <w:bCs/>
          <w:color w:val="auto"/>
          <w:kern w:val="0"/>
          <w:sz w:val="24"/>
          <w:highlight w:val="none"/>
          <w:lang w:val="zh-CN"/>
        </w:rPr>
        <w:t>在贵方组织的</w:t>
      </w:r>
      <w:r>
        <w:rPr>
          <w:rFonts w:hint="eastAsia" w:ascii="宋体" w:hAnsi="宋体" w:cs="宋体"/>
          <w:color w:val="auto"/>
          <w:kern w:val="0"/>
          <w:sz w:val="24"/>
          <w:highlight w:val="none"/>
          <w:u w:val="single"/>
        </w:rPr>
        <w:t>台州市第一中学食堂二楼备餐间、洗碗间和新疆班卫生间改造工程项目</w:t>
      </w:r>
      <w:r>
        <w:rPr>
          <w:rFonts w:hint="eastAsia" w:ascii="宋体" w:hAnsi="宋体" w:cs="仿宋_GB2312"/>
          <w:bCs/>
          <w:color w:val="auto"/>
          <w:kern w:val="0"/>
          <w:sz w:val="24"/>
          <w:highlight w:val="none"/>
          <w:lang w:val="zh-CN"/>
        </w:rPr>
        <w:t>（项目编号：</w:t>
      </w:r>
      <w:r>
        <w:rPr>
          <w:rFonts w:hint="eastAsia" w:ascii="宋体" w:hAnsi="宋体" w:cs="仿宋_GB2312"/>
          <w:bCs/>
          <w:color w:val="auto"/>
          <w:kern w:val="0"/>
          <w:sz w:val="24"/>
          <w:highlight w:val="none"/>
          <w:u w:val="single"/>
        </w:rPr>
        <w:t>ZYZFCG〔2025〕017</w:t>
      </w:r>
      <w:r>
        <w:rPr>
          <w:rFonts w:hint="eastAsia" w:ascii="宋体" w:hAnsi="宋体" w:cs="仿宋_GB2312"/>
          <w:bCs/>
          <w:color w:val="auto"/>
          <w:kern w:val="0"/>
          <w:sz w:val="24"/>
          <w:highlight w:val="none"/>
          <w:lang w:val="zh-CN"/>
        </w:rPr>
        <w:t>）竞争性磋商，我方在完全理解本项目采购的技术要求、商务条款及其他内容后，决定参与该项目</w:t>
      </w:r>
      <w:r>
        <w:rPr>
          <w:rFonts w:hint="eastAsia" w:ascii="宋体" w:hAnsi="宋体"/>
          <w:color w:val="auto"/>
          <w:sz w:val="24"/>
          <w:highlight w:val="none"/>
        </w:rPr>
        <w:t>的响应活动。并承诺，如成交，我方将提供足够的设备和专业技术能力保证本合同履行。</w:t>
      </w:r>
    </w:p>
    <w:p>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我方对上述承诺的真实性负责。如有虚假，我方同意按我方合同违约处理，并依法承担相应法律责任。</w:t>
      </w:r>
    </w:p>
    <w:p>
      <w:pPr>
        <w:spacing w:line="360" w:lineRule="auto"/>
        <w:ind w:firstLine="424" w:firstLineChars="177"/>
        <w:rPr>
          <w:rFonts w:ascii="宋体" w:hAnsi="宋体"/>
          <w:color w:val="auto"/>
          <w:sz w:val="24"/>
          <w:highlight w:val="none"/>
        </w:rPr>
      </w:pPr>
    </w:p>
    <w:p>
      <w:pPr>
        <w:spacing w:line="360" w:lineRule="auto"/>
        <w:ind w:firstLine="424" w:firstLineChars="177"/>
        <w:rPr>
          <w:rFonts w:ascii="宋体" w:hAnsi="宋体"/>
          <w:color w:val="auto"/>
          <w:sz w:val="24"/>
          <w:highlight w:val="none"/>
        </w:rPr>
      </w:pPr>
    </w:p>
    <w:p>
      <w:pPr>
        <w:spacing w:line="360" w:lineRule="auto"/>
        <w:ind w:firstLine="424" w:firstLineChars="177"/>
        <w:rPr>
          <w:rFonts w:ascii="宋体" w:hAnsi="宋体"/>
          <w:color w:val="auto"/>
          <w:sz w:val="24"/>
          <w:highlight w:val="none"/>
        </w:rPr>
      </w:pPr>
    </w:p>
    <w:p>
      <w:pPr>
        <w:spacing w:line="360" w:lineRule="auto"/>
        <w:ind w:firstLine="424" w:firstLineChars="177"/>
        <w:rPr>
          <w:rFonts w:ascii="宋体" w:hAnsi="宋体"/>
          <w:color w:val="auto"/>
          <w:sz w:val="24"/>
          <w:highlight w:val="none"/>
        </w:rPr>
      </w:pPr>
    </w:p>
    <w:p>
      <w:pPr>
        <w:spacing w:line="480" w:lineRule="exact"/>
        <w:ind w:left="420"/>
        <w:rPr>
          <w:rFonts w:ascii="宋体" w:hAnsi="宋体"/>
          <w:color w:val="auto"/>
          <w:highlight w:val="none"/>
        </w:rPr>
      </w:pPr>
    </w:p>
    <w:p>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供应商名称（电子印章）：</w:t>
      </w:r>
    </w:p>
    <w:p>
      <w:pPr>
        <w:spacing w:line="360" w:lineRule="auto"/>
        <w:ind w:left="420"/>
        <w:rPr>
          <w:rFonts w:ascii="宋体" w:hAnsi="宋体"/>
          <w:color w:val="auto"/>
          <w:sz w:val="24"/>
          <w:highlight w:val="none"/>
        </w:rPr>
      </w:pPr>
    </w:p>
    <w:p>
      <w:pPr>
        <w:spacing w:line="360" w:lineRule="auto"/>
        <w:ind w:firstLine="424" w:firstLineChars="177"/>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法定代表人或授权委托人签字或电子印章</w:t>
      </w:r>
      <w:r>
        <w:rPr>
          <w:rFonts w:hint="eastAsia" w:ascii="宋体" w:hAnsi="宋体"/>
          <w:color w:val="auto"/>
          <w:sz w:val="24"/>
          <w:highlight w:val="none"/>
        </w:rPr>
        <w:t>：</w:t>
      </w:r>
    </w:p>
    <w:p>
      <w:pPr>
        <w:spacing w:line="360" w:lineRule="auto"/>
        <w:rPr>
          <w:rFonts w:ascii="宋体" w:hAnsi="宋体"/>
          <w:color w:val="auto"/>
          <w:sz w:val="24"/>
          <w:highlight w:val="none"/>
        </w:rPr>
      </w:pPr>
    </w:p>
    <w:p>
      <w:pPr>
        <w:spacing w:line="360" w:lineRule="auto"/>
        <w:ind w:firstLine="424" w:firstLineChars="177"/>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        期：</w:t>
      </w:r>
    </w:p>
    <w:p>
      <w:pPr>
        <w:widowControl/>
        <w:jc w:val="left"/>
        <w:rPr>
          <w:b/>
          <w:bCs/>
          <w:color w:val="auto"/>
          <w:sz w:val="32"/>
          <w:szCs w:val="32"/>
          <w:highlight w:val="none"/>
          <w:lang w:val="zh-CN"/>
        </w:rPr>
      </w:pPr>
    </w:p>
    <w:p>
      <w:pPr>
        <w:widowControl/>
        <w:jc w:val="left"/>
        <w:rPr>
          <w:rFonts w:ascii="宋体" w:hAnsi="宋体"/>
          <w:b/>
          <w:color w:val="auto"/>
          <w:sz w:val="28"/>
          <w:highlight w:val="none"/>
        </w:rPr>
      </w:pPr>
      <w:r>
        <w:rPr>
          <w:rFonts w:ascii="宋体" w:hAnsi="宋体"/>
          <w:b/>
          <w:color w:val="auto"/>
          <w:sz w:val="28"/>
          <w:highlight w:val="none"/>
        </w:rPr>
        <w:br w:type="page"/>
      </w:r>
    </w:p>
    <w:p>
      <w:pPr>
        <w:rPr>
          <w:rFonts w:ascii="宋体" w:hAnsi="宋体"/>
          <w:b/>
          <w:color w:val="auto"/>
          <w:kern w:val="0"/>
          <w:sz w:val="28"/>
          <w:szCs w:val="28"/>
          <w:highlight w:val="none"/>
        </w:rPr>
      </w:pPr>
      <w:r>
        <w:rPr>
          <w:rFonts w:hint="eastAsia" w:ascii="宋体" w:hAnsi="宋体"/>
          <w:b/>
          <w:color w:val="auto"/>
          <w:kern w:val="0"/>
          <w:sz w:val="28"/>
          <w:szCs w:val="28"/>
          <w:highlight w:val="none"/>
        </w:rPr>
        <w:t>附件5</w:t>
      </w:r>
    </w:p>
    <w:p>
      <w:pPr>
        <w:spacing w:after="240" w:afterLines="100"/>
        <w:jc w:val="center"/>
        <w:rPr>
          <w:rFonts w:ascii="宋体" w:hAnsi="宋体" w:cs="仿宋_GB2312"/>
          <w:b/>
          <w:bCs/>
          <w:color w:val="auto"/>
          <w:kern w:val="0"/>
          <w:sz w:val="24"/>
          <w:highlight w:val="none"/>
          <w:lang w:val="zh-CN"/>
        </w:rPr>
      </w:pPr>
    </w:p>
    <w:p>
      <w:pPr>
        <w:pStyle w:val="51"/>
        <w:spacing w:line="360" w:lineRule="auto"/>
        <w:jc w:val="center"/>
        <w:rPr>
          <w:rFonts w:ascii="宋体" w:hAnsi="宋体"/>
          <w:b/>
          <w:color w:val="auto"/>
          <w:sz w:val="32"/>
          <w:szCs w:val="32"/>
          <w:highlight w:val="none"/>
          <w:lang w:val="en-GB"/>
        </w:rPr>
      </w:pPr>
    </w:p>
    <w:p>
      <w:pPr>
        <w:pStyle w:val="51"/>
        <w:spacing w:line="360" w:lineRule="auto"/>
        <w:jc w:val="center"/>
        <w:rPr>
          <w:rFonts w:ascii="宋体" w:hAnsi="宋体"/>
          <w:b/>
          <w:color w:val="auto"/>
          <w:sz w:val="32"/>
          <w:szCs w:val="32"/>
          <w:highlight w:val="none"/>
          <w:lang w:val="en-GB"/>
        </w:rPr>
      </w:pPr>
      <w:r>
        <w:rPr>
          <w:rFonts w:hint="eastAsia" w:ascii="宋体" w:hAnsi="宋体"/>
          <w:b/>
          <w:color w:val="auto"/>
          <w:sz w:val="32"/>
          <w:szCs w:val="32"/>
          <w:highlight w:val="none"/>
          <w:lang w:val="en-GB"/>
        </w:rPr>
        <w:t>中小企业声明函</w:t>
      </w:r>
    </w:p>
    <w:p>
      <w:pPr>
        <w:pStyle w:val="51"/>
        <w:spacing w:line="360" w:lineRule="auto"/>
        <w:jc w:val="center"/>
        <w:rPr>
          <w:rFonts w:ascii="宋体" w:hAnsi="宋体"/>
          <w:b/>
          <w:color w:val="auto"/>
          <w:sz w:val="24"/>
          <w:highlight w:val="none"/>
          <w:lang w:val="en-GB"/>
        </w:rPr>
      </w:pPr>
    </w:p>
    <w:p>
      <w:pPr>
        <w:pStyle w:val="51"/>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pPr>
        <w:pStyle w:val="51"/>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1.</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（标的名称），属于</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（采购文件中明确的所属行业）；承建（承接）企业为</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（企业名称），从业人员</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人，营业收入为</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万元，资产总额为</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万元</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①</w:t>
      </w:r>
      <w:r>
        <w:rPr>
          <w:rFonts w:hint="eastAsia" w:ascii="宋体" w:hAnsi="宋体" w:cs="宋体"/>
          <w:color w:val="auto"/>
          <w:sz w:val="24"/>
          <w:highlight w:val="none"/>
        </w:rPr>
        <w:fldChar w:fldCharType="end"/>
      </w:r>
      <w:r>
        <w:rPr>
          <w:rFonts w:hint="eastAsia" w:ascii="宋体" w:hAnsi="宋体"/>
          <w:color w:val="auto"/>
          <w:spacing w:val="6"/>
          <w:sz w:val="24"/>
          <w:highlight w:val="none"/>
        </w:rPr>
        <w:t>，属于</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（中型企业、小型企业、微型企业）；</w:t>
      </w:r>
    </w:p>
    <w:p>
      <w:pPr>
        <w:pStyle w:val="51"/>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2.</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（标的名称），属于</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（采购文件中明确的所属行业）；承建（承接）企业为</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（企业名称），从业人员</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人，营业收入为</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万元，资产总额为</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万元</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①</w:t>
      </w:r>
      <w:r>
        <w:rPr>
          <w:rFonts w:hint="eastAsia" w:ascii="宋体" w:hAnsi="宋体" w:cs="宋体"/>
          <w:color w:val="auto"/>
          <w:sz w:val="24"/>
          <w:highlight w:val="none"/>
        </w:rPr>
        <w:fldChar w:fldCharType="end"/>
      </w:r>
      <w:r>
        <w:rPr>
          <w:rFonts w:hint="eastAsia" w:ascii="宋体" w:hAnsi="宋体"/>
          <w:color w:val="auto"/>
          <w:spacing w:val="6"/>
          <w:sz w:val="24"/>
          <w:highlight w:val="none"/>
        </w:rPr>
        <w:t>，属于</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（中型企业、小型企业、微型企业）；</w:t>
      </w:r>
    </w:p>
    <w:p>
      <w:pPr>
        <w:pStyle w:val="51"/>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……以上企业，不属于大企业的分支机构，不存在控股股东为大企业的情形，也不存在与大企业的负责人为同一人的情形。</w:t>
      </w:r>
    </w:p>
    <w:p>
      <w:pPr>
        <w:pStyle w:val="51"/>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本企业对上述声明内容的真实性负责。如有虚假，将依法承担相应责任。</w:t>
      </w:r>
    </w:p>
    <w:p>
      <w:pPr>
        <w:pStyle w:val="51"/>
        <w:spacing w:line="360" w:lineRule="auto"/>
        <w:rPr>
          <w:rFonts w:ascii="宋体" w:hAnsi="宋体"/>
          <w:color w:val="auto"/>
          <w:spacing w:val="6"/>
          <w:sz w:val="24"/>
          <w:highlight w:val="none"/>
        </w:rPr>
      </w:pPr>
    </w:p>
    <w:p>
      <w:pPr>
        <w:pStyle w:val="51"/>
        <w:spacing w:line="360" w:lineRule="auto"/>
        <w:rPr>
          <w:rFonts w:ascii="宋体" w:hAnsi="宋体"/>
          <w:color w:val="auto"/>
          <w:spacing w:val="6"/>
          <w:sz w:val="24"/>
          <w:highlight w:val="none"/>
        </w:rPr>
      </w:pPr>
    </w:p>
    <w:p>
      <w:pPr>
        <w:pStyle w:val="51"/>
        <w:spacing w:line="360" w:lineRule="auto"/>
        <w:rPr>
          <w:rFonts w:ascii="宋体" w:hAnsi="宋体"/>
          <w:color w:val="auto"/>
          <w:spacing w:val="6"/>
          <w:sz w:val="24"/>
          <w:highlight w:val="none"/>
        </w:rPr>
      </w:pPr>
    </w:p>
    <w:p>
      <w:pPr>
        <w:pStyle w:val="51"/>
        <w:spacing w:line="360" w:lineRule="auto"/>
        <w:rPr>
          <w:rFonts w:ascii="宋体" w:hAnsi="宋体"/>
          <w:color w:val="auto"/>
          <w:spacing w:val="6"/>
          <w:sz w:val="24"/>
          <w:highlight w:val="none"/>
        </w:rPr>
      </w:pPr>
    </w:p>
    <w:p>
      <w:pPr>
        <w:pStyle w:val="51"/>
        <w:spacing w:line="360" w:lineRule="auto"/>
        <w:ind w:firstLine="5040" w:firstLineChars="2000"/>
        <w:rPr>
          <w:rFonts w:ascii="宋体" w:hAnsi="宋体"/>
          <w:color w:val="auto"/>
          <w:spacing w:val="6"/>
          <w:sz w:val="24"/>
          <w:highlight w:val="none"/>
        </w:rPr>
      </w:pPr>
      <w:r>
        <w:rPr>
          <w:rFonts w:hint="eastAsia" w:ascii="宋体" w:hAnsi="宋体"/>
          <w:color w:val="auto"/>
          <w:spacing w:val="6"/>
          <w:sz w:val="24"/>
          <w:highlight w:val="none"/>
        </w:rPr>
        <w:t>企业名称（盖章）：</w:t>
      </w:r>
    </w:p>
    <w:p>
      <w:pPr>
        <w:pStyle w:val="51"/>
        <w:wordWrap w:val="0"/>
        <w:spacing w:line="360" w:lineRule="auto"/>
        <w:ind w:firstLine="5040" w:firstLineChars="2000"/>
        <w:jc w:val="right"/>
        <w:rPr>
          <w:rFonts w:ascii="宋体" w:hAnsi="宋体" w:cs="宋体"/>
          <w:color w:val="auto"/>
          <w:sz w:val="24"/>
          <w:highlight w:val="none"/>
        </w:rPr>
      </w:pPr>
      <w:r>
        <w:rPr>
          <w:rFonts w:hint="eastAsia" w:ascii="宋体" w:hAnsi="宋体"/>
          <w:color w:val="auto"/>
          <w:spacing w:val="6"/>
          <w:sz w:val="24"/>
          <w:highlight w:val="none"/>
        </w:rPr>
        <w:t>日期：××年××月××日</w:t>
      </w:r>
    </w:p>
    <w:p>
      <w:pPr>
        <w:spacing w:line="360" w:lineRule="auto"/>
        <w:rPr>
          <w:rFonts w:ascii="宋体" w:hAnsi="宋体" w:cs="宋体"/>
          <w:color w:val="auto"/>
          <w:sz w:val="24"/>
          <w:highlight w:val="none"/>
        </w:rPr>
      </w:pPr>
    </w:p>
    <w:p>
      <w:pPr>
        <w:pStyle w:val="7"/>
        <w:ind w:right="1800" w:firstLine="542"/>
        <w:rPr>
          <w:rFonts w:ascii="宋体" w:hAnsi="宋体" w:cs="宋体"/>
          <w:color w:val="auto"/>
          <w:sz w:val="24"/>
          <w:szCs w:val="24"/>
          <w:highlight w:val="none"/>
        </w:rPr>
      </w:pPr>
    </w:p>
    <w:p>
      <w:pPr>
        <w:spacing w:line="360" w:lineRule="auto"/>
        <w:rPr>
          <w:rFonts w:ascii="宋体" w:hAnsi="宋体" w:cs="宋体"/>
          <w:color w:val="auto"/>
          <w:sz w:val="24"/>
          <w:highlight w:val="none"/>
        </w:rPr>
      </w:pPr>
      <w:r>
        <w:rPr>
          <w:rFonts w:ascii="宋体" w:hAnsi="宋体" w:cs="宋体"/>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5080</wp:posOffset>
                </wp:positionH>
                <wp:positionV relativeFrom="paragraph">
                  <wp:posOffset>208915</wp:posOffset>
                </wp:positionV>
                <wp:extent cx="2984500" cy="0"/>
                <wp:effectExtent l="0" t="0" r="25400" b="19050"/>
                <wp:wrapNone/>
                <wp:docPr id="1" name="直接连接符 1"/>
                <wp:cNvGraphicFramePr/>
                <a:graphic xmlns:a="http://schemas.openxmlformats.org/drawingml/2006/main">
                  <a:graphicData uri="http://schemas.microsoft.com/office/word/2010/wordprocessingShape">
                    <wps:wsp>
                      <wps:cNvCnPr/>
                      <wps:spPr>
                        <a:xfrm>
                          <a:off x="0" y="0"/>
                          <a:ext cx="298450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45pt;height:0pt;width:235pt;z-index:251662336;mso-width-relative:page;mso-height-relative:page;" filled="f" stroked="t" coordsize="21600,21600" o:gfxdata="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8sCuS9MAAAAGAQAADwAAAAAAAAABACAA&#10;AAAiAAAAZHJzL2Rvd25yZXYueG1sUEsBAhQAFAAAAAgAh07iQBUKXS3ZAQAAhgMAAA4AAAAAAAAA&#10;AQAgAAAAIgEAAGRycy9lMm9Eb2MueG1sUEsFBgAAAAAGAAYAWQEAAG0FAAAAAA==&#10;">
                <v:fill on="f" focussize="0,0"/>
                <v:stroke weight="1.25pt" color="#000000" miterlimit="8" joinstyle="miter"/>
                <v:imagedata o:title=""/>
                <o:lock v:ext="edit" aspectratio="f"/>
              </v:line>
            </w:pict>
          </mc:Fallback>
        </mc:AlternateContent>
      </w:r>
    </w:p>
    <w:p>
      <w:pPr>
        <w:spacing w:line="360" w:lineRule="auto"/>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①</w:t>
      </w:r>
      <w:r>
        <w:rPr>
          <w:rFonts w:hint="eastAsia" w:ascii="宋体" w:hAnsi="宋体" w:cs="宋体"/>
          <w:color w:val="auto"/>
          <w:sz w:val="24"/>
          <w:highlight w:val="none"/>
        </w:rPr>
        <w:fldChar w:fldCharType="end"/>
      </w:r>
      <w:r>
        <w:rPr>
          <w:rFonts w:hint="eastAsia" w:ascii="宋体" w:hAnsi="宋体" w:cs="宋体"/>
          <w:color w:val="auto"/>
          <w:sz w:val="24"/>
          <w:highlight w:val="none"/>
        </w:rPr>
        <w:t>从业人员、营业收入、资产总额填报上一年度数据，无上一年度数据的新成立企业可不填报。</w:t>
      </w:r>
    </w:p>
    <w:p>
      <w:pPr>
        <w:spacing w:line="360" w:lineRule="auto"/>
        <w:rPr>
          <w:rFonts w:ascii="宋体" w:hAnsi="宋体" w:cs="宋体"/>
          <w:color w:val="auto"/>
          <w:sz w:val="24"/>
          <w:highlight w:val="none"/>
        </w:rPr>
        <w:sectPr>
          <w:headerReference r:id="rId6" w:type="first"/>
          <w:headerReference r:id="rId5" w:type="default"/>
          <w:footerReference r:id="rId7" w:type="default"/>
          <w:type w:val="continuous"/>
          <w:pgSz w:w="11906" w:h="16838"/>
          <w:pgMar w:top="1276" w:right="1418" w:bottom="1440" w:left="1418" w:header="851" w:footer="851" w:gutter="0"/>
          <w:cols w:space="720" w:num="1"/>
          <w:docGrid w:linePitch="312" w:charSpace="0"/>
        </w:sectPr>
      </w:pPr>
    </w:p>
    <w:p>
      <w:pPr>
        <w:pStyle w:val="15"/>
        <w:spacing w:line="360" w:lineRule="auto"/>
        <w:jc w:val="center"/>
        <w:outlineLvl w:val="1"/>
        <w:rPr>
          <w:rFonts w:hAnsi="宋体" w:cs="宋体"/>
          <w:b/>
          <w:color w:val="auto"/>
          <w:sz w:val="32"/>
          <w:szCs w:val="32"/>
          <w:highlight w:val="none"/>
          <w:lang w:val="en-GB"/>
        </w:rPr>
      </w:pPr>
    </w:p>
    <w:p>
      <w:pPr>
        <w:spacing w:line="360" w:lineRule="auto"/>
        <w:rPr>
          <w:rFonts w:ascii="宋体" w:hAnsi="宋体" w:cs="宋体"/>
          <w:color w:val="auto"/>
          <w:sz w:val="24"/>
          <w:highlight w:val="none"/>
        </w:rPr>
        <w:sectPr>
          <w:headerReference r:id="rId9" w:type="first"/>
          <w:headerReference r:id="rId8" w:type="default"/>
          <w:footerReference r:id="rId10" w:type="default"/>
          <w:type w:val="continuous"/>
          <w:pgSz w:w="11906" w:h="16838"/>
          <w:pgMar w:top="1276" w:right="1474" w:bottom="1440" w:left="1587" w:header="851" w:footer="851" w:gutter="0"/>
          <w:cols w:space="720" w:num="1"/>
          <w:docGrid w:linePitch="312" w:charSpace="0"/>
        </w:sectPr>
      </w:pPr>
    </w:p>
    <w:p>
      <w:pPr>
        <w:pStyle w:val="51"/>
        <w:spacing w:line="360" w:lineRule="auto"/>
        <w:jc w:val="center"/>
        <w:rPr>
          <w:rFonts w:ascii="宋体" w:hAnsi="宋体"/>
          <w:b/>
          <w:color w:val="auto"/>
          <w:sz w:val="32"/>
          <w:szCs w:val="32"/>
          <w:highlight w:val="none"/>
          <w:lang w:val="en-GB"/>
        </w:rPr>
      </w:pPr>
      <w:r>
        <w:rPr>
          <w:rFonts w:hint="eastAsia" w:ascii="宋体" w:hAnsi="宋体"/>
          <w:b/>
          <w:color w:val="auto"/>
          <w:sz w:val="32"/>
          <w:szCs w:val="32"/>
          <w:highlight w:val="none"/>
          <w:lang w:val="en-GB"/>
        </w:rPr>
        <w:t>残疾人福利性单位声明函</w:t>
      </w:r>
    </w:p>
    <w:p>
      <w:pPr>
        <w:pStyle w:val="16"/>
        <w:ind w:left="5250"/>
        <w:rPr>
          <w:color w:val="auto"/>
          <w:sz w:val="24"/>
          <w:szCs w:val="24"/>
          <w:highlight w:val="none"/>
          <w:lang w:val="en-GB"/>
        </w:rPr>
      </w:pPr>
    </w:p>
    <w:p>
      <w:pPr>
        <w:spacing w:line="588"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单位的</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本单位对上述声明的真实性负责。如有虚假，将依法承担相应责任。</w:t>
      </w:r>
    </w:p>
    <w:p>
      <w:pPr>
        <w:tabs>
          <w:tab w:val="left" w:pos="4860"/>
        </w:tabs>
        <w:spacing w:line="588" w:lineRule="exact"/>
        <w:ind w:right="1560" w:firstLine="504" w:firstLineChars="200"/>
        <w:jc w:val="center"/>
        <w:rPr>
          <w:rFonts w:ascii="宋体" w:hAnsi="宋体" w:cs="宋体"/>
          <w:color w:val="auto"/>
          <w:spacing w:val="6"/>
          <w:sz w:val="24"/>
          <w:highlight w:val="none"/>
        </w:rPr>
      </w:pPr>
      <w:r>
        <w:rPr>
          <w:rFonts w:hint="eastAsia" w:ascii="宋体" w:hAnsi="宋体" w:cs="宋体"/>
          <w:color w:val="auto"/>
          <w:spacing w:val="6"/>
          <w:sz w:val="24"/>
          <w:highlight w:val="none"/>
        </w:rPr>
        <w:t xml:space="preserve">           </w:t>
      </w:r>
    </w:p>
    <w:p>
      <w:pPr>
        <w:tabs>
          <w:tab w:val="left" w:pos="4860"/>
        </w:tabs>
        <w:spacing w:line="588" w:lineRule="exact"/>
        <w:ind w:right="1560" w:firstLine="504" w:firstLineChars="200"/>
        <w:jc w:val="center"/>
        <w:rPr>
          <w:rFonts w:ascii="宋体" w:hAnsi="宋体" w:cs="宋体"/>
          <w:color w:val="auto"/>
          <w:spacing w:val="6"/>
          <w:sz w:val="24"/>
          <w:highlight w:val="none"/>
        </w:rPr>
      </w:pPr>
      <w:r>
        <w:rPr>
          <w:rFonts w:hint="eastAsia" w:ascii="宋体" w:hAnsi="宋体" w:cs="宋体"/>
          <w:color w:val="auto"/>
          <w:spacing w:val="6"/>
          <w:sz w:val="24"/>
          <w:highlight w:val="none"/>
        </w:rPr>
        <w:t xml:space="preserve">                                单位名称（盖章）：</w:t>
      </w:r>
    </w:p>
    <w:p>
      <w:pPr>
        <w:tabs>
          <w:tab w:val="left" w:pos="4860"/>
        </w:tabs>
        <w:spacing w:line="588" w:lineRule="exact"/>
        <w:ind w:right="1560" w:firstLine="504" w:firstLineChars="200"/>
        <w:jc w:val="center"/>
        <w:rPr>
          <w:rFonts w:ascii="宋体" w:hAnsi="宋体" w:cs="宋体"/>
          <w:color w:val="auto"/>
          <w:spacing w:val="6"/>
          <w:sz w:val="24"/>
          <w:highlight w:val="none"/>
        </w:rPr>
      </w:pPr>
      <w:r>
        <w:rPr>
          <w:rFonts w:hint="eastAsia" w:ascii="宋体" w:hAnsi="宋体" w:cs="宋体"/>
          <w:color w:val="auto"/>
          <w:spacing w:val="6"/>
          <w:sz w:val="24"/>
          <w:highlight w:val="none"/>
        </w:rPr>
        <w:t xml:space="preserve">        </w:t>
      </w:r>
    </w:p>
    <w:p>
      <w:pPr>
        <w:tabs>
          <w:tab w:val="left" w:pos="4860"/>
        </w:tabs>
        <w:spacing w:line="588" w:lineRule="exact"/>
        <w:ind w:right="1560" w:firstLine="504" w:firstLineChars="200"/>
        <w:jc w:val="center"/>
        <w:rPr>
          <w:rFonts w:ascii="宋体" w:hAnsi="宋体" w:cs="宋体"/>
          <w:color w:val="auto"/>
          <w:sz w:val="24"/>
          <w:highlight w:val="none"/>
        </w:rPr>
      </w:pPr>
      <w:r>
        <w:rPr>
          <w:rFonts w:hint="eastAsia" w:ascii="宋体" w:hAnsi="宋体" w:cs="宋体"/>
          <w:color w:val="auto"/>
          <w:spacing w:val="6"/>
          <w:sz w:val="24"/>
          <w:highlight w:val="none"/>
        </w:rPr>
        <w:t xml:space="preserve">                                  日  期  ：</w:t>
      </w:r>
    </w:p>
    <w:p>
      <w:pPr>
        <w:widowControl/>
        <w:jc w:val="left"/>
        <w:rPr>
          <w:rFonts w:ascii="宋体" w:hAnsi="宋体"/>
          <w:b/>
          <w:color w:val="auto"/>
          <w:sz w:val="28"/>
          <w:highlight w:val="none"/>
        </w:rPr>
      </w:pPr>
      <w:r>
        <w:rPr>
          <w:rFonts w:ascii="宋体" w:hAnsi="宋体"/>
          <w:b/>
          <w:color w:val="auto"/>
          <w:sz w:val="28"/>
          <w:highlight w:val="none"/>
        </w:rPr>
        <w:br w:type="page"/>
      </w:r>
    </w:p>
    <w:p>
      <w:pPr>
        <w:rPr>
          <w:rFonts w:ascii="宋体" w:hAnsi="宋体"/>
          <w:b/>
          <w:color w:val="auto"/>
          <w:kern w:val="0"/>
          <w:sz w:val="28"/>
          <w:szCs w:val="28"/>
          <w:highlight w:val="none"/>
        </w:rPr>
      </w:pPr>
      <w:r>
        <w:rPr>
          <w:rFonts w:hint="eastAsia" w:ascii="宋体" w:hAnsi="宋体"/>
          <w:b/>
          <w:color w:val="auto"/>
          <w:kern w:val="0"/>
          <w:sz w:val="28"/>
          <w:szCs w:val="28"/>
          <w:highlight w:val="none"/>
        </w:rPr>
        <w:t>附件</w:t>
      </w:r>
      <w:bookmarkEnd w:id="477"/>
      <w:bookmarkEnd w:id="478"/>
      <w:r>
        <w:rPr>
          <w:rFonts w:hint="eastAsia" w:ascii="宋体" w:hAnsi="宋体"/>
          <w:b/>
          <w:color w:val="auto"/>
          <w:kern w:val="0"/>
          <w:sz w:val="28"/>
          <w:szCs w:val="28"/>
          <w:highlight w:val="none"/>
        </w:rPr>
        <w:t>6</w:t>
      </w:r>
    </w:p>
    <w:p>
      <w:pPr>
        <w:jc w:val="center"/>
        <w:rPr>
          <w:b/>
          <w:bCs/>
          <w:color w:val="auto"/>
          <w:sz w:val="32"/>
          <w:szCs w:val="32"/>
          <w:highlight w:val="none"/>
        </w:rPr>
      </w:pPr>
      <w:bookmarkStart w:id="480" w:name="_Toc5889_WPSOffice_Level1"/>
      <w:bookmarkStart w:id="481" w:name="_Toc11308_WPSOffice_Level1"/>
      <w:r>
        <w:rPr>
          <w:rFonts w:hint="eastAsia"/>
          <w:b/>
          <w:bCs/>
          <w:color w:val="auto"/>
          <w:sz w:val="32"/>
          <w:szCs w:val="32"/>
          <w:highlight w:val="none"/>
          <w:lang w:val="zh-CN"/>
        </w:rPr>
        <w:t>商务与技术文件</w:t>
      </w:r>
      <w:r>
        <w:rPr>
          <w:rFonts w:hint="eastAsia"/>
          <w:b/>
          <w:bCs/>
          <w:color w:val="auto"/>
          <w:sz w:val="32"/>
          <w:szCs w:val="32"/>
          <w:highlight w:val="none"/>
        </w:rPr>
        <w:t>目录</w:t>
      </w:r>
      <w:bookmarkEnd w:id="480"/>
      <w:bookmarkEnd w:id="481"/>
    </w:p>
    <w:p>
      <w:pPr>
        <w:pStyle w:val="7"/>
        <w:widowControl/>
        <w:adjustRightInd w:val="0"/>
        <w:snapToGrid w:val="0"/>
        <w:spacing w:line="360" w:lineRule="auto"/>
        <w:ind w:firstLine="480" w:firstLineChars="200"/>
        <w:rPr>
          <w:rFonts w:ascii="宋体" w:hAnsi="宋体" w:cs="宋体"/>
          <w:color w:val="auto"/>
          <w:sz w:val="24"/>
          <w:szCs w:val="24"/>
          <w:highlight w:val="none"/>
        </w:rPr>
      </w:pPr>
    </w:p>
    <w:p>
      <w:pPr>
        <w:pStyle w:val="7"/>
        <w:widowControl/>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（1）评分索引表（格式见附件）</w:t>
      </w:r>
      <w:r>
        <w:rPr>
          <w:rFonts w:hint="eastAsia" w:ascii="宋体" w:hAnsi="宋体" w:cs="宋体"/>
          <w:color w:val="auto"/>
          <w:sz w:val="24"/>
          <w:highlight w:val="none"/>
        </w:rPr>
        <w:t>；</w:t>
      </w:r>
    </w:p>
    <w:p>
      <w:pPr>
        <w:pStyle w:val="7"/>
        <w:widowControl/>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（2）投标函（格式见附件）</w:t>
      </w:r>
      <w:r>
        <w:rPr>
          <w:rFonts w:hint="eastAsia" w:ascii="宋体" w:hAnsi="宋体" w:cs="宋体"/>
          <w:color w:val="auto"/>
          <w:sz w:val="24"/>
          <w:highlight w:val="none"/>
        </w:rPr>
        <w:t>；</w:t>
      </w:r>
    </w:p>
    <w:p>
      <w:pPr>
        <w:pStyle w:val="7"/>
        <w:widowControl/>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（3）供应商基本情况表（</w:t>
      </w:r>
      <w:r>
        <w:rPr>
          <w:rFonts w:ascii="宋体" w:hAnsi="宋体"/>
          <w:color w:val="auto"/>
          <w:sz w:val="24"/>
          <w:highlight w:val="none"/>
        </w:rPr>
        <w:t>格式</w:t>
      </w:r>
      <w:r>
        <w:rPr>
          <w:rFonts w:hint="eastAsia" w:ascii="宋体" w:hAnsi="宋体"/>
          <w:color w:val="auto"/>
          <w:sz w:val="24"/>
          <w:highlight w:val="none"/>
        </w:rPr>
        <w:t>见附件）</w:t>
      </w:r>
      <w:r>
        <w:rPr>
          <w:rFonts w:hint="eastAsia" w:ascii="宋体" w:hAnsi="宋体" w:cs="宋体"/>
          <w:color w:val="auto"/>
          <w:sz w:val="24"/>
          <w:highlight w:val="none"/>
        </w:rPr>
        <w:t>；</w:t>
      </w:r>
    </w:p>
    <w:p>
      <w:pPr>
        <w:pStyle w:val="7"/>
        <w:widowControl/>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（4）《证书、证明材料一览表》（</w:t>
      </w:r>
      <w:r>
        <w:rPr>
          <w:rFonts w:ascii="宋体" w:hAnsi="宋体"/>
          <w:color w:val="auto"/>
          <w:sz w:val="24"/>
          <w:highlight w:val="none"/>
        </w:rPr>
        <w:t>格式</w:t>
      </w:r>
      <w:r>
        <w:rPr>
          <w:rFonts w:hint="eastAsia" w:ascii="宋体" w:hAnsi="宋体"/>
          <w:color w:val="auto"/>
          <w:sz w:val="24"/>
          <w:highlight w:val="none"/>
        </w:rPr>
        <w:t>见附件）</w:t>
      </w:r>
      <w:r>
        <w:rPr>
          <w:rFonts w:hint="eastAsia" w:ascii="宋体" w:hAnsi="宋体" w:cs="宋体"/>
          <w:color w:val="auto"/>
          <w:sz w:val="24"/>
          <w:highlight w:val="none"/>
        </w:rPr>
        <w:t>；</w:t>
      </w:r>
    </w:p>
    <w:p>
      <w:pPr>
        <w:pStyle w:val="7"/>
        <w:widowControl/>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（5）《项目组成员一览表》（</w:t>
      </w:r>
      <w:r>
        <w:rPr>
          <w:rFonts w:ascii="宋体" w:hAnsi="宋体"/>
          <w:color w:val="auto"/>
          <w:sz w:val="24"/>
          <w:highlight w:val="none"/>
        </w:rPr>
        <w:t>格式</w:t>
      </w:r>
      <w:r>
        <w:rPr>
          <w:rFonts w:hint="eastAsia" w:ascii="宋体" w:hAnsi="宋体"/>
          <w:color w:val="auto"/>
          <w:sz w:val="24"/>
          <w:highlight w:val="none"/>
        </w:rPr>
        <w:t>见附件）及相关证明材料</w:t>
      </w:r>
      <w:r>
        <w:rPr>
          <w:rFonts w:hint="eastAsia" w:ascii="宋体" w:hAnsi="宋体" w:cs="宋体"/>
          <w:color w:val="auto"/>
          <w:sz w:val="24"/>
          <w:highlight w:val="none"/>
        </w:rPr>
        <w:t>；</w:t>
      </w:r>
    </w:p>
    <w:p>
      <w:pPr>
        <w:pStyle w:val="7"/>
        <w:widowControl/>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（6）商务与技术</w:t>
      </w:r>
      <w:r>
        <w:rPr>
          <w:rFonts w:ascii="宋体" w:hAnsi="宋体"/>
          <w:color w:val="auto"/>
          <w:sz w:val="24"/>
          <w:highlight w:val="none"/>
        </w:rPr>
        <w:t>需求响应表（填制时对应第</w:t>
      </w:r>
      <w:r>
        <w:rPr>
          <w:rFonts w:hint="eastAsia" w:ascii="宋体" w:hAnsi="宋体"/>
          <w:color w:val="auto"/>
          <w:sz w:val="24"/>
          <w:highlight w:val="none"/>
        </w:rPr>
        <w:t>三章</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格式</w:t>
      </w:r>
      <w:r>
        <w:rPr>
          <w:rFonts w:hint="eastAsia" w:ascii="宋体" w:hAnsi="宋体"/>
          <w:color w:val="auto"/>
          <w:sz w:val="24"/>
          <w:highlight w:val="none"/>
        </w:rPr>
        <w:t>见附件）；</w:t>
      </w:r>
    </w:p>
    <w:p>
      <w:pPr>
        <w:pStyle w:val="7"/>
        <w:widowControl/>
        <w:adjustRightInd w:val="0"/>
        <w:snapToGrid w:val="0"/>
        <w:spacing w:line="360" w:lineRule="auto"/>
        <w:ind w:firstLine="480" w:firstLineChars="200"/>
        <w:rPr>
          <w:rFonts w:ascii="宋体" w:hAnsi="宋体"/>
          <w:color w:val="auto"/>
          <w:kern w:val="0"/>
          <w:sz w:val="24"/>
          <w:highlight w:val="none"/>
        </w:rPr>
      </w:pPr>
      <w:r>
        <w:rPr>
          <w:rFonts w:hint="eastAsia" w:ascii="宋体" w:hAnsi="宋体"/>
          <w:color w:val="auto"/>
          <w:sz w:val="24"/>
          <w:highlight w:val="none"/>
        </w:rPr>
        <w:t>（7）</w:t>
      </w:r>
      <w:r>
        <w:rPr>
          <w:rFonts w:ascii="宋体" w:hAnsi="宋体"/>
          <w:color w:val="auto"/>
          <w:kern w:val="0"/>
          <w:sz w:val="24"/>
          <w:highlight w:val="none"/>
        </w:rPr>
        <w:t>《类似项目实施情况一览表》（</w:t>
      </w:r>
      <w:r>
        <w:rPr>
          <w:rFonts w:ascii="宋体" w:hAnsi="宋体"/>
          <w:color w:val="auto"/>
          <w:sz w:val="24"/>
          <w:highlight w:val="none"/>
        </w:rPr>
        <w:t>格式</w:t>
      </w:r>
      <w:r>
        <w:rPr>
          <w:rFonts w:hint="eastAsia" w:ascii="宋体" w:hAnsi="宋体"/>
          <w:color w:val="auto"/>
          <w:sz w:val="24"/>
          <w:highlight w:val="none"/>
        </w:rPr>
        <w:t>见附件</w:t>
      </w:r>
      <w:r>
        <w:rPr>
          <w:rFonts w:ascii="宋体" w:hAnsi="宋体"/>
          <w:color w:val="auto"/>
          <w:kern w:val="0"/>
          <w:sz w:val="24"/>
          <w:highlight w:val="none"/>
        </w:rPr>
        <w:t>）及相关证明材料；</w:t>
      </w:r>
    </w:p>
    <w:p>
      <w:pPr>
        <w:pStyle w:val="7"/>
        <w:widowControl/>
        <w:adjustRightInd w:val="0"/>
        <w:snapToGri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（8）施工方案及服务承诺（对应第四章的评分标准相关评审细则内容编写，格式自拟）</w:t>
      </w:r>
      <w:r>
        <w:rPr>
          <w:rFonts w:ascii="宋体" w:hAnsi="宋体"/>
          <w:color w:val="auto"/>
          <w:kern w:val="0"/>
          <w:sz w:val="24"/>
          <w:highlight w:val="none"/>
        </w:rPr>
        <w:t>；</w:t>
      </w:r>
    </w:p>
    <w:p>
      <w:pPr>
        <w:pStyle w:val="7"/>
        <w:widowControl/>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（9）……</w:t>
      </w:r>
    </w:p>
    <w:p>
      <w:pPr>
        <w:pStyle w:val="7"/>
        <w:rPr>
          <w:color w:val="auto"/>
          <w:sz w:val="28"/>
          <w:szCs w:val="28"/>
          <w:highlight w:val="none"/>
        </w:rPr>
      </w:pPr>
    </w:p>
    <w:p>
      <w:pPr>
        <w:pStyle w:val="7"/>
        <w:rPr>
          <w:color w:val="auto"/>
          <w:sz w:val="28"/>
          <w:szCs w:val="28"/>
          <w:highlight w:val="none"/>
        </w:rPr>
      </w:pPr>
    </w:p>
    <w:p>
      <w:pPr>
        <w:pStyle w:val="7"/>
        <w:rPr>
          <w:color w:val="auto"/>
          <w:sz w:val="28"/>
          <w:szCs w:val="28"/>
          <w:highlight w:val="none"/>
        </w:rPr>
      </w:pPr>
    </w:p>
    <w:p>
      <w:pPr>
        <w:pStyle w:val="7"/>
        <w:rPr>
          <w:color w:val="auto"/>
          <w:sz w:val="28"/>
          <w:szCs w:val="28"/>
          <w:highlight w:val="none"/>
        </w:rPr>
      </w:pPr>
    </w:p>
    <w:p>
      <w:pPr>
        <w:pStyle w:val="7"/>
        <w:rPr>
          <w:color w:val="auto"/>
          <w:sz w:val="28"/>
          <w:szCs w:val="28"/>
          <w:highlight w:val="none"/>
        </w:rPr>
      </w:pPr>
    </w:p>
    <w:p>
      <w:pPr>
        <w:pStyle w:val="7"/>
        <w:rPr>
          <w:color w:val="auto"/>
          <w:sz w:val="28"/>
          <w:szCs w:val="28"/>
          <w:highlight w:val="none"/>
        </w:rPr>
      </w:pPr>
    </w:p>
    <w:p>
      <w:pPr>
        <w:spacing w:line="360" w:lineRule="auto"/>
        <w:rPr>
          <w:rFonts w:ascii="宋体" w:hAnsi="宋体"/>
          <w:b/>
          <w:color w:val="auto"/>
          <w:sz w:val="24"/>
          <w:highlight w:val="none"/>
        </w:rPr>
      </w:pPr>
    </w:p>
    <w:p>
      <w:pPr>
        <w:ind w:firstLine="843" w:firstLineChars="300"/>
        <w:rPr>
          <w:rFonts w:ascii="宋体" w:hAnsi="宋体"/>
          <w:color w:val="auto"/>
          <w:spacing w:val="40"/>
          <w:sz w:val="52"/>
          <w:szCs w:val="52"/>
          <w:highlight w:val="none"/>
        </w:rPr>
      </w:pPr>
      <w:r>
        <w:rPr>
          <w:rFonts w:ascii="宋体" w:hAnsi="宋体"/>
          <w:b/>
          <w:color w:val="auto"/>
          <w:sz w:val="28"/>
          <w:highlight w:val="none"/>
        </w:rPr>
        <w:t>注：格式供参考，目录内容以供应商实际提供为准</w:t>
      </w:r>
      <w:r>
        <w:rPr>
          <w:rFonts w:ascii="宋体" w:hAnsi="宋体"/>
          <w:b/>
          <w:color w:val="auto"/>
          <w:sz w:val="28"/>
          <w:highlight w:val="none"/>
        </w:rPr>
        <w:br w:type="page"/>
      </w:r>
      <w:r>
        <w:rPr>
          <w:rFonts w:hint="eastAsia" w:ascii="宋体" w:hAnsi="宋体"/>
          <w:b/>
          <w:color w:val="auto"/>
          <w:kern w:val="0"/>
          <w:sz w:val="28"/>
          <w:szCs w:val="28"/>
          <w:highlight w:val="none"/>
        </w:rPr>
        <w:t>附件7</w:t>
      </w:r>
    </w:p>
    <w:p>
      <w:pPr>
        <w:widowControl/>
        <w:jc w:val="center"/>
        <w:rPr>
          <w:rFonts w:ascii="宋体" w:hAnsi="宋体"/>
          <w:b/>
          <w:color w:val="auto"/>
          <w:sz w:val="28"/>
          <w:highlight w:val="none"/>
        </w:rPr>
      </w:pPr>
      <w:r>
        <w:rPr>
          <w:rFonts w:ascii="宋体" w:hAnsi="宋体"/>
          <w:b/>
          <w:color w:val="auto"/>
          <w:sz w:val="28"/>
          <w:highlight w:val="none"/>
        </w:rPr>
        <w:t>评分索引表</w:t>
      </w:r>
    </w:p>
    <w:p>
      <w:pPr>
        <w:widowControl/>
        <w:jc w:val="left"/>
        <w:rPr>
          <w:rFonts w:ascii="宋体" w:hAnsi="宋体"/>
          <w:b/>
          <w:color w:val="auto"/>
          <w:sz w:val="28"/>
          <w:highlight w:val="none"/>
        </w:rPr>
      </w:pPr>
    </w:p>
    <w:tbl>
      <w:tblPr>
        <w:tblStyle w:val="29"/>
        <w:tblW w:w="928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3"/>
        <w:gridCol w:w="6060"/>
        <w:gridCol w:w="708"/>
        <w:gridCol w:w="852"/>
        <w:gridCol w:w="81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7" w:hRule="atLeast"/>
          <w:tblHeader/>
          <w:jc w:val="center"/>
        </w:trPr>
        <w:tc>
          <w:tcPr>
            <w:tcW w:w="853" w:type="dxa"/>
            <w:shd w:val="pct20" w:color="auto" w:fill="auto"/>
            <w:vAlign w:val="center"/>
          </w:tcPr>
          <w:p>
            <w:pPr>
              <w:widowControl/>
              <w:jc w:val="center"/>
              <w:rPr>
                <w:rFonts w:ascii="宋体" w:hAnsi="宋体"/>
                <w:b/>
                <w:color w:val="auto"/>
                <w:szCs w:val="21"/>
                <w:highlight w:val="none"/>
              </w:rPr>
            </w:pPr>
            <w:r>
              <w:rPr>
                <w:rFonts w:ascii="宋体" w:hAnsi="宋体"/>
                <w:b/>
                <w:color w:val="auto"/>
                <w:kern w:val="0"/>
                <w:sz w:val="28"/>
                <w:szCs w:val="28"/>
                <w:highlight w:val="none"/>
              </w:rPr>
              <w:br w:type="page"/>
            </w:r>
            <w:r>
              <w:rPr>
                <w:rFonts w:hint="eastAsia" w:ascii="宋体" w:hAnsi="宋体"/>
                <w:b/>
                <w:color w:val="auto"/>
                <w:szCs w:val="21"/>
                <w:highlight w:val="none"/>
              </w:rPr>
              <w:t>评分</w:t>
            </w:r>
          </w:p>
          <w:p>
            <w:pPr>
              <w:widowControl/>
              <w:jc w:val="center"/>
              <w:rPr>
                <w:rFonts w:ascii="宋体" w:hAnsi="宋体" w:cs="Arial"/>
                <w:b/>
                <w:bCs/>
                <w:color w:val="auto"/>
                <w:szCs w:val="21"/>
                <w:highlight w:val="none"/>
              </w:rPr>
            </w:pPr>
            <w:r>
              <w:rPr>
                <w:rFonts w:hint="eastAsia" w:ascii="宋体" w:hAnsi="宋体"/>
                <w:b/>
                <w:color w:val="auto"/>
                <w:szCs w:val="21"/>
                <w:highlight w:val="none"/>
              </w:rPr>
              <w:t>项目</w:t>
            </w:r>
          </w:p>
        </w:tc>
        <w:tc>
          <w:tcPr>
            <w:tcW w:w="6060" w:type="dxa"/>
            <w:shd w:val="pct20" w:color="auto" w:fill="auto"/>
            <w:vAlign w:val="center"/>
          </w:tcPr>
          <w:p>
            <w:pPr>
              <w:widowControl/>
              <w:jc w:val="center"/>
              <w:rPr>
                <w:rFonts w:ascii="宋体" w:hAnsi="宋体"/>
                <w:b/>
                <w:color w:val="auto"/>
                <w:szCs w:val="21"/>
                <w:highlight w:val="none"/>
              </w:rPr>
            </w:pPr>
            <w:r>
              <w:rPr>
                <w:rFonts w:hint="eastAsia" w:ascii="宋体" w:hAnsi="宋体"/>
                <w:b/>
                <w:color w:val="auto"/>
                <w:szCs w:val="21"/>
                <w:highlight w:val="none"/>
              </w:rPr>
              <w:t>评分细则</w:t>
            </w:r>
          </w:p>
        </w:tc>
        <w:tc>
          <w:tcPr>
            <w:tcW w:w="708" w:type="dxa"/>
            <w:shd w:val="pct20" w:color="auto" w:fill="auto"/>
            <w:vAlign w:val="center"/>
          </w:tcPr>
          <w:p>
            <w:pPr>
              <w:widowControl/>
              <w:jc w:val="center"/>
              <w:rPr>
                <w:rFonts w:ascii="宋体" w:hAnsi="宋体" w:cs="Arial"/>
                <w:b/>
                <w:bCs/>
                <w:color w:val="auto"/>
                <w:szCs w:val="21"/>
                <w:highlight w:val="none"/>
              </w:rPr>
            </w:pPr>
            <w:r>
              <w:rPr>
                <w:rFonts w:hint="eastAsia" w:ascii="宋体" w:hAnsi="宋体" w:cs="Arial"/>
                <w:b/>
                <w:bCs/>
                <w:color w:val="auto"/>
                <w:szCs w:val="21"/>
                <w:highlight w:val="none"/>
              </w:rPr>
              <w:t>分值</w:t>
            </w:r>
          </w:p>
        </w:tc>
        <w:tc>
          <w:tcPr>
            <w:tcW w:w="852" w:type="dxa"/>
            <w:shd w:val="pct20" w:color="auto" w:fill="auto"/>
            <w:vAlign w:val="center"/>
          </w:tcPr>
          <w:p>
            <w:pPr>
              <w:widowControl/>
              <w:jc w:val="center"/>
              <w:rPr>
                <w:rFonts w:ascii="宋体" w:hAnsi="宋体" w:cs="Arial"/>
                <w:b/>
                <w:bCs/>
                <w:color w:val="auto"/>
                <w:szCs w:val="21"/>
                <w:highlight w:val="none"/>
              </w:rPr>
            </w:pPr>
            <w:r>
              <w:rPr>
                <w:rFonts w:ascii="宋体" w:hAnsi="宋体" w:cs="Arial"/>
                <w:b/>
                <w:bCs/>
                <w:color w:val="auto"/>
                <w:szCs w:val="21"/>
                <w:highlight w:val="none"/>
              </w:rPr>
              <w:t>自评分</w:t>
            </w:r>
          </w:p>
        </w:tc>
        <w:tc>
          <w:tcPr>
            <w:tcW w:w="813" w:type="dxa"/>
            <w:shd w:val="pct20" w:color="auto" w:fill="auto"/>
            <w:vAlign w:val="center"/>
          </w:tcPr>
          <w:p>
            <w:pPr>
              <w:widowControl/>
              <w:jc w:val="center"/>
              <w:rPr>
                <w:rFonts w:ascii="宋体" w:hAnsi="宋体" w:cs="Arial"/>
                <w:b/>
                <w:bCs/>
                <w:color w:val="auto"/>
                <w:szCs w:val="21"/>
                <w:highlight w:val="none"/>
              </w:rPr>
            </w:pPr>
            <w:r>
              <w:rPr>
                <w:rFonts w:hint="eastAsia" w:ascii="宋体" w:hAnsi="宋体" w:cs="Arial"/>
                <w:b/>
                <w:bCs/>
                <w:color w:val="auto"/>
                <w:szCs w:val="21"/>
                <w:highlight w:val="none"/>
              </w:rPr>
              <w:t>评审资料对应页码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0" w:hRule="atLeast"/>
          <w:jc w:val="center"/>
        </w:trPr>
        <w:tc>
          <w:tcPr>
            <w:tcW w:w="853" w:type="dxa"/>
            <w:tcBorders>
              <w:top w:val="single" w:color="auto" w:sz="4" w:space="0"/>
            </w:tcBorders>
            <w:vAlign w:val="center"/>
          </w:tcPr>
          <w:p>
            <w:pPr>
              <w:widowControl/>
              <w:jc w:val="center"/>
              <w:rPr>
                <w:rFonts w:ascii="宋体" w:hAnsi="宋体"/>
                <w:color w:val="auto"/>
                <w:szCs w:val="21"/>
                <w:highlight w:val="none"/>
              </w:rPr>
            </w:pPr>
            <w:r>
              <w:rPr>
                <w:rFonts w:hint="eastAsia" w:ascii="宋体" w:hAnsi="宋体" w:cs="宋体"/>
                <w:bCs/>
                <w:color w:val="auto"/>
                <w:szCs w:val="21"/>
                <w:highlight w:val="none"/>
              </w:rPr>
              <w:t>响应供应商</w:t>
            </w:r>
            <w:r>
              <w:rPr>
                <w:rFonts w:hint="eastAsia" w:ascii="宋体" w:hAnsi="宋体"/>
                <w:color w:val="auto"/>
                <w:szCs w:val="21"/>
                <w:highlight w:val="none"/>
              </w:rPr>
              <w:t>资信</w:t>
            </w:r>
          </w:p>
        </w:tc>
        <w:tc>
          <w:tcPr>
            <w:tcW w:w="6060" w:type="dxa"/>
            <w:vAlign w:val="center"/>
          </w:tcPr>
          <w:p>
            <w:pPr>
              <w:tabs>
                <w:tab w:val="center" w:pos="3289"/>
              </w:tabs>
              <w:rPr>
                <w:rFonts w:ascii="宋体" w:hAnsi="宋体" w:cs="宋体"/>
                <w:b/>
                <w:color w:val="auto"/>
                <w:szCs w:val="21"/>
                <w:highlight w:val="none"/>
              </w:rPr>
            </w:pPr>
            <w:r>
              <w:rPr>
                <w:rFonts w:hint="eastAsia" w:ascii="宋体" w:hAnsi="宋体" w:cs="宋体"/>
                <w:b/>
                <w:color w:val="auto"/>
                <w:szCs w:val="21"/>
                <w:highlight w:val="none"/>
              </w:rPr>
              <w:t>客观分：</w:t>
            </w:r>
          </w:p>
          <w:p>
            <w:pPr>
              <w:tabs>
                <w:tab w:val="center" w:pos="3289"/>
              </w:tabs>
              <w:rPr>
                <w:rFonts w:ascii="宋体" w:hAnsi="宋体" w:cs="宋体"/>
                <w:b/>
                <w:color w:val="auto"/>
                <w:szCs w:val="21"/>
                <w:highlight w:val="none"/>
              </w:rPr>
            </w:pPr>
            <w:r>
              <w:rPr>
                <w:rFonts w:hint="eastAsia" w:ascii="宋体" w:hAnsi="宋体" w:cs="宋体"/>
                <w:bCs/>
                <w:color w:val="auto"/>
                <w:szCs w:val="21"/>
                <w:highlight w:val="none"/>
              </w:rPr>
              <w:t>响应供应商</w:t>
            </w:r>
            <w:r>
              <w:rPr>
                <w:rFonts w:hint="eastAsia" w:ascii="宋体" w:hAnsi="宋体" w:cs="宋体"/>
                <w:color w:val="auto"/>
                <w:szCs w:val="21"/>
                <w:highlight w:val="none"/>
              </w:rPr>
              <w:t>具有环境管理体系认证证书、职业健康安全管理体系认证证书、质量管理体系认证证书的，每提供其中一个证书得1分（本项最多得3分）。</w:t>
            </w:r>
          </w:p>
          <w:p>
            <w:pPr>
              <w:adjustRightInd w:val="0"/>
              <w:snapToGrid w:val="0"/>
              <w:rPr>
                <w:rFonts w:ascii="宋体" w:hAnsi="宋体"/>
                <w:b/>
                <w:color w:val="auto"/>
                <w:szCs w:val="21"/>
                <w:highlight w:val="none"/>
              </w:rPr>
            </w:pPr>
            <w:r>
              <w:rPr>
                <w:rFonts w:hint="eastAsia" w:ascii="宋体" w:hAnsi="宋体" w:cs="宋体"/>
                <w:b/>
                <w:color w:val="auto"/>
                <w:szCs w:val="21"/>
                <w:highlight w:val="none"/>
              </w:rPr>
              <w:t>注：需提供有效证书影印件或扫描件和在全国认证认可信息公共服务平台(http://cx.cnca.cn/CertECloud/result/skipResultList）查询到有效的相关证书信息截图，否则不得分。</w:t>
            </w:r>
          </w:p>
        </w:tc>
        <w:tc>
          <w:tcPr>
            <w:tcW w:w="708" w:type="dxa"/>
            <w:vAlign w:val="center"/>
          </w:tcPr>
          <w:p>
            <w:pPr>
              <w:widowControl/>
              <w:jc w:val="center"/>
              <w:rPr>
                <w:rFonts w:ascii="宋体" w:hAnsi="宋体" w:cs="宋体"/>
                <w:color w:val="auto"/>
                <w:szCs w:val="21"/>
                <w:highlight w:val="none"/>
              </w:rPr>
            </w:pPr>
            <w:r>
              <w:rPr>
                <w:rFonts w:hint="eastAsia" w:ascii="宋体" w:hAnsi="宋体" w:cs="宋体"/>
                <w:color w:val="auto"/>
                <w:szCs w:val="21"/>
                <w:highlight w:val="none"/>
              </w:rPr>
              <w:t>0-3</w:t>
            </w:r>
          </w:p>
        </w:tc>
        <w:tc>
          <w:tcPr>
            <w:tcW w:w="852" w:type="dxa"/>
            <w:vAlign w:val="center"/>
          </w:tcPr>
          <w:p>
            <w:pPr>
              <w:widowControl/>
              <w:jc w:val="center"/>
              <w:rPr>
                <w:rFonts w:ascii="宋体" w:hAnsi="宋体" w:cs="宋体"/>
                <w:color w:val="auto"/>
                <w:szCs w:val="21"/>
                <w:highlight w:val="none"/>
              </w:rPr>
            </w:pPr>
          </w:p>
        </w:tc>
        <w:tc>
          <w:tcPr>
            <w:tcW w:w="813" w:type="dxa"/>
            <w:vAlign w:val="center"/>
          </w:tcPr>
          <w:p>
            <w:pPr>
              <w:widowControl/>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05" w:hRule="atLeast"/>
          <w:jc w:val="center"/>
        </w:trPr>
        <w:tc>
          <w:tcPr>
            <w:tcW w:w="853" w:type="dxa"/>
            <w:tcBorders>
              <w:top w:val="single" w:color="auto" w:sz="4" w:space="0"/>
            </w:tcBorders>
            <w:vAlign w:val="center"/>
          </w:tcPr>
          <w:p>
            <w:pPr>
              <w:widowControl/>
              <w:adjustRightInd w:val="0"/>
              <w:snapToGrid w:val="0"/>
              <w:jc w:val="center"/>
              <w:rPr>
                <w:rFonts w:ascii="宋体" w:hAnsi="宋体"/>
                <w:color w:val="auto"/>
                <w:szCs w:val="21"/>
                <w:highlight w:val="none"/>
              </w:rPr>
            </w:pPr>
            <w:r>
              <w:rPr>
                <w:rFonts w:hint="eastAsia" w:ascii="宋体" w:hAnsi="宋体" w:cs="宋体"/>
                <w:bCs/>
                <w:color w:val="auto"/>
                <w:szCs w:val="21"/>
                <w:highlight w:val="none"/>
              </w:rPr>
              <w:t>响应供应商</w:t>
            </w:r>
            <w:r>
              <w:rPr>
                <w:rFonts w:hint="eastAsia" w:ascii="宋体" w:hAnsi="宋体" w:cs="宋体"/>
                <w:color w:val="auto"/>
                <w:szCs w:val="21"/>
                <w:highlight w:val="none"/>
              </w:rPr>
              <w:t>业绩</w:t>
            </w:r>
          </w:p>
        </w:tc>
        <w:tc>
          <w:tcPr>
            <w:tcW w:w="6060" w:type="dxa"/>
            <w:vAlign w:val="center"/>
          </w:tcPr>
          <w:p>
            <w:pPr>
              <w:adjustRightInd w:val="0"/>
              <w:snapToGrid w:val="0"/>
              <w:rPr>
                <w:rFonts w:ascii="宋体" w:hAnsi="宋体" w:cs="宋体"/>
                <w:b/>
                <w:color w:val="auto"/>
                <w:szCs w:val="21"/>
                <w:highlight w:val="none"/>
              </w:rPr>
            </w:pPr>
            <w:r>
              <w:rPr>
                <w:rFonts w:hint="eastAsia" w:ascii="宋体" w:hAnsi="宋体" w:cs="宋体"/>
                <w:b/>
                <w:color w:val="auto"/>
                <w:szCs w:val="21"/>
                <w:highlight w:val="none"/>
              </w:rPr>
              <w:t>客观分：</w:t>
            </w:r>
          </w:p>
          <w:p>
            <w:pPr>
              <w:adjustRightInd w:val="0"/>
              <w:snapToGrid w:val="0"/>
              <w:rPr>
                <w:rFonts w:ascii="宋体" w:hAnsi="宋体" w:cs="宋体"/>
                <w:color w:val="auto"/>
                <w:szCs w:val="21"/>
                <w:highlight w:val="none"/>
              </w:rPr>
            </w:pPr>
            <w:r>
              <w:rPr>
                <w:rFonts w:hint="eastAsia" w:ascii="宋体" w:hAnsi="宋体" w:cs="宋体"/>
                <w:color w:val="auto"/>
                <w:szCs w:val="21"/>
                <w:highlight w:val="none"/>
              </w:rPr>
              <w:t>供应商自2022年1月1日以来（以合同签订时间为准）承担过同类项目（装修或改造）施工业绩的，每个得1分，最高得3分。</w:t>
            </w:r>
          </w:p>
          <w:p>
            <w:pPr>
              <w:adjustRightInd w:val="0"/>
              <w:snapToGrid w:val="0"/>
              <w:rPr>
                <w:rFonts w:ascii="宋体" w:hAnsi="宋体" w:cs="宋体"/>
                <w:b/>
                <w:color w:val="auto"/>
                <w:szCs w:val="21"/>
                <w:highlight w:val="none"/>
              </w:rPr>
            </w:pPr>
            <w:r>
              <w:rPr>
                <w:rFonts w:hint="eastAsia" w:ascii="宋体" w:hAnsi="宋体" w:cs="宋体"/>
                <w:b/>
                <w:color w:val="auto"/>
                <w:szCs w:val="21"/>
                <w:highlight w:val="none"/>
              </w:rPr>
              <w:t>注：</w:t>
            </w:r>
            <w:r>
              <w:rPr>
                <w:rFonts w:hint="eastAsia" w:ascii="宋体" w:hAnsi="宋体" w:cs="宋体"/>
                <w:b/>
                <w:bCs/>
                <w:color w:val="auto"/>
                <w:szCs w:val="21"/>
                <w:highlight w:val="none"/>
              </w:rPr>
              <w:t>附合同</w:t>
            </w:r>
            <w:r>
              <w:rPr>
                <w:rFonts w:hint="eastAsia" w:ascii="宋体" w:hAnsi="宋体" w:cs="宋体"/>
                <w:b/>
                <w:bCs/>
                <w:color w:val="auto"/>
                <w:szCs w:val="21"/>
                <w:highlight w:val="none"/>
                <w:lang w:eastAsia="zh-Hans"/>
              </w:rPr>
              <w:t>和竣工证明材料</w:t>
            </w:r>
            <w:r>
              <w:rPr>
                <w:rFonts w:hint="eastAsia" w:ascii="宋体" w:hAnsi="宋体" w:cs="宋体"/>
                <w:b/>
                <w:color w:val="auto"/>
                <w:szCs w:val="21"/>
                <w:highlight w:val="none"/>
              </w:rPr>
              <w:t>影印件或扫描件</w:t>
            </w:r>
            <w:r>
              <w:rPr>
                <w:rFonts w:hint="eastAsia" w:ascii="宋体" w:hAnsi="宋体" w:cs="宋体"/>
                <w:b/>
                <w:bCs/>
                <w:color w:val="auto"/>
                <w:szCs w:val="21"/>
                <w:highlight w:val="none"/>
              </w:rPr>
              <w:t>，未提供的不得分。</w:t>
            </w:r>
          </w:p>
        </w:tc>
        <w:tc>
          <w:tcPr>
            <w:tcW w:w="708" w:type="dxa"/>
            <w:vAlign w:val="center"/>
          </w:tcPr>
          <w:p>
            <w:pPr>
              <w:widowControl/>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0-3</w:t>
            </w:r>
          </w:p>
        </w:tc>
        <w:tc>
          <w:tcPr>
            <w:tcW w:w="852" w:type="dxa"/>
            <w:vAlign w:val="center"/>
          </w:tcPr>
          <w:p>
            <w:pPr>
              <w:widowControl/>
              <w:adjustRightInd w:val="0"/>
              <w:snapToGrid w:val="0"/>
              <w:jc w:val="center"/>
              <w:rPr>
                <w:rFonts w:ascii="宋体" w:hAnsi="宋体" w:cs="宋体"/>
                <w:color w:val="auto"/>
                <w:szCs w:val="21"/>
                <w:highlight w:val="none"/>
              </w:rPr>
            </w:pPr>
          </w:p>
        </w:tc>
        <w:tc>
          <w:tcPr>
            <w:tcW w:w="813" w:type="dxa"/>
            <w:vAlign w:val="center"/>
          </w:tcPr>
          <w:p>
            <w:pPr>
              <w:widowControl/>
              <w:adjustRightInd w:val="0"/>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5" w:hRule="atLeast"/>
          <w:jc w:val="center"/>
        </w:trPr>
        <w:tc>
          <w:tcPr>
            <w:tcW w:w="853" w:type="dxa"/>
            <w:tcBorders>
              <w:bottom w:val="single" w:color="auto" w:sz="4" w:space="0"/>
            </w:tcBorders>
            <w:vAlign w:val="center"/>
          </w:tcPr>
          <w:p>
            <w:pPr>
              <w:spacing w:line="360" w:lineRule="auto"/>
              <w:jc w:val="center"/>
              <w:rPr>
                <w:rFonts w:ascii="宋体" w:hAnsi="宋体" w:cs="Arial"/>
                <w:b/>
                <w:bCs/>
                <w:color w:val="auto"/>
                <w:szCs w:val="21"/>
                <w:highlight w:val="none"/>
              </w:rPr>
            </w:pPr>
            <w:r>
              <w:rPr>
                <w:rFonts w:hint="eastAsia" w:ascii="宋体" w:hAnsi="宋体"/>
                <w:color w:val="auto"/>
                <w:szCs w:val="21"/>
                <w:highlight w:val="none"/>
              </w:rPr>
              <w:t>管理人员配置</w:t>
            </w:r>
          </w:p>
        </w:tc>
        <w:tc>
          <w:tcPr>
            <w:tcW w:w="6060" w:type="dxa"/>
            <w:vAlign w:val="center"/>
          </w:tcPr>
          <w:p>
            <w:pPr>
              <w:adjustRightInd w:val="0"/>
              <w:snapToGrid w:val="0"/>
              <w:rPr>
                <w:rFonts w:ascii="宋体" w:hAnsi="宋体" w:cs="宋体"/>
                <w:b/>
                <w:color w:val="auto"/>
                <w:szCs w:val="21"/>
                <w:highlight w:val="none"/>
              </w:rPr>
            </w:pPr>
            <w:r>
              <w:rPr>
                <w:rFonts w:hint="eastAsia" w:ascii="宋体" w:hAnsi="宋体" w:cs="宋体"/>
                <w:b/>
                <w:color w:val="auto"/>
                <w:szCs w:val="21"/>
                <w:highlight w:val="none"/>
              </w:rPr>
              <w:t>主观分：</w:t>
            </w:r>
          </w:p>
          <w:p>
            <w:pPr>
              <w:pStyle w:val="78"/>
              <w:spacing w:line="240" w:lineRule="auto"/>
              <w:ind w:firstLine="0" w:firstLineChars="0"/>
              <w:jc w:val="both"/>
              <w:rPr>
                <w:rFonts w:hint="default" w:hAnsi="宋体" w:cs="宋体"/>
                <w:color w:val="auto"/>
                <w:kern w:val="2"/>
                <w:sz w:val="21"/>
                <w:szCs w:val="24"/>
                <w:highlight w:val="none"/>
              </w:rPr>
            </w:pPr>
            <w:r>
              <w:rPr>
                <w:rFonts w:hAnsi="宋体" w:cs="宋体"/>
                <w:color w:val="auto"/>
                <w:kern w:val="2"/>
                <w:sz w:val="21"/>
                <w:szCs w:val="24"/>
                <w:highlight w:val="none"/>
              </w:rPr>
              <w:t>根据本项目的特点派驻现场的工程技术管理人员的专业配置是否齐全（同时提供岗位证书和响应供应商为其缴纳的社保证明扫描件或影印件的证明材料），分三档打分。</w:t>
            </w:r>
          </w:p>
          <w:p>
            <w:pPr>
              <w:pStyle w:val="78"/>
              <w:spacing w:line="240" w:lineRule="auto"/>
              <w:ind w:firstLine="0" w:firstLineChars="0"/>
              <w:jc w:val="both"/>
              <w:rPr>
                <w:rFonts w:hint="default" w:hAnsi="宋体" w:cs="宋体"/>
                <w:color w:val="auto"/>
                <w:kern w:val="2"/>
                <w:sz w:val="21"/>
                <w:szCs w:val="24"/>
                <w:highlight w:val="none"/>
              </w:rPr>
            </w:pPr>
            <w:r>
              <w:rPr>
                <w:rFonts w:hAnsi="宋体" w:cs="宋体"/>
                <w:color w:val="auto"/>
                <w:kern w:val="2"/>
                <w:sz w:val="21"/>
                <w:szCs w:val="24"/>
                <w:highlight w:val="none"/>
              </w:rPr>
              <w:t>第一档：人员专业配置齐全、能满足项目实施需求的得6-8分；</w:t>
            </w:r>
          </w:p>
          <w:p>
            <w:pPr>
              <w:pStyle w:val="78"/>
              <w:spacing w:line="240" w:lineRule="auto"/>
              <w:ind w:firstLine="0" w:firstLineChars="0"/>
              <w:jc w:val="both"/>
              <w:rPr>
                <w:rFonts w:hint="default" w:hAnsi="宋体" w:cs="宋体"/>
                <w:color w:val="auto"/>
                <w:kern w:val="2"/>
                <w:sz w:val="21"/>
                <w:szCs w:val="24"/>
                <w:highlight w:val="none"/>
              </w:rPr>
            </w:pPr>
            <w:r>
              <w:rPr>
                <w:rFonts w:hAnsi="宋体" w:cs="宋体"/>
                <w:color w:val="auto"/>
                <w:kern w:val="2"/>
                <w:sz w:val="21"/>
                <w:szCs w:val="24"/>
                <w:highlight w:val="none"/>
              </w:rPr>
              <w:t>第二档：人员专业配置较齐全、能满足项目实施需求的得3.9-5.9分；</w:t>
            </w:r>
          </w:p>
          <w:p>
            <w:pPr>
              <w:pStyle w:val="78"/>
              <w:spacing w:line="240" w:lineRule="auto"/>
              <w:ind w:firstLine="0" w:firstLineChars="0"/>
              <w:jc w:val="both"/>
              <w:rPr>
                <w:rFonts w:hint="default" w:hAnsi="宋体" w:cs="宋体"/>
                <w:color w:val="auto"/>
                <w:kern w:val="2"/>
                <w:sz w:val="21"/>
                <w:szCs w:val="24"/>
                <w:highlight w:val="none"/>
              </w:rPr>
            </w:pPr>
            <w:r>
              <w:rPr>
                <w:rFonts w:hAnsi="宋体" w:cs="宋体"/>
                <w:color w:val="auto"/>
                <w:kern w:val="2"/>
                <w:sz w:val="21"/>
                <w:szCs w:val="24"/>
                <w:highlight w:val="none"/>
              </w:rPr>
              <w:t>第三档：人员专业配置不齐全、但能基本满足项目实施需求的得1.8-3.8分；</w:t>
            </w:r>
          </w:p>
          <w:p>
            <w:pPr>
              <w:adjustRightInd w:val="0"/>
              <w:snapToGrid w:val="0"/>
              <w:rPr>
                <w:color w:val="auto"/>
                <w:highlight w:val="none"/>
              </w:rPr>
            </w:pPr>
            <w:r>
              <w:rPr>
                <w:rFonts w:hint="eastAsia" w:ascii="宋体" w:hAnsi="宋体" w:cs="宋体"/>
                <w:color w:val="auto"/>
                <w:highlight w:val="none"/>
              </w:rPr>
              <w:t>未提供该项内容不得分。</w:t>
            </w:r>
          </w:p>
        </w:tc>
        <w:tc>
          <w:tcPr>
            <w:tcW w:w="70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0-8</w:t>
            </w:r>
          </w:p>
        </w:tc>
        <w:tc>
          <w:tcPr>
            <w:tcW w:w="85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813" w:type="dxa"/>
            <w:vAlign w:val="center"/>
          </w:tcPr>
          <w:p>
            <w:pPr>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81" w:hRule="atLeast"/>
          <w:jc w:val="center"/>
        </w:trPr>
        <w:tc>
          <w:tcPr>
            <w:tcW w:w="853" w:type="dxa"/>
            <w:tcBorders>
              <w:bottom w:val="single" w:color="auto" w:sz="4" w:space="0"/>
            </w:tcBorders>
            <w:vAlign w:val="center"/>
          </w:tcPr>
          <w:p>
            <w:pPr>
              <w:adjustRightInd w:val="0"/>
              <w:snapToGrid w:val="0"/>
              <w:jc w:val="center"/>
              <w:rPr>
                <w:rFonts w:ascii="宋体" w:hAnsi="宋体"/>
                <w:color w:val="auto"/>
                <w:szCs w:val="21"/>
                <w:highlight w:val="none"/>
              </w:rPr>
            </w:pPr>
            <w:r>
              <w:rPr>
                <w:rFonts w:hint="eastAsia"/>
                <w:color w:val="auto"/>
                <w:highlight w:val="none"/>
              </w:rPr>
              <w:t>各专业工种的配置和劳动力的投入</w:t>
            </w:r>
          </w:p>
        </w:tc>
        <w:tc>
          <w:tcPr>
            <w:tcW w:w="6060" w:type="dxa"/>
            <w:vAlign w:val="center"/>
          </w:tcPr>
          <w:p>
            <w:pPr>
              <w:adjustRightInd w:val="0"/>
              <w:snapToGrid w:val="0"/>
              <w:rPr>
                <w:rFonts w:ascii="宋体" w:hAnsi="宋体" w:cs="宋体"/>
                <w:b/>
                <w:color w:val="auto"/>
                <w:szCs w:val="21"/>
                <w:highlight w:val="none"/>
              </w:rPr>
            </w:pPr>
            <w:r>
              <w:rPr>
                <w:rFonts w:hint="eastAsia" w:ascii="宋体" w:hAnsi="宋体" w:cs="宋体"/>
                <w:b/>
                <w:color w:val="auto"/>
                <w:szCs w:val="21"/>
                <w:highlight w:val="none"/>
              </w:rPr>
              <w:t>主观分：</w:t>
            </w:r>
          </w:p>
          <w:p>
            <w:pPr>
              <w:pStyle w:val="78"/>
              <w:spacing w:line="240" w:lineRule="auto"/>
              <w:ind w:firstLine="0" w:firstLineChars="0"/>
              <w:jc w:val="both"/>
              <w:rPr>
                <w:rFonts w:hint="default" w:hAnsi="宋体" w:cs="宋体"/>
                <w:color w:val="auto"/>
                <w:kern w:val="2"/>
                <w:sz w:val="21"/>
                <w:szCs w:val="24"/>
                <w:highlight w:val="none"/>
              </w:rPr>
            </w:pPr>
            <w:r>
              <w:rPr>
                <w:rFonts w:hAnsi="宋体" w:cs="宋体"/>
                <w:color w:val="auto"/>
                <w:kern w:val="2"/>
                <w:sz w:val="21"/>
                <w:szCs w:val="24"/>
                <w:highlight w:val="none"/>
              </w:rPr>
              <w:t>根据本项目的特点各专业工种的配置和劳动力的投入是否能满足工程需要，分三档打分。</w:t>
            </w:r>
          </w:p>
          <w:p>
            <w:pPr>
              <w:pStyle w:val="78"/>
              <w:spacing w:line="240" w:lineRule="auto"/>
              <w:ind w:firstLine="0" w:firstLineChars="0"/>
              <w:jc w:val="both"/>
              <w:rPr>
                <w:rFonts w:hint="default" w:hAnsi="宋体" w:cs="宋体"/>
                <w:color w:val="auto"/>
                <w:kern w:val="2"/>
                <w:sz w:val="21"/>
                <w:szCs w:val="24"/>
                <w:highlight w:val="none"/>
              </w:rPr>
            </w:pPr>
            <w:r>
              <w:rPr>
                <w:rFonts w:hAnsi="宋体" w:cs="宋体"/>
                <w:color w:val="auto"/>
                <w:kern w:val="2"/>
                <w:sz w:val="21"/>
                <w:szCs w:val="24"/>
                <w:highlight w:val="none"/>
              </w:rPr>
              <w:t>第一档：各专业工种的配置和劳动力的投入能满足项目实施需求的得5-8分；</w:t>
            </w:r>
          </w:p>
          <w:p>
            <w:pPr>
              <w:pStyle w:val="78"/>
              <w:spacing w:line="240" w:lineRule="auto"/>
              <w:ind w:firstLine="0" w:firstLineChars="0"/>
              <w:jc w:val="both"/>
              <w:rPr>
                <w:rFonts w:hint="default" w:hAnsi="宋体" w:cs="宋体"/>
                <w:color w:val="auto"/>
                <w:kern w:val="2"/>
                <w:sz w:val="21"/>
                <w:szCs w:val="24"/>
                <w:highlight w:val="none"/>
              </w:rPr>
            </w:pPr>
            <w:r>
              <w:rPr>
                <w:rFonts w:hAnsi="宋体" w:cs="宋体"/>
                <w:color w:val="auto"/>
                <w:kern w:val="2"/>
                <w:sz w:val="21"/>
                <w:szCs w:val="24"/>
                <w:highlight w:val="none"/>
              </w:rPr>
              <w:t>第二档：各专业工种的配置和劳动力的投入能基本满足项目实施需求的得1.9-4.9分；</w:t>
            </w:r>
          </w:p>
          <w:p>
            <w:pPr>
              <w:pStyle w:val="78"/>
              <w:spacing w:line="240" w:lineRule="auto"/>
              <w:ind w:firstLine="0" w:firstLineChars="0"/>
              <w:jc w:val="both"/>
              <w:rPr>
                <w:rFonts w:hint="default" w:hAnsi="宋体" w:cs="宋体"/>
                <w:b/>
                <w:color w:val="auto"/>
                <w:szCs w:val="21"/>
                <w:highlight w:val="none"/>
              </w:rPr>
            </w:pPr>
            <w:r>
              <w:rPr>
                <w:rFonts w:hAnsi="宋体" w:cs="宋体"/>
                <w:color w:val="auto"/>
                <w:kern w:val="2"/>
                <w:sz w:val="21"/>
                <w:szCs w:val="24"/>
                <w:highlight w:val="none"/>
              </w:rPr>
              <w:t>第三档：各专业工种的配置和劳动力的投入不能满足项目实施需求或未提供该项内容的0分。</w:t>
            </w:r>
          </w:p>
        </w:tc>
        <w:tc>
          <w:tcPr>
            <w:tcW w:w="70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0-8</w:t>
            </w:r>
          </w:p>
        </w:tc>
        <w:tc>
          <w:tcPr>
            <w:tcW w:w="85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813" w:type="dxa"/>
            <w:vAlign w:val="center"/>
          </w:tcPr>
          <w:p>
            <w:pPr>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83" w:hRule="atLeast"/>
          <w:jc w:val="center"/>
        </w:trPr>
        <w:tc>
          <w:tcPr>
            <w:tcW w:w="853" w:type="dxa"/>
            <w:tcBorders>
              <w:bottom w:val="single" w:color="auto" w:sz="4" w:space="0"/>
            </w:tcBorders>
            <w:vAlign w:val="center"/>
          </w:tcPr>
          <w:p>
            <w:pPr>
              <w:adjustRightInd w:val="0"/>
              <w:snapToGrid w:val="0"/>
              <w:jc w:val="center"/>
              <w:rPr>
                <w:color w:val="auto"/>
                <w:highlight w:val="none"/>
              </w:rPr>
            </w:pPr>
            <w:r>
              <w:rPr>
                <w:rFonts w:hint="eastAsia" w:ascii="宋体" w:hAnsi="宋体"/>
                <w:color w:val="auto"/>
                <w:szCs w:val="21"/>
                <w:highlight w:val="none"/>
              </w:rPr>
              <w:t>施工进度保证措施</w:t>
            </w:r>
          </w:p>
        </w:tc>
        <w:tc>
          <w:tcPr>
            <w:tcW w:w="6060" w:type="dxa"/>
            <w:vAlign w:val="center"/>
          </w:tcPr>
          <w:p>
            <w:pPr>
              <w:adjustRightInd w:val="0"/>
              <w:snapToGrid w:val="0"/>
              <w:rPr>
                <w:rFonts w:ascii="宋体" w:hAnsi="宋体" w:cs="宋体"/>
                <w:b/>
                <w:color w:val="auto"/>
                <w:szCs w:val="21"/>
                <w:highlight w:val="none"/>
              </w:rPr>
            </w:pPr>
            <w:r>
              <w:rPr>
                <w:rFonts w:hint="eastAsia" w:ascii="宋体" w:hAnsi="宋体" w:cs="宋体"/>
                <w:b/>
                <w:color w:val="auto"/>
                <w:szCs w:val="21"/>
                <w:highlight w:val="none"/>
              </w:rPr>
              <w:t>主观分：</w:t>
            </w:r>
          </w:p>
          <w:p>
            <w:pPr>
              <w:adjustRightInd w:val="0"/>
              <w:snapToGrid w:val="0"/>
              <w:rPr>
                <w:rFonts w:ascii="宋体" w:hAnsi="宋体" w:cs="宋体"/>
                <w:color w:val="auto"/>
                <w:highlight w:val="none"/>
              </w:rPr>
            </w:pPr>
            <w:r>
              <w:rPr>
                <w:rFonts w:hint="eastAsia" w:ascii="宋体" w:hAnsi="宋体" w:cs="宋体"/>
                <w:color w:val="auto"/>
                <w:highlight w:val="none"/>
              </w:rPr>
              <w:t>根据提供的施工进度计划、关键节点和线路的保证措施是否具有针对性和可行性，分三档打分。</w:t>
            </w:r>
          </w:p>
          <w:p>
            <w:pPr>
              <w:adjustRightInd w:val="0"/>
              <w:snapToGrid w:val="0"/>
              <w:rPr>
                <w:rFonts w:ascii="宋体" w:hAnsi="宋体" w:cs="宋体"/>
                <w:color w:val="auto"/>
                <w:highlight w:val="none"/>
              </w:rPr>
            </w:pPr>
            <w:r>
              <w:rPr>
                <w:rFonts w:hint="eastAsia" w:ascii="宋体" w:hAnsi="宋体" w:cs="宋体"/>
                <w:color w:val="auto"/>
                <w:highlight w:val="none"/>
              </w:rPr>
              <w:t>第一档：施工进度计划、关键节点和线路设置合理，工程进度保证措施</w:t>
            </w:r>
            <w:r>
              <w:rPr>
                <w:rFonts w:hint="eastAsia" w:ascii="宋体" w:hAnsi="宋体" w:cs="宋体"/>
                <w:color w:val="auto"/>
                <w:szCs w:val="21"/>
                <w:highlight w:val="none"/>
              </w:rPr>
              <w:t>可行性强</w:t>
            </w:r>
            <w:r>
              <w:rPr>
                <w:rFonts w:hint="eastAsia" w:ascii="宋体" w:hAnsi="宋体" w:cs="宋体"/>
                <w:color w:val="auto"/>
                <w:highlight w:val="none"/>
              </w:rPr>
              <w:t>的得7-10分；</w:t>
            </w:r>
          </w:p>
          <w:p>
            <w:pPr>
              <w:adjustRightInd w:val="0"/>
              <w:snapToGrid w:val="0"/>
              <w:rPr>
                <w:rFonts w:ascii="宋体" w:hAnsi="宋体" w:cs="宋体"/>
                <w:color w:val="auto"/>
                <w:highlight w:val="none"/>
              </w:rPr>
            </w:pPr>
            <w:r>
              <w:rPr>
                <w:rFonts w:hint="eastAsia" w:ascii="宋体" w:hAnsi="宋体" w:cs="宋体"/>
                <w:color w:val="auto"/>
                <w:highlight w:val="none"/>
              </w:rPr>
              <w:t>第二档：施工进度计划、关键节点和线路设置较合理，工程进度保证措施</w:t>
            </w:r>
            <w:r>
              <w:rPr>
                <w:rFonts w:hint="eastAsia" w:ascii="宋体" w:hAnsi="宋体" w:cs="宋体"/>
                <w:color w:val="auto"/>
                <w:szCs w:val="21"/>
                <w:highlight w:val="none"/>
              </w:rPr>
              <w:t>可行性较强</w:t>
            </w:r>
            <w:r>
              <w:rPr>
                <w:rFonts w:hint="eastAsia" w:ascii="宋体" w:hAnsi="宋体" w:cs="宋体"/>
                <w:color w:val="auto"/>
                <w:highlight w:val="none"/>
              </w:rPr>
              <w:t>的得3.9-6.9分；</w:t>
            </w:r>
          </w:p>
          <w:p>
            <w:pPr>
              <w:adjustRightInd w:val="0"/>
              <w:snapToGrid w:val="0"/>
              <w:rPr>
                <w:rFonts w:ascii="宋体" w:hAnsi="宋体" w:cs="宋体"/>
                <w:color w:val="auto"/>
                <w:highlight w:val="none"/>
              </w:rPr>
            </w:pPr>
            <w:r>
              <w:rPr>
                <w:rFonts w:hint="eastAsia" w:ascii="宋体" w:hAnsi="宋体" w:cs="宋体"/>
                <w:color w:val="auto"/>
                <w:highlight w:val="none"/>
              </w:rPr>
              <w:t>第三档：施工进度计划、关键节点和线路设置较普通，工程进度保证措施</w:t>
            </w:r>
            <w:r>
              <w:rPr>
                <w:rFonts w:hint="eastAsia" w:ascii="宋体" w:hAnsi="宋体" w:cs="宋体"/>
                <w:color w:val="auto"/>
                <w:szCs w:val="21"/>
                <w:highlight w:val="none"/>
              </w:rPr>
              <w:t>可行性差</w:t>
            </w:r>
            <w:r>
              <w:rPr>
                <w:rFonts w:hint="eastAsia" w:ascii="宋体" w:hAnsi="宋体" w:cs="宋体"/>
                <w:color w:val="auto"/>
                <w:highlight w:val="none"/>
              </w:rPr>
              <w:t>的得1.8-3.8分；</w:t>
            </w:r>
          </w:p>
          <w:p>
            <w:pPr>
              <w:adjustRightInd w:val="0"/>
              <w:snapToGrid w:val="0"/>
              <w:rPr>
                <w:rFonts w:ascii="宋体" w:hAnsi="宋体" w:cs="宋体"/>
                <w:b/>
                <w:color w:val="auto"/>
                <w:szCs w:val="21"/>
                <w:highlight w:val="none"/>
              </w:rPr>
            </w:pPr>
            <w:r>
              <w:rPr>
                <w:rFonts w:hint="eastAsia" w:ascii="宋体" w:hAnsi="宋体" w:cs="宋体"/>
                <w:color w:val="auto"/>
                <w:highlight w:val="none"/>
              </w:rPr>
              <w:t>未提供该项内容不得分。</w:t>
            </w:r>
          </w:p>
        </w:tc>
        <w:tc>
          <w:tcPr>
            <w:tcW w:w="70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0-10</w:t>
            </w:r>
          </w:p>
        </w:tc>
        <w:tc>
          <w:tcPr>
            <w:tcW w:w="85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813" w:type="dxa"/>
            <w:vAlign w:val="center"/>
          </w:tcPr>
          <w:p>
            <w:pPr>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31" w:hRule="atLeast"/>
          <w:jc w:val="center"/>
        </w:trPr>
        <w:tc>
          <w:tcPr>
            <w:tcW w:w="853" w:type="dxa"/>
            <w:tcBorders>
              <w:bottom w:val="single" w:color="auto" w:sz="4" w:space="0"/>
            </w:tcBorders>
            <w:vAlign w:val="center"/>
          </w:tcPr>
          <w:p>
            <w:pPr>
              <w:adjustRightInd w:val="0"/>
              <w:snapToGrid w:val="0"/>
              <w:jc w:val="center"/>
              <w:rPr>
                <w:rFonts w:ascii="宋体" w:hAnsi="宋体"/>
                <w:color w:val="auto"/>
                <w:szCs w:val="21"/>
                <w:highlight w:val="none"/>
              </w:rPr>
            </w:pPr>
            <w:r>
              <w:rPr>
                <w:rFonts w:hint="eastAsia"/>
                <w:color w:val="auto"/>
                <w:highlight w:val="none"/>
              </w:rPr>
              <w:t>投入本项目产品技术性能</w:t>
            </w:r>
          </w:p>
        </w:tc>
        <w:tc>
          <w:tcPr>
            <w:tcW w:w="6060" w:type="dxa"/>
            <w:vAlign w:val="center"/>
          </w:tcPr>
          <w:p>
            <w:pPr>
              <w:adjustRightInd w:val="0"/>
              <w:snapToGrid w:val="0"/>
              <w:rPr>
                <w:rFonts w:ascii="宋体" w:hAnsi="宋体" w:cs="宋体"/>
                <w:b/>
                <w:color w:val="auto"/>
                <w:szCs w:val="21"/>
                <w:highlight w:val="none"/>
              </w:rPr>
            </w:pPr>
            <w:r>
              <w:rPr>
                <w:rFonts w:hint="eastAsia" w:ascii="宋体" w:hAnsi="宋体" w:cs="宋体"/>
                <w:b/>
                <w:color w:val="auto"/>
                <w:szCs w:val="21"/>
                <w:highlight w:val="none"/>
              </w:rPr>
              <w:t>主观分：</w:t>
            </w:r>
          </w:p>
          <w:p>
            <w:pPr>
              <w:pStyle w:val="78"/>
              <w:spacing w:line="240" w:lineRule="auto"/>
              <w:ind w:firstLine="0" w:firstLineChars="0"/>
              <w:jc w:val="both"/>
              <w:rPr>
                <w:rFonts w:hint="default" w:ascii="Times New Roman"/>
                <w:color w:val="auto"/>
                <w:kern w:val="2"/>
                <w:sz w:val="21"/>
                <w:szCs w:val="24"/>
                <w:highlight w:val="none"/>
              </w:rPr>
            </w:pPr>
            <w:r>
              <w:rPr>
                <w:rFonts w:hAnsi="宋体" w:cs="宋体"/>
                <w:color w:val="auto"/>
                <w:kern w:val="2"/>
                <w:sz w:val="21"/>
                <w:szCs w:val="24"/>
                <w:highlight w:val="none"/>
              </w:rPr>
              <w:t>根据供应商拟投入本项目的材料设备[包含但不限于水泥、乳胶漆、灯具、开关、插座、板材、电线电缆、管材管件、瓷砖、铝扣板、轻钢龙骨、</w:t>
            </w:r>
            <w:r>
              <w:rPr>
                <w:rFonts w:ascii="Times New Roman"/>
                <w:color w:val="auto"/>
                <w:kern w:val="2"/>
                <w:sz w:val="21"/>
                <w:szCs w:val="24"/>
                <w:highlight w:val="none"/>
              </w:rPr>
              <w:t>人造石、</w:t>
            </w:r>
            <w:r>
              <w:rPr>
                <w:rFonts w:hAnsi="宋体" w:cs="宋体"/>
                <w:color w:val="auto"/>
                <w:kern w:val="2"/>
                <w:sz w:val="21"/>
                <w:szCs w:val="24"/>
                <w:highlight w:val="none"/>
              </w:rPr>
              <w:t>防水材料等</w:t>
            </w:r>
            <w:r>
              <w:rPr>
                <w:rFonts w:hAnsi="宋体" w:cs="宋体"/>
                <w:color w:val="auto"/>
                <w:kern w:val="2"/>
                <w:sz w:val="21"/>
                <w:szCs w:val="24"/>
                <w:highlight w:val="none"/>
              </w:rPr>
              <w:t>]打分，品牌选择符合招标文件要求、技术性能稳定、产品质量稳定、可靠性好、材料技术性能均优的得13分，材料设备存在品牌、技术性能、产品质量、可靠性、材料技术性等存在缺陷的每项材料扣1分，未提供该项内容不得分。</w:t>
            </w:r>
          </w:p>
        </w:tc>
        <w:tc>
          <w:tcPr>
            <w:tcW w:w="70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0-13</w:t>
            </w:r>
          </w:p>
        </w:tc>
        <w:tc>
          <w:tcPr>
            <w:tcW w:w="85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813" w:type="dxa"/>
            <w:vAlign w:val="center"/>
          </w:tcPr>
          <w:p>
            <w:pPr>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579" w:hRule="atLeast"/>
          <w:jc w:val="center"/>
        </w:trPr>
        <w:tc>
          <w:tcPr>
            <w:tcW w:w="853" w:type="dxa"/>
            <w:tcBorders>
              <w:bottom w:val="single" w:color="auto" w:sz="4" w:space="0"/>
            </w:tcBorders>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技术方案和质量保证措施</w:t>
            </w:r>
          </w:p>
        </w:tc>
        <w:tc>
          <w:tcPr>
            <w:tcW w:w="6060" w:type="dxa"/>
            <w:vAlign w:val="center"/>
          </w:tcPr>
          <w:p>
            <w:pPr>
              <w:adjustRightInd w:val="0"/>
              <w:snapToGrid w:val="0"/>
              <w:rPr>
                <w:rFonts w:ascii="宋体" w:hAnsi="宋体" w:cs="宋体"/>
                <w:b/>
                <w:color w:val="auto"/>
                <w:szCs w:val="21"/>
                <w:highlight w:val="none"/>
              </w:rPr>
            </w:pPr>
            <w:r>
              <w:rPr>
                <w:rFonts w:hint="eastAsia" w:ascii="宋体" w:hAnsi="宋体" w:cs="宋体"/>
                <w:b/>
                <w:color w:val="auto"/>
                <w:szCs w:val="21"/>
                <w:highlight w:val="none"/>
              </w:rPr>
              <w:t>主观分：</w:t>
            </w:r>
          </w:p>
          <w:p>
            <w:pPr>
              <w:adjustRightInd w:val="0"/>
              <w:snapToGrid w:val="0"/>
              <w:rPr>
                <w:rFonts w:ascii="宋体" w:hAnsi="宋体" w:cs="宋体"/>
                <w:color w:val="auto"/>
                <w:highlight w:val="none"/>
              </w:rPr>
            </w:pPr>
            <w:r>
              <w:rPr>
                <w:rFonts w:hint="eastAsia" w:ascii="宋体" w:hAnsi="宋体" w:cs="宋体"/>
                <w:color w:val="auto"/>
                <w:highlight w:val="none"/>
              </w:rPr>
              <w:t>根据供应商提供的技术方案和质量保证措施是否具有针对性和科学性，分三档打分。</w:t>
            </w:r>
          </w:p>
          <w:p>
            <w:pPr>
              <w:adjustRightInd w:val="0"/>
              <w:snapToGrid w:val="0"/>
              <w:rPr>
                <w:rFonts w:ascii="宋体" w:hAnsi="宋体" w:cs="宋体"/>
                <w:color w:val="auto"/>
                <w:highlight w:val="none"/>
              </w:rPr>
            </w:pPr>
            <w:r>
              <w:rPr>
                <w:rFonts w:hint="eastAsia" w:ascii="宋体" w:hAnsi="宋体" w:cs="宋体"/>
                <w:color w:val="auto"/>
                <w:highlight w:val="none"/>
              </w:rPr>
              <w:t>第一档：技术方案和</w:t>
            </w:r>
            <w:r>
              <w:rPr>
                <w:rFonts w:hint="eastAsia" w:ascii="宋体" w:hAnsi="宋体" w:cs="宋体"/>
                <w:color w:val="auto"/>
                <w:szCs w:val="21"/>
                <w:highlight w:val="none"/>
              </w:rPr>
              <w:t>质量保证</w:t>
            </w:r>
            <w:r>
              <w:rPr>
                <w:rFonts w:hint="eastAsia" w:ascii="宋体" w:hAnsi="宋体" w:cs="宋体"/>
                <w:color w:val="auto"/>
                <w:highlight w:val="none"/>
              </w:rPr>
              <w:t>措施可行性强的、科学合理的得6-8分；</w:t>
            </w:r>
          </w:p>
          <w:p>
            <w:pPr>
              <w:adjustRightInd w:val="0"/>
              <w:snapToGrid w:val="0"/>
              <w:rPr>
                <w:rFonts w:ascii="宋体" w:hAnsi="宋体" w:cs="宋体"/>
                <w:color w:val="auto"/>
                <w:highlight w:val="none"/>
              </w:rPr>
            </w:pPr>
            <w:r>
              <w:rPr>
                <w:rFonts w:hint="eastAsia" w:ascii="宋体" w:hAnsi="宋体" w:cs="宋体"/>
                <w:color w:val="auto"/>
                <w:highlight w:val="none"/>
              </w:rPr>
              <w:t>第二档：技术方案和</w:t>
            </w:r>
            <w:r>
              <w:rPr>
                <w:rFonts w:hint="eastAsia" w:ascii="宋体" w:hAnsi="宋体" w:cs="宋体"/>
                <w:color w:val="auto"/>
                <w:szCs w:val="21"/>
                <w:highlight w:val="none"/>
              </w:rPr>
              <w:t>质量保证</w:t>
            </w:r>
            <w:r>
              <w:rPr>
                <w:rFonts w:hint="eastAsia" w:ascii="宋体" w:hAnsi="宋体" w:cs="宋体"/>
                <w:color w:val="auto"/>
                <w:highlight w:val="none"/>
              </w:rPr>
              <w:t>措施可行性较强的、较科学合理的得3.9-5.9分；</w:t>
            </w:r>
          </w:p>
          <w:p>
            <w:pPr>
              <w:adjustRightInd w:val="0"/>
              <w:snapToGrid w:val="0"/>
              <w:rPr>
                <w:rFonts w:ascii="宋体" w:hAnsi="宋体" w:cs="宋体"/>
                <w:color w:val="auto"/>
                <w:highlight w:val="none"/>
              </w:rPr>
            </w:pPr>
            <w:r>
              <w:rPr>
                <w:rFonts w:hint="eastAsia" w:ascii="宋体" w:hAnsi="宋体" w:cs="宋体"/>
                <w:color w:val="auto"/>
                <w:highlight w:val="none"/>
              </w:rPr>
              <w:t>第三档：技术方案和</w:t>
            </w:r>
            <w:r>
              <w:rPr>
                <w:rFonts w:hint="eastAsia" w:ascii="宋体" w:hAnsi="宋体" w:cs="宋体"/>
                <w:color w:val="auto"/>
                <w:szCs w:val="21"/>
                <w:highlight w:val="none"/>
              </w:rPr>
              <w:t>质量保证</w:t>
            </w:r>
            <w:r>
              <w:rPr>
                <w:rFonts w:hint="eastAsia" w:ascii="宋体" w:hAnsi="宋体" w:cs="宋体"/>
                <w:color w:val="auto"/>
                <w:highlight w:val="none"/>
              </w:rPr>
              <w:t>措施可行性低的得1.8-3.8分。</w:t>
            </w:r>
          </w:p>
          <w:p>
            <w:pPr>
              <w:adjustRightInd w:val="0"/>
              <w:snapToGrid w:val="0"/>
              <w:rPr>
                <w:rFonts w:ascii="宋体" w:hAnsi="宋体" w:cs="宋体"/>
                <w:b/>
                <w:color w:val="auto"/>
                <w:szCs w:val="21"/>
                <w:highlight w:val="none"/>
              </w:rPr>
            </w:pPr>
            <w:r>
              <w:rPr>
                <w:rFonts w:hint="eastAsia" w:ascii="宋体" w:hAnsi="宋体" w:cs="宋体"/>
                <w:color w:val="auto"/>
                <w:highlight w:val="none"/>
              </w:rPr>
              <w:t>未提供该项内容不得分。</w:t>
            </w:r>
          </w:p>
        </w:tc>
        <w:tc>
          <w:tcPr>
            <w:tcW w:w="70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0-8</w:t>
            </w:r>
          </w:p>
        </w:tc>
        <w:tc>
          <w:tcPr>
            <w:tcW w:w="85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813" w:type="dxa"/>
            <w:vAlign w:val="center"/>
          </w:tcPr>
          <w:p>
            <w:pPr>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540" w:hRule="atLeast"/>
          <w:jc w:val="center"/>
        </w:trPr>
        <w:tc>
          <w:tcPr>
            <w:tcW w:w="853" w:type="dxa"/>
            <w:tcBorders>
              <w:bottom w:val="single" w:color="auto" w:sz="4" w:space="0"/>
            </w:tcBorders>
            <w:vAlign w:val="center"/>
          </w:tcPr>
          <w:p>
            <w:pPr>
              <w:adjustRightInd w:val="0"/>
              <w:snapToGrid w:val="0"/>
              <w:jc w:val="center"/>
              <w:rPr>
                <w:rFonts w:ascii="宋体" w:hAnsi="宋体" w:cs="Arial"/>
                <w:b/>
                <w:bCs/>
                <w:color w:val="auto"/>
                <w:szCs w:val="21"/>
                <w:highlight w:val="none"/>
              </w:rPr>
            </w:pPr>
            <w:r>
              <w:rPr>
                <w:rFonts w:hint="eastAsia" w:ascii="宋体" w:hAnsi="宋体"/>
                <w:color w:val="auto"/>
                <w:szCs w:val="21"/>
                <w:highlight w:val="none"/>
              </w:rPr>
              <w:t>安全文明施工保证措施</w:t>
            </w:r>
          </w:p>
        </w:tc>
        <w:tc>
          <w:tcPr>
            <w:tcW w:w="6060" w:type="dxa"/>
            <w:vAlign w:val="center"/>
          </w:tcPr>
          <w:p>
            <w:pPr>
              <w:adjustRightInd w:val="0"/>
              <w:snapToGrid w:val="0"/>
              <w:rPr>
                <w:rFonts w:ascii="宋体" w:hAnsi="宋体" w:cs="宋体"/>
                <w:b/>
                <w:color w:val="auto"/>
                <w:szCs w:val="21"/>
                <w:highlight w:val="none"/>
              </w:rPr>
            </w:pPr>
            <w:r>
              <w:rPr>
                <w:rFonts w:hint="eastAsia" w:ascii="宋体" w:hAnsi="宋体" w:cs="宋体"/>
                <w:b/>
                <w:color w:val="auto"/>
                <w:szCs w:val="21"/>
                <w:highlight w:val="none"/>
              </w:rPr>
              <w:t>主观分：</w:t>
            </w:r>
          </w:p>
          <w:p>
            <w:pPr>
              <w:adjustRightInd w:val="0"/>
              <w:snapToGrid w:val="0"/>
              <w:rPr>
                <w:rFonts w:ascii="宋体" w:hAnsi="宋体" w:cs="宋体"/>
                <w:color w:val="auto"/>
                <w:highlight w:val="none"/>
              </w:rPr>
            </w:pPr>
            <w:r>
              <w:rPr>
                <w:rFonts w:hint="eastAsia" w:ascii="宋体" w:hAnsi="宋体" w:cs="宋体"/>
                <w:color w:val="auto"/>
                <w:highlight w:val="none"/>
              </w:rPr>
              <w:t>根据供应商提供的安全文明施工方案和保证措施是否具有针对性和科学性，分三档打分。</w:t>
            </w:r>
          </w:p>
          <w:p>
            <w:pPr>
              <w:adjustRightInd w:val="0"/>
              <w:snapToGrid w:val="0"/>
              <w:rPr>
                <w:rFonts w:ascii="宋体" w:hAnsi="宋体" w:cs="宋体"/>
                <w:color w:val="auto"/>
                <w:highlight w:val="none"/>
              </w:rPr>
            </w:pPr>
            <w:r>
              <w:rPr>
                <w:rFonts w:hint="eastAsia" w:ascii="宋体" w:hAnsi="宋体" w:cs="宋体"/>
                <w:color w:val="auto"/>
                <w:highlight w:val="none"/>
              </w:rPr>
              <w:t>第一档：安全文明施工方案和</w:t>
            </w:r>
            <w:r>
              <w:rPr>
                <w:rFonts w:hint="eastAsia" w:ascii="宋体" w:hAnsi="宋体" w:cs="宋体"/>
                <w:color w:val="auto"/>
                <w:szCs w:val="21"/>
                <w:highlight w:val="none"/>
              </w:rPr>
              <w:t>保证</w:t>
            </w:r>
            <w:r>
              <w:rPr>
                <w:rFonts w:hint="eastAsia" w:ascii="宋体" w:hAnsi="宋体" w:cs="宋体"/>
                <w:color w:val="auto"/>
                <w:highlight w:val="none"/>
              </w:rPr>
              <w:t>措施可行性强的、科学合理的得6-8分；</w:t>
            </w:r>
          </w:p>
          <w:p>
            <w:pPr>
              <w:adjustRightInd w:val="0"/>
              <w:snapToGrid w:val="0"/>
              <w:rPr>
                <w:rFonts w:ascii="宋体" w:hAnsi="宋体" w:cs="宋体"/>
                <w:color w:val="auto"/>
                <w:highlight w:val="none"/>
              </w:rPr>
            </w:pPr>
            <w:r>
              <w:rPr>
                <w:rFonts w:hint="eastAsia" w:ascii="宋体" w:hAnsi="宋体" w:cs="宋体"/>
                <w:color w:val="auto"/>
                <w:highlight w:val="none"/>
              </w:rPr>
              <w:t>第二档：安全文明施工方案和</w:t>
            </w:r>
            <w:r>
              <w:rPr>
                <w:rFonts w:hint="eastAsia" w:ascii="宋体" w:hAnsi="宋体" w:cs="宋体"/>
                <w:color w:val="auto"/>
                <w:szCs w:val="21"/>
                <w:highlight w:val="none"/>
              </w:rPr>
              <w:t>保证</w:t>
            </w:r>
            <w:r>
              <w:rPr>
                <w:rFonts w:hint="eastAsia" w:ascii="宋体" w:hAnsi="宋体" w:cs="宋体"/>
                <w:color w:val="auto"/>
                <w:highlight w:val="none"/>
              </w:rPr>
              <w:t>措施可行性较强的、较科学合理的得3.9-5.9分；</w:t>
            </w:r>
          </w:p>
          <w:p>
            <w:pPr>
              <w:adjustRightInd w:val="0"/>
              <w:snapToGrid w:val="0"/>
              <w:rPr>
                <w:rFonts w:ascii="宋体" w:hAnsi="宋体" w:cs="宋体"/>
                <w:color w:val="auto"/>
                <w:highlight w:val="none"/>
              </w:rPr>
            </w:pPr>
            <w:r>
              <w:rPr>
                <w:rFonts w:hint="eastAsia" w:ascii="宋体" w:hAnsi="宋体" w:cs="宋体"/>
                <w:color w:val="auto"/>
                <w:highlight w:val="none"/>
              </w:rPr>
              <w:t>第三档：安全文明施工方案和</w:t>
            </w:r>
            <w:r>
              <w:rPr>
                <w:rFonts w:hint="eastAsia" w:ascii="宋体" w:hAnsi="宋体" w:cs="宋体"/>
                <w:color w:val="auto"/>
                <w:szCs w:val="21"/>
                <w:highlight w:val="none"/>
              </w:rPr>
              <w:t>保证</w:t>
            </w:r>
            <w:r>
              <w:rPr>
                <w:rFonts w:hint="eastAsia" w:ascii="宋体" w:hAnsi="宋体" w:cs="宋体"/>
                <w:color w:val="auto"/>
                <w:highlight w:val="none"/>
              </w:rPr>
              <w:t>措施可行性低的得1.8-3.8分。</w:t>
            </w:r>
          </w:p>
          <w:p>
            <w:pPr>
              <w:adjustRightInd w:val="0"/>
              <w:snapToGrid w:val="0"/>
              <w:rPr>
                <w:rFonts w:ascii="宋体" w:hAnsi="宋体" w:cs="宋体"/>
                <w:color w:val="auto"/>
                <w:kern w:val="0"/>
                <w:szCs w:val="21"/>
                <w:highlight w:val="none"/>
              </w:rPr>
            </w:pPr>
            <w:r>
              <w:rPr>
                <w:rFonts w:hint="eastAsia" w:ascii="宋体" w:hAnsi="宋体" w:cs="宋体"/>
                <w:color w:val="auto"/>
                <w:highlight w:val="none"/>
              </w:rPr>
              <w:t>未提供该项内容不得分。</w:t>
            </w:r>
          </w:p>
        </w:tc>
        <w:tc>
          <w:tcPr>
            <w:tcW w:w="70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0-8</w:t>
            </w:r>
          </w:p>
        </w:tc>
        <w:tc>
          <w:tcPr>
            <w:tcW w:w="85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813" w:type="dxa"/>
            <w:vAlign w:val="center"/>
          </w:tcPr>
          <w:p>
            <w:pPr>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1" w:hRule="atLeast"/>
          <w:jc w:val="center"/>
        </w:trPr>
        <w:tc>
          <w:tcPr>
            <w:tcW w:w="853" w:type="dxa"/>
            <w:vAlign w:val="center"/>
          </w:tcPr>
          <w:p>
            <w:pPr>
              <w:adjustRightInd w:val="0"/>
              <w:snapToGrid w:val="0"/>
              <w:jc w:val="center"/>
              <w:rPr>
                <w:rFonts w:ascii="宋体" w:hAnsi="宋体" w:cs="Arial"/>
                <w:b/>
                <w:bCs/>
                <w:color w:val="auto"/>
                <w:szCs w:val="21"/>
                <w:highlight w:val="none"/>
              </w:rPr>
            </w:pPr>
            <w:r>
              <w:rPr>
                <w:rFonts w:hint="eastAsia" w:ascii="宋体" w:hAnsi="宋体" w:cs="宋体"/>
                <w:color w:val="auto"/>
                <w:szCs w:val="21"/>
                <w:highlight w:val="none"/>
              </w:rPr>
              <w:t>质量保修期响应时间的承诺</w:t>
            </w:r>
          </w:p>
        </w:tc>
        <w:tc>
          <w:tcPr>
            <w:tcW w:w="6060" w:type="dxa"/>
            <w:vAlign w:val="center"/>
          </w:tcPr>
          <w:p>
            <w:pPr>
              <w:adjustRightInd w:val="0"/>
              <w:snapToGrid w:val="0"/>
              <w:rPr>
                <w:rFonts w:ascii="宋体" w:hAnsi="宋体" w:cs="宋体"/>
                <w:b/>
                <w:bCs/>
                <w:color w:val="auto"/>
                <w:szCs w:val="21"/>
                <w:highlight w:val="none"/>
              </w:rPr>
            </w:pPr>
            <w:r>
              <w:rPr>
                <w:rFonts w:hint="eastAsia" w:ascii="宋体" w:hAnsi="宋体" w:cs="宋体"/>
                <w:b/>
                <w:bCs/>
                <w:color w:val="auto"/>
                <w:szCs w:val="21"/>
                <w:highlight w:val="none"/>
              </w:rPr>
              <w:t>主观分：</w:t>
            </w:r>
          </w:p>
          <w:p>
            <w:pPr>
              <w:adjustRightInd w:val="0"/>
              <w:snapToGrid w:val="0"/>
              <w:rPr>
                <w:rFonts w:ascii="宋体" w:hAnsi="宋体" w:cs="宋体"/>
                <w:color w:val="auto"/>
                <w:szCs w:val="21"/>
                <w:highlight w:val="none"/>
              </w:rPr>
            </w:pPr>
            <w:r>
              <w:rPr>
                <w:rFonts w:hint="eastAsia" w:ascii="宋体" w:hAnsi="宋体" w:cs="宋体"/>
                <w:color w:val="auto"/>
                <w:szCs w:val="21"/>
                <w:highlight w:val="none"/>
              </w:rPr>
              <w:t>根据供应商拟定的保修服务方案，提供后期免费维修承诺，根据维修方案是否及时、完整合理、长效可行，分三档打分。</w:t>
            </w:r>
          </w:p>
          <w:p>
            <w:pPr>
              <w:adjustRightInd w:val="0"/>
              <w:snapToGrid w:val="0"/>
              <w:rPr>
                <w:rFonts w:ascii="宋体" w:hAnsi="宋体" w:cs="宋体"/>
                <w:color w:val="auto"/>
                <w:szCs w:val="21"/>
                <w:highlight w:val="none"/>
              </w:rPr>
            </w:pPr>
            <w:r>
              <w:rPr>
                <w:rFonts w:hint="eastAsia" w:ascii="宋体" w:hAnsi="宋体" w:cs="宋体"/>
                <w:color w:val="auto"/>
                <w:szCs w:val="21"/>
                <w:highlight w:val="none"/>
              </w:rPr>
              <w:t>第一档：维修响应时间≤2小时，质保服务方案长效可行的得</w:t>
            </w:r>
            <w:r>
              <w:rPr>
                <w:rFonts w:hint="eastAsia" w:ascii="宋体" w:hAnsi="宋体" w:cs="宋体"/>
                <w:color w:val="auto"/>
                <w:highlight w:val="none"/>
              </w:rPr>
              <w:t>6-9</w:t>
            </w:r>
            <w:r>
              <w:rPr>
                <w:rFonts w:hint="eastAsia" w:ascii="宋体" w:hAnsi="宋体" w:cs="宋体"/>
                <w:color w:val="auto"/>
                <w:szCs w:val="21"/>
                <w:highlight w:val="none"/>
              </w:rPr>
              <w:t>分；</w:t>
            </w:r>
          </w:p>
          <w:p>
            <w:pPr>
              <w:adjustRightInd w:val="0"/>
              <w:snapToGrid w:val="0"/>
              <w:rPr>
                <w:rFonts w:ascii="宋体" w:hAnsi="宋体" w:cs="宋体"/>
                <w:color w:val="auto"/>
                <w:szCs w:val="21"/>
                <w:highlight w:val="none"/>
              </w:rPr>
            </w:pPr>
            <w:r>
              <w:rPr>
                <w:rFonts w:hint="eastAsia" w:ascii="宋体" w:hAnsi="宋体" w:cs="宋体"/>
                <w:color w:val="auto"/>
                <w:szCs w:val="21"/>
                <w:highlight w:val="none"/>
              </w:rPr>
              <w:t>第二档：2小时＜维修响应时间≤8小时，质保服务方案合理有可操作性的得</w:t>
            </w:r>
            <w:r>
              <w:rPr>
                <w:rFonts w:hint="eastAsia" w:ascii="宋体" w:hAnsi="宋体" w:cs="宋体"/>
                <w:color w:val="auto"/>
                <w:highlight w:val="none"/>
              </w:rPr>
              <w:t>3.9-5.9</w:t>
            </w:r>
            <w:r>
              <w:rPr>
                <w:rFonts w:hint="eastAsia" w:ascii="宋体" w:hAnsi="宋体" w:cs="宋体"/>
                <w:color w:val="auto"/>
                <w:szCs w:val="21"/>
                <w:highlight w:val="none"/>
              </w:rPr>
              <w:t>分；</w:t>
            </w:r>
          </w:p>
          <w:p>
            <w:pPr>
              <w:adjustRightInd w:val="0"/>
              <w:snapToGrid w:val="0"/>
              <w:rPr>
                <w:rFonts w:ascii="宋体" w:hAnsi="宋体" w:cs="宋体"/>
                <w:color w:val="auto"/>
                <w:szCs w:val="21"/>
                <w:highlight w:val="none"/>
              </w:rPr>
            </w:pPr>
            <w:r>
              <w:rPr>
                <w:rFonts w:hint="eastAsia" w:ascii="宋体" w:hAnsi="宋体" w:cs="宋体"/>
                <w:color w:val="auto"/>
                <w:szCs w:val="21"/>
                <w:highlight w:val="none"/>
              </w:rPr>
              <w:t>第三档：维修时间＞8小时，质保服务方案操作性较低且无实质性承诺的得</w:t>
            </w:r>
            <w:r>
              <w:rPr>
                <w:rFonts w:hint="eastAsia" w:ascii="宋体" w:hAnsi="宋体" w:cs="宋体"/>
                <w:color w:val="auto"/>
                <w:highlight w:val="none"/>
              </w:rPr>
              <w:t>1.8-3.8</w:t>
            </w:r>
            <w:r>
              <w:rPr>
                <w:rFonts w:hint="eastAsia" w:ascii="宋体" w:hAnsi="宋体" w:cs="宋体"/>
                <w:color w:val="auto"/>
                <w:szCs w:val="21"/>
                <w:highlight w:val="none"/>
              </w:rPr>
              <w:t>分；</w:t>
            </w:r>
          </w:p>
          <w:p>
            <w:pPr>
              <w:adjustRightInd w:val="0"/>
              <w:snapToGrid w:val="0"/>
              <w:rPr>
                <w:rFonts w:ascii="宋体" w:hAnsi="宋体"/>
                <w:color w:val="auto"/>
                <w:szCs w:val="21"/>
                <w:highlight w:val="none"/>
              </w:rPr>
            </w:pPr>
            <w:r>
              <w:rPr>
                <w:rFonts w:hint="eastAsia" w:ascii="宋体" w:hAnsi="宋体" w:cs="宋体"/>
                <w:bCs/>
                <w:color w:val="auto"/>
                <w:szCs w:val="21"/>
                <w:highlight w:val="none"/>
              </w:rPr>
              <w:t>未提供该项内容不得分。</w:t>
            </w:r>
          </w:p>
        </w:tc>
        <w:tc>
          <w:tcPr>
            <w:tcW w:w="708" w:type="dxa"/>
            <w:vAlign w:val="center"/>
          </w:tcPr>
          <w:p>
            <w:pPr>
              <w:widowControl/>
              <w:jc w:val="center"/>
              <w:rPr>
                <w:rFonts w:ascii="宋体" w:hAnsi="宋体"/>
                <w:color w:val="auto"/>
                <w:szCs w:val="21"/>
                <w:highlight w:val="none"/>
              </w:rPr>
            </w:pPr>
            <w:r>
              <w:rPr>
                <w:rFonts w:hint="eastAsia" w:ascii="宋体" w:hAnsi="宋体" w:cs="宋体"/>
                <w:color w:val="auto"/>
                <w:szCs w:val="21"/>
                <w:highlight w:val="none"/>
              </w:rPr>
              <w:t>0-9</w:t>
            </w:r>
          </w:p>
        </w:tc>
        <w:tc>
          <w:tcPr>
            <w:tcW w:w="852" w:type="dxa"/>
            <w:vAlign w:val="center"/>
          </w:tcPr>
          <w:p>
            <w:pPr>
              <w:widowControl/>
              <w:jc w:val="center"/>
              <w:rPr>
                <w:rFonts w:ascii="宋体" w:hAnsi="宋体" w:cs="宋体"/>
                <w:color w:val="auto"/>
                <w:szCs w:val="21"/>
                <w:highlight w:val="none"/>
              </w:rPr>
            </w:pPr>
            <w:r>
              <w:rPr>
                <w:rFonts w:hint="eastAsia" w:ascii="宋体" w:hAnsi="宋体" w:cs="宋体"/>
                <w:color w:val="auto"/>
                <w:szCs w:val="21"/>
                <w:highlight w:val="none"/>
              </w:rPr>
              <w:t>/</w:t>
            </w:r>
          </w:p>
        </w:tc>
        <w:tc>
          <w:tcPr>
            <w:tcW w:w="813" w:type="dxa"/>
            <w:vAlign w:val="center"/>
          </w:tcPr>
          <w:p>
            <w:pPr>
              <w:widowControl/>
              <w:jc w:val="center"/>
              <w:rPr>
                <w:rFonts w:ascii="宋体" w:hAnsi="宋体" w:cs="宋体"/>
                <w:color w:val="auto"/>
                <w:szCs w:val="21"/>
                <w:highlight w:val="none"/>
              </w:rPr>
            </w:pPr>
          </w:p>
        </w:tc>
      </w:tr>
    </w:tbl>
    <w:p>
      <w:pPr>
        <w:widowControl/>
        <w:jc w:val="left"/>
        <w:rPr>
          <w:rFonts w:ascii="宋体" w:hAnsi="宋体"/>
          <w:b/>
          <w:color w:val="auto"/>
          <w:kern w:val="0"/>
          <w:sz w:val="28"/>
          <w:szCs w:val="28"/>
          <w:highlight w:val="none"/>
        </w:rPr>
      </w:pPr>
    </w:p>
    <w:p>
      <w:pPr>
        <w:widowControl/>
        <w:jc w:val="left"/>
        <w:rPr>
          <w:rFonts w:ascii="宋体" w:hAnsi="宋体"/>
          <w:b/>
          <w:color w:val="auto"/>
          <w:kern w:val="0"/>
          <w:sz w:val="28"/>
          <w:szCs w:val="28"/>
          <w:highlight w:val="none"/>
        </w:rPr>
      </w:pPr>
      <w:r>
        <w:rPr>
          <w:rFonts w:ascii="宋体" w:hAnsi="宋体"/>
          <w:b/>
          <w:color w:val="auto"/>
          <w:kern w:val="0"/>
          <w:sz w:val="28"/>
          <w:szCs w:val="28"/>
          <w:highlight w:val="none"/>
        </w:rPr>
        <w:br w:type="page"/>
      </w:r>
    </w:p>
    <w:p>
      <w:pPr>
        <w:rPr>
          <w:rFonts w:ascii="宋体" w:hAnsi="宋体"/>
          <w:b/>
          <w:color w:val="auto"/>
          <w:kern w:val="0"/>
          <w:sz w:val="28"/>
          <w:szCs w:val="28"/>
          <w:highlight w:val="none"/>
        </w:rPr>
      </w:pPr>
      <w:r>
        <w:rPr>
          <w:rFonts w:hint="eastAsia" w:ascii="宋体" w:hAnsi="宋体"/>
          <w:b/>
          <w:color w:val="auto"/>
          <w:kern w:val="0"/>
          <w:sz w:val="28"/>
          <w:szCs w:val="28"/>
          <w:highlight w:val="none"/>
        </w:rPr>
        <w:t>附件8</w:t>
      </w:r>
    </w:p>
    <w:p>
      <w:pPr>
        <w:pStyle w:val="41"/>
        <w:shd w:val="clear" w:color="auto" w:fill="FFFFFF"/>
        <w:spacing w:before="0" w:beforeAutospacing="0" w:after="0" w:afterAutospacing="0"/>
        <w:jc w:val="center"/>
        <w:rPr>
          <w:b/>
          <w:bCs/>
          <w:color w:val="auto"/>
          <w:spacing w:val="21"/>
          <w:sz w:val="32"/>
          <w:szCs w:val="32"/>
          <w:highlight w:val="none"/>
        </w:rPr>
      </w:pPr>
      <w:r>
        <w:rPr>
          <w:rFonts w:hint="eastAsia"/>
          <w:b/>
          <w:bCs/>
          <w:color w:val="auto"/>
          <w:spacing w:val="21"/>
          <w:sz w:val="32"/>
          <w:szCs w:val="32"/>
          <w:highlight w:val="none"/>
        </w:rPr>
        <w:t>投标函</w:t>
      </w:r>
    </w:p>
    <w:p>
      <w:pPr>
        <w:snapToGrid w:val="0"/>
        <w:spacing w:line="400" w:lineRule="exact"/>
        <w:rPr>
          <w:rFonts w:ascii="宋体" w:hAnsi="宋体"/>
          <w:color w:val="auto"/>
          <w:sz w:val="24"/>
          <w:szCs w:val="20"/>
          <w:highlight w:val="none"/>
        </w:rPr>
      </w:pPr>
      <w:r>
        <w:rPr>
          <w:rFonts w:hint="eastAsia" w:ascii="宋体" w:hAnsi="宋体"/>
          <w:color w:val="auto"/>
          <w:sz w:val="24"/>
          <w:highlight w:val="none"/>
        </w:rPr>
        <w:t>致：</w:t>
      </w:r>
      <w:r>
        <w:rPr>
          <w:rFonts w:hint="eastAsia" w:ascii="宋体" w:hAnsi="宋体" w:cs="宋体"/>
          <w:color w:val="auto"/>
          <w:sz w:val="24"/>
          <w:highlight w:val="none"/>
          <w:u w:val="single"/>
        </w:rPr>
        <w:t xml:space="preserve">  台州市第一中学  </w:t>
      </w:r>
      <w:r>
        <w:rPr>
          <w:rFonts w:hint="eastAsia" w:ascii="宋体" w:hAnsi="宋体" w:cs="仿宋_GB2312"/>
          <w:bCs/>
          <w:color w:val="auto"/>
          <w:kern w:val="0"/>
          <w:sz w:val="24"/>
          <w:highlight w:val="none"/>
          <w:lang w:val="zh-CN"/>
        </w:rPr>
        <w:t>（采购人）</w:t>
      </w:r>
      <w:r>
        <w:rPr>
          <w:rFonts w:hint="eastAsia" w:ascii="宋体" w:hAnsi="宋体" w:cs="宋体"/>
          <w:color w:val="auto"/>
          <w:kern w:val="0"/>
          <w:sz w:val="24"/>
          <w:highlight w:val="none"/>
        </w:rPr>
        <w:t>：</w:t>
      </w:r>
    </w:p>
    <w:p>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1.我方自愿参加贵方组织的</w:t>
      </w:r>
      <w:r>
        <w:rPr>
          <w:rFonts w:hint="eastAsia" w:ascii="宋体" w:hAnsi="宋体"/>
          <w:color w:val="auto"/>
          <w:sz w:val="24"/>
          <w:highlight w:val="none"/>
          <w:u w:val="single"/>
        </w:rPr>
        <w:t xml:space="preserve">         </w:t>
      </w:r>
      <w:r>
        <w:rPr>
          <w:rFonts w:hint="eastAsia" w:ascii="宋体" w:hAnsi="宋体"/>
          <w:color w:val="auto"/>
          <w:sz w:val="24"/>
          <w:highlight w:val="none"/>
        </w:rPr>
        <w:t>项目（项目编号：</w:t>
      </w:r>
      <w:r>
        <w:rPr>
          <w:rFonts w:hint="eastAsia" w:ascii="宋体" w:hAnsi="宋体"/>
          <w:color w:val="auto"/>
          <w:sz w:val="24"/>
          <w:highlight w:val="none"/>
          <w:u w:val="single"/>
        </w:rPr>
        <w:t xml:space="preserve">      </w:t>
      </w:r>
      <w:r>
        <w:rPr>
          <w:rFonts w:hint="eastAsia" w:ascii="宋体" w:hAnsi="宋体"/>
          <w:color w:val="auto"/>
          <w:sz w:val="24"/>
          <w:highlight w:val="none"/>
        </w:rPr>
        <w:t>）的磋商，并</w:t>
      </w:r>
      <w:r>
        <w:rPr>
          <w:rFonts w:ascii="宋体" w:hAnsi="宋体"/>
          <w:color w:val="auto"/>
          <w:sz w:val="24"/>
          <w:highlight w:val="none"/>
        </w:rPr>
        <w:t>按</w:t>
      </w:r>
      <w:r>
        <w:rPr>
          <w:rFonts w:hint="eastAsia" w:ascii="宋体" w:hAnsi="宋体"/>
          <w:color w:val="auto"/>
          <w:sz w:val="24"/>
          <w:highlight w:val="none"/>
        </w:rPr>
        <w:t>磋商文件</w:t>
      </w:r>
      <w:r>
        <w:rPr>
          <w:rFonts w:ascii="宋体" w:hAnsi="宋体"/>
          <w:color w:val="auto"/>
          <w:sz w:val="24"/>
          <w:highlight w:val="none"/>
        </w:rPr>
        <w:t>的要求</w:t>
      </w:r>
      <w:r>
        <w:rPr>
          <w:rFonts w:hint="eastAsia" w:ascii="宋体" w:hAnsi="宋体"/>
          <w:color w:val="auto"/>
          <w:sz w:val="24"/>
          <w:highlight w:val="none"/>
        </w:rPr>
        <w:t>提交磋商响应文件。</w:t>
      </w:r>
    </w:p>
    <w:p>
      <w:pPr>
        <w:snapToGrid w:val="0"/>
        <w:spacing w:line="40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.我方完全理解并接受磋商文件（包括更正文件）的各项规定和要求</w:t>
      </w:r>
      <w:r>
        <w:rPr>
          <w:rFonts w:ascii="宋体" w:hAnsi="宋体"/>
          <w:color w:val="auto"/>
          <w:sz w:val="24"/>
          <w:highlight w:val="none"/>
        </w:rPr>
        <w:t>，</w:t>
      </w:r>
      <w:r>
        <w:rPr>
          <w:rFonts w:hint="eastAsia" w:ascii="宋体" w:hAnsi="宋体"/>
          <w:color w:val="auto"/>
          <w:sz w:val="24"/>
          <w:highlight w:val="none"/>
        </w:rPr>
        <w:t>不</w:t>
      </w:r>
      <w:r>
        <w:rPr>
          <w:rFonts w:ascii="宋体" w:hAnsi="宋体"/>
          <w:color w:val="auto"/>
          <w:sz w:val="24"/>
          <w:highlight w:val="none"/>
        </w:rPr>
        <w:t>再对磋商文件</w:t>
      </w:r>
      <w:r>
        <w:rPr>
          <w:rFonts w:hint="eastAsia" w:ascii="宋体" w:hAnsi="宋体"/>
          <w:color w:val="auto"/>
          <w:sz w:val="24"/>
          <w:highlight w:val="none"/>
        </w:rPr>
        <w:t>的合理性、合法性等</w:t>
      </w:r>
      <w:r>
        <w:rPr>
          <w:rFonts w:ascii="宋体" w:hAnsi="宋体"/>
          <w:color w:val="auto"/>
          <w:sz w:val="24"/>
          <w:highlight w:val="none"/>
        </w:rPr>
        <w:t>相关内容提出质疑或投诉。</w:t>
      </w:r>
    </w:p>
    <w:p>
      <w:pPr>
        <w:snapToGrid w:val="0"/>
        <w:spacing w:line="400" w:lineRule="exact"/>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.我方不是采购单位的附属机构以及</w:t>
      </w:r>
      <w:r>
        <w:rPr>
          <w:rFonts w:ascii="宋体" w:hAnsi="宋体"/>
          <w:color w:val="auto"/>
          <w:sz w:val="24"/>
          <w:highlight w:val="none"/>
        </w:rPr>
        <w:t>其它法律法规</w:t>
      </w:r>
      <w:r>
        <w:rPr>
          <w:rFonts w:hint="eastAsia" w:ascii="宋体" w:hAnsi="宋体"/>
          <w:color w:val="auto"/>
          <w:sz w:val="24"/>
          <w:highlight w:val="none"/>
        </w:rPr>
        <w:t>所</w:t>
      </w:r>
      <w:r>
        <w:rPr>
          <w:rFonts w:ascii="宋体" w:hAnsi="宋体"/>
          <w:color w:val="auto"/>
          <w:sz w:val="24"/>
          <w:highlight w:val="none"/>
        </w:rPr>
        <w:t>规定的限制投标单位</w:t>
      </w:r>
      <w:r>
        <w:rPr>
          <w:rFonts w:hint="eastAsia" w:ascii="宋体" w:hAnsi="宋体"/>
          <w:color w:val="auto"/>
          <w:sz w:val="24"/>
          <w:highlight w:val="none"/>
        </w:rPr>
        <w:t>。</w:t>
      </w:r>
    </w:p>
    <w:p>
      <w:pPr>
        <w:snapToGrid w:val="0"/>
        <w:spacing w:line="400" w:lineRule="exact"/>
        <w:ind w:firstLine="482" w:firstLineChars="200"/>
        <w:rPr>
          <w:rFonts w:ascii="宋体" w:hAnsi="宋体"/>
          <w:b/>
          <w:bCs/>
          <w:color w:val="auto"/>
          <w:sz w:val="24"/>
          <w:highlight w:val="none"/>
        </w:rPr>
      </w:pPr>
      <w:r>
        <w:rPr>
          <w:rFonts w:hint="eastAsia" w:ascii="宋体" w:hAnsi="宋体"/>
          <w:b/>
          <w:bCs/>
          <w:color w:val="auto"/>
          <w:sz w:val="24"/>
          <w:highlight w:val="none"/>
        </w:rPr>
        <w:t>4.我方向贵方提交的所有响应文件、资料（包括所有证明材料等）都是准确、真实、合规的，如有虚假或隐瞒，我方愿意承担一切后果。</w:t>
      </w:r>
    </w:p>
    <w:p>
      <w:pPr>
        <w:snapToGrid w:val="0"/>
        <w:spacing w:line="400" w:lineRule="exact"/>
        <w:ind w:firstLine="480" w:firstLineChars="200"/>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.本次磋商有效期自磋商截止之日起 90天</w:t>
      </w:r>
      <w:r>
        <w:rPr>
          <w:rFonts w:ascii="宋体" w:hAnsi="宋体"/>
          <w:color w:val="auto"/>
          <w:sz w:val="24"/>
          <w:highlight w:val="none"/>
        </w:rPr>
        <w:t>内</w:t>
      </w:r>
      <w:r>
        <w:rPr>
          <w:rFonts w:hint="eastAsia" w:ascii="宋体" w:hAnsi="宋体"/>
          <w:color w:val="auto"/>
          <w:sz w:val="24"/>
          <w:highlight w:val="none"/>
        </w:rPr>
        <w:t>有效。</w:t>
      </w:r>
    </w:p>
    <w:p>
      <w:pPr>
        <w:snapToGrid w:val="0"/>
        <w:spacing w:line="400" w:lineRule="exact"/>
        <w:ind w:firstLine="480" w:firstLineChars="200"/>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.如成交，本响应文件至本项目合同履行完毕均保持有效，同意按照贵方要求提供与投标有关的一切数据或资料，并按磋商文件及政府采购法律、法规的规定履行合同责任和义务。</w:t>
      </w:r>
    </w:p>
    <w:p>
      <w:pPr>
        <w:snapToGrid w:val="0"/>
        <w:spacing w:line="400" w:lineRule="exact"/>
        <w:ind w:firstLine="480" w:firstLineChars="200"/>
        <w:rPr>
          <w:rFonts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.以上事项如有虚假或隐瞒，我方愿意承担一切后果，并不再寻求任何旨在减轻或免除法律责任的辩解，</w:t>
      </w:r>
      <w:r>
        <w:rPr>
          <w:rFonts w:ascii="宋体" w:hAnsi="宋体"/>
          <w:color w:val="auto"/>
          <w:sz w:val="24"/>
          <w:highlight w:val="none"/>
        </w:rPr>
        <w:t>同意我方的履约保证金不予</w:t>
      </w:r>
      <w:r>
        <w:rPr>
          <w:rFonts w:hint="eastAsia" w:ascii="宋体" w:hAnsi="宋体"/>
          <w:color w:val="auto"/>
          <w:sz w:val="24"/>
          <w:highlight w:val="none"/>
        </w:rPr>
        <w:t>退</w:t>
      </w:r>
      <w:r>
        <w:rPr>
          <w:rFonts w:ascii="宋体" w:hAnsi="宋体"/>
          <w:color w:val="auto"/>
          <w:sz w:val="24"/>
          <w:highlight w:val="none"/>
        </w:rPr>
        <w:t>回</w:t>
      </w:r>
      <w:r>
        <w:rPr>
          <w:rFonts w:hint="eastAsia" w:ascii="宋体" w:hAnsi="宋体"/>
          <w:color w:val="auto"/>
          <w:sz w:val="24"/>
          <w:highlight w:val="none"/>
        </w:rPr>
        <w:t>，</w:t>
      </w:r>
      <w:r>
        <w:rPr>
          <w:rFonts w:ascii="宋体" w:hAnsi="宋体"/>
          <w:color w:val="auto"/>
          <w:sz w:val="24"/>
          <w:highlight w:val="none"/>
        </w:rPr>
        <w:t>并对采购单位</w:t>
      </w:r>
      <w:r>
        <w:rPr>
          <w:rFonts w:hint="eastAsia" w:ascii="宋体" w:hAnsi="宋体"/>
          <w:color w:val="auto"/>
          <w:sz w:val="24"/>
          <w:highlight w:val="none"/>
        </w:rPr>
        <w:t>因</w:t>
      </w:r>
      <w:r>
        <w:rPr>
          <w:rFonts w:ascii="宋体" w:hAnsi="宋体"/>
          <w:color w:val="auto"/>
          <w:sz w:val="24"/>
          <w:highlight w:val="none"/>
        </w:rPr>
        <w:t>此引起的损失予以赔偿</w:t>
      </w:r>
      <w:r>
        <w:rPr>
          <w:rFonts w:hint="eastAsia" w:ascii="宋体" w:hAnsi="宋体"/>
          <w:color w:val="auto"/>
          <w:sz w:val="24"/>
          <w:highlight w:val="none"/>
        </w:rPr>
        <w:t>。</w:t>
      </w:r>
    </w:p>
    <w:p>
      <w:pPr>
        <w:snapToGrid w:val="0"/>
        <w:spacing w:line="400" w:lineRule="exact"/>
        <w:ind w:firstLine="480" w:firstLineChars="200"/>
        <w:rPr>
          <w:rFonts w:ascii="宋体" w:hAnsi="宋体"/>
          <w:color w:val="auto"/>
          <w:sz w:val="24"/>
          <w:highlight w:val="none"/>
        </w:rPr>
      </w:pPr>
      <w:r>
        <w:rPr>
          <w:rFonts w:ascii="宋体" w:hAnsi="宋体"/>
          <w:color w:val="auto"/>
          <w:sz w:val="24"/>
          <w:highlight w:val="none"/>
        </w:rPr>
        <w:t>8</w:t>
      </w:r>
      <w:r>
        <w:rPr>
          <w:rFonts w:hint="eastAsia" w:ascii="宋体" w:hAnsi="宋体"/>
          <w:color w:val="auto"/>
          <w:sz w:val="24"/>
          <w:highlight w:val="none"/>
        </w:rPr>
        <w:t>.我方全权授</w:t>
      </w:r>
      <w:r>
        <w:rPr>
          <w:rFonts w:ascii="宋体" w:hAnsi="宋体"/>
          <w:color w:val="auto"/>
          <w:sz w:val="24"/>
          <w:highlight w:val="none"/>
        </w:rPr>
        <w:t>权被授权人</w:t>
      </w:r>
      <w:r>
        <w:rPr>
          <w:rFonts w:hint="eastAsia" w:ascii="宋体" w:hAnsi="宋体"/>
          <w:color w:val="auto"/>
          <w:sz w:val="24"/>
          <w:highlight w:val="none"/>
        </w:rPr>
        <w:t>办理针对上述项目的投标、开标、评标、签约等具体事务和签署相关文件，</w:t>
      </w:r>
      <w:r>
        <w:rPr>
          <w:rFonts w:ascii="宋体" w:hAnsi="宋体"/>
          <w:color w:val="auto"/>
          <w:sz w:val="24"/>
          <w:highlight w:val="none"/>
        </w:rPr>
        <w:t>对被授权的</w:t>
      </w:r>
      <w:r>
        <w:rPr>
          <w:rFonts w:hint="eastAsia" w:ascii="宋体" w:hAnsi="宋体"/>
          <w:color w:val="auto"/>
          <w:sz w:val="24"/>
          <w:highlight w:val="none"/>
        </w:rPr>
        <w:t>各</w:t>
      </w:r>
      <w:r>
        <w:rPr>
          <w:rFonts w:ascii="宋体" w:hAnsi="宋体"/>
          <w:color w:val="auto"/>
          <w:sz w:val="24"/>
          <w:highlight w:val="none"/>
        </w:rPr>
        <w:t>项行为负全部责任</w:t>
      </w:r>
      <w:r>
        <w:rPr>
          <w:rFonts w:hint="eastAsia" w:ascii="宋体" w:hAnsi="宋体"/>
          <w:color w:val="auto"/>
          <w:sz w:val="24"/>
          <w:highlight w:val="none"/>
        </w:rPr>
        <w:t>，在撤销授权的书面通知以前，本授权书一直有效，被授权人无转委托权。</w:t>
      </w:r>
    </w:p>
    <w:p>
      <w:pPr>
        <w:snapToGrid w:val="0"/>
        <w:spacing w:line="400" w:lineRule="exact"/>
        <w:ind w:firstLine="361" w:firstLineChars="150"/>
        <w:rPr>
          <w:rFonts w:ascii="宋体" w:hAnsi="宋体"/>
          <w:b/>
          <w:bCs/>
          <w:color w:val="auto"/>
          <w:sz w:val="24"/>
          <w:highlight w:val="none"/>
          <w:u w:val="single"/>
          <w:shd w:val="pct10" w:color="auto" w:fill="FFFFFF"/>
        </w:rPr>
      </w:pPr>
      <w:r>
        <w:rPr>
          <w:rFonts w:hint="eastAsia" w:ascii="宋体" w:hAnsi="宋体"/>
          <w:b/>
          <w:bCs/>
          <w:color w:val="auto"/>
          <w:sz w:val="24"/>
          <w:highlight w:val="none"/>
        </w:rPr>
        <w:t>与本投标有关的一切正式往来信函、传真或邮件（例如质疑回复函、中标（成交）通知书、合同等）请采用如下联系方式送达，我方确保能够及时、准确收悉。</w:t>
      </w:r>
    </w:p>
    <w:p>
      <w:pPr>
        <w:snapToGrid w:val="0"/>
        <w:spacing w:line="400" w:lineRule="exact"/>
        <w:ind w:firstLine="360" w:firstLineChars="150"/>
        <w:rPr>
          <w:rFonts w:ascii="宋体" w:hAnsi="宋体"/>
          <w:color w:val="auto"/>
          <w:sz w:val="24"/>
          <w:highlight w:val="none"/>
        </w:rPr>
      </w:pPr>
      <w:r>
        <w:rPr>
          <w:rFonts w:hint="eastAsia" w:ascii="宋体" w:hAnsi="宋体"/>
          <w:color w:val="auto"/>
          <w:sz w:val="24"/>
          <w:highlight w:val="none"/>
        </w:rPr>
        <w:t>邮寄详细地址：</w:t>
      </w:r>
      <w:r>
        <w:rPr>
          <w:rFonts w:hint="eastAsia"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邮编：</w:t>
      </w:r>
      <w:r>
        <w:rPr>
          <w:rFonts w:hint="eastAsia" w:ascii="宋体" w:hAnsi="宋体"/>
          <w:color w:val="auto"/>
          <w:sz w:val="24"/>
          <w:highlight w:val="none"/>
          <w:u w:val="single"/>
        </w:rPr>
        <w:t xml:space="preserve">             </w:t>
      </w:r>
    </w:p>
    <w:p>
      <w:pPr>
        <w:snapToGrid w:val="0"/>
        <w:spacing w:line="400" w:lineRule="exact"/>
        <w:ind w:firstLine="360" w:firstLineChars="150"/>
        <w:rPr>
          <w:rFonts w:ascii="宋体" w:hAnsi="宋体"/>
          <w:color w:val="auto"/>
          <w:sz w:val="24"/>
          <w:highlight w:val="none"/>
        </w:rPr>
      </w:pPr>
      <w:r>
        <w:rPr>
          <w:rFonts w:hint="eastAsia" w:ascii="宋体" w:hAnsi="宋体"/>
          <w:color w:val="auto"/>
          <w:sz w:val="24"/>
          <w:highlight w:val="none"/>
        </w:rPr>
        <w:t>收件人姓名：</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联系手机：</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napToGrid w:val="0"/>
        <w:spacing w:line="400" w:lineRule="exact"/>
        <w:ind w:firstLine="360" w:firstLineChars="150"/>
        <w:rPr>
          <w:rFonts w:ascii="宋体" w:hAnsi="宋体"/>
          <w:color w:val="auto"/>
          <w:sz w:val="24"/>
          <w:highlight w:val="none"/>
        </w:rPr>
      </w:pPr>
      <w:r>
        <w:rPr>
          <w:rFonts w:hint="eastAsia" w:ascii="宋体" w:hAnsi="宋体"/>
          <w:color w:val="auto"/>
          <w:sz w:val="24"/>
          <w:highlight w:val="none"/>
        </w:rPr>
        <w:t>公司电子邮箱</w:t>
      </w:r>
      <w:r>
        <w:rPr>
          <w:rFonts w:hint="eastAsia" w:ascii="宋体" w:hAnsi="宋体"/>
          <w:b/>
          <w:bCs/>
          <w:color w:val="auto"/>
          <w:sz w:val="24"/>
          <w:highlight w:val="none"/>
        </w:rPr>
        <w:t>：</w:t>
      </w:r>
      <w:r>
        <w:rPr>
          <w:rFonts w:hint="eastAsia" w:ascii="宋体" w:hAnsi="宋体"/>
          <w:color w:val="auto"/>
          <w:sz w:val="24"/>
          <w:highlight w:val="none"/>
          <w:u w:val="single"/>
        </w:rPr>
        <w:t xml:space="preserve">                      </w:t>
      </w:r>
    </w:p>
    <w:p>
      <w:pPr>
        <w:snapToGrid w:val="0"/>
        <w:spacing w:line="400" w:lineRule="exact"/>
        <w:ind w:firstLine="361" w:firstLineChars="150"/>
        <w:rPr>
          <w:rFonts w:ascii="宋体" w:hAnsi="宋体"/>
          <w:b/>
          <w:bCs/>
          <w:color w:val="auto"/>
          <w:sz w:val="24"/>
          <w:highlight w:val="none"/>
        </w:rPr>
      </w:pPr>
      <w:r>
        <w:rPr>
          <w:rFonts w:hint="eastAsia" w:ascii="宋体" w:hAnsi="宋体"/>
          <w:b/>
          <w:bCs/>
          <w:color w:val="auto"/>
          <w:sz w:val="24"/>
          <w:highlight w:val="none"/>
        </w:rPr>
        <w:t>为了方便评审磋商小组在必要时对供应商进行询标，请供应商填写以下响应文件编制人信息，以便及时、准确进行询标，响应文件编制人信息可不限于1人。</w:t>
      </w:r>
    </w:p>
    <w:p>
      <w:pPr>
        <w:snapToGrid w:val="0"/>
        <w:spacing w:line="400" w:lineRule="exact"/>
        <w:ind w:firstLine="361" w:firstLineChars="150"/>
        <w:jc w:val="left"/>
        <w:rPr>
          <w:rFonts w:ascii="宋体" w:hAnsi="宋体"/>
          <w:b/>
          <w:bCs/>
          <w:color w:val="auto"/>
          <w:sz w:val="24"/>
          <w:highlight w:val="none"/>
          <w:u w:val="single"/>
        </w:rPr>
      </w:pPr>
      <w:r>
        <w:rPr>
          <w:rFonts w:hint="eastAsia" w:ascii="宋体" w:hAnsi="宋体"/>
          <w:b/>
          <w:bCs/>
          <w:color w:val="auto"/>
          <w:sz w:val="24"/>
          <w:highlight w:val="none"/>
        </w:rPr>
        <w:t>响应文件编制人姓名：</w:t>
      </w:r>
      <w:r>
        <w:rPr>
          <w:rFonts w:hint="eastAsia" w:ascii="宋体" w:hAnsi="宋体"/>
          <w:b/>
          <w:bCs/>
          <w:color w:val="auto"/>
          <w:sz w:val="24"/>
          <w:highlight w:val="none"/>
          <w:u w:val="single"/>
        </w:rPr>
        <w:t xml:space="preserve">           </w:t>
      </w:r>
      <w:r>
        <w:rPr>
          <w:rFonts w:hint="eastAsia" w:ascii="宋体" w:hAnsi="宋体"/>
          <w:b/>
          <w:bCs/>
          <w:color w:val="auto"/>
          <w:sz w:val="24"/>
          <w:highlight w:val="none"/>
        </w:rPr>
        <w:t xml:space="preserve"> </w:t>
      </w:r>
      <w:r>
        <w:rPr>
          <w:rFonts w:ascii="宋体" w:hAnsi="宋体"/>
          <w:b/>
          <w:bCs/>
          <w:color w:val="auto"/>
          <w:sz w:val="24"/>
          <w:highlight w:val="none"/>
        </w:rPr>
        <w:t xml:space="preserve">  </w:t>
      </w:r>
      <w:r>
        <w:rPr>
          <w:rFonts w:hint="eastAsia" w:ascii="宋体" w:hAnsi="宋体"/>
          <w:b/>
          <w:bCs/>
          <w:color w:val="auto"/>
          <w:sz w:val="24"/>
          <w:highlight w:val="none"/>
        </w:rPr>
        <w:t>手机号码：</w:t>
      </w:r>
      <w:r>
        <w:rPr>
          <w:rFonts w:hint="eastAsia" w:ascii="宋体" w:hAnsi="宋体"/>
          <w:b/>
          <w:bCs/>
          <w:color w:val="auto"/>
          <w:sz w:val="24"/>
          <w:highlight w:val="none"/>
          <w:u w:val="single"/>
        </w:rPr>
        <w:t xml:space="preserve">          </w:t>
      </w:r>
    </w:p>
    <w:p>
      <w:pPr>
        <w:snapToGrid w:val="0"/>
        <w:spacing w:line="400" w:lineRule="exact"/>
        <w:ind w:firstLine="361" w:firstLineChars="150"/>
        <w:jc w:val="left"/>
        <w:rPr>
          <w:rFonts w:ascii="宋体" w:hAnsi="宋体"/>
          <w:b/>
          <w:bCs/>
          <w:color w:val="auto"/>
          <w:sz w:val="24"/>
          <w:highlight w:val="none"/>
        </w:rPr>
      </w:pPr>
      <w:r>
        <w:rPr>
          <w:rFonts w:hint="eastAsia" w:ascii="宋体" w:hAnsi="宋体"/>
          <w:b/>
          <w:bCs/>
          <w:color w:val="auto"/>
          <w:sz w:val="24"/>
          <w:highlight w:val="none"/>
        </w:rPr>
        <w:t>被授权人姓名:</w:t>
      </w:r>
      <w:r>
        <w:rPr>
          <w:rFonts w:hint="eastAsia" w:ascii="宋体" w:hAnsi="宋体"/>
          <w:b/>
          <w:bCs/>
          <w:color w:val="auto"/>
          <w:sz w:val="24"/>
          <w:highlight w:val="none"/>
          <w:u w:val="single"/>
        </w:rPr>
        <w:t xml:space="preserve">             </w:t>
      </w:r>
      <w:r>
        <w:rPr>
          <w:rFonts w:hint="eastAsia" w:ascii="宋体" w:hAnsi="宋体"/>
          <w:b/>
          <w:bCs/>
          <w:color w:val="auto"/>
          <w:sz w:val="24"/>
          <w:highlight w:val="none"/>
        </w:rPr>
        <w:t xml:space="preserve"> </w:t>
      </w:r>
      <w:r>
        <w:rPr>
          <w:rFonts w:hint="eastAsia" w:ascii="宋体" w:hAnsi="宋体"/>
          <w:color w:val="auto"/>
          <w:sz w:val="24"/>
          <w:highlight w:val="none"/>
        </w:rPr>
        <w:t xml:space="preserve"> </w:t>
      </w:r>
      <w:r>
        <w:rPr>
          <w:rFonts w:hint="eastAsia" w:ascii="宋体" w:hAnsi="宋体"/>
          <w:b/>
          <w:bCs/>
          <w:color w:val="auto"/>
          <w:sz w:val="24"/>
          <w:highlight w:val="none"/>
        </w:rPr>
        <w:t>被授权人手机号码：</w:t>
      </w:r>
      <w:r>
        <w:rPr>
          <w:rFonts w:hint="eastAsia" w:ascii="宋体" w:hAnsi="宋体"/>
          <w:b/>
          <w:color w:val="auto"/>
          <w:sz w:val="24"/>
          <w:highlight w:val="none"/>
          <w:u w:val="single"/>
        </w:rPr>
        <w:t xml:space="preserve">         </w:t>
      </w:r>
    </w:p>
    <w:p>
      <w:pPr>
        <w:snapToGrid w:val="0"/>
        <w:spacing w:line="400" w:lineRule="exact"/>
        <w:jc w:val="left"/>
        <w:rPr>
          <w:rFonts w:ascii="宋体" w:hAnsi="宋体"/>
          <w:color w:val="auto"/>
          <w:sz w:val="24"/>
          <w:highlight w:val="none"/>
        </w:rPr>
      </w:pPr>
    </w:p>
    <w:p>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供应商名称（电子印章）：</w:t>
      </w:r>
    </w:p>
    <w:p>
      <w:pPr>
        <w:spacing w:line="360" w:lineRule="auto"/>
        <w:ind w:firstLine="424" w:firstLineChars="177"/>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法定代表人或授权委托人签字或电子印章</w:t>
      </w:r>
      <w:r>
        <w:rPr>
          <w:rFonts w:hint="eastAsia" w:ascii="宋体" w:hAnsi="宋体"/>
          <w:color w:val="auto"/>
          <w:sz w:val="24"/>
          <w:highlight w:val="none"/>
        </w:rPr>
        <w:t>：</w:t>
      </w:r>
    </w:p>
    <w:p>
      <w:pPr>
        <w:snapToGrid w:val="0"/>
        <w:spacing w:line="400" w:lineRule="exact"/>
        <w:ind w:firstLine="5760" w:firstLineChars="2400"/>
        <w:jc w:val="left"/>
        <w:rPr>
          <w:rFonts w:ascii="宋体" w:hAnsi="宋体"/>
          <w:color w:val="auto"/>
          <w:sz w:val="24"/>
          <w:highlight w:val="none"/>
        </w:rPr>
      </w:pPr>
      <w:r>
        <w:rPr>
          <w:rFonts w:hint="eastAsia" w:ascii="宋体" w:hAnsi="宋体"/>
          <w:color w:val="auto"/>
          <w:sz w:val="24"/>
          <w:highlight w:val="none"/>
        </w:rPr>
        <w:t>日期:     年   月   日</w:t>
      </w:r>
    </w:p>
    <w:p>
      <w:pPr>
        <w:pStyle w:val="41"/>
        <w:shd w:val="clear" w:color="auto" w:fill="FFFFFF"/>
        <w:spacing w:before="0" w:beforeAutospacing="0" w:after="0" w:afterAutospacing="0"/>
        <w:jc w:val="center"/>
        <w:rPr>
          <w:b/>
          <w:color w:val="auto"/>
          <w:sz w:val="32"/>
          <w:szCs w:val="32"/>
          <w:highlight w:val="none"/>
        </w:rPr>
      </w:pPr>
    </w:p>
    <w:p>
      <w:pPr>
        <w:rPr>
          <w:rFonts w:ascii="宋体" w:hAnsi="宋体"/>
          <w:b/>
          <w:color w:val="auto"/>
          <w:kern w:val="0"/>
          <w:sz w:val="28"/>
          <w:szCs w:val="28"/>
          <w:highlight w:val="none"/>
        </w:rPr>
      </w:pPr>
      <w:r>
        <w:rPr>
          <w:rFonts w:hint="eastAsia" w:ascii="宋体" w:hAnsi="宋体"/>
          <w:b/>
          <w:color w:val="auto"/>
          <w:kern w:val="0"/>
          <w:sz w:val="28"/>
          <w:szCs w:val="28"/>
          <w:highlight w:val="none"/>
        </w:rPr>
        <w:t>附件9</w:t>
      </w:r>
    </w:p>
    <w:p>
      <w:pPr>
        <w:pStyle w:val="41"/>
        <w:shd w:val="clear" w:color="auto" w:fill="FFFFFF"/>
        <w:spacing w:before="0" w:beforeAutospacing="0" w:after="0" w:afterAutospacing="0"/>
        <w:jc w:val="center"/>
        <w:rPr>
          <w:b/>
          <w:bCs/>
          <w:color w:val="auto"/>
          <w:spacing w:val="21"/>
          <w:sz w:val="32"/>
          <w:szCs w:val="32"/>
          <w:highlight w:val="none"/>
        </w:rPr>
      </w:pPr>
      <w:r>
        <w:rPr>
          <w:rFonts w:hint="eastAsia"/>
          <w:b/>
          <w:color w:val="auto"/>
          <w:sz w:val="32"/>
          <w:szCs w:val="32"/>
          <w:highlight w:val="none"/>
        </w:rPr>
        <w:t>供应商</w:t>
      </w:r>
      <w:r>
        <w:rPr>
          <w:rFonts w:hint="eastAsia"/>
          <w:b/>
          <w:bCs/>
          <w:color w:val="auto"/>
          <w:spacing w:val="21"/>
          <w:sz w:val="32"/>
          <w:szCs w:val="32"/>
          <w:highlight w:val="none"/>
        </w:rPr>
        <w:t>基本情况表</w:t>
      </w:r>
    </w:p>
    <w:tbl>
      <w:tblPr>
        <w:tblStyle w:val="29"/>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682" w:type="dxa"/>
            <w:vAlign w:val="center"/>
          </w:tcPr>
          <w:p>
            <w:pPr>
              <w:pStyle w:val="41"/>
              <w:shd w:val="clear" w:color="auto" w:fill="FFFFFF"/>
              <w:adjustRightInd w:val="0"/>
              <w:snapToGrid w:val="0"/>
              <w:ind w:left="-105" w:leftChars="-50" w:right="-105" w:rightChars="-50"/>
              <w:jc w:val="center"/>
              <w:rPr>
                <w:bCs/>
                <w:color w:val="auto"/>
                <w:sz w:val="18"/>
                <w:szCs w:val="18"/>
                <w:highlight w:val="none"/>
              </w:rPr>
            </w:pPr>
            <w:r>
              <w:rPr>
                <w:rFonts w:hint="eastAsia"/>
                <w:bCs/>
                <w:color w:val="auto"/>
                <w:spacing w:val="27"/>
                <w:sz w:val="18"/>
                <w:szCs w:val="18"/>
                <w:highlight w:val="none"/>
              </w:rPr>
              <w:t>企业名称</w:t>
            </w:r>
          </w:p>
        </w:tc>
        <w:tc>
          <w:tcPr>
            <w:tcW w:w="3979" w:type="dxa"/>
            <w:gridSpan w:val="6"/>
            <w:vAlign w:val="center"/>
          </w:tcPr>
          <w:p>
            <w:pPr>
              <w:pStyle w:val="41"/>
              <w:shd w:val="clear" w:color="auto" w:fill="FFFFFF"/>
              <w:adjustRightInd w:val="0"/>
              <w:snapToGrid w:val="0"/>
              <w:ind w:left="-105" w:leftChars="-50" w:right="-105" w:rightChars="-50"/>
              <w:jc w:val="center"/>
              <w:rPr>
                <w:bCs/>
                <w:color w:val="auto"/>
                <w:sz w:val="18"/>
                <w:szCs w:val="18"/>
                <w:highlight w:val="none"/>
              </w:rPr>
            </w:pPr>
          </w:p>
        </w:tc>
        <w:tc>
          <w:tcPr>
            <w:tcW w:w="2001" w:type="dxa"/>
            <w:gridSpan w:val="3"/>
            <w:vAlign w:val="center"/>
          </w:tcPr>
          <w:p>
            <w:pPr>
              <w:pStyle w:val="41"/>
              <w:shd w:val="clear" w:color="auto" w:fill="FFFFFF"/>
              <w:adjustRightInd w:val="0"/>
              <w:snapToGrid w:val="0"/>
              <w:ind w:left="-105" w:leftChars="-50" w:right="-105" w:rightChars="-50"/>
              <w:jc w:val="center"/>
              <w:rPr>
                <w:bCs/>
                <w:color w:val="auto"/>
                <w:sz w:val="18"/>
                <w:szCs w:val="18"/>
                <w:highlight w:val="none"/>
              </w:rPr>
            </w:pPr>
            <w:r>
              <w:rPr>
                <w:rFonts w:hint="eastAsia"/>
                <w:bCs/>
                <w:color w:val="auto"/>
                <w:spacing w:val="16"/>
                <w:sz w:val="18"/>
                <w:szCs w:val="18"/>
                <w:highlight w:val="none"/>
              </w:rPr>
              <w:t>法人代表</w:t>
            </w:r>
          </w:p>
        </w:tc>
        <w:tc>
          <w:tcPr>
            <w:tcW w:w="2151" w:type="dxa"/>
            <w:gridSpan w:val="2"/>
            <w:vAlign w:val="center"/>
          </w:tcPr>
          <w:p>
            <w:pPr>
              <w:pStyle w:val="41"/>
              <w:shd w:val="clear" w:color="auto" w:fill="FFFFFF"/>
              <w:adjustRightInd w:val="0"/>
              <w:snapToGrid w:val="0"/>
              <w:ind w:left="-105" w:leftChars="-50" w:right="-105" w:rightChars="-50"/>
              <w:jc w:val="center"/>
              <w:rPr>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82" w:type="dxa"/>
            <w:vAlign w:val="center"/>
          </w:tcPr>
          <w:p>
            <w:pPr>
              <w:pStyle w:val="41"/>
              <w:shd w:val="clear" w:color="auto" w:fill="FFFFFF"/>
              <w:adjustRightInd w:val="0"/>
              <w:snapToGrid w:val="0"/>
              <w:ind w:left="-105" w:leftChars="-50" w:right="-105" w:rightChars="-50"/>
              <w:jc w:val="center"/>
              <w:rPr>
                <w:bCs/>
                <w:color w:val="auto"/>
                <w:spacing w:val="16"/>
                <w:sz w:val="18"/>
                <w:szCs w:val="18"/>
                <w:highlight w:val="none"/>
              </w:rPr>
            </w:pPr>
            <w:r>
              <w:rPr>
                <w:rFonts w:hint="eastAsia"/>
                <w:bCs/>
                <w:color w:val="auto"/>
                <w:spacing w:val="27"/>
                <w:sz w:val="18"/>
                <w:szCs w:val="18"/>
                <w:highlight w:val="none"/>
              </w:rPr>
              <w:t>地址</w:t>
            </w:r>
          </w:p>
        </w:tc>
        <w:tc>
          <w:tcPr>
            <w:tcW w:w="3979" w:type="dxa"/>
            <w:gridSpan w:val="6"/>
            <w:tcBorders>
              <w:bottom w:val="single" w:color="auto" w:sz="4" w:space="0"/>
            </w:tcBorders>
            <w:vAlign w:val="center"/>
          </w:tcPr>
          <w:p>
            <w:pPr>
              <w:pStyle w:val="41"/>
              <w:shd w:val="clear" w:color="auto" w:fill="FFFFFF"/>
              <w:adjustRightInd w:val="0"/>
              <w:snapToGrid w:val="0"/>
              <w:ind w:left="-105" w:leftChars="-50" w:right="-105" w:rightChars="-50"/>
              <w:jc w:val="center"/>
              <w:rPr>
                <w:bCs/>
                <w:color w:val="auto"/>
                <w:spacing w:val="16"/>
                <w:sz w:val="18"/>
                <w:szCs w:val="18"/>
                <w:highlight w:val="none"/>
              </w:rPr>
            </w:pPr>
          </w:p>
        </w:tc>
        <w:tc>
          <w:tcPr>
            <w:tcW w:w="2001" w:type="dxa"/>
            <w:gridSpan w:val="3"/>
            <w:vAlign w:val="center"/>
          </w:tcPr>
          <w:p>
            <w:pPr>
              <w:pStyle w:val="41"/>
              <w:shd w:val="clear" w:color="auto" w:fill="FFFFFF"/>
              <w:adjustRightInd w:val="0"/>
              <w:snapToGrid w:val="0"/>
              <w:ind w:left="-105" w:leftChars="-50" w:right="-105" w:rightChars="-50"/>
              <w:jc w:val="center"/>
              <w:rPr>
                <w:bCs/>
                <w:color w:val="auto"/>
                <w:spacing w:val="16"/>
                <w:sz w:val="18"/>
                <w:szCs w:val="18"/>
                <w:highlight w:val="none"/>
              </w:rPr>
            </w:pPr>
            <w:r>
              <w:rPr>
                <w:rFonts w:hint="eastAsia"/>
                <w:bCs/>
                <w:color w:val="auto"/>
                <w:spacing w:val="16"/>
                <w:sz w:val="18"/>
                <w:szCs w:val="18"/>
                <w:highlight w:val="none"/>
              </w:rPr>
              <w:t>企业性质</w:t>
            </w:r>
          </w:p>
        </w:tc>
        <w:tc>
          <w:tcPr>
            <w:tcW w:w="2151" w:type="dxa"/>
            <w:gridSpan w:val="2"/>
            <w:vAlign w:val="center"/>
          </w:tcPr>
          <w:p>
            <w:pPr>
              <w:pStyle w:val="41"/>
              <w:shd w:val="clear" w:color="auto" w:fill="FFFFFF"/>
              <w:adjustRightInd w:val="0"/>
              <w:snapToGrid w:val="0"/>
              <w:ind w:left="-105" w:leftChars="-50" w:right="-105" w:rightChars="-50"/>
              <w:jc w:val="center"/>
              <w:rPr>
                <w:bCs/>
                <w:color w:val="auto"/>
                <w:spacing w:val="16"/>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682" w:type="dxa"/>
            <w:tcBorders>
              <w:bottom w:val="single" w:color="auto" w:sz="4" w:space="0"/>
            </w:tcBorders>
            <w:vAlign w:val="center"/>
          </w:tcPr>
          <w:p>
            <w:pPr>
              <w:pStyle w:val="41"/>
              <w:shd w:val="clear" w:color="auto" w:fill="FFFFFF"/>
              <w:adjustRightInd w:val="0"/>
              <w:snapToGrid w:val="0"/>
              <w:ind w:left="-105" w:leftChars="-50" w:right="-105" w:rightChars="-50"/>
              <w:jc w:val="center"/>
              <w:rPr>
                <w:bCs/>
                <w:color w:val="auto"/>
                <w:spacing w:val="16"/>
                <w:sz w:val="18"/>
                <w:szCs w:val="18"/>
                <w:highlight w:val="none"/>
              </w:rPr>
            </w:pPr>
            <w:r>
              <w:rPr>
                <w:rFonts w:hint="eastAsia"/>
                <w:bCs/>
                <w:color w:val="auto"/>
                <w:spacing w:val="27"/>
                <w:sz w:val="18"/>
                <w:szCs w:val="18"/>
                <w:highlight w:val="none"/>
              </w:rPr>
              <w:t>股东姓名</w:t>
            </w:r>
          </w:p>
        </w:tc>
        <w:tc>
          <w:tcPr>
            <w:tcW w:w="701" w:type="dxa"/>
            <w:tcBorders>
              <w:bottom w:val="single" w:color="auto" w:sz="4" w:space="0"/>
            </w:tcBorders>
            <w:vAlign w:val="center"/>
          </w:tcPr>
          <w:p>
            <w:pPr>
              <w:pStyle w:val="41"/>
              <w:shd w:val="clear" w:color="auto" w:fill="FFFFFF"/>
              <w:adjustRightInd w:val="0"/>
              <w:snapToGrid w:val="0"/>
              <w:spacing w:before="0" w:beforeAutospacing="0" w:after="0" w:afterAutospacing="0"/>
              <w:ind w:left="-105" w:leftChars="-50" w:right="-105" w:rightChars="-50"/>
              <w:jc w:val="center"/>
              <w:rPr>
                <w:bCs/>
                <w:color w:val="auto"/>
                <w:spacing w:val="16"/>
                <w:sz w:val="18"/>
                <w:szCs w:val="18"/>
                <w:highlight w:val="none"/>
              </w:rPr>
            </w:pPr>
          </w:p>
        </w:tc>
        <w:tc>
          <w:tcPr>
            <w:tcW w:w="910" w:type="dxa"/>
            <w:gridSpan w:val="2"/>
            <w:tcBorders>
              <w:bottom w:val="single" w:color="auto" w:sz="4" w:space="0"/>
            </w:tcBorders>
            <w:vAlign w:val="center"/>
          </w:tcPr>
          <w:p>
            <w:pPr>
              <w:pStyle w:val="41"/>
              <w:shd w:val="clear" w:color="auto" w:fill="FFFFFF"/>
              <w:adjustRightInd w:val="0"/>
              <w:snapToGrid w:val="0"/>
              <w:ind w:left="-105" w:leftChars="-50" w:right="-105" w:rightChars="-50"/>
              <w:jc w:val="center"/>
              <w:rPr>
                <w:bCs/>
                <w:color w:val="auto"/>
                <w:spacing w:val="16"/>
                <w:sz w:val="18"/>
                <w:szCs w:val="18"/>
                <w:highlight w:val="none"/>
              </w:rPr>
            </w:pPr>
            <w:r>
              <w:rPr>
                <w:rFonts w:hint="eastAsia"/>
                <w:bCs/>
                <w:color w:val="auto"/>
                <w:spacing w:val="16"/>
                <w:sz w:val="18"/>
                <w:szCs w:val="18"/>
                <w:highlight w:val="none"/>
              </w:rPr>
              <w:t>股权结构（%）</w:t>
            </w:r>
          </w:p>
        </w:tc>
        <w:tc>
          <w:tcPr>
            <w:tcW w:w="2368" w:type="dxa"/>
            <w:gridSpan w:val="3"/>
            <w:tcBorders>
              <w:bottom w:val="single" w:color="auto" w:sz="4" w:space="0"/>
            </w:tcBorders>
            <w:vAlign w:val="center"/>
          </w:tcPr>
          <w:p>
            <w:pPr>
              <w:widowControl/>
              <w:adjustRightInd w:val="0"/>
              <w:snapToGrid w:val="0"/>
              <w:ind w:left="-105" w:leftChars="-50" w:right="-105" w:rightChars="-50"/>
              <w:jc w:val="center"/>
              <w:rPr>
                <w:rFonts w:ascii="宋体" w:hAnsi="宋体" w:cs="宋体"/>
                <w:bCs/>
                <w:color w:val="auto"/>
                <w:spacing w:val="16"/>
                <w:kern w:val="0"/>
                <w:sz w:val="18"/>
                <w:szCs w:val="18"/>
                <w:highlight w:val="none"/>
              </w:rPr>
            </w:pPr>
          </w:p>
          <w:p>
            <w:pPr>
              <w:pStyle w:val="41"/>
              <w:shd w:val="clear" w:color="auto" w:fill="FFFFFF"/>
              <w:adjustRightInd w:val="0"/>
              <w:snapToGrid w:val="0"/>
              <w:ind w:left="-105" w:leftChars="-50" w:right="-105" w:rightChars="-50"/>
              <w:jc w:val="center"/>
              <w:rPr>
                <w:bCs/>
                <w:color w:val="auto"/>
                <w:spacing w:val="16"/>
                <w:sz w:val="18"/>
                <w:szCs w:val="18"/>
                <w:highlight w:val="none"/>
              </w:rPr>
            </w:pPr>
          </w:p>
        </w:tc>
        <w:tc>
          <w:tcPr>
            <w:tcW w:w="2001" w:type="dxa"/>
            <w:gridSpan w:val="3"/>
            <w:vAlign w:val="center"/>
          </w:tcPr>
          <w:p>
            <w:pPr>
              <w:pStyle w:val="41"/>
              <w:shd w:val="clear" w:color="auto" w:fill="FFFFFF"/>
              <w:adjustRightInd w:val="0"/>
              <w:snapToGrid w:val="0"/>
              <w:ind w:left="-105" w:leftChars="-50" w:right="-105" w:rightChars="-50"/>
              <w:jc w:val="center"/>
              <w:rPr>
                <w:bCs/>
                <w:color w:val="auto"/>
                <w:spacing w:val="16"/>
                <w:sz w:val="18"/>
                <w:szCs w:val="18"/>
                <w:highlight w:val="none"/>
              </w:rPr>
            </w:pPr>
            <w:r>
              <w:rPr>
                <w:rFonts w:hint="eastAsia"/>
                <w:bCs/>
                <w:color w:val="auto"/>
                <w:spacing w:val="16"/>
                <w:sz w:val="18"/>
                <w:szCs w:val="18"/>
                <w:highlight w:val="none"/>
              </w:rPr>
              <w:t>股东关系</w:t>
            </w:r>
          </w:p>
        </w:tc>
        <w:tc>
          <w:tcPr>
            <w:tcW w:w="2151" w:type="dxa"/>
            <w:gridSpan w:val="2"/>
            <w:vAlign w:val="center"/>
          </w:tcPr>
          <w:p>
            <w:pPr>
              <w:pStyle w:val="41"/>
              <w:shd w:val="clear" w:color="auto" w:fill="FFFFFF"/>
              <w:adjustRightInd w:val="0"/>
              <w:snapToGrid w:val="0"/>
              <w:ind w:left="-105" w:leftChars="-50" w:right="-105" w:rightChars="-50"/>
              <w:jc w:val="center"/>
              <w:rPr>
                <w:bCs/>
                <w:color w:val="auto"/>
                <w:spacing w:val="16"/>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682" w:type="dxa"/>
            <w:vMerge w:val="restart"/>
            <w:vAlign w:val="center"/>
          </w:tcPr>
          <w:p>
            <w:pPr>
              <w:pStyle w:val="41"/>
              <w:shd w:val="clear" w:color="auto" w:fill="FFFFFF"/>
              <w:adjustRightInd w:val="0"/>
              <w:snapToGrid w:val="0"/>
              <w:ind w:left="-105" w:leftChars="-50" w:right="-105" w:rightChars="-50"/>
              <w:jc w:val="center"/>
              <w:rPr>
                <w:bCs/>
                <w:color w:val="auto"/>
                <w:spacing w:val="16"/>
                <w:sz w:val="18"/>
                <w:szCs w:val="18"/>
                <w:highlight w:val="none"/>
              </w:rPr>
            </w:pPr>
            <w:r>
              <w:rPr>
                <w:rFonts w:hint="eastAsia"/>
                <w:bCs/>
                <w:color w:val="auto"/>
                <w:spacing w:val="12"/>
                <w:sz w:val="18"/>
                <w:szCs w:val="18"/>
                <w:highlight w:val="none"/>
              </w:rPr>
              <w:t>联系人</w:t>
            </w:r>
            <w:r>
              <w:rPr>
                <w:rFonts w:hint="eastAsia"/>
                <w:bCs/>
                <w:color w:val="auto"/>
                <w:spacing w:val="27"/>
                <w:sz w:val="18"/>
                <w:szCs w:val="18"/>
                <w:highlight w:val="none"/>
              </w:rPr>
              <w:t>姓名</w:t>
            </w:r>
          </w:p>
        </w:tc>
        <w:tc>
          <w:tcPr>
            <w:tcW w:w="701" w:type="dxa"/>
            <w:vMerge w:val="restart"/>
            <w:tcBorders>
              <w:top w:val="nil"/>
            </w:tcBorders>
            <w:vAlign w:val="center"/>
          </w:tcPr>
          <w:p>
            <w:pPr>
              <w:pStyle w:val="41"/>
              <w:shd w:val="clear" w:color="auto" w:fill="FFFFFF"/>
              <w:adjustRightInd w:val="0"/>
              <w:snapToGrid w:val="0"/>
              <w:ind w:left="-105" w:leftChars="-50" w:right="-105" w:rightChars="-50"/>
              <w:jc w:val="center"/>
              <w:rPr>
                <w:bCs/>
                <w:color w:val="auto"/>
                <w:spacing w:val="16"/>
                <w:sz w:val="18"/>
                <w:szCs w:val="18"/>
                <w:highlight w:val="none"/>
              </w:rPr>
            </w:pPr>
          </w:p>
        </w:tc>
        <w:tc>
          <w:tcPr>
            <w:tcW w:w="910" w:type="dxa"/>
            <w:gridSpan w:val="2"/>
            <w:tcBorders>
              <w:top w:val="nil"/>
              <w:bottom w:val="single" w:color="auto" w:sz="4" w:space="0"/>
            </w:tcBorders>
            <w:vAlign w:val="center"/>
          </w:tcPr>
          <w:p>
            <w:pPr>
              <w:pStyle w:val="41"/>
              <w:shd w:val="clear" w:color="auto" w:fill="FFFFFF"/>
              <w:adjustRightInd w:val="0"/>
              <w:snapToGrid w:val="0"/>
              <w:ind w:left="-105" w:leftChars="-50" w:right="-105" w:rightChars="-50"/>
              <w:jc w:val="center"/>
              <w:rPr>
                <w:bCs/>
                <w:color w:val="auto"/>
                <w:spacing w:val="16"/>
                <w:sz w:val="18"/>
                <w:szCs w:val="18"/>
                <w:highlight w:val="none"/>
              </w:rPr>
            </w:pPr>
            <w:r>
              <w:rPr>
                <w:rFonts w:hint="eastAsia"/>
                <w:bCs/>
                <w:color w:val="auto"/>
                <w:spacing w:val="16"/>
                <w:sz w:val="18"/>
                <w:szCs w:val="18"/>
                <w:highlight w:val="none"/>
              </w:rPr>
              <w:t>固定电话</w:t>
            </w:r>
          </w:p>
        </w:tc>
        <w:tc>
          <w:tcPr>
            <w:tcW w:w="2368" w:type="dxa"/>
            <w:gridSpan w:val="3"/>
            <w:tcBorders>
              <w:top w:val="nil"/>
              <w:bottom w:val="single" w:color="auto" w:sz="4" w:space="0"/>
            </w:tcBorders>
            <w:vAlign w:val="center"/>
          </w:tcPr>
          <w:p>
            <w:pPr>
              <w:pStyle w:val="41"/>
              <w:shd w:val="clear" w:color="auto" w:fill="FFFFFF"/>
              <w:adjustRightInd w:val="0"/>
              <w:snapToGrid w:val="0"/>
              <w:ind w:right="-105" w:rightChars="-50"/>
              <w:rPr>
                <w:bCs/>
                <w:color w:val="auto"/>
                <w:spacing w:val="16"/>
                <w:sz w:val="18"/>
                <w:szCs w:val="18"/>
                <w:highlight w:val="none"/>
              </w:rPr>
            </w:pPr>
          </w:p>
        </w:tc>
        <w:tc>
          <w:tcPr>
            <w:tcW w:w="2001" w:type="dxa"/>
            <w:gridSpan w:val="3"/>
            <w:vMerge w:val="restart"/>
            <w:vAlign w:val="center"/>
          </w:tcPr>
          <w:p>
            <w:pPr>
              <w:pStyle w:val="41"/>
              <w:shd w:val="clear" w:color="auto" w:fill="FFFFFF"/>
              <w:adjustRightInd w:val="0"/>
              <w:snapToGrid w:val="0"/>
              <w:spacing w:before="0" w:beforeAutospacing="0" w:after="0" w:afterAutospacing="0"/>
              <w:ind w:left="-105" w:leftChars="-50" w:right="-105" w:rightChars="-50"/>
              <w:jc w:val="center"/>
              <w:rPr>
                <w:bCs/>
                <w:color w:val="auto"/>
                <w:spacing w:val="16"/>
                <w:sz w:val="18"/>
                <w:szCs w:val="18"/>
                <w:highlight w:val="none"/>
              </w:rPr>
            </w:pPr>
            <w:r>
              <w:rPr>
                <w:rFonts w:hint="eastAsia"/>
                <w:bCs/>
                <w:color w:val="auto"/>
                <w:spacing w:val="16"/>
                <w:sz w:val="18"/>
                <w:szCs w:val="18"/>
                <w:highlight w:val="none"/>
              </w:rPr>
              <w:t>传真</w:t>
            </w:r>
          </w:p>
        </w:tc>
        <w:tc>
          <w:tcPr>
            <w:tcW w:w="2151" w:type="dxa"/>
            <w:gridSpan w:val="2"/>
            <w:vMerge w:val="restart"/>
            <w:vAlign w:val="center"/>
          </w:tcPr>
          <w:p>
            <w:pPr>
              <w:pStyle w:val="41"/>
              <w:shd w:val="clear" w:color="auto" w:fill="FFFFFF"/>
              <w:adjustRightInd w:val="0"/>
              <w:snapToGrid w:val="0"/>
              <w:ind w:left="-105" w:leftChars="-50" w:right="-105" w:rightChars="-50"/>
              <w:jc w:val="center"/>
              <w:rPr>
                <w:bCs/>
                <w:color w:val="auto"/>
                <w:spacing w:val="16"/>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682" w:type="dxa"/>
            <w:vMerge w:val="continue"/>
            <w:tcBorders>
              <w:bottom w:val="single" w:color="auto" w:sz="4" w:space="0"/>
            </w:tcBorders>
            <w:vAlign w:val="center"/>
          </w:tcPr>
          <w:p>
            <w:pPr>
              <w:pStyle w:val="41"/>
              <w:shd w:val="clear" w:color="auto" w:fill="FFFFFF"/>
              <w:adjustRightInd w:val="0"/>
              <w:snapToGrid w:val="0"/>
              <w:ind w:left="-105" w:leftChars="-50" w:right="-105" w:rightChars="-50"/>
              <w:jc w:val="center"/>
              <w:rPr>
                <w:bCs/>
                <w:color w:val="auto"/>
                <w:sz w:val="18"/>
                <w:szCs w:val="18"/>
                <w:highlight w:val="none"/>
              </w:rPr>
            </w:pPr>
          </w:p>
        </w:tc>
        <w:tc>
          <w:tcPr>
            <w:tcW w:w="701" w:type="dxa"/>
            <w:vMerge w:val="continue"/>
            <w:tcBorders>
              <w:bottom w:val="single" w:color="auto" w:sz="4" w:space="0"/>
            </w:tcBorders>
            <w:vAlign w:val="center"/>
          </w:tcPr>
          <w:p>
            <w:pPr>
              <w:pStyle w:val="41"/>
              <w:shd w:val="clear" w:color="auto" w:fill="FFFFFF"/>
              <w:adjustRightInd w:val="0"/>
              <w:snapToGrid w:val="0"/>
              <w:ind w:left="-105" w:leftChars="-50" w:right="-105" w:rightChars="-50"/>
              <w:jc w:val="center"/>
              <w:rPr>
                <w:bCs/>
                <w:color w:val="auto"/>
                <w:spacing w:val="16"/>
                <w:sz w:val="18"/>
                <w:szCs w:val="18"/>
                <w:highlight w:val="none"/>
              </w:rPr>
            </w:pPr>
          </w:p>
        </w:tc>
        <w:tc>
          <w:tcPr>
            <w:tcW w:w="910" w:type="dxa"/>
            <w:gridSpan w:val="2"/>
            <w:tcBorders>
              <w:bottom w:val="single" w:color="auto" w:sz="4" w:space="0"/>
            </w:tcBorders>
            <w:vAlign w:val="center"/>
          </w:tcPr>
          <w:p>
            <w:pPr>
              <w:pStyle w:val="41"/>
              <w:shd w:val="clear" w:color="auto" w:fill="FFFFFF"/>
              <w:adjustRightInd w:val="0"/>
              <w:snapToGrid w:val="0"/>
              <w:ind w:left="-105" w:leftChars="-50" w:right="-105" w:rightChars="-50"/>
              <w:jc w:val="center"/>
              <w:rPr>
                <w:bCs/>
                <w:color w:val="auto"/>
                <w:spacing w:val="16"/>
                <w:sz w:val="18"/>
                <w:szCs w:val="18"/>
                <w:highlight w:val="none"/>
              </w:rPr>
            </w:pPr>
            <w:r>
              <w:rPr>
                <w:rFonts w:hint="eastAsia"/>
                <w:bCs/>
                <w:color w:val="auto"/>
                <w:spacing w:val="27"/>
                <w:sz w:val="18"/>
                <w:szCs w:val="18"/>
                <w:highlight w:val="none"/>
              </w:rPr>
              <w:t>手机</w:t>
            </w:r>
          </w:p>
        </w:tc>
        <w:tc>
          <w:tcPr>
            <w:tcW w:w="2368" w:type="dxa"/>
            <w:gridSpan w:val="3"/>
            <w:tcBorders>
              <w:bottom w:val="single" w:color="auto" w:sz="4" w:space="0"/>
            </w:tcBorders>
            <w:vAlign w:val="center"/>
          </w:tcPr>
          <w:p>
            <w:pPr>
              <w:pStyle w:val="41"/>
              <w:shd w:val="clear" w:color="auto" w:fill="FFFFFF"/>
              <w:adjustRightInd w:val="0"/>
              <w:snapToGrid w:val="0"/>
              <w:ind w:left="-105" w:leftChars="-50" w:right="-105" w:rightChars="-50"/>
              <w:jc w:val="center"/>
              <w:rPr>
                <w:bCs/>
                <w:color w:val="auto"/>
                <w:spacing w:val="16"/>
                <w:sz w:val="18"/>
                <w:szCs w:val="18"/>
                <w:highlight w:val="none"/>
              </w:rPr>
            </w:pPr>
          </w:p>
        </w:tc>
        <w:tc>
          <w:tcPr>
            <w:tcW w:w="2001" w:type="dxa"/>
            <w:gridSpan w:val="3"/>
            <w:vMerge w:val="continue"/>
            <w:vAlign w:val="center"/>
          </w:tcPr>
          <w:p>
            <w:pPr>
              <w:pStyle w:val="41"/>
              <w:shd w:val="clear" w:color="auto" w:fill="FFFFFF"/>
              <w:adjustRightInd w:val="0"/>
              <w:snapToGrid w:val="0"/>
              <w:ind w:left="-105" w:leftChars="-50" w:right="-105" w:rightChars="-50"/>
              <w:jc w:val="center"/>
              <w:rPr>
                <w:bCs/>
                <w:color w:val="auto"/>
                <w:spacing w:val="16"/>
                <w:sz w:val="18"/>
                <w:szCs w:val="18"/>
                <w:highlight w:val="none"/>
              </w:rPr>
            </w:pPr>
          </w:p>
        </w:tc>
        <w:tc>
          <w:tcPr>
            <w:tcW w:w="2151" w:type="dxa"/>
            <w:gridSpan w:val="2"/>
            <w:vMerge w:val="continue"/>
            <w:vAlign w:val="center"/>
          </w:tcPr>
          <w:p>
            <w:pPr>
              <w:pStyle w:val="41"/>
              <w:shd w:val="clear" w:color="auto" w:fill="FFFFFF"/>
              <w:adjustRightInd w:val="0"/>
              <w:snapToGrid w:val="0"/>
              <w:ind w:left="-105" w:leftChars="-50" w:right="-105" w:rightChars="-50"/>
              <w:jc w:val="center"/>
              <w:rPr>
                <w:bCs/>
                <w:color w:val="auto"/>
                <w:spacing w:val="16"/>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682" w:type="dxa"/>
            <w:vMerge w:val="restart"/>
            <w:vAlign w:val="center"/>
          </w:tcPr>
          <w:p>
            <w:pPr>
              <w:pStyle w:val="41"/>
              <w:shd w:val="clear" w:color="auto" w:fill="FFFFFF"/>
              <w:adjustRightInd w:val="0"/>
              <w:snapToGrid w:val="0"/>
              <w:ind w:left="-105" w:leftChars="-50" w:right="-105" w:rightChars="-50"/>
              <w:jc w:val="center"/>
              <w:rPr>
                <w:bCs/>
                <w:color w:val="auto"/>
                <w:sz w:val="18"/>
                <w:szCs w:val="18"/>
                <w:highlight w:val="none"/>
              </w:rPr>
            </w:pPr>
            <w:r>
              <w:rPr>
                <w:bCs/>
                <w:color w:val="auto"/>
                <w:sz w:val="18"/>
                <w:szCs w:val="18"/>
                <w:highlight w:val="none"/>
              </w:rPr>
              <w:t>1</w:t>
            </w:r>
            <w:r>
              <w:rPr>
                <w:rFonts w:hint="eastAsia"/>
                <w:bCs/>
                <w:color w:val="auto"/>
                <w:sz w:val="18"/>
                <w:szCs w:val="18"/>
                <w:highlight w:val="none"/>
              </w:rPr>
              <w:t>.</w:t>
            </w:r>
          </w:p>
          <w:p>
            <w:pPr>
              <w:pStyle w:val="41"/>
              <w:shd w:val="clear" w:color="auto" w:fill="FFFFFF"/>
              <w:adjustRightInd w:val="0"/>
              <w:snapToGrid w:val="0"/>
              <w:ind w:left="-105" w:leftChars="-50" w:right="-105" w:rightChars="-50"/>
              <w:jc w:val="center"/>
              <w:rPr>
                <w:bCs/>
                <w:color w:val="auto"/>
                <w:sz w:val="18"/>
                <w:szCs w:val="18"/>
                <w:highlight w:val="none"/>
              </w:rPr>
            </w:pPr>
            <w:r>
              <w:rPr>
                <w:rFonts w:hint="eastAsia"/>
                <w:bCs/>
                <w:color w:val="auto"/>
                <w:sz w:val="18"/>
                <w:szCs w:val="18"/>
                <w:highlight w:val="none"/>
              </w:rPr>
              <w:t>企</w:t>
            </w:r>
          </w:p>
          <w:p>
            <w:pPr>
              <w:pStyle w:val="41"/>
              <w:shd w:val="clear" w:color="auto" w:fill="FFFFFF"/>
              <w:adjustRightInd w:val="0"/>
              <w:snapToGrid w:val="0"/>
              <w:ind w:left="-105" w:leftChars="-50" w:right="-105" w:rightChars="-50"/>
              <w:jc w:val="center"/>
              <w:rPr>
                <w:bCs/>
                <w:color w:val="auto"/>
                <w:sz w:val="18"/>
                <w:szCs w:val="18"/>
                <w:highlight w:val="none"/>
              </w:rPr>
            </w:pPr>
            <w:r>
              <w:rPr>
                <w:rFonts w:hint="eastAsia"/>
                <w:bCs/>
                <w:color w:val="auto"/>
                <w:sz w:val="18"/>
                <w:szCs w:val="18"/>
                <w:highlight w:val="none"/>
              </w:rPr>
              <w:t>业</w:t>
            </w:r>
          </w:p>
          <w:p>
            <w:pPr>
              <w:pStyle w:val="41"/>
              <w:shd w:val="clear" w:color="auto" w:fill="FFFFFF"/>
              <w:adjustRightInd w:val="0"/>
              <w:snapToGrid w:val="0"/>
              <w:ind w:left="-105" w:leftChars="-50" w:right="-105" w:rightChars="-50"/>
              <w:jc w:val="center"/>
              <w:rPr>
                <w:bCs/>
                <w:color w:val="auto"/>
                <w:spacing w:val="27"/>
                <w:sz w:val="18"/>
                <w:szCs w:val="18"/>
                <w:highlight w:val="none"/>
              </w:rPr>
            </w:pPr>
            <w:r>
              <w:rPr>
                <w:rFonts w:hint="eastAsia"/>
                <w:bCs/>
                <w:color w:val="auto"/>
                <w:spacing w:val="27"/>
                <w:sz w:val="18"/>
                <w:szCs w:val="18"/>
                <w:highlight w:val="none"/>
              </w:rPr>
              <w:t>概</w:t>
            </w:r>
          </w:p>
          <w:p>
            <w:pPr>
              <w:pStyle w:val="41"/>
              <w:shd w:val="clear" w:color="auto" w:fill="FFFFFF"/>
              <w:adjustRightInd w:val="0"/>
              <w:snapToGrid w:val="0"/>
              <w:ind w:left="-105" w:leftChars="-50" w:right="-105" w:rightChars="-50"/>
              <w:jc w:val="center"/>
              <w:rPr>
                <w:bCs/>
                <w:color w:val="auto"/>
                <w:sz w:val="18"/>
                <w:szCs w:val="18"/>
                <w:highlight w:val="none"/>
              </w:rPr>
            </w:pPr>
            <w:r>
              <w:rPr>
                <w:rFonts w:hint="eastAsia"/>
                <w:bCs/>
                <w:color w:val="auto"/>
                <w:spacing w:val="27"/>
                <w:sz w:val="18"/>
                <w:szCs w:val="18"/>
                <w:highlight w:val="none"/>
              </w:rPr>
              <w:t>况</w:t>
            </w:r>
          </w:p>
        </w:tc>
        <w:tc>
          <w:tcPr>
            <w:tcW w:w="701" w:type="dxa"/>
            <w:tcBorders>
              <w:top w:val="nil"/>
            </w:tcBorders>
            <w:vAlign w:val="center"/>
          </w:tcPr>
          <w:p>
            <w:pPr>
              <w:pStyle w:val="41"/>
              <w:shd w:val="clear" w:color="auto" w:fill="FFFFFF"/>
              <w:adjustRightInd w:val="0"/>
              <w:snapToGrid w:val="0"/>
              <w:ind w:left="-105" w:leftChars="-50" w:right="-105" w:rightChars="-50"/>
              <w:jc w:val="center"/>
              <w:rPr>
                <w:bCs/>
                <w:color w:val="auto"/>
                <w:spacing w:val="16"/>
                <w:sz w:val="18"/>
                <w:szCs w:val="18"/>
                <w:highlight w:val="none"/>
              </w:rPr>
            </w:pPr>
            <w:r>
              <w:rPr>
                <w:rFonts w:hint="eastAsia"/>
                <w:bCs/>
                <w:color w:val="auto"/>
                <w:spacing w:val="16"/>
                <w:sz w:val="18"/>
                <w:szCs w:val="18"/>
                <w:highlight w:val="none"/>
              </w:rPr>
              <w:t>职工人数</w:t>
            </w:r>
          </w:p>
        </w:tc>
        <w:tc>
          <w:tcPr>
            <w:tcW w:w="910" w:type="dxa"/>
            <w:gridSpan w:val="2"/>
            <w:tcBorders>
              <w:top w:val="nil"/>
            </w:tcBorders>
            <w:vAlign w:val="center"/>
          </w:tcPr>
          <w:p>
            <w:pPr>
              <w:pStyle w:val="41"/>
              <w:shd w:val="clear" w:color="auto" w:fill="FFFFFF"/>
              <w:adjustRightInd w:val="0"/>
              <w:snapToGrid w:val="0"/>
              <w:ind w:left="-105" w:leftChars="-50" w:right="-105" w:rightChars="-50"/>
              <w:jc w:val="center"/>
              <w:rPr>
                <w:bCs/>
                <w:color w:val="auto"/>
                <w:spacing w:val="16"/>
                <w:sz w:val="18"/>
                <w:szCs w:val="18"/>
                <w:highlight w:val="none"/>
              </w:rPr>
            </w:pPr>
          </w:p>
        </w:tc>
        <w:tc>
          <w:tcPr>
            <w:tcW w:w="1163" w:type="dxa"/>
            <w:tcBorders>
              <w:top w:val="nil"/>
            </w:tcBorders>
            <w:vAlign w:val="center"/>
          </w:tcPr>
          <w:p>
            <w:pPr>
              <w:pStyle w:val="41"/>
              <w:shd w:val="clear" w:color="auto" w:fill="FFFFFF"/>
              <w:adjustRightInd w:val="0"/>
              <w:snapToGrid w:val="0"/>
              <w:spacing w:before="0" w:beforeAutospacing="0" w:after="0" w:afterAutospacing="0"/>
              <w:ind w:left="-105" w:leftChars="-50" w:right="-105" w:rightChars="-50"/>
              <w:jc w:val="center"/>
              <w:rPr>
                <w:bCs/>
                <w:color w:val="auto"/>
                <w:sz w:val="18"/>
                <w:szCs w:val="18"/>
                <w:highlight w:val="none"/>
              </w:rPr>
            </w:pPr>
            <w:r>
              <w:rPr>
                <w:rFonts w:hint="eastAsia"/>
                <w:bCs/>
                <w:color w:val="auto"/>
                <w:spacing w:val="18"/>
                <w:sz w:val="18"/>
                <w:szCs w:val="18"/>
                <w:highlight w:val="none"/>
              </w:rPr>
              <w:t>具备大专以</w:t>
            </w:r>
            <w:r>
              <w:rPr>
                <w:rFonts w:hint="eastAsia"/>
                <w:bCs/>
                <w:color w:val="auto"/>
                <w:spacing w:val="12"/>
                <w:sz w:val="18"/>
                <w:szCs w:val="18"/>
                <w:highlight w:val="none"/>
              </w:rPr>
              <w:t>上学历人数</w:t>
            </w:r>
          </w:p>
        </w:tc>
        <w:tc>
          <w:tcPr>
            <w:tcW w:w="1205" w:type="dxa"/>
            <w:gridSpan w:val="2"/>
            <w:tcBorders>
              <w:top w:val="nil"/>
            </w:tcBorders>
            <w:vAlign w:val="center"/>
          </w:tcPr>
          <w:p>
            <w:pPr>
              <w:widowControl/>
              <w:adjustRightInd w:val="0"/>
              <w:snapToGrid w:val="0"/>
              <w:ind w:left="-105" w:leftChars="-50" w:right="-105" w:rightChars="-50"/>
              <w:jc w:val="center"/>
              <w:rPr>
                <w:rFonts w:ascii="宋体" w:hAnsi="宋体" w:cs="宋体"/>
                <w:bCs/>
                <w:color w:val="auto"/>
                <w:spacing w:val="16"/>
                <w:kern w:val="0"/>
                <w:sz w:val="18"/>
                <w:szCs w:val="18"/>
                <w:highlight w:val="none"/>
              </w:rPr>
            </w:pPr>
          </w:p>
          <w:p>
            <w:pPr>
              <w:widowControl/>
              <w:adjustRightInd w:val="0"/>
              <w:snapToGrid w:val="0"/>
              <w:ind w:left="-105" w:leftChars="-50" w:right="-105" w:rightChars="-50"/>
              <w:jc w:val="center"/>
              <w:rPr>
                <w:rFonts w:ascii="宋体" w:hAnsi="宋体" w:cs="宋体"/>
                <w:bCs/>
                <w:color w:val="auto"/>
                <w:spacing w:val="16"/>
                <w:kern w:val="0"/>
                <w:sz w:val="18"/>
                <w:szCs w:val="18"/>
                <w:highlight w:val="none"/>
              </w:rPr>
            </w:pPr>
          </w:p>
          <w:p>
            <w:pPr>
              <w:pStyle w:val="41"/>
              <w:shd w:val="clear" w:color="auto" w:fill="FFFFFF"/>
              <w:adjustRightInd w:val="0"/>
              <w:snapToGrid w:val="0"/>
              <w:ind w:left="-105" w:leftChars="-50" w:right="-105" w:rightChars="-50"/>
              <w:jc w:val="center"/>
              <w:rPr>
                <w:bCs/>
                <w:color w:val="auto"/>
                <w:spacing w:val="16"/>
                <w:sz w:val="18"/>
                <w:szCs w:val="18"/>
                <w:highlight w:val="none"/>
              </w:rPr>
            </w:pPr>
          </w:p>
        </w:tc>
        <w:tc>
          <w:tcPr>
            <w:tcW w:w="2001" w:type="dxa"/>
            <w:gridSpan w:val="3"/>
            <w:vAlign w:val="center"/>
          </w:tcPr>
          <w:p>
            <w:pPr>
              <w:pStyle w:val="41"/>
              <w:shd w:val="clear" w:color="auto" w:fill="FFFFFF"/>
              <w:adjustRightInd w:val="0"/>
              <w:snapToGrid w:val="0"/>
              <w:ind w:left="-105" w:leftChars="-50" w:right="-105" w:rightChars="-50"/>
              <w:jc w:val="center"/>
              <w:rPr>
                <w:bCs/>
                <w:color w:val="auto"/>
                <w:spacing w:val="16"/>
                <w:sz w:val="18"/>
                <w:szCs w:val="18"/>
                <w:highlight w:val="none"/>
              </w:rPr>
            </w:pPr>
            <w:r>
              <w:rPr>
                <w:rFonts w:hint="eastAsia"/>
                <w:bCs/>
                <w:color w:val="auto"/>
                <w:spacing w:val="65"/>
                <w:sz w:val="18"/>
                <w:szCs w:val="18"/>
                <w:highlight w:val="none"/>
              </w:rPr>
              <w:t>国家授予技</w:t>
            </w:r>
            <w:r>
              <w:rPr>
                <w:rFonts w:hint="eastAsia"/>
                <w:bCs/>
                <w:color w:val="auto"/>
                <w:spacing w:val="12"/>
                <w:sz w:val="18"/>
                <w:szCs w:val="18"/>
                <w:highlight w:val="none"/>
              </w:rPr>
              <w:t>术职称人数</w:t>
            </w:r>
          </w:p>
        </w:tc>
        <w:tc>
          <w:tcPr>
            <w:tcW w:w="2151" w:type="dxa"/>
            <w:gridSpan w:val="2"/>
            <w:vAlign w:val="center"/>
          </w:tcPr>
          <w:p>
            <w:pPr>
              <w:widowControl/>
              <w:adjustRightInd w:val="0"/>
              <w:snapToGrid w:val="0"/>
              <w:ind w:left="-105" w:leftChars="-50" w:right="-105" w:rightChars="-50"/>
              <w:jc w:val="center"/>
              <w:rPr>
                <w:rFonts w:ascii="宋体" w:hAnsi="宋体" w:cs="宋体"/>
                <w:bCs/>
                <w:color w:val="auto"/>
                <w:spacing w:val="16"/>
                <w:kern w:val="0"/>
                <w:sz w:val="18"/>
                <w:szCs w:val="18"/>
                <w:highlight w:val="none"/>
              </w:rPr>
            </w:pPr>
          </w:p>
          <w:p>
            <w:pPr>
              <w:pStyle w:val="41"/>
              <w:shd w:val="clear" w:color="auto" w:fill="FFFFFF"/>
              <w:adjustRightInd w:val="0"/>
              <w:snapToGrid w:val="0"/>
              <w:ind w:left="-105" w:leftChars="-50" w:right="-105" w:rightChars="-50"/>
              <w:jc w:val="center"/>
              <w:rPr>
                <w:bCs/>
                <w:color w:val="auto"/>
                <w:spacing w:val="16"/>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3" w:hRule="atLeast"/>
        </w:trPr>
        <w:tc>
          <w:tcPr>
            <w:tcW w:w="682" w:type="dxa"/>
            <w:vMerge w:val="continue"/>
            <w:vAlign w:val="center"/>
          </w:tcPr>
          <w:p>
            <w:pPr>
              <w:pStyle w:val="41"/>
              <w:shd w:val="clear" w:color="auto" w:fill="FFFFFF"/>
              <w:adjustRightInd w:val="0"/>
              <w:snapToGrid w:val="0"/>
              <w:ind w:left="-105" w:leftChars="-50" w:right="-105" w:rightChars="-50"/>
              <w:jc w:val="center"/>
              <w:rPr>
                <w:bCs/>
                <w:color w:val="auto"/>
                <w:sz w:val="18"/>
                <w:szCs w:val="18"/>
                <w:highlight w:val="none"/>
              </w:rPr>
            </w:pPr>
          </w:p>
        </w:tc>
        <w:tc>
          <w:tcPr>
            <w:tcW w:w="701" w:type="dxa"/>
            <w:vAlign w:val="center"/>
          </w:tcPr>
          <w:p>
            <w:pPr>
              <w:pStyle w:val="41"/>
              <w:shd w:val="clear" w:color="auto" w:fill="FFFFFF"/>
              <w:adjustRightInd w:val="0"/>
              <w:snapToGrid w:val="0"/>
              <w:ind w:left="-105" w:leftChars="-50" w:right="-105" w:rightChars="-50"/>
              <w:jc w:val="center"/>
              <w:rPr>
                <w:bCs/>
                <w:color w:val="auto"/>
                <w:sz w:val="18"/>
                <w:szCs w:val="18"/>
                <w:highlight w:val="none"/>
              </w:rPr>
            </w:pPr>
            <w:r>
              <w:rPr>
                <w:rFonts w:hint="eastAsia"/>
                <w:bCs/>
                <w:color w:val="auto"/>
                <w:spacing w:val="16"/>
                <w:sz w:val="18"/>
                <w:szCs w:val="18"/>
                <w:highlight w:val="none"/>
              </w:rPr>
              <w:t>占地面积</w:t>
            </w:r>
          </w:p>
        </w:tc>
        <w:tc>
          <w:tcPr>
            <w:tcW w:w="910" w:type="dxa"/>
            <w:gridSpan w:val="2"/>
            <w:vAlign w:val="center"/>
          </w:tcPr>
          <w:p>
            <w:pPr>
              <w:pStyle w:val="41"/>
              <w:shd w:val="clear" w:color="auto" w:fill="FFFFFF"/>
              <w:adjustRightInd w:val="0"/>
              <w:snapToGrid w:val="0"/>
              <w:ind w:left="-105" w:leftChars="-50" w:right="-105" w:rightChars="-50"/>
              <w:jc w:val="center"/>
              <w:rPr>
                <w:bCs/>
                <w:color w:val="auto"/>
                <w:sz w:val="18"/>
                <w:szCs w:val="18"/>
                <w:highlight w:val="none"/>
              </w:rPr>
            </w:pPr>
          </w:p>
        </w:tc>
        <w:tc>
          <w:tcPr>
            <w:tcW w:w="1163" w:type="dxa"/>
            <w:vAlign w:val="center"/>
          </w:tcPr>
          <w:p>
            <w:pPr>
              <w:pStyle w:val="41"/>
              <w:shd w:val="clear" w:color="auto" w:fill="FFFFFF"/>
              <w:adjustRightInd w:val="0"/>
              <w:snapToGrid w:val="0"/>
              <w:ind w:left="-105" w:leftChars="-50" w:right="-105" w:rightChars="-50"/>
              <w:jc w:val="center"/>
              <w:rPr>
                <w:bCs/>
                <w:color w:val="auto"/>
                <w:sz w:val="18"/>
                <w:szCs w:val="18"/>
                <w:highlight w:val="none"/>
              </w:rPr>
            </w:pPr>
            <w:r>
              <w:rPr>
                <w:rFonts w:hint="eastAsia"/>
                <w:bCs/>
                <w:color w:val="auto"/>
                <w:spacing w:val="16"/>
                <w:sz w:val="18"/>
                <w:szCs w:val="18"/>
                <w:highlight w:val="none"/>
              </w:rPr>
              <w:t>建筑面积</w:t>
            </w:r>
          </w:p>
        </w:tc>
        <w:tc>
          <w:tcPr>
            <w:tcW w:w="1205" w:type="dxa"/>
            <w:gridSpan w:val="2"/>
            <w:vAlign w:val="center"/>
          </w:tcPr>
          <w:p>
            <w:pPr>
              <w:pStyle w:val="41"/>
              <w:shd w:val="clear" w:color="auto" w:fill="FFFFFF"/>
              <w:adjustRightInd w:val="0"/>
              <w:snapToGrid w:val="0"/>
              <w:ind w:left="-105" w:leftChars="-50" w:right="-105" w:rightChars="-50" w:firstLine="420"/>
              <w:jc w:val="center"/>
              <w:rPr>
                <w:bCs/>
                <w:color w:val="auto"/>
                <w:sz w:val="18"/>
                <w:szCs w:val="18"/>
                <w:highlight w:val="none"/>
              </w:rPr>
            </w:pPr>
            <w:r>
              <w:rPr>
                <w:rFonts w:hint="eastAsia"/>
                <w:bCs/>
                <w:color w:val="auto"/>
                <w:sz w:val="18"/>
                <w:szCs w:val="18"/>
                <w:highlight w:val="none"/>
              </w:rPr>
              <w:t>平方米</w:t>
            </w:r>
          </w:p>
          <w:p>
            <w:pPr>
              <w:pStyle w:val="41"/>
              <w:shd w:val="clear" w:color="auto" w:fill="FFFFFF"/>
              <w:adjustRightInd w:val="0"/>
              <w:snapToGrid w:val="0"/>
              <w:ind w:left="-105" w:leftChars="-50" w:right="-105" w:rightChars="-50"/>
              <w:jc w:val="center"/>
              <w:rPr>
                <w:bCs/>
                <w:color w:val="auto"/>
                <w:sz w:val="18"/>
                <w:szCs w:val="18"/>
                <w:highlight w:val="none"/>
              </w:rPr>
            </w:pPr>
            <w:r>
              <w:rPr>
                <w:rFonts w:hint="eastAsia"/>
                <w:bCs/>
                <w:color w:val="auto"/>
                <w:spacing w:val="16"/>
                <w:sz w:val="18"/>
                <w:szCs w:val="18"/>
                <w:highlight w:val="none"/>
              </w:rPr>
              <w:t>□自有□租賃</w:t>
            </w:r>
          </w:p>
        </w:tc>
        <w:tc>
          <w:tcPr>
            <w:tcW w:w="2001" w:type="dxa"/>
            <w:gridSpan w:val="3"/>
            <w:vAlign w:val="center"/>
          </w:tcPr>
          <w:p>
            <w:pPr>
              <w:pStyle w:val="41"/>
              <w:shd w:val="clear" w:color="auto" w:fill="FFFFFF"/>
              <w:adjustRightInd w:val="0"/>
              <w:snapToGrid w:val="0"/>
              <w:ind w:left="-105" w:leftChars="-50" w:right="-105" w:rightChars="-50"/>
              <w:jc w:val="center"/>
              <w:rPr>
                <w:bCs/>
                <w:color w:val="auto"/>
                <w:sz w:val="18"/>
                <w:szCs w:val="18"/>
                <w:highlight w:val="none"/>
              </w:rPr>
            </w:pPr>
            <w:r>
              <w:rPr>
                <w:rFonts w:hint="eastAsia"/>
                <w:bCs/>
                <w:color w:val="auto"/>
                <w:spacing w:val="16"/>
                <w:sz w:val="18"/>
                <w:szCs w:val="18"/>
                <w:highlight w:val="none"/>
              </w:rPr>
              <w:t>生产经营场所及场所的设施与设备</w:t>
            </w:r>
          </w:p>
        </w:tc>
        <w:tc>
          <w:tcPr>
            <w:tcW w:w="2151" w:type="dxa"/>
            <w:gridSpan w:val="2"/>
            <w:vAlign w:val="center"/>
          </w:tcPr>
          <w:p>
            <w:pPr>
              <w:pStyle w:val="41"/>
              <w:shd w:val="clear" w:color="auto" w:fill="FFFFFF"/>
              <w:adjustRightInd w:val="0"/>
              <w:snapToGrid w:val="0"/>
              <w:spacing w:before="0" w:beforeAutospacing="0" w:after="0" w:afterAutospacing="0"/>
              <w:ind w:left="-105" w:leftChars="-50" w:right="-105" w:rightChars="-50"/>
              <w:jc w:val="center"/>
              <w:rPr>
                <w:bCs/>
                <w:color w:val="auto"/>
                <w:spacing w:val="16"/>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682" w:type="dxa"/>
            <w:vMerge w:val="continue"/>
            <w:vAlign w:val="center"/>
          </w:tcPr>
          <w:p>
            <w:pPr>
              <w:pStyle w:val="41"/>
              <w:shd w:val="clear" w:color="auto" w:fill="FFFFFF"/>
              <w:adjustRightInd w:val="0"/>
              <w:snapToGrid w:val="0"/>
              <w:ind w:left="-105" w:leftChars="-50" w:right="-105" w:rightChars="-50"/>
              <w:jc w:val="center"/>
              <w:rPr>
                <w:bCs/>
                <w:color w:val="auto"/>
                <w:sz w:val="18"/>
                <w:szCs w:val="18"/>
                <w:highlight w:val="none"/>
              </w:rPr>
            </w:pPr>
          </w:p>
        </w:tc>
        <w:tc>
          <w:tcPr>
            <w:tcW w:w="701" w:type="dxa"/>
            <w:vAlign w:val="center"/>
          </w:tcPr>
          <w:p>
            <w:pPr>
              <w:pStyle w:val="41"/>
              <w:shd w:val="clear" w:color="auto" w:fill="FFFFFF"/>
              <w:adjustRightInd w:val="0"/>
              <w:snapToGrid w:val="0"/>
              <w:ind w:left="-105" w:leftChars="-50" w:right="-105" w:rightChars="-50"/>
              <w:jc w:val="center"/>
              <w:rPr>
                <w:bCs/>
                <w:color w:val="auto"/>
                <w:spacing w:val="16"/>
                <w:sz w:val="18"/>
                <w:szCs w:val="18"/>
                <w:highlight w:val="none"/>
              </w:rPr>
            </w:pPr>
            <w:r>
              <w:rPr>
                <w:rFonts w:hint="eastAsia"/>
                <w:bCs/>
                <w:color w:val="auto"/>
                <w:spacing w:val="16"/>
                <w:sz w:val="18"/>
                <w:szCs w:val="18"/>
                <w:highlight w:val="none"/>
              </w:rPr>
              <w:t>注册资金</w:t>
            </w:r>
          </w:p>
        </w:tc>
        <w:tc>
          <w:tcPr>
            <w:tcW w:w="910" w:type="dxa"/>
            <w:gridSpan w:val="2"/>
            <w:vAlign w:val="center"/>
          </w:tcPr>
          <w:p>
            <w:pPr>
              <w:pStyle w:val="41"/>
              <w:shd w:val="clear" w:color="auto" w:fill="FFFFFF"/>
              <w:adjustRightInd w:val="0"/>
              <w:snapToGrid w:val="0"/>
              <w:ind w:left="-105" w:leftChars="-50" w:right="-105" w:rightChars="-50"/>
              <w:jc w:val="center"/>
              <w:rPr>
                <w:bCs/>
                <w:color w:val="auto"/>
                <w:sz w:val="18"/>
                <w:szCs w:val="18"/>
                <w:highlight w:val="none"/>
              </w:rPr>
            </w:pPr>
          </w:p>
        </w:tc>
        <w:tc>
          <w:tcPr>
            <w:tcW w:w="1163" w:type="dxa"/>
            <w:vAlign w:val="center"/>
          </w:tcPr>
          <w:p>
            <w:pPr>
              <w:pStyle w:val="41"/>
              <w:shd w:val="clear" w:color="auto" w:fill="FFFFFF"/>
              <w:adjustRightInd w:val="0"/>
              <w:snapToGrid w:val="0"/>
              <w:ind w:left="-105" w:leftChars="-50" w:right="-105" w:rightChars="-50"/>
              <w:jc w:val="center"/>
              <w:rPr>
                <w:bCs/>
                <w:color w:val="auto"/>
                <w:sz w:val="18"/>
                <w:szCs w:val="18"/>
                <w:highlight w:val="none"/>
              </w:rPr>
            </w:pPr>
            <w:r>
              <w:rPr>
                <w:rFonts w:hint="eastAsia"/>
                <w:bCs/>
                <w:color w:val="auto"/>
                <w:spacing w:val="16"/>
                <w:sz w:val="18"/>
                <w:szCs w:val="18"/>
                <w:highlight w:val="none"/>
              </w:rPr>
              <w:t>注册发证</w:t>
            </w:r>
            <w:r>
              <w:rPr>
                <w:rFonts w:hint="eastAsia"/>
                <w:bCs/>
                <w:color w:val="auto"/>
                <w:spacing w:val="27"/>
                <w:sz w:val="18"/>
                <w:szCs w:val="18"/>
                <w:highlight w:val="none"/>
              </w:rPr>
              <w:t>机关</w:t>
            </w:r>
          </w:p>
        </w:tc>
        <w:tc>
          <w:tcPr>
            <w:tcW w:w="3206" w:type="dxa"/>
            <w:gridSpan w:val="5"/>
            <w:vAlign w:val="center"/>
          </w:tcPr>
          <w:p>
            <w:pPr>
              <w:widowControl/>
              <w:adjustRightInd w:val="0"/>
              <w:snapToGrid w:val="0"/>
              <w:ind w:left="-105" w:leftChars="-50" w:right="-105" w:rightChars="-50"/>
              <w:jc w:val="center"/>
              <w:rPr>
                <w:rFonts w:ascii="宋体" w:hAnsi="宋体" w:cs="宋体"/>
                <w:bCs/>
                <w:color w:val="auto"/>
                <w:kern w:val="0"/>
                <w:sz w:val="18"/>
                <w:szCs w:val="18"/>
                <w:highlight w:val="none"/>
              </w:rPr>
            </w:pPr>
          </w:p>
          <w:p>
            <w:pPr>
              <w:pStyle w:val="41"/>
              <w:shd w:val="clear" w:color="auto" w:fill="FFFFFF"/>
              <w:adjustRightInd w:val="0"/>
              <w:snapToGrid w:val="0"/>
              <w:ind w:left="-105" w:leftChars="-50" w:right="-105" w:rightChars="-50"/>
              <w:jc w:val="center"/>
              <w:rPr>
                <w:bCs/>
                <w:color w:val="auto"/>
                <w:sz w:val="18"/>
                <w:szCs w:val="18"/>
                <w:highlight w:val="none"/>
              </w:rPr>
            </w:pPr>
          </w:p>
        </w:tc>
        <w:tc>
          <w:tcPr>
            <w:tcW w:w="1218" w:type="dxa"/>
            <w:vAlign w:val="center"/>
          </w:tcPr>
          <w:p>
            <w:pPr>
              <w:pStyle w:val="41"/>
              <w:shd w:val="clear" w:color="auto" w:fill="FFFFFF"/>
              <w:adjustRightInd w:val="0"/>
              <w:snapToGrid w:val="0"/>
              <w:ind w:left="-105" w:leftChars="-50" w:right="-105" w:rightChars="-50"/>
              <w:jc w:val="center"/>
              <w:rPr>
                <w:bCs/>
                <w:color w:val="auto"/>
                <w:sz w:val="18"/>
                <w:szCs w:val="18"/>
                <w:highlight w:val="none"/>
              </w:rPr>
            </w:pPr>
            <w:r>
              <w:rPr>
                <w:rFonts w:hint="eastAsia"/>
                <w:bCs/>
                <w:color w:val="auto"/>
                <w:sz w:val="18"/>
                <w:szCs w:val="18"/>
                <w:highlight w:val="none"/>
              </w:rPr>
              <w:t>公司成</w:t>
            </w:r>
            <w:r>
              <w:rPr>
                <w:rFonts w:hint="eastAsia"/>
                <w:bCs/>
                <w:color w:val="auto"/>
                <w:spacing w:val="12"/>
                <w:sz w:val="18"/>
                <w:szCs w:val="18"/>
                <w:highlight w:val="none"/>
              </w:rPr>
              <w:t>立时间</w:t>
            </w:r>
          </w:p>
        </w:tc>
        <w:tc>
          <w:tcPr>
            <w:tcW w:w="933" w:type="dxa"/>
            <w:vAlign w:val="center"/>
          </w:tcPr>
          <w:p>
            <w:pPr>
              <w:pStyle w:val="41"/>
              <w:shd w:val="clear" w:color="auto" w:fill="FFFFFF"/>
              <w:adjustRightInd w:val="0"/>
              <w:snapToGrid w:val="0"/>
              <w:ind w:left="-105" w:leftChars="-50" w:right="-105" w:rightChars="-50"/>
              <w:jc w:val="center"/>
              <w:rPr>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682" w:type="dxa"/>
            <w:vMerge w:val="continue"/>
            <w:vAlign w:val="center"/>
          </w:tcPr>
          <w:p>
            <w:pPr>
              <w:pStyle w:val="41"/>
              <w:shd w:val="clear" w:color="auto" w:fill="FFFFFF"/>
              <w:adjustRightInd w:val="0"/>
              <w:snapToGrid w:val="0"/>
              <w:ind w:left="-105" w:leftChars="-50" w:right="-105" w:rightChars="-50"/>
              <w:jc w:val="center"/>
              <w:rPr>
                <w:bCs/>
                <w:color w:val="auto"/>
                <w:sz w:val="18"/>
                <w:szCs w:val="18"/>
                <w:highlight w:val="none"/>
              </w:rPr>
            </w:pPr>
          </w:p>
        </w:tc>
        <w:tc>
          <w:tcPr>
            <w:tcW w:w="701" w:type="dxa"/>
            <w:vAlign w:val="center"/>
          </w:tcPr>
          <w:p>
            <w:pPr>
              <w:pStyle w:val="41"/>
              <w:shd w:val="clear" w:color="auto" w:fill="FFFFFF"/>
              <w:adjustRightInd w:val="0"/>
              <w:snapToGrid w:val="0"/>
              <w:ind w:left="-105" w:leftChars="-50" w:right="-105" w:rightChars="-50"/>
              <w:jc w:val="center"/>
              <w:rPr>
                <w:bCs/>
                <w:color w:val="auto"/>
                <w:sz w:val="18"/>
                <w:szCs w:val="18"/>
                <w:highlight w:val="none"/>
              </w:rPr>
            </w:pPr>
            <w:r>
              <w:rPr>
                <w:rFonts w:hint="eastAsia"/>
                <w:bCs/>
                <w:color w:val="auto"/>
                <w:sz w:val="18"/>
                <w:szCs w:val="18"/>
                <w:highlight w:val="none"/>
              </w:rPr>
              <w:t>核准经营范围</w:t>
            </w:r>
          </w:p>
        </w:tc>
        <w:tc>
          <w:tcPr>
            <w:tcW w:w="7430" w:type="dxa"/>
            <w:gridSpan w:val="10"/>
            <w:vAlign w:val="center"/>
          </w:tcPr>
          <w:p>
            <w:pPr>
              <w:pStyle w:val="41"/>
              <w:shd w:val="clear" w:color="auto" w:fill="FFFFFF"/>
              <w:adjustRightInd w:val="0"/>
              <w:snapToGrid w:val="0"/>
              <w:ind w:left="-105" w:leftChars="-50" w:right="-105" w:rightChars="-50"/>
              <w:jc w:val="center"/>
              <w:rPr>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682" w:type="dxa"/>
            <w:vMerge w:val="continue"/>
            <w:vAlign w:val="center"/>
          </w:tcPr>
          <w:p>
            <w:pPr>
              <w:pStyle w:val="41"/>
              <w:shd w:val="clear" w:color="auto" w:fill="FFFFFF"/>
              <w:adjustRightInd w:val="0"/>
              <w:snapToGrid w:val="0"/>
              <w:ind w:left="-105" w:leftChars="-50" w:right="-105" w:rightChars="-50"/>
              <w:jc w:val="center"/>
              <w:rPr>
                <w:bCs/>
                <w:color w:val="auto"/>
                <w:sz w:val="18"/>
                <w:szCs w:val="18"/>
                <w:highlight w:val="none"/>
              </w:rPr>
            </w:pPr>
          </w:p>
        </w:tc>
        <w:tc>
          <w:tcPr>
            <w:tcW w:w="8131" w:type="dxa"/>
            <w:gridSpan w:val="11"/>
            <w:vAlign w:val="center"/>
          </w:tcPr>
          <w:p>
            <w:pPr>
              <w:pStyle w:val="41"/>
              <w:shd w:val="clear" w:color="auto" w:fill="FFFFFF"/>
              <w:adjustRightInd w:val="0"/>
              <w:snapToGrid w:val="0"/>
              <w:ind w:left="-105" w:leftChars="-50" w:right="-105" w:rightChars="-50"/>
              <w:rPr>
                <w:bCs/>
                <w:color w:val="auto"/>
                <w:spacing w:val="13"/>
                <w:sz w:val="18"/>
                <w:szCs w:val="18"/>
                <w:highlight w:val="none"/>
              </w:rPr>
            </w:pPr>
            <w:r>
              <w:rPr>
                <w:rFonts w:hint="eastAsia"/>
                <w:bCs/>
                <w:color w:val="auto"/>
                <w:spacing w:val="13"/>
                <w:sz w:val="18"/>
                <w:szCs w:val="18"/>
                <w:highlight w:val="none"/>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682" w:type="dxa"/>
            <w:vMerge w:val="restart"/>
            <w:vAlign w:val="center"/>
          </w:tcPr>
          <w:p>
            <w:pPr>
              <w:pStyle w:val="41"/>
              <w:shd w:val="clear" w:color="auto" w:fill="FFFFFF"/>
              <w:adjustRightInd w:val="0"/>
              <w:snapToGrid w:val="0"/>
              <w:ind w:left="-105" w:leftChars="-50" w:right="-105" w:rightChars="-50"/>
              <w:jc w:val="center"/>
              <w:rPr>
                <w:bCs/>
                <w:color w:val="auto"/>
                <w:sz w:val="18"/>
                <w:szCs w:val="18"/>
                <w:highlight w:val="none"/>
              </w:rPr>
            </w:pPr>
            <w:r>
              <w:rPr>
                <w:bCs/>
                <w:color w:val="auto"/>
                <w:sz w:val="18"/>
                <w:szCs w:val="18"/>
                <w:highlight w:val="none"/>
              </w:rPr>
              <w:t>2</w:t>
            </w:r>
            <w:r>
              <w:rPr>
                <w:rFonts w:hint="eastAsia"/>
                <w:bCs/>
                <w:color w:val="auto"/>
                <w:sz w:val="18"/>
                <w:szCs w:val="18"/>
                <w:highlight w:val="none"/>
              </w:rPr>
              <w:t>．</w:t>
            </w:r>
          </w:p>
          <w:p>
            <w:pPr>
              <w:pStyle w:val="41"/>
              <w:shd w:val="clear" w:color="auto" w:fill="FFFFFF"/>
              <w:adjustRightInd w:val="0"/>
              <w:snapToGrid w:val="0"/>
              <w:ind w:left="-105" w:leftChars="-50" w:right="-105" w:rightChars="-50"/>
              <w:jc w:val="center"/>
              <w:rPr>
                <w:bCs/>
                <w:color w:val="auto"/>
                <w:spacing w:val="16"/>
                <w:sz w:val="18"/>
                <w:szCs w:val="18"/>
                <w:highlight w:val="none"/>
              </w:rPr>
            </w:pPr>
            <w:r>
              <w:rPr>
                <w:rFonts w:hint="eastAsia"/>
                <w:bCs/>
                <w:color w:val="auto"/>
                <w:sz w:val="18"/>
                <w:szCs w:val="18"/>
                <w:highlight w:val="none"/>
              </w:rPr>
              <w:t>企</w:t>
            </w:r>
            <w:r>
              <w:rPr>
                <w:rFonts w:hint="eastAsia"/>
                <w:bCs/>
                <w:color w:val="auto"/>
                <w:spacing w:val="12"/>
                <w:sz w:val="18"/>
                <w:szCs w:val="18"/>
                <w:highlight w:val="none"/>
              </w:rPr>
              <w:t>业有关资质获证情况</w:t>
            </w:r>
          </w:p>
        </w:tc>
        <w:tc>
          <w:tcPr>
            <w:tcW w:w="1553" w:type="dxa"/>
            <w:gridSpan w:val="2"/>
            <w:vMerge w:val="restart"/>
            <w:vAlign w:val="center"/>
          </w:tcPr>
          <w:p>
            <w:pPr>
              <w:pStyle w:val="41"/>
              <w:shd w:val="clear" w:color="auto" w:fill="FFFFFF"/>
              <w:adjustRightInd w:val="0"/>
              <w:snapToGrid w:val="0"/>
              <w:spacing w:before="0" w:beforeAutospacing="0" w:after="0" w:afterAutospacing="0"/>
              <w:ind w:left="-105" w:leftChars="-50" w:right="-105" w:rightChars="-50"/>
              <w:jc w:val="center"/>
              <w:rPr>
                <w:bCs/>
                <w:color w:val="auto"/>
                <w:spacing w:val="16"/>
                <w:sz w:val="18"/>
                <w:szCs w:val="18"/>
                <w:highlight w:val="none"/>
              </w:rPr>
            </w:pPr>
            <w:r>
              <w:rPr>
                <w:rFonts w:hint="eastAsia"/>
                <w:bCs/>
                <w:color w:val="auto"/>
                <w:spacing w:val="12"/>
                <w:sz w:val="18"/>
                <w:szCs w:val="18"/>
                <w:highlight w:val="none"/>
              </w:rPr>
              <w:t>产品生产许可证情况</w:t>
            </w:r>
            <w:r>
              <w:rPr>
                <w:rFonts w:hint="eastAsia"/>
                <w:bCs/>
                <w:color w:val="auto"/>
                <w:spacing w:val="41"/>
                <w:sz w:val="18"/>
                <w:szCs w:val="18"/>
                <w:highlight w:val="none"/>
              </w:rPr>
              <w:t>（对需获得生产许可证的</w:t>
            </w:r>
            <w:r>
              <w:rPr>
                <w:rFonts w:hint="eastAsia"/>
                <w:bCs/>
                <w:color w:val="auto"/>
                <w:spacing w:val="11"/>
                <w:sz w:val="18"/>
                <w:szCs w:val="18"/>
                <w:highlight w:val="none"/>
              </w:rPr>
              <w:t>产品要填写此栏）</w:t>
            </w:r>
          </w:p>
        </w:tc>
        <w:tc>
          <w:tcPr>
            <w:tcW w:w="1333" w:type="dxa"/>
            <w:gridSpan w:val="3"/>
            <w:vAlign w:val="center"/>
          </w:tcPr>
          <w:p>
            <w:pPr>
              <w:pStyle w:val="41"/>
              <w:shd w:val="clear" w:color="auto" w:fill="FFFFFF"/>
              <w:adjustRightInd w:val="0"/>
              <w:snapToGrid w:val="0"/>
              <w:ind w:left="-105" w:leftChars="-50" w:right="-105" w:rightChars="-50"/>
              <w:jc w:val="center"/>
              <w:rPr>
                <w:bCs/>
                <w:color w:val="auto"/>
                <w:spacing w:val="16"/>
                <w:sz w:val="18"/>
                <w:szCs w:val="18"/>
                <w:highlight w:val="none"/>
              </w:rPr>
            </w:pPr>
            <w:r>
              <w:rPr>
                <w:rFonts w:hint="eastAsia"/>
                <w:bCs/>
                <w:color w:val="auto"/>
                <w:spacing w:val="16"/>
                <w:sz w:val="18"/>
                <w:szCs w:val="18"/>
                <w:highlight w:val="none"/>
              </w:rPr>
              <w:t>产品名称</w:t>
            </w:r>
          </w:p>
        </w:tc>
        <w:tc>
          <w:tcPr>
            <w:tcW w:w="1418" w:type="dxa"/>
            <w:gridSpan w:val="2"/>
            <w:vAlign w:val="center"/>
          </w:tcPr>
          <w:p>
            <w:pPr>
              <w:pStyle w:val="41"/>
              <w:shd w:val="clear" w:color="auto" w:fill="FFFFFF"/>
              <w:adjustRightInd w:val="0"/>
              <w:snapToGrid w:val="0"/>
              <w:spacing w:before="0" w:beforeAutospacing="0" w:after="0" w:afterAutospacing="0"/>
              <w:ind w:left="-105" w:leftChars="-50" w:right="-105" w:rightChars="-50"/>
              <w:jc w:val="center"/>
              <w:rPr>
                <w:bCs/>
                <w:color w:val="auto"/>
                <w:sz w:val="18"/>
                <w:szCs w:val="18"/>
                <w:highlight w:val="none"/>
              </w:rPr>
            </w:pPr>
            <w:r>
              <w:rPr>
                <w:rFonts w:hint="eastAsia"/>
                <w:bCs/>
                <w:color w:val="auto"/>
                <w:spacing w:val="16"/>
                <w:sz w:val="18"/>
                <w:szCs w:val="18"/>
                <w:highlight w:val="none"/>
              </w:rPr>
              <w:t>发证机关</w:t>
            </w:r>
          </w:p>
        </w:tc>
        <w:tc>
          <w:tcPr>
            <w:tcW w:w="1276" w:type="dxa"/>
            <w:vAlign w:val="center"/>
          </w:tcPr>
          <w:p>
            <w:pPr>
              <w:pStyle w:val="41"/>
              <w:shd w:val="clear" w:color="auto" w:fill="FFFFFF"/>
              <w:adjustRightInd w:val="0"/>
              <w:snapToGrid w:val="0"/>
              <w:ind w:left="-105" w:leftChars="-50" w:right="-105" w:rightChars="-50"/>
              <w:jc w:val="center"/>
              <w:rPr>
                <w:bCs/>
                <w:color w:val="auto"/>
                <w:sz w:val="18"/>
                <w:szCs w:val="18"/>
                <w:highlight w:val="none"/>
              </w:rPr>
            </w:pPr>
            <w:r>
              <w:rPr>
                <w:rFonts w:hint="eastAsia"/>
                <w:bCs/>
                <w:color w:val="auto"/>
                <w:spacing w:val="27"/>
                <w:sz w:val="18"/>
                <w:szCs w:val="18"/>
                <w:highlight w:val="none"/>
              </w:rPr>
              <w:t>编号</w:t>
            </w:r>
          </w:p>
        </w:tc>
        <w:tc>
          <w:tcPr>
            <w:tcW w:w="1618" w:type="dxa"/>
            <w:gridSpan w:val="2"/>
            <w:vAlign w:val="center"/>
          </w:tcPr>
          <w:p>
            <w:pPr>
              <w:pStyle w:val="41"/>
              <w:shd w:val="clear" w:color="auto" w:fill="FFFFFF"/>
              <w:adjustRightInd w:val="0"/>
              <w:snapToGrid w:val="0"/>
              <w:ind w:left="-105" w:leftChars="-50" w:right="-105" w:rightChars="-50"/>
              <w:jc w:val="center"/>
              <w:rPr>
                <w:bCs/>
                <w:color w:val="auto"/>
                <w:sz w:val="18"/>
                <w:szCs w:val="18"/>
                <w:highlight w:val="none"/>
              </w:rPr>
            </w:pPr>
            <w:r>
              <w:rPr>
                <w:rFonts w:hint="eastAsia"/>
                <w:bCs/>
                <w:color w:val="auto"/>
                <w:spacing w:val="16"/>
                <w:sz w:val="18"/>
                <w:szCs w:val="18"/>
                <w:highlight w:val="none"/>
              </w:rPr>
              <w:t>发证时间</w:t>
            </w:r>
          </w:p>
        </w:tc>
        <w:tc>
          <w:tcPr>
            <w:tcW w:w="933" w:type="dxa"/>
            <w:vAlign w:val="center"/>
          </w:tcPr>
          <w:p>
            <w:pPr>
              <w:pStyle w:val="41"/>
              <w:shd w:val="clear" w:color="auto" w:fill="FFFFFF"/>
              <w:adjustRightInd w:val="0"/>
              <w:snapToGrid w:val="0"/>
              <w:spacing w:before="0" w:beforeAutospacing="0" w:after="0" w:afterAutospacing="0"/>
              <w:ind w:left="-105" w:leftChars="-50" w:right="-105" w:rightChars="-50"/>
              <w:jc w:val="center"/>
              <w:rPr>
                <w:bCs/>
                <w:color w:val="auto"/>
                <w:sz w:val="18"/>
                <w:szCs w:val="18"/>
                <w:highlight w:val="none"/>
              </w:rPr>
            </w:pPr>
            <w:r>
              <w:rPr>
                <w:rFonts w:hint="eastAsia"/>
                <w:bCs/>
                <w:color w:val="auto"/>
                <w:spacing w:val="27"/>
                <w:sz w:val="18"/>
                <w:szCs w:val="18"/>
                <w:highlight w:val="none"/>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trPr>
        <w:tc>
          <w:tcPr>
            <w:tcW w:w="682" w:type="dxa"/>
            <w:vMerge w:val="continue"/>
            <w:vAlign w:val="center"/>
          </w:tcPr>
          <w:p>
            <w:pPr>
              <w:pStyle w:val="41"/>
              <w:shd w:val="clear" w:color="auto" w:fill="FFFFFF"/>
              <w:adjustRightInd w:val="0"/>
              <w:snapToGrid w:val="0"/>
              <w:ind w:left="-105" w:leftChars="-50" w:right="-105" w:rightChars="-50"/>
              <w:jc w:val="center"/>
              <w:rPr>
                <w:bCs/>
                <w:color w:val="auto"/>
                <w:sz w:val="18"/>
                <w:szCs w:val="18"/>
                <w:highlight w:val="none"/>
              </w:rPr>
            </w:pPr>
          </w:p>
        </w:tc>
        <w:tc>
          <w:tcPr>
            <w:tcW w:w="1553" w:type="dxa"/>
            <w:gridSpan w:val="2"/>
            <w:vMerge w:val="continue"/>
            <w:vAlign w:val="center"/>
          </w:tcPr>
          <w:p>
            <w:pPr>
              <w:pStyle w:val="41"/>
              <w:shd w:val="clear" w:color="auto" w:fill="FFFFFF"/>
              <w:adjustRightInd w:val="0"/>
              <w:snapToGrid w:val="0"/>
              <w:ind w:left="-105" w:leftChars="-50" w:right="-105" w:rightChars="-50"/>
              <w:jc w:val="center"/>
              <w:rPr>
                <w:bCs/>
                <w:color w:val="auto"/>
                <w:sz w:val="18"/>
                <w:szCs w:val="18"/>
                <w:highlight w:val="none"/>
              </w:rPr>
            </w:pPr>
          </w:p>
        </w:tc>
        <w:tc>
          <w:tcPr>
            <w:tcW w:w="1333" w:type="dxa"/>
            <w:gridSpan w:val="3"/>
            <w:vAlign w:val="center"/>
          </w:tcPr>
          <w:p>
            <w:pPr>
              <w:pStyle w:val="41"/>
              <w:shd w:val="clear" w:color="auto" w:fill="FFFFFF"/>
              <w:adjustRightInd w:val="0"/>
              <w:snapToGrid w:val="0"/>
              <w:ind w:left="-105" w:leftChars="-50" w:right="-105" w:rightChars="-50"/>
              <w:jc w:val="center"/>
              <w:rPr>
                <w:bCs/>
                <w:color w:val="auto"/>
                <w:sz w:val="18"/>
                <w:szCs w:val="18"/>
                <w:highlight w:val="none"/>
              </w:rPr>
            </w:pPr>
          </w:p>
        </w:tc>
        <w:tc>
          <w:tcPr>
            <w:tcW w:w="1418" w:type="dxa"/>
            <w:gridSpan w:val="2"/>
            <w:vAlign w:val="center"/>
          </w:tcPr>
          <w:p>
            <w:pPr>
              <w:pStyle w:val="41"/>
              <w:shd w:val="clear" w:color="auto" w:fill="FFFFFF"/>
              <w:adjustRightInd w:val="0"/>
              <w:snapToGrid w:val="0"/>
              <w:ind w:left="-105" w:leftChars="-50" w:right="-105" w:rightChars="-50"/>
              <w:jc w:val="center"/>
              <w:rPr>
                <w:bCs/>
                <w:color w:val="auto"/>
                <w:sz w:val="18"/>
                <w:szCs w:val="18"/>
                <w:highlight w:val="none"/>
              </w:rPr>
            </w:pPr>
          </w:p>
        </w:tc>
        <w:tc>
          <w:tcPr>
            <w:tcW w:w="1276" w:type="dxa"/>
            <w:vAlign w:val="center"/>
          </w:tcPr>
          <w:p>
            <w:pPr>
              <w:pStyle w:val="41"/>
              <w:shd w:val="clear" w:color="auto" w:fill="FFFFFF"/>
              <w:adjustRightInd w:val="0"/>
              <w:snapToGrid w:val="0"/>
              <w:ind w:left="-105" w:leftChars="-50" w:right="-105" w:rightChars="-50"/>
              <w:jc w:val="center"/>
              <w:rPr>
                <w:bCs/>
                <w:color w:val="auto"/>
                <w:sz w:val="18"/>
                <w:szCs w:val="18"/>
                <w:highlight w:val="none"/>
              </w:rPr>
            </w:pPr>
          </w:p>
        </w:tc>
        <w:tc>
          <w:tcPr>
            <w:tcW w:w="2551" w:type="dxa"/>
            <w:gridSpan w:val="3"/>
            <w:vAlign w:val="center"/>
          </w:tcPr>
          <w:p>
            <w:pPr>
              <w:pStyle w:val="41"/>
              <w:shd w:val="clear" w:color="auto" w:fill="FFFFFF"/>
              <w:adjustRightInd w:val="0"/>
              <w:snapToGrid w:val="0"/>
              <w:ind w:left="-105" w:leftChars="-50" w:right="-105" w:rightChars="-50"/>
              <w:jc w:val="center"/>
              <w:rPr>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trPr>
        <w:tc>
          <w:tcPr>
            <w:tcW w:w="682" w:type="dxa"/>
            <w:vMerge w:val="continue"/>
            <w:vAlign w:val="center"/>
          </w:tcPr>
          <w:p>
            <w:pPr>
              <w:pStyle w:val="41"/>
              <w:shd w:val="clear" w:color="auto" w:fill="FFFFFF"/>
              <w:adjustRightInd w:val="0"/>
              <w:snapToGrid w:val="0"/>
              <w:ind w:left="-105" w:leftChars="-50" w:right="-105" w:rightChars="-50"/>
              <w:jc w:val="center"/>
              <w:rPr>
                <w:bCs/>
                <w:color w:val="auto"/>
                <w:spacing w:val="16"/>
                <w:sz w:val="18"/>
                <w:szCs w:val="18"/>
                <w:highlight w:val="none"/>
              </w:rPr>
            </w:pPr>
          </w:p>
        </w:tc>
        <w:tc>
          <w:tcPr>
            <w:tcW w:w="1553" w:type="dxa"/>
            <w:gridSpan w:val="2"/>
            <w:vAlign w:val="center"/>
          </w:tcPr>
          <w:p>
            <w:pPr>
              <w:pStyle w:val="41"/>
              <w:shd w:val="clear" w:color="auto" w:fill="FFFFFF"/>
              <w:adjustRightInd w:val="0"/>
              <w:snapToGrid w:val="0"/>
              <w:spacing w:before="0" w:beforeAutospacing="0" w:after="0" w:afterAutospacing="0"/>
              <w:ind w:left="-105" w:leftChars="-50" w:right="-105" w:rightChars="-50"/>
              <w:jc w:val="center"/>
              <w:rPr>
                <w:bCs/>
                <w:color w:val="auto"/>
                <w:spacing w:val="41"/>
                <w:sz w:val="18"/>
                <w:szCs w:val="18"/>
                <w:highlight w:val="none"/>
              </w:rPr>
            </w:pPr>
            <w:r>
              <w:rPr>
                <w:rFonts w:hint="eastAsia"/>
                <w:bCs/>
                <w:color w:val="auto"/>
                <w:spacing w:val="41"/>
                <w:sz w:val="18"/>
                <w:szCs w:val="18"/>
                <w:highlight w:val="none"/>
              </w:rPr>
              <w:t>企业通过质量体系、环保</w:t>
            </w:r>
            <w:r>
              <w:rPr>
                <w:rFonts w:hint="eastAsia"/>
                <w:bCs/>
                <w:color w:val="auto"/>
                <w:spacing w:val="11"/>
                <w:sz w:val="18"/>
                <w:szCs w:val="18"/>
                <w:highlight w:val="none"/>
              </w:rPr>
              <w:t>体系、计量等认证情况</w:t>
            </w:r>
          </w:p>
        </w:tc>
        <w:tc>
          <w:tcPr>
            <w:tcW w:w="6578" w:type="dxa"/>
            <w:gridSpan w:val="9"/>
            <w:vAlign w:val="center"/>
          </w:tcPr>
          <w:p>
            <w:pPr>
              <w:pStyle w:val="41"/>
              <w:shd w:val="clear" w:color="auto" w:fill="FFFFFF"/>
              <w:adjustRightInd w:val="0"/>
              <w:snapToGrid w:val="0"/>
              <w:ind w:left="-105" w:leftChars="-50" w:right="-105" w:rightChars="-50"/>
              <w:jc w:val="center"/>
              <w:rPr>
                <w:bCs/>
                <w:color w:val="auto"/>
                <w:spacing w:val="16"/>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trPr>
        <w:tc>
          <w:tcPr>
            <w:tcW w:w="682" w:type="dxa"/>
            <w:vMerge w:val="continue"/>
            <w:vAlign w:val="center"/>
          </w:tcPr>
          <w:p>
            <w:pPr>
              <w:pStyle w:val="41"/>
              <w:shd w:val="clear" w:color="auto" w:fill="FFFFFF"/>
              <w:adjustRightInd w:val="0"/>
              <w:snapToGrid w:val="0"/>
              <w:ind w:left="-105" w:leftChars="-50" w:right="-105" w:rightChars="-50"/>
              <w:jc w:val="center"/>
              <w:rPr>
                <w:bCs/>
                <w:color w:val="auto"/>
                <w:spacing w:val="27"/>
                <w:sz w:val="18"/>
                <w:szCs w:val="18"/>
                <w:highlight w:val="none"/>
              </w:rPr>
            </w:pPr>
          </w:p>
        </w:tc>
        <w:tc>
          <w:tcPr>
            <w:tcW w:w="1553" w:type="dxa"/>
            <w:gridSpan w:val="2"/>
            <w:vAlign w:val="center"/>
          </w:tcPr>
          <w:p>
            <w:pPr>
              <w:pStyle w:val="41"/>
              <w:shd w:val="clear" w:color="auto" w:fill="FFFFFF"/>
              <w:adjustRightInd w:val="0"/>
              <w:snapToGrid w:val="0"/>
              <w:ind w:left="-105" w:leftChars="-50" w:right="-105" w:rightChars="-50"/>
              <w:jc w:val="center"/>
              <w:rPr>
                <w:bCs/>
                <w:color w:val="auto"/>
                <w:spacing w:val="16"/>
                <w:sz w:val="18"/>
                <w:szCs w:val="18"/>
                <w:highlight w:val="none"/>
              </w:rPr>
            </w:pPr>
            <w:r>
              <w:rPr>
                <w:rFonts w:hint="eastAsia"/>
                <w:bCs/>
                <w:color w:val="auto"/>
                <w:spacing w:val="10"/>
                <w:sz w:val="18"/>
                <w:szCs w:val="18"/>
                <w:highlight w:val="none"/>
              </w:rPr>
              <w:t>企业获得专利情况</w:t>
            </w:r>
          </w:p>
        </w:tc>
        <w:tc>
          <w:tcPr>
            <w:tcW w:w="6578" w:type="dxa"/>
            <w:gridSpan w:val="9"/>
            <w:vAlign w:val="center"/>
          </w:tcPr>
          <w:p>
            <w:pPr>
              <w:pStyle w:val="41"/>
              <w:shd w:val="clear" w:color="auto" w:fill="FFFFFF"/>
              <w:adjustRightInd w:val="0"/>
              <w:snapToGrid w:val="0"/>
              <w:ind w:left="-105" w:leftChars="-50" w:right="-105" w:rightChars="-50"/>
              <w:jc w:val="center"/>
              <w:rPr>
                <w:bCs/>
                <w:color w:val="auto"/>
                <w:spacing w:val="16"/>
                <w:sz w:val="18"/>
                <w:szCs w:val="18"/>
                <w:highlight w:val="none"/>
              </w:rPr>
            </w:pPr>
          </w:p>
        </w:tc>
      </w:tr>
    </w:tbl>
    <w:p>
      <w:pPr>
        <w:pStyle w:val="45"/>
        <w:tabs>
          <w:tab w:val="left" w:pos="1050"/>
        </w:tabs>
        <w:spacing w:line="360" w:lineRule="auto"/>
        <w:ind w:firstLine="422"/>
        <w:rPr>
          <w:rFonts w:ascii="宋体" w:hAnsi="宋体"/>
          <w:color w:val="auto"/>
          <w:szCs w:val="21"/>
          <w:highlight w:val="none"/>
        </w:rPr>
      </w:pPr>
      <w:r>
        <w:rPr>
          <w:rFonts w:hint="eastAsia" w:ascii="宋体" w:hAnsi="宋体"/>
          <w:b/>
          <w:color w:val="auto"/>
          <w:szCs w:val="21"/>
          <w:highlight w:val="none"/>
        </w:rPr>
        <w:t>要求：</w:t>
      </w:r>
      <w:r>
        <w:rPr>
          <w:rFonts w:hint="eastAsia" w:ascii="宋体" w:hAnsi="宋体"/>
          <w:color w:val="auto"/>
          <w:szCs w:val="21"/>
          <w:highlight w:val="none"/>
        </w:rPr>
        <w:t>在填写时，如本表格不适合响应单位的实际情况，可根据本表格式自行划表填写。</w:t>
      </w:r>
    </w:p>
    <w:p>
      <w:pPr>
        <w:spacing w:line="360" w:lineRule="auto"/>
        <w:ind w:firstLine="424" w:firstLineChars="177"/>
        <w:rPr>
          <w:rFonts w:ascii="宋体" w:hAnsi="宋体"/>
          <w:color w:val="auto"/>
          <w:sz w:val="24"/>
          <w:highlight w:val="none"/>
        </w:rPr>
      </w:pPr>
    </w:p>
    <w:p>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供应商名称（电子印章）：</w:t>
      </w:r>
    </w:p>
    <w:p>
      <w:pPr>
        <w:spacing w:line="360" w:lineRule="auto"/>
        <w:ind w:firstLine="424" w:firstLineChars="177"/>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法定代表人或授权委托人签字或电子印章</w:t>
      </w:r>
      <w:r>
        <w:rPr>
          <w:rFonts w:hint="eastAsia" w:ascii="宋体" w:hAnsi="宋体"/>
          <w:color w:val="auto"/>
          <w:sz w:val="24"/>
          <w:highlight w:val="none"/>
        </w:rPr>
        <w:t>：</w:t>
      </w:r>
    </w:p>
    <w:p>
      <w:pPr>
        <w:pStyle w:val="41"/>
        <w:shd w:val="clear" w:color="auto" w:fill="FFFFFF"/>
        <w:spacing w:before="0" w:beforeAutospacing="0" w:after="0" w:afterAutospacing="0" w:line="360" w:lineRule="auto"/>
        <w:ind w:firstLine="424" w:firstLineChars="177"/>
        <w:rPr>
          <w:b/>
          <w:bCs/>
          <w:color w:val="auto"/>
          <w:spacing w:val="11"/>
          <w:highlight w:val="none"/>
        </w:rPr>
      </w:pPr>
      <w:r>
        <w:rPr>
          <w:rFonts w:hint="eastAsia"/>
          <w:color w:val="auto"/>
          <w:highlight w:val="none"/>
        </w:rPr>
        <w:t>日        期：</w:t>
      </w:r>
    </w:p>
    <w:p>
      <w:pPr>
        <w:rPr>
          <w:rFonts w:ascii="宋体" w:hAnsi="宋体"/>
          <w:b/>
          <w:color w:val="auto"/>
          <w:kern w:val="0"/>
          <w:sz w:val="28"/>
          <w:szCs w:val="28"/>
          <w:highlight w:val="none"/>
        </w:rPr>
      </w:pPr>
      <w:r>
        <w:rPr>
          <w:rFonts w:ascii="宋体" w:hAnsi="宋体"/>
          <w:b/>
          <w:color w:val="auto"/>
          <w:sz w:val="28"/>
          <w:highlight w:val="none"/>
        </w:rPr>
        <w:br w:type="page"/>
      </w:r>
      <w:r>
        <w:rPr>
          <w:rFonts w:hint="eastAsia" w:ascii="宋体" w:hAnsi="宋体"/>
          <w:b/>
          <w:color w:val="auto"/>
          <w:kern w:val="0"/>
          <w:sz w:val="28"/>
          <w:szCs w:val="28"/>
          <w:highlight w:val="none"/>
        </w:rPr>
        <w:t>附件10</w:t>
      </w:r>
    </w:p>
    <w:p>
      <w:pPr>
        <w:pStyle w:val="45"/>
        <w:spacing w:line="360" w:lineRule="auto"/>
        <w:ind w:firstLine="643"/>
        <w:jc w:val="center"/>
        <w:rPr>
          <w:rFonts w:ascii="宋体" w:hAnsi="宋体"/>
          <w:b/>
          <w:color w:val="auto"/>
          <w:sz w:val="32"/>
          <w:szCs w:val="32"/>
          <w:highlight w:val="none"/>
        </w:rPr>
      </w:pPr>
      <w:r>
        <w:rPr>
          <w:rFonts w:hint="eastAsia" w:ascii="宋体" w:hAnsi="宋体"/>
          <w:b/>
          <w:color w:val="auto"/>
          <w:sz w:val="32"/>
          <w:szCs w:val="32"/>
          <w:highlight w:val="none"/>
        </w:rPr>
        <w:t>证书、证明材料一览表</w:t>
      </w:r>
    </w:p>
    <w:p>
      <w:pPr>
        <w:pStyle w:val="45"/>
        <w:spacing w:line="360" w:lineRule="auto"/>
        <w:ind w:firstLine="560"/>
        <w:jc w:val="center"/>
        <w:rPr>
          <w:rFonts w:ascii="宋体" w:hAnsi="宋体" w:cs="Arial"/>
          <w:color w:val="auto"/>
          <w:sz w:val="28"/>
          <w:szCs w:val="28"/>
          <w:highlight w:val="none"/>
        </w:rPr>
      </w:pPr>
    </w:p>
    <w:tbl>
      <w:tblPr>
        <w:tblStyle w:val="29"/>
        <w:tblW w:w="8432"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1"/>
        <w:gridCol w:w="1794"/>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2331" w:type="dxa"/>
            <w:tcBorders>
              <w:top w:val="single" w:color="auto" w:sz="4" w:space="0"/>
              <w:left w:val="single" w:color="auto" w:sz="4" w:space="0"/>
              <w:bottom w:val="single" w:color="auto" w:sz="4" w:space="0"/>
            </w:tcBorders>
            <w:vAlign w:val="center"/>
          </w:tcPr>
          <w:p>
            <w:pPr>
              <w:pStyle w:val="45"/>
              <w:jc w:val="center"/>
              <w:rPr>
                <w:rFonts w:ascii="宋体" w:hAnsi="宋体" w:cs="Arial"/>
                <w:b/>
                <w:bCs/>
                <w:color w:val="auto"/>
                <w:sz w:val="24"/>
                <w:highlight w:val="none"/>
              </w:rPr>
            </w:pPr>
            <w:r>
              <w:rPr>
                <w:rFonts w:hint="eastAsia" w:ascii="宋体" w:hAnsi="宋体" w:cs="Arial"/>
                <w:b/>
                <w:bCs/>
                <w:color w:val="auto"/>
                <w:sz w:val="24"/>
                <w:highlight w:val="none"/>
              </w:rPr>
              <w:t>证书、证明材料名称</w:t>
            </w:r>
          </w:p>
        </w:tc>
        <w:tc>
          <w:tcPr>
            <w:tcW w:w="1794" w:type="dxa"/>
            <w:tcBorders>
              <w:top w:val="single" w:color="auto" w:sz="4" w:space="0"/>
              <w:bottom w:val="single" w:color="auto" w:sz="4" w:space="0"/>
            </w:tcBorders>
            <w:vAlign w:val="center"/>
          </w:tcPr>
          <w:p>
            <w:pPr>
              <w:pStyle w:val="45"/>
              <w:jc w:val="center"/>
              <w:rPr>
                <w:rFonts w:ascii="宋体" w:hAnsi="宋体" w:cs="Arial"/>
                <w:b/>
                <w:bCs/>
                <w:color w:val="auto"/>
                <w:sz w:val="24"/>
                <w:highlight w:val="none"/>
              </w:rPr>
            </w:pPr>
            <w:r>
              <w:rPr>
                <w:rFonts w:hint="eastAsia" w:ascii="宋体" w:hAnsi="宋体" w:cs="Arial"/>
                <w:b/>
                <w:bCs/>
                <w:color w:val="auto"/>
                <w:sz w:val="24"/>
                <w:highlight w:val="none"/>
              </w:rPr>
              <w:t>发证单位</w:t>
            </w:r>
          </w:p>
        </w:tc>
        <w:tc>
          <w:tcPr>
            <w:tcW w:w="2260" w:type="dxa"/>
            <w:tcBorders>
              <w:top w:val="single" w:color="auto" w:sz="4" w:space="0"/>
              <w:bottom w:val="single" w:color="auto" w:sz="4" w:space="0"/>
            </w:tcBorders>
            <w:vAlign w:val="center"/>
          </w:tcPr>
          <w:p>
            <w:pPr>
              <w:pStyle w:val="45"/>
              <w:jc w:val="center"/>
              <w:rPr>
                <w:rFonts w:ascii="宋体" w:hAnsi="宋体" w:cs="Arial"/>
                <w:b/>
                <w:bCs/>
                <w:color w:val="auto"/>
                <w:sz w:val="24"/>
                <w:highlight w:val="none"/>
              </w:rPr>
            </w:pPr>
            <w:r>
              <w:rPr>
                <w:rFonts w:hint="eastAsia" w:ascii="宋体" w:hAnsi="宋体" w:cs="Arial"/>
                <w:b/>
                <w:bCs/>
                <w:color w:val="auto"/>
                <w:sz w:val="24"/>
                <w:highlight w:val="none"/>
              </w:rPr>
              <w:t>证书等级</w:t>
            </w:r>
          </w:p>
        </w:tc>
        <w:tc>
          <w:tcPr>
            <w:tcW w:w="2047" w:type="dxa"/>
            <w:tcBorders>
              <w:top w:val="single" w:color="auto" w:sz="4" w:space="0"/>
              <w:bottom w:val="single" w:color="auto" w:sz="4" w:space="0"/>
              <w:right w:val="single" w:color="auto" w:sz="4" w:space="0"/>
            </w:tcBorders>
            <w:vAlign w:val="center"/>
          </w:tcPr>
          <w:p>
            <w:pPr>
              <w:pStyle w:val="45"/>
              <w:jc w:val="center"/>
              <w:rPr>
                <w:rFonts w:ascii="宋体" w:hAnsi="宋体" w:cs="Arial"/>
                <w:b/>
                <w:bCs/>
                <w:color w:val="auto"/>
                <w:sz w:val="24"/>
                <w:highlight w:val="none"/>
              </w:rPr>
            </w:pPr>
            <w:r>
              <w:rPr>
                <w:rFonts w:hint="eastAsia" w:ascii="宋体" w:hAnsi="宋体" w:cs="Arial"/>
                <w:b/>
                <w:bCs/>
                <w:color w:val="auto"/>
                <w:sz w:val="24"/>
                <w:highlight w:val="none"/>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31" w:type="dxa"/>
            <w:tcBorders>
              <w:top w:val="single" w:color="auto" w:sz="4" w:space="0"/>
              <w:left w:val="single" w:color="auto" w:sz="4" w:space="0"/>
            </w:tcBorders>
          </w:tcPr>
          <w:p>
            <w:pPr>
              <w:pStyle w:val="45"/>
              <w:spacing w:line="360" w:lineRule="auto"/>
              <w:ind w:firstLine="420"/>
              <w:jc w:val="center"/>
              <w:rPr>
                <w:rFonts w:ascii="宋体" w:hAnsi="宋体" w:cs="Arial"/>
                <w:color w:val="auto"/>
                <w:szCs w:val="21"/>
                <w:highlight w:val="none"/>
              </w:rPr>
            </w:pPr>
          </w:p>
        </w:tc>
        <w:tc>
          <w:tcPr>
            <w:tcW w:w="1794" w:type="dxa"/>
            <w:tcBorders>
              <w:top w:val="single" w:color="auto" w:sz="4" w:space="0"/>
            </w:tcBorders>
          </w:tcPr>
          <w:p>
            <w:pPr>
              <w:pStyle w:val="45"/>
              <w:spacing w:line="360" w:lineRule="auto"/>
              <w:ind w:firstLine="420"/>
              <w:jc w:val="center"/>
              <w:rPr>
                <w:rFonts w:ascii="宋体" w:hAnsi="宋体" w:cs="Arial"/>
                <w:color w:val="auto"/>
                <w:szCs w:val="21"/>
                <w:highlight w:val="none"/>
              </w:rPr>
            </w:pPr>
          </w:p>
        </w:tc>
        <w:tc>
          <w:tcPr>
            <w:tcW w:w="2260" w:type="dxa"/>
            <w:tcBorders>
              <w:top w:val="single" w:color="auto" w:sz="4" w:space="0"/>
            </w:tcBorders>
          </w:tcPr>
          <w:p>
            <w:pPr>
              <w:pStyle w:val="45"/>
              <w:spacing w:line="360" w:lineRule="auto"/>
              <w:ind w:firstLine="420"/>
              <w:jc w:val="center"/>
              <w:rPr>
                <w:rFonts w:ascii="宋体" w:hAnsi="宋体" w:cs="Arial"/>
                <w:color w:val="auto"/>
                <w:szCs w:val="21"/>
                <w:highlight w:val="none"/>
              </w:rPr>
            </w:pPr>
          </w:p>
        </w:tc>
        <w:tc>
          <w:tcPr>
            <w:tcW w:w="2047" w:type="dxa"/>
            <w:tcBorders>
              <w:top w:val="single" w:color="auto" w:sz="4" w:space="0"/>
              <w:right w:val="single" w:color="auto" w:sz="4" w:space="0"/>
            </w:tcBorders>
          </w:tcPr>
          <w:p>
            <w:pPr>
              <w:pStyle w:val="45"/>
              <w:spacing w:line="360" w:lineRule="auto"/>
              <w:ind w:firstLine="420"/>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31" w:type="dxa"/>
            <w:tcBorders>
              <w:left w:val="single" w:color="auto" w:sz="4" w:space="0"/>
            </w:tcBorders>
          </w:tcPr>
          <w:p>
            <w:pPr>
              <w:pStyle w:val="45"/>
              <w:spacing w:line="360" w:lineRule="auto"/>
              <w:ind w:firstLine="420"/>
              <w:jc w:val="center"/>
              <w:rPr>
                <w:rFonts w:ascii="宋体" w:hAnsi="宋体" w:cs="Arial"/>
                <w:color w:val="auto"/>
                <w:szCs w:val="21"/>
                <w:highlight w:val="none"/>
              </w:rPr>
            </w:pPr>
          </w:p>
        </w:tc>
        <w:tc>
          <w:tcPr>
            <w:tcW w:w="1794" w:type="dxa"/>
          </w:tcPr>
          <w:p>
            <w:pPr>
              <w:pStyle w:val="45"/>
              <w:spacing w:line="360" w:lineRule="auto"/>
              <w:ind w:firstLine="420"/>
              <w:jc w:val="center"/>
              <w:rPr>
                <w:rFonts w:ascii="宋体" w:hAnsi="宋体" w:cs="Arial"/>
                <w:color w:val="auto"/>
                <w:szCs w:val="21"/>
                <w:highlight w:val="none"/>
              </w:rPr>
            </w:pPr>
          </w:p>
        </w:tc>
        <w:tc>
          <w:tcPr>
            <w:tcW w:w="2260" w:type="dxa"/>
          </w:tcPr>
          <w:p>
            <w:pPr>
              <w:pStyle w:val="45"/>
              <w:spacing w:line="360" w:lineRule="auto"/>
              <w:ind w:firstLine="420"/>
              <w:jc w:val="center"/>
              <w:rPr>
                <w:rFonts w:ascii="宋体" w:hAnsi="宋体" w:cs="Arial"/>
                <w:color w:val="auto"/>
                <w:szCs w:val="21"/>
                <w:highlight w:val="none"/>
              </w:rPr>
            </w:pPr>
          </w:p>
        </w:tc>
        <w:tc>
          <w:tcPr>
            <w:tcW w:w="2047" w:type="dxa"/>
            <w:tcBorders>
              <w:right w:val="single" w:color="auto" w:sz="4" w:space="0"/>
            </w:tcBorders>
          </w:tcPr>
          <w:p>
            <w:pPr>
              <w:pStyle w:val="45"/>
              <w:spacing w:line="360" w:lineRule="auto"/>
              <w:ind w:firstLine="420"/>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31" w:type="dxa"/>
            <w:tcBorders>
              <w:left w:val="single" w:color="auto" w:sz="4" w:space="0"/>
            </w:tcBorders>
          </w:tcPr>
          <w:p>
            <w:pPr>
              <w:pStyle w:val="45"/>
              <w:spacing w:line="360" w:lineRule="auto"/>
              <w:ind w:firstLine="420"/>
              <w:jc w:val="center"/>
              <w:rPr>
                <w:rFonts w:ascii="宋体" w:hAnsi="宋体" w:cs="Arial"/>
                <w:color w:val="auto"/>
                <w:szCs w:val="21"/>
                <w:highlight w:val="none"/>
              </w:rPr>
            </w:pPr>
          </w:p>
        </w:tc>
        <w:tc>
          <w:tcPr>
            <w:tcW w:w="1794" w:type="dxa"/>
          </w:tcPr>
          <w:p>
            <w:pPr>
              <w:pStyle w:val="45"/>
              <w:spacing w:line="360" w:lineRule="auto"/>
              <w:ind w:firstLine="420"/>
              <w:jc w:val="center"/>
              <w:rPr>
                <w:rFonts w:ascii="宋体" w:hAnsi="宋体" w:cs="Arial"/>
                <w:color w:val="auto"/>
                <w:szCs w:val="21"/>
                <w:highlight w:val="none"/>
              </w:rPr>
            </w:pPr>
          </w:p>
        </w:tc>
        <w:tc>
          <w:tcPr>
            <w:tcW w:w="2260" w:type="dxa"/>
          </w:tcPr>
          <w:p>
            <w:pPr>
              <w:pStyle w:val="45"/>
              <w:spacing w:line="360" w:lineRule="auto"/>
              <w:ind w:firstLine="420"/>
              <w:jc w:val="center"/>
              <w:rPr>
                <w:rFonts w:ascii="宋体" w:hAnsi="宋体" w:cs="Arial"/>
                <w:color w:val="auto"/>
                <w:szCs w:val="21"/>
                <w:highlight w:val="none"/>
              </w:rPr>
            </w:pPr>
          </w:p>
        </w:tc>
        <w:tc>
          <w:tcPr>
            <w:tcW w:w="2047" w:type="dxa"/>
            <w:tcBorders>
              <w:right w:val="single" w:color="auto" w:sz="4" w:space="0"/>
            </w:tcBorders>
          </w:tcPr>
          <w:p>
            <w:pPr>
              <w:pStyle w:val="45"/>
              <w:spacing w:line="360" w:lineRule="auto"/>
              <w:ind w:firstLine="420"/>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31" w:type="dxa"/>
            <w:tcBorders>
              <w:left w:val="single" w:color="auto" w:sz="4" w:space="0"/>
            </w:tcBorders>
          </w:tcPr>
          <w:p>
            <w:pPr>
              <w:pStyle w:val="45"/>
              <w:spacing w:line="360" w:lineRule="auto"/>
              <w:ind w:firstLine="420"/>
              <w:jc w:val="center"/>
              <w:rPr>
                <w:rFonts w:ascii="宋体" w:hAnsi="宋体" w:cs="Arial"/>
                <w:color w:val="auto"/>
                <w:szCs w:val="21"/>
                <w:highlight w:val="none"/>
              </w:rPr>
            </w:pPr>
          </w:p>
        </w:tc>
        <w:tc>
          <w:tcPr>
            <w:tcW w:w="1794" w:type="dxa"/>
          </w:tcPr>
          <w:p>
            <w:pPr>
              <w:pStyle w:val="45"/>
              <w:spacing w:line="360" w:lineRule="auto"/>
              <w:ind w:firstLine="420"/>
              <w:jc w:val="center"/>
              <w:rPr>
                <w:rFonts w:ascii="宋体" w:hAnsi="宋体" w:cs="Arial"/>
                <w:color w:val="auto"/>
                <w:szCs w:val="21"/>
                <w:highlight w:val="none"/>
              </w:rPr>
            </w:pPr>
          </w:p>
        </w:tc>
        <w:tc>
          <w:tcPr>
            <w:tcW w:w="2260" w:type="dxa"/>
          </w:tcPr>
          <w:p>
            <w:pPr>
              <w:pStyle w:val="45"/>
              <w:spacing w:line="360" w:lineRule="auto"/>
              <w:ind w:firstLine="420"/>
              <w:jc w:val="center"/>
              <w:rPr>
                <w:rFonts w:ascii="宋体" w:hAnsi="宋体" w:cs="Arial"/>
                <w:color w:val="auto"/>
                <w:szCs w:val="21"/>
                <w:highlight w:val="none"/>
              </w:rPr>
            </w:pPr>
          </w:p>
        </w:tc>
        <w:tc>
          <w:tcPr>
            <w:tcW w:w="2047" w:type="dxa"/>
            <w:tcBorders>
              <w:right w:val="single" w:color="auto" w:sz="4" w:space="0"/>
            </w:tcBorders>
          </w:tcPr>
          <w:p>
            <w:pPr>
              <w:pStyle w:val="45"/>
              <w:spacing w:line="360" w:lineRule="auto"/>
              <w:ind w:firstLine="420"/>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31" w:type="dxa"/>
            <w:tcBorders>
              <w:left w:val="single" w:color="auto" w:sz="4" w:space="0"/>
            </w:tcBorders>
          </w:tcPr>
          <w:p>
            <w:pPr>
              <w:pStyle w:val="45"/>
              <w:spacing w:line="360" w:lineRule="auto"/>
              <w:ind w:firstLine="420"/>
              <w:jc w:val="center"/>
              <w:rPr>
                <w:rFonts w:ascii="宋体" w:hAnsi="宋体" w:cs="Arial"/>
                <w:color w:val="auto"/>
                <w:szCs w:val="21"/>
                <w:highlight w:val="none"/>
              </w:rPr>
            </w:pPr>
          </w:p>
        </w:tc>
        <w:tc>
          <w:tcPr>
            <w:tcW w:w="1794" w:type="dxa"/>
          </w:tcPr>
          <w:p>
            <w:pPr>
              <w:pStyle w:val="45"/>
              <w:spacing w:line="360" w:lineRule="auto"/>
              <w:ind w:firstLine="420"/>
              <w:jc w:val="center"/>
              <w:rPr>
                <w:rFonts w:ascii="宋体" w:hAnsi="宋体" w:cs="Arial"/>
                <w:color w:val="auto"/>
                <w:szCs w:val="21"/>
                <w:highlight w:val="none"/>
              </w:rPr>
            </w:pPr>
          </w:p>
        </w:tc>
        <w:tc>
          <w:tcPr>
            <w:tcW w:w="2260" w:type="dxa"/>
          </w:tcPr>
          <w:p>
            <w:pPr>
              <w:pStyle w:val="45"/>
              <w:spacing w:line="360" w:lineRule="auto"/>
              <w:ind w:firstLine="420"/>
              <w:jc w:val="center"/>
              <w:rPr>
                <w:rFonts w:ascii="宋体" w:hAnsi="宋体" w:cs="Arial"/>
                <w:color w:val="auto"/>
                <w:szCs w:val="21"/>
                <w:highlight w:val="none"/>
              </w:rPr>
            </w:pPr>
          </w:p>
        </w:tc>
        <w:tc>
          <w:tcPr>
            <w:tcW w:w="2047" w:type="dxa"/>
            <w:tcBorders>
              <w:right w:val="single" w:color="auto" w:sz="4" w:space="0"/>
            </w:tcBorders>
          </w:tcPr>
          <w:p>
            <w:pPr>
              <w:pStyle w:val="45"/>
              <w:spacing w:line="360" w:lineRule="auto"/>
              <w:ind w:firstLine="420"/>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31" w:type="dxa"/>
            <w:tcBorders>
              <w:left w:val="single" w:color="auto" w:sz="4" w:space="0"/>
            </w:tcBorders>
          </w:tcPr>
          <w:p>
            <w:pPr>
              <w:pStyle w:val="45"/>
              <w:spacing w:line="360" w:lineRule="auto"/>
              <w:ind w:firstLine="420"/>
              <w:jc w:val="center"/>
              <w:rPr>
                <w:rFonts w:ascii="宋体" w:hAnsi="宋体" w:cs="Arial"/>
                <w:color w:val="auto"/>
                <w:szCs w:val="21"/>
                <w:highlight w:val="none"/>
              </w:rPr>
            </w:pPr>
          </w:p>
        </w:tc>
        <w:tc>
          <w:tcPr>
            <w:tcW w:w="1794" w:type="dxa"/>
          </w:tcPr>
          <w:p>
            <w:pPr>
              <w:pStyle w:val="45"/>
              <w:spacing w:line="360" w:lineRule="auto"/>
              <w:ind w:firstLine="420"/>
              <w:jc w:val="center"/>
              <w:rPr>
                <w:rFonts w:ascii="宋体" w:hAnsi="宋体" w:cs="Arial"/>
                <w:color w:val="auto"/>
                <w:szCs w:val="21"/>
                <w:highlight w:val="none"/>
              </w:rPr>
            </w:pPr>
          </w:p>
        </w:tc>
        <w:tc>
          <w:tcPr>
            <w:tcW w:w="2260" w:type="dxa"/>
          </w:tcPr>
          <w:p>
            <w:pPr>
              <w:pStyle w:val="45"/>
              <w:spacing w:line="360" w:lineRule="auto"/>
              <w:ind w:firstLine="420"/>
              <w:jc w:val="center"/>
              <w:rPr>
                <w:rFonts w:ascii="宋体" w:hAnsi="宋体" w:cs="Arial"/>
                <w:color w:val="auto"/>
                <w:szCs w:val="21"/>
                <w:highlight w:val="none"/>
              </w:rPr>
            </w:pPr>
          </w:p>
        </w:tc>
        <w:tc>
          <w:tcPr>
            <w:tcW w:w="2047" w:type="dxa"/>
            <w:tcBorders>
              <w:right w:val="single" w:color="auto" w:sz="4" w:space="0"/>
            </w:tcBorders>
          </w:tcPr>
          <w:p>
            <w:pPr>
              <w:pStyle w:val="45"/>
              <w:spacing w:line="360" w:lineRule="auto"/>
              <w:ind w:firstLine="420"/>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31" w:type="dxa"/>
            <w:tcBorders>
              <w:left w:val="single" w:color="auto" w:sz="4" w:space="0"/>
              <w:bottom w:val="single" w:color="auto" w:sz="4" w:space="0"/>
            </w:tcBorders>
          </w:tcPr>
          <w:p>
            <w:pPr>
              <w:pStyle w:val="45"/>
              <w:spacing w:line="360" w:lineRule="auto"/>
              <w:ind w:firstLine="420"/>
              <w:jc w:val="center"/>
              <w:rPr>
                <w:rFonts w:ascii="宋体" w:hAnsi="宋体" w:cs="Arial"/>
                <w:color w:val="auto"/>
                <w:szCs w:val="21"/>
                <w:highlight w:val="none"/>
              </w:rPr>
            </w:pPr>
          </w:p>
        </w:tc>
        <w:tc>
          <w:tcPr>
            <w:tcW w:w="1794" w:type="dxa"/>
            <w:tcBorders>
              <w:bottom w:val="single" w:color="auto" w:sz="4" w:space="0"/>
            </w:tcBorders>
          </w:tcPr>
          <w:p>
            <w:pPr>
              <w:pStyle w:val="45"/>
              <w:spacing w:line="360" w:lineRule="auto"/>
              <w:ind w:firstLine="420"/>
              <w:jc w:val="center"/>
              <w:rPr>
                <w:rFonts w:ascii="宋体" w:hAnsi="宋体" w:cs="Arial"/>
                <w:color w:val="auto"/>
                <w:szCs w:val="21"/>
                <w:highlight w:val="none"/>
              </w:rPr>
            </w:pPr>
          </w:p>
        </w:tc>
        <w:tc>
          <w:tcPr>
            <w:tcW w:w="2260" w:type="dxa"/>
            <w:tcBorders>
              <w:bottom w:val="single" w:color="auto" w:sz="4" w:space="0"/>
            </w:tcBorders>
          </w:tcPr>
          <w:p>
            <w:pPr>
              <w:pStyle w:val="45"/>
              <w:spacing w:line="360" w:lineRule="auto"/>
              <w:ind w:firstLine="420"/>
              <w:jc w:val="center"/>
              <w:rPr>
                <w:rFonts w:ascii="宋体" w:hAnsi="宋体" w:cs="Arial"/>
                <w:color w:val="auto"/>
                <w:szCs w:val="21"/>
                <w:highlight w:val="none"/>
              </w:rPr>
            </w:pPr>
          </w:p>
        </w:tc>
        <w:tc>
          <w:tcPr>
            <w:tcW w:w="2047" w:type="dxa"/>
            <w:tcBorders>
              <w:bottom w:val="single" w:color="auto" w:sz="4" w:space="0"/>
              <w:right w:val="single" w:color="auto" w:sz="4" w:space="0"/>
            </w:tcBorders>
          </w:tcPr>
          <w:p>
            <w:pPr>
              <w:pStyle w:val="45"/>
              <w:spacing w:line="360" w:lineRule="auto"/>
              <w:ind w:firstLine="420"/>
              <w:jc w:val="center"/>
              <w:rPr>
                <w:rFonts w:ascii="宋体" w:hAnsi="宋体" w:cs="Arial"/>
                <w:color w:val="auto"/>
                <w:szCs w:val="21"/>
                <w:highlight w:val="none"/>
              </w:rPr>
            </w:pPr>
          </w:p>
        </w:tc>
      </w:tr>
    </w:tbl>
    <w:p>
      <w:pPr>
        <w:pStyle w:val="45"/>
        <w:tabs>
          <w:tab w:val="left" w:pos="1050"/>
        </w:tabs>
        <w:spacing w:line="360" w:lineRule="auto"/>
        <w:ind w:firstLine="480"/>
        <w:rPr>
          <w:rFonts w:ascii="仿宋_GB2312" w:hAnsi="宋体" w:eastAsia="仿宋_GB2312"/>
          <w:color w:val="auto"/>
          <w:sz w:val="24"/>
          <w:highlight w:val="none"/>
        </w:rPr>
      </w:pPr>
    </w:p>
    <w:p>
      <w:pPr>
        <w:pStyle w:val="45"/>
        <w:tabs>
          <w:tab w:val="left" w:pos="1050"/>
        </w:tabs>
        <w:spacing w:line="360" w:lineRule="auto"/>
        <w:ind w:firstLine="422"/>
        <w:rPr>
          <w:rFonts w:ascii="宋体" w:hAnsi="宋体"/>
          <w:color w:val="auto"/>
          <w:szCs w:val="21"/>
          <w:highlight w:val="none"/>
        </w:rPr>
      </w:pPr>
      <w:r>
        <w:rPr>
          <w:rFonts w:hint="eastAsia" w:ascii="宋体" w:hAnsi="宋体"/>
          <w:b/>
          <w:color w:val="auto"/>
          <w:szCs w:val="21"/>
          <w:highlight w:val="none"/>
        </w:rPr>
        <w:t>要求：</w:t>
      </w:r>
    </w:p>
    <w:p>
      <w:pPr>
        <w:pStyle w:val="45"/>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1.填写供应商获得资质、认证或企业荣誉证书等。</w:t>
      </w:r>
    </w:p>
    <w:p>
      <w:pPr>
        <w:pStyle w:val="45"/>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2.请提供本表所列的证书、材料扫描件。</w:t>
      </w:r>
    </w:p>
    <w:p>
      <w:pPr>
        <w:pStyle w:val="45"/>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3.在填写时，如本表格不适合供应商的实际情况，可根据本表格式自行划表填写。</w:t>
      </w:r>
    </w:p>
    <w:p>
      <w:pPr>
        <w:spacing w:line="320" w:lineRule="exact"/>
        <w:ind w:left="420"/>
        <w:rPr>
          <w:rFonts w:ascii="宋体" w:hAnsi="宋体"/>
          <w:color w:val="auto"/>
          <w:szCs w:val="21"/>
          <w:highlight w:val="none"/>
        </w:rPr>
      </w:pPr>
      <w:r>
        <w:rPr>
          <w:rFonts w:hint="eastAsia" w:ascii="宋体" w:hAnsi="宋体"/>
          <w:color w:val="auto"/>
          <w:szCs w:val="21"/>
          <w:highlight w:val="none"/>
        </w:rPr>
        <w:t>4.本表如跨页需每页加盖供应商公章。</w:t>
      </w:r>
    </w:p>
    <w:p>
      <w:pPr>
        <w:pStyle w:val="45"/>
        <w:tabs>
          <w:tab w:val="left" w:pos="1050"/>
        </w:tabs>
        <w:spacing w:line="360" w:lineRule="auto"/>
        <w:ind w:firstLine="424" w:firstLineChars="202"/>
        <w:rPr>
          <w:rFonts w:ascii="宋体" w:hAnsi="宋体"/>
          <w:color w:val="auto"/>
          <w:szCs w:val="21"/>
          <w:highlight w:val="none"/>
        </w:rPr>
      </w:pPr>
    </w:p>
    <w:p>
      <w:pPr>
        <w:spacing w:line="480" w:lineRule="exact"/>
        <w:ind w:firstLine="435"/>
        <w:rPr>
          <w:rFonts w:ascii="宋体" w:hAnsi="宋体"/>
          <w:b/>
          <w:color w:val="auto"/>
          <w:sz w:val="28"/>
          <w:szCs w:val="28"/>
          <w:highlight w:val="none"/>
        </w:rPr>
      </w:pPr>
    </w:p>
    <w:p>
      <w:pPr>
        <w:spacing w:line="480" w:lineRule="exact"/>
        <w:ind w:firstLine="435"/>
        <w:rPr>
          <w:rFonts w:ascii="宋体" w:hAnsi="宋体"/>
          <w:b/>
          <w:color w:val="auto"/>
          <w:sz w:val="28"/>
          <w:szCs w:val="28"/>
          <w:highlight w:val="none"/>
        </w:rPr>
      </w:pPr>
    </w:p>
    <w:p>
      <w:pPr>
        <w:spacing w:line="480" w:lineRule="exact"/>
        <w:ind w:firstLine="435"/>
        <w:rPr>
          <w:rFonts w:ascii="宋体" w:hAnsi="宋体"/>
          <w:b/>
          <w:color w:val="auto"/>
          <w:sz w:val="28"/>
          <w:szCs w:val="28"/>
          <w:highlight w:val="none"/>
        </w:rPr>
      </w:pPr>
    </w:p>
    <w:p>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供应商名称（电子印章）：</w:t>
      </w:r>
    </w:p>
    <w:p>
      <w:pPr>
        <w:spacing w:line="360" w:lineRule="auto"/>
        <w:ind w:left="420"/>
        <w:rPr>
          <w:rFonts w:ascii="宋体" w:hAnsi="宋体"/>
          <w:color w:val="auto"/>
          <w:sz w:val="24"/>
          <w:highlight w:val="none"/>
        </w:rPr>
      </w:pPr>
    </w:p>
    <w:p>
      <w:pPr>
        <w:spacing w:line="360" w:lineRule="auto"/>
        <w:ind w:firstLine="424" w:firstLineChars="177"/>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法定代表人或授权委托人签字或电子印章</w:t>
      </w:r>
      <w:r>
        <w:rPr>
          <w:rFonts w:hint="eastAsia" w:ascii="宋体" w:hAnsi="宋体"/>
          <w:color w:val="auto"/>
          <w:sz w:val="24"/>
          <w:highlight w:val="none"/>
        </w:rPr>
        <w:t>：</w:t>
      </w:r>
    </w:p>
    <w:p>
      <w:pPr>
        <w:spacing w:line="360" w:lineRule="auto"/>
        <w:rPr>
          <w:rFonts w:ascii="宋体" w:hAnsi="宋体"/>
          <w:color w:val="auto"/>
          <w:sz w:val="24"/>
          <w:highlight w:val="none"/>
        </w:rPr>
      </w:pPr>
    </w:p>
    <w:p>
      <w:pPr>
        <w:pStyle w:val="41"/>
        <w:shd w:val="clear" w:color="auto" w:fill="FFFFFF"/>
        <w:spacing w:before="0" w:beforeAutospacing="0" w:after="0" w:afterAutospacing="0" w:line="360" w:lineRule="auto"/>
        <w:ind w:firstLine="424" w:firstLineChars="177"/>
        <w:rPr>
          <w:b/>
          <w:bCs/>
          <w:color w:val="auto"/>
          <w:spacing w:val="11"/>
          <w:highlight w:val="none"/>
        </w:rPr>
      </w:pPr>
      <w:r>
        <w:rPr>
          <w:rFonts w:hint="eastAsia"/>
          <w:color w:val="auto"/>
          <w:highlight w:val="none"/>
        </w:rPr>
        <w:t>日        期：</w:t>
      </w:r>
    </w:p>
    <w:p>
      <w:pPr>
        <w:spacing w:line="480" w:lineRule="exact"/>
        <w:ind w:left="480"/>
        <w:rPr>
          <w:rFonts w:ascii="宋体" w:hAnsi="宋体"/>
          <w:b/>
          <w:color w:val="auto"/>
          <w:sz w:val="28"/>
          <w:szCs w:val="28"/>
          <w:highlight w:val="none"/>
        </w:rPr>
      </w:pPr>
    </w:p>
    <w:p>
      <w:pPr>
        <w:pStyle w:val="28"/>
        <w:rPr>
          <w:color w:val="auto"/>
          <w:highlight w:val="none"/>
        </w:rPr>
      </w:pPr>
    </w:p>
    <w:p>
      <w:pPr>
        <w:pStyle w:val="41"/>
        <w:shd w:val="clear" w:color="auto" w:fill="FFFFFF"/>
        <w:spacing w:before="0" w:beforeAutospacing="0" w:after="0" w:afterAutospacing="0" w:line="360" w:lineRule="auto"/>
        <w:ind w:firstLine="465" w:firstLineChars="177"/>
        <w:rPr>
          <w:b/>
          <w:bCs/>
          <w:color w:val="auto"/>
          <w:spacing w:val="11"/>
          <w:highlight w:val="none"/>
        </w:rPr>
      </w:pPr>
    </w:p>
    <w:p>
      <w:pPr>
        <w:spacing w:line="480" w:lineRule="exact"/>
        <w:ind w:left="480"/>
        <w:rPr>
          <w:rFonts w:ascii="宋体" w:hAnsi="宋体"/>
          <w:b/>
          <w:color w:val="auto"/>
          <w:sz w:val="36"/>
          <w:szCs w:val="36"/>
          <w:highlight w:val="none"/>
        </w:rPr>
      </w:pPr>
    </w:p>
    <w:p>
      <w:pPr>
        <w:widowControl/>
        <w:jc w:val="left"/>
        <w:rPr>
          <w:rFonts w:ascii="宋体" w:hAnsi="宋体"/>
          <w:b/>
          <w:color w:val="auto"/>
          <w:sz w:val="28"/>
          <w:highlight w:val="none"/>
        </w:rPr>
      </w:pPr>
      <w:bookmarkStart w:id="482" w:name="_Toc23671_WPSOffice_Level1"/>
      <w:bookmarkStart w:id="483" w:name="_Toc20569_WPSOffice_Level1"/>
      <w:r>
        <w:rPr>
          <w:rFonts w:ascii="宋体" w:hAnsi="宋体"/>
          <w:b/>
          <w:color w:val="auto"/>
          <w:sz w:val="28"/>
          <w:highlight w:val="none"/>
        </w:rPr>
        <w:br w:type="page"/>
      </w:r>
    </w:p>
    <w:p>
      <w:pPr>
        <w:rPr>
          <w:rFonts w:ascii="宋体" w:hAnsi="宋体"/>
          <w:b/>
          <w:color w:val="auto"/>
          <w:sz w:val="28"/>
          <w:highlight w:val="none"/>
        </w:rPr>
      </w:pPr>
      <w:r>
        <w:rPr>
          <w:rFonts w:hint="eastAsia" w:ascii="宋体" w:hAnsi="宋体"/>
          <w:b/>
          <w:color w:val="auto"/>
          <w:kern w:val="0"/>
          <w:sz w:val="28"/>
          <w:szCs w:val="28"/>
          <w:highlight w:val="none"/>
        </w:rPr>
        <w:t xml:space="preserve">附件11 </w:t>
      </w:r>
      <w:r>
        <w:rPr>
          <w:rFonts w:hint="eastAsia" w:ascii="宋体" w:hAnsi="宋体"/>
          <w:b/>
          <w:color w:val="auto"/>
          <w:sz w:val="28"/>
          <w:highlight w:val="none"/>
        </w:rPr>
        <w:t xml:space="preserve">     </w:t>
      </w:r>
    </w:p>
    <w:p>
      <w:pPr>
        <w:snapToGrid w:val="0"/>
        <w:spacing w:before="120" w:beforeLines="50" w:after="50" w:line="360" w:lineRule="auto"/>
        <w:jc w:val="center"/>
        <w:rPr>
          <w:rFonts w:ascii="宋体" w:hAnsi="宋体"/>
          <w:b/>
          <w:color w:val="auto"/>
          <w:sz w:val="36"/>
          <w:szCs w:val="36"/>
          <w:highlight w:val="none"/>
        </w:rPr>
      </w:pPr>
      <w:r>
        <w:rPr>
          <w:rFonts w:hint="eastAsia" w:ascii="宋体" w:hAnsi="宋体"/>
          <w:b/>
          <w:color w:val="auto"/>
          <w:sz w:val="32"/>
          <w:szCs w:val="32"/>
          <w:highlight w:val="none"/>
        </w:rPr>
        <w:t>项目组成员一览表</w:t>
      </w:r>
    </w:p>
    <w:tbl>
      <w:tblPr>
        <w:tblStyle w:val="29"/>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5"/>
        <w:gridCol w:w="567"/>
        <w:gridCol w:w="1276"/>
        <w:gridCol w:w="992"/>
        <w:gridCol w:w="1134"/>
        <w:gridCol w:w="1417"/>
        <w:gridCol w:w="1134"/>
        <w:gridCol w:w="1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ascii="宋体" w:hAnsi="宋体"/>
                <w:b/>
                <w:color w:val="auto"/>
                <w:sz w:val="24"/>
                <w:szCs w:val="20"/>
                <w:highlight w:val="none"/>
              </w:rPr>
            </w:pPr>
            <w:r>
              <w:rPr>
                <w:rFonts w:hint="eastAsia" w:ascii="宋体" w:hAnsi="宋体"/>
                <w:b/>
                <w:color w:val="auto"/>
                <w:sz w:val="24"/>
                <w:szCs w:val="20"/>
                <w:highlight w:val="none"/>
              </w:rPr>
              <w:t>序号</w:t>
            </w:r>
          </w:p>
        </w:tc>
        <w:tc>
          <w:tcPr>
            <w:tcW w:w="567"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ascii="宋体" w:hAnsi="宋体"/>
                <w:b/>
                <w:color w:val="auto"/>
                <w:sz w:val="24"/>
                <w:szCs w:val="20"/>
                <w:highlight w:val="none"/>
              </w:rPr>
            </w:pPr>
            <w:r>
              <w:rPr>
                <w:rFonts w:hint="eastAsia" w:ascii="宋体" w:hAnsi="宋体"/>
                <w:b/>
                <w:color w:val="auto"/>
                <w:sz w:val="24"/>
                <w:highlight w:val="none"/>
              </w:rPr>
              <w:t>姓名</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ascii="宋体" w:hAnsi="宋体"/>
                <w:b/>
                <w:color w:val="auto"/>
                <w:sz w:val="24"/>
                <w:szCs w:val="20"/>
                <w:highlight w:val="none"/>
              </w:rPr>
            </w:pPr>
            <w:r>
              <w:rPr>
                <w:rFonts w:hint="eastAsia" w:ascii="宋体" w:hAnsi="宋体"/>
                <w:b/>
                <w:color w:val="auto"/>
                <w:sz w:val="24"/>
                <w:highlight w:val="none"/>
              </w:rPr>
              <w:t>在本项目中拟任职务</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ascii="宋体" w:hAnsi="宋体"/>
                <w:b/>
                <w:color w:val="auto"/>
                <w:sz w:val="24"/>
                <w:szCs w:val="20"/>
                <w:highlight w:val="none"/>
              </w:rPr>
            </w:pPr>
            <w:r>
              <w:rPr>
                <w:rFonts w:hint="eastAsia" w:ascii="宋体" w:hAnsi="宋体"/>
                <w:b/>
                <w:color w:val="auto"/>
                <w:sz w:val="24"/>
                <w:szCs w:val="20"/>
                <w:highlight w:val="none"/>
              </w:rPr>
              <w:t>学历</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ascii="宋体" w:hAnsi="宋体"/>
                <w:b/>
                <w:color w:val="auto"/>
                <w:sz w:val="24"/>
                <w:szCs w:val="20"/>
                <w:highlight w:val="none"/>
              </w:rPr>
            </w:pPr>
            <w:r>
              <w:rPr>
                <w:rFonts w:hint="eastAsia" w:ascii="宋体" w:hAnsi="宋体"/>
                <w:b/>
                <w:color w:val="auto"/>
                <w:sz w:val="24"/>
                <w:highlight w:val="none"/>
              </w:rPr>
              <w:t>专业技术资格</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ascii="宋体" w:hAnsi="宋体"/>
                <w:b/>
                <w:color w:val="auto"/>
                <w:sz w:val="24"/>
                <w:szCs w:val="20"/>
                <w:highlight w:val="none"/>
              </w:rPr>
            </w:pPr>
            <w:r>
              <w:rPr>
                <w:rFonts w:hint="eastAsia" w:ascii="宋体" w:hAnsi="宋体"/>
                <w:b/>
                <w:color w:val="auto"/>
                <w:sz w:val="24"/>
                <w:highlight w:val="none"/>
              </w:rPr>
              <w:t>证书编号</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ascii="宋体" w:hAnsi="宋体"/>
                <w:b/>
                <w:bCs/>
                <w:color w:val="auto"/>
                <w:sz w:val="24"/>
                <w:szCs w:val="20"/>
                <w:highlight w:val="none"/>
              </w:rPr>
            </w:pPr>
            <w:r>
              <w:rPr>
                <w:rFonts w:hint="eastAsia" w:ascii="宋体" w:hAnsi="宋体"/>
                <w:b/>
                <w:bCs/>
                <w:color w:val="auto"/>
                <w:sz w:val="24"/>
                <w:highlight w:val="none"/>
              </w:rPr>
              <w:t>参加本单位工作时间</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ascii="宋体" w:hAnsi="宋体"/>
                <w:b/>
                <w:bCs/>
                <w:color w:val="auto"/>
                <w:sz w:val="24"/>
                <w:szCs w:val="20"/>
                <w:highlight w:val="none"/>
              </w:rPr>
            </w:pPr>
            <w:r>
              <w:rPr>
                <w:rFonts w:hint="eastAsia" w:ascii="宋体" w:hAnsi="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18"/>
                <w:szCs w:val="18"/>
                <w:highlight w:val="none"/>
              </w:rPr>
            </w:pPr>
            <w:r>
              <w:rPr>
                <w:rFonts w:hint="eastAsia" w:ascii="宋体" w:hAnsi="宋体"/>
                <w:color w:val="auto"/>
                <w:sz w:val="18"/>
                <w:szCs w:val="18"/>
                <w:highlight w:val="none"/>
              </w:rPr>
              <w:t>1</w:t>
            </w:r>
          </w:p>
        </w:tc>
        <w:tc>
          <w:tcPr>
            <w:tcW w:w="567"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18"/>
                <w:szCs w:val="18"/>
                <w:highlight w:val="none"/>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18"/>
                <w:szCs w:val="18"/>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18"/>
                <w:szCs w:val="18"/>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18"/>
                <w:szCs w:val="18"/>
                <w:highlight w:val="none"/>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18"/>
                <w:szCs w:val="18"/>
                <w:highlight w:val="none"/>
              </w:rPr>
            </w:pPr>
            <w:r>
              <w:rPr>
                <w:rFonts w:hint="eastAsia" w:ascii="宋体" w:hAnsi="宋体"/>
                <w:color w:val="auto"/>
                <w:sz w:val="18"/>
                <w:szCs w:val="18"/>
                <w:highlight w:val="none"/>
              </w:rPr>
              <w:t>2</w:t>
            </w:r>
          </w:p>
        </w:tc>
        <w:tc>
          <w:tcPr>
            <w:tcW w:w="567"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line="280" w:lineRule="exact"/>
              <w:jc w:val="center"/>
              <w:rPr>
                <w:rFonts w:ascii="宋体" w:hAnsi="宋体"/>
                <w:color w:val="auto"/>
                <w:sz w:val="18"/>
                <w:szCs w:val="18"/>
                <w:highlight w:val="none"/>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18"/>
                <w:szCs w:val="18"/>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18"/>
                <w:szCs w:val="18"/>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18"/>
                <w:szCs w:val="18"/>
                <w:highlight w:val="none"/>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18"/>
                <w:szCs w:val="18"/>
                <w:highlight w:val="none"/>
              </w:rPr>
            </w:pPr>
            <w:r>
              <w:rPr>
                <w:rFonts w:hint="eastAsia" w:ascii="宋体" w:hAnsi="宋体"/>
                <w:color w:val="auto"/>
                <w:sz w:val="18"/>
                <w:szCs w:val="18"/>
                <w:highlight w:val="none"/>
              </w:rPr>
              <w:t>3</w:t>
            </w:r>
          </w:p>
        </w:tc>
        <w:tc>
          <w:tcPr>
            <w:tcW w:w="567"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line="280" w:lineRule="exact"/>
              <w:jc w:val="center"/>
              <w:rPr>
                <w:rFonts w:ascii="宋体" w:hAnsi="宋体"/>
                <w:color w:val="auto"/>
                <w:sz w:val="18"/>
                <w:szCs w:val="18"/>
                <w:highlight w:val="none"/>
              </w:rPr>
            </w:pPr>
          </w:p>
        </w:tc>
        <w:tc>
          <w:tcPr>
            <w:tcW w:w="992" w:type="dxa"/>
            <w:tcBorders>
              <w:top w:val="single" w:color="auto" w:sz="4" w:space="0"/>
              <w:left w:val="single" w:color="auto" w:sz="4" w:space="0"/>
              <w:bottom w:val="single" w:color="auto" w:sz="4" w:space="0"/>
              <w:right w:val="single" w:color="auto" w:sz="4" w:space="0"/>
            </w:tcBorders>
          </w:tcPr>
          <w:p>
            <w:pPr>
              <w:pStyle w:val="16"/>
              <w:snapToGrid w:val="0"/>
              <w:spacing w:before="120" w:beforeLines="50" w:after="50"/>
              <w:ind w:left="5250" w:firstLine="360"/>
              <w:rPr>
                <w:rFonts w:ascii="宋体" w:hAnsi="宋体"/>
                <w:color w:val="auto"/>
                <w:sz w:val="18"/>
                <w:szCs w:val="18"/>
                <w:highlight w:val="none"/>
              </w:rPr>
            </w:pPr>
          </w:p>
        </w:tc>
        <w:tc>
          <w:tcPr>
            <w:tcW w:w="1134" w:type="dxa"/>
            <w:tcBorders>
              <w:top w:val="single" w:color="auto" w:sz="4" w:space="0"/>
              <w:left w:val="single" w:color="auto" w:sz="4" w:space="0"/>
              <w:bottom w:val="single" w:color="auto" w:sz="4" w:space="0"/>
              <w:right w:val="single" w:color="auto" w:sz="4" w:space="0"/>
            </w:tcBorders>
          </w:tcPr>
          <w:p>
            <w:pPr>
              <w:pStyle w:val="16"/>
              <w:snapToGrid w:val="0"/>
              <w:spacing w:before="120" w:beforeLines="50" w:after="50"/>
              <w:ind w:left="5250" w:firstLine="360"/>
              <w:rPr>
                <w:rFonts w:ascii="宋体" w:hAnsi="宋体"/>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tcPr>
          <w:p>
            <w:pPr>
              <w:pStyle w:val="16"/>
              <w:ind w:left="5250" w:leftChars="0" w:firstLine="360"/>
              <w:rPr>
                <w:rFonts w:ascii="宋体" w:hAnsi="宋体"/>
                <w:color w:val="auto"/>
                <w:sz w:val="18"/>
                <w:szCs w:val="18"/>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18"/>
                <w:szCs w:val="18"/>
                <w:highlight w:val="none"/>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18"/>
                <w:szCs w:val="18"/>
                <w:highlight w:val="none"/>
              </w:rPr>
            </w:pPr>
            <w:r>
              <w:rPr>
                <w:rFonts w:hint="eastAsia" w:ascii="宋体" w:hAnsi="宋体"/>
                <w:color w:val="auto"/>
                <w:sz w:val="18"/>
                <w:szCs w:val="18"/>
                <w:highlight w:val="none"/>
              </w:rPr>
              <w:t>4</w:t>
            </w:r>
          </w:p>
        </w:tc>
        <w:tc>
          <w:tcPr>
            <w:tcW w:w="567"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line="280" w:lineRule="exact"/>
              <w:jc w:val="center"/>
              <w:rPr>
                <w:rFonts w:ascii="宋体" w:hAnsi="宋体"/>
                <w:color w:val="auto"/>
                <w:sz w:val="18"/>
                <w:szCs w:val="18"/>
                <w:highlight w:val="none"/>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18"/>
                <w:szCs w:val="18"/>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18"/>
                <w:szCs w:val="18"/>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18"/>
                <w:szCs w:val="18"/>
                <w:highlight w:val="none"/>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24"/>
                <w:szCs w:val="20"/>
                <w:highlight w:val="none"/>
              </w:rPr>
            </w:pPr>
          </w:p>
        </w:tc>
        <w:tc>
          <w:tcPr>
            <w:tcW w:w="567"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24"/>
                <w:szCs w:val="20"/>
                <w:highlight w:val="none"/>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24"/>
                <w:szCs w:val="20"/>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24"/>
                <w:szCs w:val="20"/>
                <w:highlight w:val="none"/>
              </w:rPr>
            </w:pPr>
          </w:p>
        </w:tc>
        <w:tc>
          <w:tcPr>
            <w:tcW w:w="1417"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24"/>
                <w:szCs w:val="20"/>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24"/>
                <w:szCs w:val="20"/>
                <w:highlight w:val="none"/>
              </w:rPr>
            </w:pPr>
          </w:p>
        </w:tc>
        <w:tc>
          <w:tcPr>
            <w:tcW w:w="567"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24"/>
                <w:szCs w:val="20"/>
                <w:highlight w:val="none"/>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24"/>
                <w:szCs w:val="20"/>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24"/>
                <w:szCs w:val="20"/>
                <w:highlight w:val="none"/>
              </w:rPr>
            </w:pPr>
          </w:p>
        </w:tc>
        <w:tc>
          <w:tcPr>
            <w:tcW w:w="1417"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24"/>
                <w:szCs w:val="20"/>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24"/>
                <w:szCs w:val="20"/>
                <w:highlight w:val="none"/>
              </w:rPr>
            </w:pPr>
          </w:p>
        </w:tc>
      </w:tr>
    </w:tbl>
    <w:p>
      <w:pPr>
        <w:spacing w:line="360" w:lineRule="auto"/>
        <w:rPr>
          <w:rFonts w:ascii="宋体" w:hAnsi="宋体"/>
          <w:b/>
          <w:color w:val="auto"/>
          <w:szCs w:val="21"/>
          <w:highlight w:val="none"/>
        </w:rPr>
      </w:pPr>
      <w:r>
        <w:rPr>
          <w:rFonts w:hint="eastAsia" w:ascii="宋体" w:hAnsi="宋体"/>
          <w:b/>
          <w:color w:val="auto"/>
          <w:szCs w:val="21"/>
          <w:highlight w:val="none"/>
        </w:rPr>
        <w:t>要求：</w:t>
      </w:r>
    </w:p>
    <w:p>
      <w:pPr>
        <w:spacing w:line="360" w:lineRule="auto"/>
        <w:ind w:left="437"/>
        <w:rPr>
          <w:rFonts w:ascii="宋体" w:hAnsi="宋体"/>
          <w:color w:val="auto"/>
          <w:szCs w:val="21"/>
          <w:highlight w:val="none"/>
        </w:rPr>
      </w:pPr>
      <w:r>
        <w:rPr>
          <w:rFonts w:hint="eastAsia" w:ascii="宋体" w:hAnsi="宋体"/>
          <w:color w:val="auto"/>
          <w:szCs w:val="21"/>
          <w:highlight w:val="none"/>
        </w:rPr>
        <w:t>1.本表格条目允许供应商根据项目实际需要修改；</w:t>
      </w:r>
    </w:p>
    <w:p>
      <w:pPr>
        <w:pStyle w:val="42"/>
        <w:spacing w:line="360" w:lineRule="auto"/>
        <w:ind w:left="424" w:leftChars="202"/>
        <w:rPr>
          <w:rFonts w:ascii="宋体" w:hAnsi="宋体"/>
          <w:color w:val="auto"/>
          <w:szCs w:val="21"/>
          <w:highlight w:val="none"/>
        </w:rPr>
      </w:pPr>
      <w:r>
        <w:rPr>
          <w:rFonts w:hint="eastAsia" w:ascii="宋体" w:hAnsi="宋体"/>
          <w:color w:val="auto"/>
          <w:szCs w:val="21"/>
          <w:highlight w:val="none"/>
        </w:rPr>
        <w:t>2.附人员相关证书、证明材料等的扫描件；</w:t>
      </w:r>
    </w:p>
    <w:p>
      <w:pPr>
        <w:pStyle w:val="42"/>
        <w:spacing w:line="360" w:lineRule="auto"/>
        <w:ind w:left="424" w:hanging="424" w:hangingChars="202"/>
        <w:rPr>
          <w:rFonts w:ascii="宋体" w:hAnsi="宋体"/>
          <w:color w:val="auto"/>
          <w:szCs w:val="21"/>
          <w:highlight w:val="none"/>
        </w:rPr>
      </w:pPr>
      <w:r>
        <w:rPr>
          <w:rFonts w:hint="eastAsia" w:ascii="宋体" w:hAnsi="宋体"/>
          <w:color w:val="auto"/>
          <w:szCs w:val="21"/>
          <w:highlight w:val="none"/>
        </w:rPr>
        <w:t>　　3.社保部门出具的响应截止日期前近3个月在响应单位的社会保险费用缴纳证明。</w:t>
      </w:r>
    </w:p>
    <w:p>
      <w:pPr>
        <w:spacing w:line="320" w:lineRule="exact"/>
        <w:ind w:left="420"/>
        <w:rPr>
          <w:rFonts w:ascii="宋体" w:hAnsi="宋体"/>
          <w:color w:val="auto"/>
          <w:szCs w:val="21"/>
          <w:highlight w:val="none"/>
        </w:rPr>
      </w:pPr>
      <w:r>
        <w:rPr>
          <w:rFonts w:hint="eastAsia" w:ascii="宋体" w:hAnsi="宋体"/>
          <w:color w:val="auto"/>
          <w:szCs w:val="21"/>
          <w:highlight w:val="none"/>
        </w:rPr>
        <w:t>4.本表如跨页需每页加盖响应供应商电子印章。</w:t>
      </w:r>
    </w:p>
    <w:p>
      <w:pPr>
        <w:spacing w:line="480" w:lineRule="exact"/>
        <w:ind w:firstLine="435"/>
        <w:rPr>
          <w:rFonts w:ascii="宋体" w:hAnsi="宋体"/>
          <w:color w:val="auto"/>
          <w:sz w:val="24"/>
          <w:highlight w:val="none"/>
        </w:rPr>
      </w:pPr>
    </w:p>
    <w:p>
      <w:pPr>
        <w:spacing w:line="360" w:lineRule="auto"/>
        <w:ind w:firstLine="424" w:firstLineChars="177"/>
        <w:rPr>
          <w:rFonts w:ascii="宋体" w:hAnsi="宋体"/>
          <w:color w:val="auto"/>
          <w:sz w:val="24"/>
          <w:highlight w:val="none"/>
        </w:rPr>
      </w:pPr>
    </w:p>
    <w:p>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供应商名称（电子印章）：</w:t>
      </w:r>
    </w:p>
    <w:p>
      <w:pPr>
        <w:spacing w:line="360" w:lineRule="auto"/>
        <w:ind w:left="420"/>
        <w:rPr>
          <w:rFonts w:ascii="宋体" w:hAnsi="宋体"/>
          <w:color w:val="auto"/>
          <w:sz w:val="24"/>
          <w:highlight w:val="none"/>
        </w:rPr>
      </w:pPr>
    </w:p>
    <w:p>
      <w:pPr>
        <w:spacing w:line="360" w:lineRule="auto"/>
        <w:ind w:firstLine="424" w:firstLineChars="177"/>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法定代表人或授权委托人签字或电子印章</w:t>
      </w:r>
      <w:r>
        <w:rPr>
          <w:rFonts w:hint="eastAsia" w:ascii="宋体" w:hAnsi="宋体"/>
          <w:color w:val="auto"/>
          <w:sz w:val="24"/>
          <w:highlight w:val="none"/>
        </w:rPr>
        <w:t>：</w:t>
      </w:r>
    </w:p>
    <w:p>
      <w:pPr>
        <w:spacing w:line="360" w:lineRule="auto"/>
        <w:rPr>
          <w:rFonts w:ascii="宋体" w:hAnsi="宋体"/>
          <w:color w:val="auto"/>
          <w:sz w:val="24"/>
          <w:highlight w:val="none"/>
        </w:rPr>
      </w:pPr>
    </w:p>
    <w:p>
      <w:pPr>
        <w:pStyle w:val="41"/>
        <w:shd w:val="clear" w:color="auto" w:fill="FFFFFF"/>
        <w:spacing w:before="0" w:beforeAutospacing="0" w:after="0" w:afterAutospacing="0" w:line="360" w:lineRule="auto"/>
        <w:ind w:firstLine="424" w:firstLineChars="177"/>
        <w:rPr>
          <w:b/>
          <w:bCs/>
          <w:color w:val="auto"/>
          <w:spacing w:val="11"/>
          <w:highlight w:val="none"/>
        </w:rPr>
      </w:pPr>
      <w:r>
        <w:rPr>
          <w:rFonts w:hint="eastAsia"/>
          <w:color w:val="auto"/>
          <w:highlight w:val="none"/>
        </w:rPr>
        <w:t>日        期：</w:t>
      </w:r>
    </w:p>
    <w:p>
      <w:pPr>
        <w:widowControl/>
        <w:jc w:val="left"/>
        <w:rPr>
          <w:rFonts w:ascii="宋体" w:hAnsi="宋体"/>
          <w:b/>
          <w:color w:val="auto"/>
          <w:sz w:val="28"/>
          <w:highlight w:val="none"/>
        </w:rPr>
      </w:pPr>
      <w:r>
        <w:rPr>
          <w:rFonts w:ascii="宋体" w:hAnsi="宋体"/>
          <w:b/>
          <w:color w:val="auto"/>
          <w:sz w:val="28"/>
          <w:highlight w:val="none"/>
        </w:rPr>
        <w:br w:type="page"/>
      </w:r>
    </w:p>
    <w:p>
      <w:pPr>
        <w:rPr>
          <w:rFonts w:ascii="宋体" w:hAnsi="宋体"/>
          <w:b/>
          <w:color w:val="auto"/>
          <w:kern w:val="0"/>
          <w:sz w:val="28"/>
          <w:szCs w:val="28"/>
          <w:highlight w:val="none"/>
        </w:rPr>
      </w:pPr>
      <w:r>
        <w:rPr>
          <w:rFonts w:hint="eastAsia" w:ascii="宋体" w:hAnsi="宋体"/>
          <w:b/>
          <w:color w:val="auto"/>
          <w:kern w:val="0"/>
          <w:sz w:val="28"/>
          <w:szCs w:val="28"/>
          <w:highlight w:val="none"/>
        </w:rPr>
        <w:t>附件12</w:t>
      </w:r>
    </w:p>
    <w:p>
      <w:pPr>
        <w:pStyle w:val="44"/>
        <w:spacing w:line="480" w:lineRule="exact"/>
        <w:jc w:val="left"/>
        <w:rPr>
          <w:rFonts w:ascii="宋体" w:hAnsi="宋体"/>
          <w:b/>
          <w:color w:val="auto"/>
          <w:sz w:val="28"/>
          <w:highlight w:val="none"/>
        </w:rPr>
      </w:pPr>
    </w:p>
    <w:p>
      <w:pPr>
        <w:spacing w:line="480" w:lineRule="exact"/>
        <w:ind w:left="549" w:hanging="549" w:hangingChars="171"/>
        <w:jc w:val="center"/>
        <w:rPr>
          <w:rFonts w:ascii="宋体" w:hAnsi="宋体"/>
          <w:b/>
          <w:color w:val="auto"/>
          <w:sz w:val="32"/>
          <w:szCs w:val="32"/>
          <w:highlight w:val="none"/>
        </w:rPr>
      </w:pPr>
      <w:r>
        <w:rPr>
          <w:rFonts w:hint="eastAsia" w:ascii="宋体" w:hAnsi="宋体"/>
          <w:b/>
          <w:color w:val="auto"/>
          <w:sz w:val="32"/>
          <w:szCs w:val="32"/>
          <w:highlight w:val="none"/>
        </w:rPr>
        <w:t>商务与技术需求响应表</w:t>
      </w:r>
    </w:p>
    <w:tbl>
      <w:tblPr>
        <w:tblStyle w:val="2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392"/>
        <w:gridCol w:w="2178"/>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6" w:hRule="atLeast"/>
        </w:trPr>
        <w:tc>
          <w:tcPr>
            <w:tcW w:w="735" w:type="dxa"/>
            <w:vAlign w:val="center"/>
          </w:tcPr>
          <w:p>
            <w:pPr>
              <w:spacing w:line="480" w:lineRule="exact"/>
              <w:jc w:val="center"/>
              <w:rPr>
                <w:rFonts w:ascii="宋体" w:hAnsi="宋体"/>
                <w:b/>
                <w:color w:val="auto"/>
                <w:highlight w:val="none"/>
              </w:rPr>
            </w:pPr>
            <w:r>
              <w:rPr>
                <w:rFonts w:hint="eastAsia" w:ascii="宋体" w:hAnsi="宋体"/>
                <w:b/>
                <w:color w:val="auto"/>
                <w:highlight w:val="none"/>
              </w:rPr>
              <w:t>序号</w:t>
            </w:r>
          </w:p>
        </w:tc>
        <w:tc>
          <w:tcPr>
            <w:tcW w:w="1392" w:type="dxa"/>
            <w:vAlign w:val="center"/>
          </w:tcPr>
          <w:p>
            <w:pPr>
              <w:spacing w:line="480" w:lineRule="exact"/>
              <w:jc w:val="center"/>
              <w:rPr>
                <w:rFonts w:ascii="宋体" w:hAnsi="宋体"/>
                <w:b/>
                <w:color w:val="auto"/>
                <w:highlight w:val="none"/>
              </w:rPr>
            </w:pPr>
            <w:r>
              <w:rPr>
                <w:rFonts w:hint="eastAsia" w:ascii="宋体" w:hAnsi="宋体"/>
                <w:b/>
                <w:color w:val="auto"/>
                <w:highlight w:val="none"/>
              </w:rPr>
              <w:t>内容</w:t>
            </w:r>
          </w:p>
        </w:tc>
        <w:tc>
          <w:tcPr>
            <w:tcW w:w="2178" w:type="dxa"/>
            <w:vAlign w:val="center"/>
          </w:tcPr>
          <w:p>
            <w:pPr>
              <w:spacing w:line="480" w:lineRule="exact"/>
              <w:jc w:val="center"/>
              <w:rPr>
                <w:rFonts w:ascii="宋体" w:hAnsi="宋体"/>
                <w:b/>
                <w:color w:val="auto"/>
                <w:highlight w:val="none"/>
              </w:rPr>
            </w:pPr>
            <w:r>
              <w:rPr>
                <w:rFonts w:hint="eastAsia" w:ascii="宋体" w:hAnsi="宋体"/>
                <w:b/>
                <w:color w:val="auto"/>
                <w:highlight w:val="none"/>
              </w:rPr>
              <w:t>磋商需求</w:t>
            </w:r>
          </w:p>
        </w:tc>
        <w:tc>
          <w:tcPr>
            <w:tcW w:w="1365" w:type="dxa"/>
            <w:vAlign w:val="center"/>
          </w:tcPr>
          <w:p>
            <w:pPr>
              <w:spacing w:line="480" w:lineRule="exact"/>
              <w:ind w:left="152"/>
              <w:rPr>
                <w:rFonts w:ascii="宋体" w:hAnsi="宋体"/>
                <w:b/>
                <w:color w:val="auto"/>
                <w:highlight w:val="none"/>
              </w:rPr>
            </w:pPr>
            <w:r>
              <w:rPr>
                <w:rFonts w:hint="eastAsia" w:ascii="宋体" w:hAnsi="宋体"/>
                <w:b/>
                <w:color w:val="auto"/>
                <w:highlight w:val="none"/>
              </w:rPr>
              <w:t>是否偏离</w:t>
            </w:r>
          </w:p>
        </w:tc>
        <w:tc>
          <w:tcPr>
            <w:tcW w:w="2625" w:type="dxa"/>
            <w:vAlign w:val="center"/>
          </w:tcPr>
          <w:p>
            <w:pPr>
              <w:spacing w:line="480" w:lineRule="exact"/>
              <w:rPr>
                <w:rFonts w:ascii="宋体" w:hAnsi="宋体"/>
                <w:b/>
                <w:color w:val="auto"/>
                <w:highlight w:val="none"/>
              </w:rPr>
            </w:pPr>
            <w:r>
              <w:rPr>
                <w:rFonts w:hint="eastAsia" w:ascii="宋体" w:hAnsi="宋体"/>
                <w:b/>
                <w:color w:val="auto"/>
                <w:highlight w:val="none"/>
              </w:rPr>
              <w:t>响应供应商的承诺或说明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735" w:type="dxa"/>
            <w:vAlign w:val="center"/>
          </w:tcPr>
          <w:p>
            <w:pPr>
              <w:spacing w:line="480" w:lineRule="exact"/>
              <w:rPr>
                <w:rFonts w:ascii="宋体" w:hAnsi="宋体"/>
                <w:color w:val="auto"/>
                <w:highlight w:val="none"/>
              </w:rPr>
            </w:pPr>
          </w:p>
        </w:tc>
        <w:tc>
          <w:tcPr>
            <w:tcW w:w="1392" w:type="dxa"/>
          </w:tcPr>
          <w:p>
            <w:pPr>
              <w:snapToGrid w:val="0"/>
              <w:spacing w:line="480" w:lineRule="exact"/>
              <w:rPr>
                <w:rFonts w:ascii="宋体" w:hAnsi="宋体"/>
                <w:color w:val="auto"/>
                <w:highlight w:val="none"/>
              </w:rPr>
            </w:pPr>
          </w:p>
        </w:tc>
        <w:tc>
          <w:tcPr>
            <w:tcW w:w="2178" w:type="dxa"/>
            <w:vAlign w:val="center"/>
          </w:tcPr>
          <w:p>
            <w:pPr>
              <w:spacing w:line="480" w:lineRule="exact"/>
              <w:rPr>
                <w:rFonts w:ascii="宋体" w:hAnsi="宋体"/>
                <w:color w:val="auto"/>
                <w:highlight w:val="none"/>
              </w:rPr>
            </w:pPr>
          </w:p>
        </w:tc>
        <w:tc>
          <w:tcPr>
            <w:tcW w:w="1365" w:type="dxa"/>
            <w:vAlign w:val="center"/>
          </w:tcPr>
          <w:p>
            <w:pPr>
              <w:spacing w:line="480" w:lineRule="exact"/>
              <w:rPr>
                <w:rFonts w:ascii="宋体" w:hAnsi="宋体"/>
                <w:color w:val="auto"/>
                <w:highlight w:val="none"/>
              </w:rPr>
            </w:pPr>
          </w:p>
        </w:tc>
        <w:tc>
          <w:tcPr>
            <w:tcW w:w="2625" w:type="dxa"/>
            <w:vAlign w:val="center"/>
          </w:tcPr>
          <w:p>
            <w:pPr>
              <w:spacing w:line="48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35" w:type="dxa"/>
            <w:vAlign w:val="center"/>
          </w:tcPr>
          <w:p>
            <w:pPr>
              <w:spacing w:line="480" w:lineRule="exact"/>
              <w:rPr>
                <w:rFonts w:ascii="宋体" w:hAnsi="宋体"/>
                <w:color w:val="auto"/>
                <w:highlight w:val="none"/>
              </w:rPr>
            </w:pPr>
          </w:p>
        </w:tc>
        <w:tc>
          <w:tcPr>
            <w:tcW w:w="1392" w:type="dxa"/>
          </w:tcPr>
          <w:p>
            <w:pPr>
              <w:snapToGrid w:val="0"/>
              <w:spacing w:line="480" w:lineRule="exact"/>
              <w:rPr>
                <w:rFonts w:ascii="宋体" w:hAnsi="宋体"/>
                <w:color w:val="auto"/>
                <w:highlight w:val="none"/>
              </w:rPr>
            </w:pPr>
          </w:p>
        </w:tc>
        <w:tc>
          <w:tcPr>
            <w:tcW w:w="2178" w:type="dxa"/>
            <w:vAlign w:val="center"/>
          </w:tcPr>
          <w:p>
            <w:pPr>
              <w:spacing w:line="480" w:lineRule="exact"/>
              <w:rPr>
                <w:rFonts w:ascii="宋体" w:hAnsi="宋体"/>
                <w:color w:val="auto"/>
                <w:highlight w:val="none"/>
              </w:rPr>
            </w:pPr>
          </w:p>
        </w:tc>
        <w:tc>
          <w:tcPr>
            <w:tcW w:w="1365" w:type="dxa"/>
            <w:vAlign w:val="center"/>
          </w:tcPr>
          <w:p>
            <w:pPr>
              <w:spacing w:line="480" w:lineRule="exact"/>
              <w:rPr>
                <w:rFonts w:ascii="宋体" w:hAnsi="宋体"/>
                <w:color w:val="auto"/>
                <w:highlight w:val="none"/>
              </w:rPr>
            </w:pPr>
          </w:p>
        </w:tc>
        <w:tc>
          <w:tcPr>
            <w:tcW w:w="2625" w:type="dxa"/>
            <w:vAlign w:val="center"/>
          </w:tcPr>
          <w:p>
            <w:pPr>
              <w:spacing w:line="48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spacing w:line="480" w:lineRule="exact"/>
              <w:rPr>
                <w:rFonts w:ascii="宋体" w:hAnsi="宋体"/>
                <w:color w:val="auto"/>
                <w:highlight w:val="none"/>
              </w:rPr>
            </w:pPr>
          </w:p>
        </w:tc>
        <w:tc>
          <w:tcPr>
            <w:tcW w:w="1392" w:type="dxa"/>
          </w:tcPr>
          <w:p>
            <w:pPr>
              <w:snapToGrid w:val="0"/>
              <w:spacing w:line="480" w:lineRule="exact"/>
              <w:rPr>
                <w:rFonts w:ascii="宋体" w:hAnsi="宋体"/>
                <w:color w:val="auto"/>
                <w:highlight w:val="none"/>
              </w:rPr>
            </w:pPr>
          </w:p>
        </w:tc>
        <w:tc>
          <w:tcPr>
            <w:tcW w:w="2178" w:type="dxa"/>
            <w:vAlign w:val="center"/>
          </w:tcPr>
          <w:p>
            <w:pPr>
              <w:spacing w:line="480" w:lineRule="exact"/>
              <w:rPr>
                <w:rFonts w:ascii="宋体" w:hAnsi="宋体"/>
                <w:color w:val="auto"/>
                <w:highlight w:val="none"/>
              </w:rPr>
            </w:pPr>
          </w:p>
        </w:tc>
        <w:tc>
          <w:tcPr>
            <w:tcW w:w="1365" w:type="dxa"/>
            <w:vAlign w:val="center"/>
          </w:tcPr>
          <w:p>
            <w:pPr>
              <w:spacing w:line="480" w:lineRule="exact"/>
              <w:rPr>
                <w:rFonts w:ascii="宋体" w:hAnsi="宋体"/>
                <w:color w:val="auto"/>
                <w:highlight w:val="none"/>
              </w:rPr>
            </w:pPr>
          </w:p>
        </w:tc>
        <w:tc>
          <w:tcPr>
            <w:tcW w:w="2625" w:type="dxa"/>
            <w:vAlign w:val="center"/>
          </w:tcPr>
          <w:p>
            <w:pPr>
              <w:spacing w:line="48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spacing w:line="480" w:lineRule="exact"/>
              <w:rPr>
                <w:rFonts w:ascii="宋体" w:hAnsi="宋体"/>
                <w:color w:val="auto"/>
                <w:highlight w:val="none"/>
              </w:rPr>
            </w:pPr>
          </w:p>
        </w:tc>
        <w:tc>
          <w:tcPr>
            <w:tcW w:w="1392" w:type="dxa"/>
          </w:tcPr>
          <w:p>
            <w:pPr>
              <w:snapToGrid w:val="0"/>
              <w:spacing w:line="480" w:lineRule="exact"/>
              <w:rPr>
                <w:rFonts w:ascii="宋体" w:hAnsi="宋体"/>
                <w:color w:val="auto"/>
                <w:highlight w:val="none"/>
              </w:rPr>
            </w:pPr>
          </w:p>
        </w:tc>
        <w:tc>
          <w:tcPr>
            <w:tcW w:w="2178" w:type="dxa"/>
            <w:vAlign w:val="center"/>
          </w:tcPr>
          <w:p>
            <w:pPr>
              <w:spacing w:line="480" w:lineRule="exact"/>
              <w:rPr>
                <w:rFonts w:ascii="宋体" w:hAnsi="宋体"/>
                <w:color w:val="auto"/>
                <w:highlight w:val="none"/>
              </w:rPr>
            </w:pPr>
          </w:p>
        </w:tc>
        <w:tc>
          <w:tcPr>
            <w:tcW w:w="1365" w:type="dxa"/>
            <w:vAlign w:val="center"/>
          </w:tcPr>
          <w:p>
            <w:pPr>
              <w:spacing w:line="480" w:lineRule="exact"/>
              <w:rPr>
                <w:rFonts w:ascii="宋体" w:hAnsi="宋体"/>
                <w:color w:val="auto"/>
                <w:highlight w:val="none"/>
              </w:rPr>
            </w:pPr>
          </w:p>
        </w:tc>
        <w:tc>
          <w:tcPr>
            <w:tcW w:w="2625" w:type="dxa"/>
            <w:vAlign w:val="center"/>
          </w:tcPr>
          <w:p>
            <w:pPr>
              <w:spacing w:line="48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spacing w:line="480" w:lineRule="exact"/>
              <w:rPr>
                <w:rFonts w:ascii="宋体" w:hAnsi="宋体"/>
                <w:color w:val="auto"/>
                <w:highlight w:val="none"/>
              </w:rPr>
            </w:pPr>
          </w:p>
        </w:tc>
        <w:tc>
          <w:tcPr>
            <w:tcW w:w="1392" w:type="dxa"/>
          </w:tcPr>
          <w:p>
            <w:pPr>
              <w:snapToGrid w:val="0"/>
              <w:spacing w:line="480" w:lineRule="exact"/>
              <w:rPr>
                <w:rFonts w:ascii="宋体" w:hAnsi="宋体"/>
                <w:color w:val="auto"/>
                <w:highlight w:val="none"/>
              </w:rPr>
            </w:pPr>
          </w:p>
        </w:tc>
        <w:tc>
          <w:tcPr>
            <w:tcW w:w="2178" w:type="dxa"/>
            <w:vAlign w:val="center"/>
          </w:tcPr>
          <w:p>
            <w:pPr>
              <w:spacing w:line="480" w:lineRule="exact"/>
              <w:rPr>
                <w:rFonts w:ascii="宋体" w:hAnsi="宋体"/>
                <w:color w:val="auto"/>
                <w:highlight w:val="none"/>
              </w:rPr>
            </w:pPr>
          </w:p>
        </w:tc>
        <w:tc>
          <w:tcPr>
            <w:tcW w:w="1365" w:type="dxa"/>
            <w:vAlign w:val="center"/>
          </w:tcPr>
          <w:p>
            <w:pPr>
              <w:spacing w:line="480" w:lineRule="exact"/>
              <w:rPr>
                <w:rFonts w:ascii="宋体" w:hAnsi="宋体"/>
                <w:color w:val="auto"/>
                <w:highlight w:val="none"/>
              </w:rPr>
            </w:pPr>
          </w:p>
        </w:tc>
        <w:tc>
          <w:tcPr>
            <w:tcW w:w="2625" w:type="dxa"/>
            <w:vAlign w:val="center"/>
          </w:tcPr>
          <w:p>
            <w:pPr>
              <w:spacing w:line="48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spacing w:line="480" w:lineRule="exact"/>
              <w:rPr>
                <w:rFonts w:ascii="宋体" w:hAnsi="宋体"/>
                <w:color w:val="auto"/>
                <w:highlight w:val="none"/>
              </w:rPr>
            </w:pPr>
          </w:p>
        </w:tc>
        <w:tc>
          <w:tcPr>
            <w:tcW w:w="1392" w:type="dxa"/>
          </w:tcPr>
          <w:p>
            <w:pPr>
              <w:snapToGrid w:val="0"/>
              <w:spacing w:line="480" w:lineRule="exact"/>
              <w:rPr>
                <w:rFonts w:ascii="宋体" w:hAnsi="宋体"/>
                <w:color w:val="auto"/>
                <w:highlight w:val="none"/>
              </w:rPr>
            </w:pPr>
          </w:p>
        </w:tc>
        <w:tc>
          <w:tcPr>
            <w:tcW w:w="2178" w:type="dxa"/>
            <w:vAlign w:val="center"/>
          </w:tcPr>
          <w:p>
            <w:pPr>
              <w:spacing w:line="480" w:lineRule="exact"/>
              <w:rPr>
                <w:rFonts w:ascii="宋体" w:hAnsi="宋体"/>
                <w:color w:val="auto"/>
                <w:highlight w:val="none"/>
              </w:rPr>
            </w:pPr>
          </w:p>
        </w:tc>
        <w:tc>
          <w:tcPr>
            <w:tcW w:w="1365" w:type="dxa"/>
            <w:vAlign w:val="center"/>
          </w:tcPr>
          <w:p>
            <w:pPr>
              <w:spacing w:line="480" w:lineRule="exact"/>
              <w:rPr>
                <w:rFonts w:ascii="宋体" w:hAnsi="宋体"/>
                <w:color w:val="auto"/>
                <w:highlight w:val="none"/>
              </w:rPr>
            </w:pPr>
          </w:p>
        </w:tc>
        <w:tc>
          <w:tcPr>
            <w:tcW w:w="2625" w:type="dxa"/>
            <w:vAlign w:val="center"/>
          </w:tcPr>
          <w:p>
            <w:pPr>
              <w:spacing w:line="48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735" w:type="dxa"/>
            <w:vAlign w:val="center"/>
          </w:tcPr>
          <w:p>
            <w:pPr>
              <w:spacing w:line="480" w:lineRule="exact"/>
              <w:rPr>
                <w:rFonts w:ascii="宋体" w:hAnsi="宋体"/>
                <w:color w:val="auto"/>
                <w:highlight w:val="none"/>
              </w:rPr>
            </w:pPr>
          </w:p>
        </w:tc>
        <w:tc>
          <w:tcPr>
            <w:tcW w:w="1392" w:type="dxa"/>
          </w:tcPr>
          <w:p>
            <w:pPr>
              <w:snapToGrid w:val="0"/>
              <w:spacing w:line="480" w:lineRule="exact"/>
              <w:rPr>
                <w:rFonts w:ascii="宋体" w:hAnsi="宋体"/>
                <w:color w:val="auto"/>
                <w:highlight w:val="none"/>
              </w:rPr>
            </w:pPr>
          </w:p>
        </w:tc>
        <w:tc>
          <w:tcPr>
            <w:tcW w:w="2178" w:type="dxa"/>
            <w:vAlign w:val="center"/>
          </w:tcPr>
          <w:p>
            <w:pPr>
              <w:spacing w:line="480" w:lineRule="exact"/>
              <w:rPr>
                <w:rFonts w:ascii="宋体" w:hAnsi="宋体"/>
                <w:color w:val="auto"/>
                <w:highlight w:val="none"/>
              </w:rPr>
            </w:pPr>
          </w:p>
        </w:tc>
        <w:tc>
          <w:tcPr>
            <w:tcW w:w="1365" w:type="dxa"/>
            <w:vAlign w:val="center"/>
          </w:tcPr>
          <w:p>
            <w:pPr>
              <w:spacing w:line="480" w:lineRule="exact"/>
              <w:rPr>
                <w:rFonts w:ascii="宋体" w:hAnsi="宋体"/>
                <w:color w:val="auto"/>
                <w:highlight w:val="none"/>
              </w:rPr>
            </w:pPr>
          </w:p>
        </w:tc>
        <w:tc>
          <w:tcPr>
            <w:tcW w:w="2625" w:type="dxa"/>
            <w:vAlign w:val="center"/>
          </w:tcPr>
          <w:p>
            <w:pPr>
              <w:spacing w:line="48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trPr>
        <w:tc>
          <w:tcPr>
            <w:tcW w:w="735" w:type="dxa"/>
            <w:vAlign w:val="center"/>
          </w:tcPr>
          <w:p>
            <w:pPr>
              <w:spacing w:line="480" w:lineRule="exact"/>
              <w:rPr>
                <w:rFonts w:ascii="宋体" w:hAnsi="宋体"/>
                <w:color w:val="auto"/>
                <w:highlight w:val="none"/>
              </w:rPr>
            </w:pPr>
          </w:p>
        </w:tc>
        <w:tc>
          <w:tcPr>
            <w:tcW w:w="1392" w:type="dxa"/>
          </w:tcPr>
          <w:p>
            <w:pPr>
              <w:snapToGrid w:val="0"/>
              <w:spacing w:line="480" w:lineRule="exact"/>
              <w:rPr>
                <w:rFonts w:ascii="宋体" w:hAnsi="宋体"/>
                <w:color w:val="auto"/>
                <w:highlight w:val="none"/>
              </w:rPr>
            </w:pPr>
          </w:p>
        </w:tc>
        <w:tc>
          <w:tcPr>
            <w:tcW w:w="2178" w:type="dxa"/>
            <w:vAlign w:val="center"/>
          </w:tcPr>
          <w:p>
            <w:pPr>
              <w:spacing w:line="480" w:lineRule="exact"/>
              <w:rPr>
                <w:rFonts w:ascii="宋体" w:hAnsi="宋体"/>
                <w:color w:val="auto"/>
                <w:highlight w:val="none"/>
              </w:rPr>
            </w:pPr>
          </w:p>
        </w:tc>
        <w:tc>
          <w:tcPr>
            <w:tcW w:w="1365" w:type="dxa"/>
            <w:vAlign w:val="center"/>
          </w:tcPr>
          <w:p>
            <w:pPr>
              <w:spacing w:line="480" w:lineRule="exact"/>
              <w:rPr>
                <w:rFonts w:ascii="宋体" w:hAnsi="宋体"/>
                <w:color w:val="auto"/>
                <w:highlight w:val="none"/>
              </w:rPr>
            </w:pPr>
          </w:p>
        </w:tc>
        <w:tc>
          <w:tcPr>
            <w:tcW w:w="2625" w:type="dxa"/>
            <w:vAlign w:val="center"/>
          </w:tcPr>
          <w:p>
            <w:pPr>
              <w:spacing w:line="48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trPr>
        <w:tc>
          <w:tcPr>
            <w:tcW w:w="735" w:type="dxa"/>
            <w:vAlign w:val="center"/>
          </w:tcPr>
          <w:p>
            <w:pPr>
              <w:spacing w:line="480" w:lineRule="exact"/>
              <w:rPr>
                <w:rFonts w:ascii="宋体" w:hAnsi="宋体"/>
                <w:color w:val="auto"/>
                <w:highlight w:val="none"/>
              </w:rPr>
            </w:pPr>
          </w:p>
        </w:tc>
        <w:tc>
          <w:tcPr>
            <w:tcW w:w="1392" w:type="dxa"/>
          </w:tcPr>
          <w:p>
            <w:pPr>
              <w:snapToGrid w:val="0"/>
              <w:spacing w:line="480" w:lineRule="exact"/>
              <w:rPr>
                <w:rFonts w:ascii="宋体" w:hAnsi="宋体"/>
                <w:color w:val="auto"/>
                <w:highlight w:val="none"/>
              </w:rPr>
            </w:pPr>
          </w:p>
        </w:tc>
        <w:tc>
          <w:tcPr>
            <w:tcW w:w="2178" w:type="dxa"/>
            <w:vAlign w:val="center"/>
          </w:tcPr>
          <w:p>
            <w:pPr>
              <w:spacing w:line="480" w:lineRule="exact"/>
              <w:rPr>
                <w:rFonts w:ascii="宋体" w:hAnsi="宋体"/>
                <w:color w:val="auto"/>
                <w:highlight w:val="none"/>
              </w:rPr>
            </w:pPr>
          </w:p>
        </w:tc>
        <w:tc>
          <w:tcPr>
            <w:tcW w:w="1365" w:type="dxa"/>
            <w:vAlign w:val="center"/>
          </w:tcPr>
          <w:p>
            <w:pPr>
              <w:spacing w:line="480" w:lineRule="exact"/>
              <w:rPr>
                <w:rFonts w:ascii="宋体" w:hAnsi="宋体"/>
                <w:color w:val="auto"/>
                <w:highlight w:val="none"/>
              </w:rPr>
            </w:pPr>
          </w:p>
        </w:tc>
        <w:tc>
          <w:tcPr>
            <w:tcW w:w="2625" w:type="dxa"/>
            <w:vAlign w:val="center"/>
          </w:tcPr>
          <w:p>
            <w:pPr>
              <w:spacing w:line="48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35" w:type="dxa"/>
            <w:vAlign w:val="center"/>
          </w:tcPr>
          <w:p>
            <w:pPr>
              <w:spacing w:line="480" w:lineRule="exact"/>
              <w:rPr>
                <w:rFonts w:ascii="宋体" w:hAnsi="宋体"/>
                <w:color w:val="auto"/>
                <w:highlight w:val="none"/>
              </w:rPr>
            </w:pPr>
          </w:p>
        </w:tc>
        <w:tc>
          <w:tcPr>
            <w:tcW w:w="1392" w:type="dxa"/>
          </w:tcPr>
          <w:p>
            <w:pPr>
              <w:snapToGrid w:val="0"/>
              <w:spacing w:before="120" w:beforeLines="50" w:line="480" w:lineRule="exact"/>
              <w:rPr>
                <w:rFonts w:ascii="宋体" w:hAnsi="宋体"/>
                <w:color w:val="auto"/>
                <w:highlight w:val="none"/>
              </w:rPr>
            </w:pPr>
          </w:p>
        </w:tc>
        <w:tc>
          <w:tcPr>
            <w:tcW w:w="2178" w:type="dxa"/>
            <w:vAlign w:val="center"/>
          </w:tcPr>
          <w:p>
            <w:pPr>
              <w:spacing w:line="480" w:lineRule="exact"/>
              <w:rPr>
                <w:rFonts w:ascii="宋体" w:hAnsi="宋体"/>
                <w:color w:val="auto"/>
                <w:highlight w:val="none"/>
              </w:rPr>
            </w:pPr>
          </w:p>
        </w:tc>
        <w:tc>
          <w:tcPr>
            <w:tcW w:w="1365" w:type="dxa"/>
            <w:vAlign w:val="center"/>
          </w:tcPr>
          <w:p>
            <w:pPr>
              <w:spacing w:line="480" w:lineRule="exact"/>
              <w:rPr>
                <w:rFonts w:ascii="宋体" w:hAnsi="宋体"/>
                <w:color w:val="auto"/>
                <w:highlight w:val="none"/>
              </w:rPr>
            </w:pPr>
          </w:p>
        </w:tc>
        <w:tc>
          <w:tcPr>
            <w:tcW w:w="2625" w:type="dxa"/>
            <w:vAlign w:val="center"/>
          </w:tcPr>
          <w:p>
            <w:pPr>
              <w:spacing w:line="480" w:lineRule="exact"/>
              <w:rPr>
                <w:rFonts w:ascii="宋体" w:hAnsi="宋体"/>
                <w:color w:val="auto"/>
                <w:highlight w:val="none"/>
              </w:rPr>
            </w:pPr>
          </w:p>
        </w:tc>
      </w:tr>
    </w:tbl>
    <w:p>
      <w:pPr>
        <w:spacing w:line="480" w:lineRule="exact"/>
        <w:rPr>
          <w:rFonts w:ascii="宋体" w:hAnsi="宋体"/>
          <w:b/>
          <w:color w:val="auto"/>
          <w:szCs w:val="21"/>
          <w:highlight w:val="none"/>
        </w:rPr>
      </w:pPr>
      <w:r>
        <w:rPr>
          <w:rFonts w:hint="eastAsia" w:ascii="宋体" w:hAnsi="宋体"/>
          <w:b/>
          <w:color w:val="auto"/>
          <w:szCs w:val="21"/>
          <w:highlight w:val="none"/>
        </w:rPr>
        <w:t>要求：本表“内容”栏根据磋商文件第三章项目需求内容填写。如无偏离，可不需逐条响应，在本表中写明“无偏离，完全响应磋商文件要求”，如有条款偏离，则必须逐条填写响应情况。</w:t>
      </w:r>
    </w:p>
    <w:p>
      <w:pPr>
        <w:spacing w:line="480" w:lineRule="exact"/>
        <w:ind w:left="420"/>
        <w:rPr>
          <w:rFonts w:ascii="宋体" w:hAnsi="宋体"/>
          <w:color w:val="auto"/>
          <w:highlight w:val="none"/>
        </w:rPr>
      </w:pPr>
    </w:p>
    <w:p>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供应商名称（电子印章）：</w:t>
      </w:r>
    </w:p>
    <w:p>
      <w:pPr>
        <w:spacing w:line="360" w:lineRule="auto"/>
        <w:ind w:left="420"/>
        <w:rPr>
          <w:rFonts w:ascii="宋体" w:hAnsi="宋体"/>
          <w:color w:val="auto"/>
          <w:sz w:val="24"/>
          <w:highlight w:val="none"/>
        </w:rPr>
      </w:pPr>
    </w:p>
    <w:p>
      <w:pPr>
        <w:spacing w:line="360" w:lineRule="auto"/>
        <w:ind w:firstLine="424" w:firstLineChars="177"/>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法定代表人或授权委托人签字或电子印章</w:t>
      </w:r>
      <w:r>
        <w:rPr>
          <w:rFonts w:hint="eastAsia" w:ascii="宋体" w:hAnsi="宋体"/>
          <w:color w:val="auto"/>
          <w:sz w:val="24"/>
          <w:highlight w:val="none"/>
        </w:rPr>
        <w:t>：</w:t>
      </w:r>
    </w:p>
    <w:p>
      <w:pPr>
        <w:spacing w:line="360" w:lineRule="auto"/>
        <w:rPr>
          <w:rFonts w:ascii="宋体" w:hAnsi="宋体"/>
          <w:color w:val="auto"/>
          <w:sz w:val="24"/>
          <w:highlight w:val="none"/>
        </w:rPr>
      </w:pPr>
    </w:p>
    <w:p>
      <w:pPr>
        <w:spacing w:line="360" w:lineRule="auto"/>
        <w:ind w:firstLine="424" w:firstLineChars="177"/>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        期：</w:t>
      </w:r>
    </w:p>
    <w:p>
      <w:pPr>
        <w:pStyle w:val="28"/>
        <w:rPr>
          <w:color w:val="auto"/>
          <w:highlight w:val="none"/>
        </w:rPr>
      </w:pPr>
    </w:p>
    <w:bookmarkEnd w:id="482"/>
    <w:bookmarkEnd w:id="483"/>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widowControl/>
        <w:jc w:val="left"/>
        <w:rPr>
          <w:rFonts w:ascii="宋体" w:hAnsi="宋体"/>
          <w:b/>
          <w:color w:val="auto"/>
          <w:kern w:val="0"/>
          <w:sz w:val="28"/>
          <w:szCs w:val="28"/>
          <w:highlight w:val="none"/>
        </w:rPr>
      </w:pPr>
      <w:r>
        <w:rPr>
          <w:rFonts w:ascii="宋体" w:hAnsi="宋体"/>
          <w:b/>
          <w:color w:val="auto"/>
          <w:kern w:val="0"/>
          <w:sz w:val="28"/>
          <w:szCs w:val="28"/>
          <w:highlight w:val="none"/>
        </w:rPr>
        <w:br w:type="page"/>
      </w:r>
    </w:p>
    <w:p>
      <w:pPr>
        <w:rPr>
          <w:rFonts w:ascii="宋体" w:hAnsi="宋体"/>
          <w:b/>
          <w:color w:val="auto"/>
          <w:sz w:val="28"/>
          <w:highlight w:val="none"/>
        </w:rPr>
      </w:pPr>
      <w:r>
        <w:rPr>
          <w:rFonts w:hint="eastAsia" w:ascii="宋体" w:hAnsi="宋体"/>
          <w:b/>
          <w:color w:val="auto"/>
          <w:kern w:val="0"/>
          <w:sz w:val="28"/>
          <w:szCs w:val="28"/>
          <w:highlight w:val="none"/>
        </w:rPr>
        <w:t xml:space="preserve">附件13 </w:t>
      </w:r>
      <w:r>
        <w:rPr>
          <w:rFonts w:hint="eastAsia" w:ascii="宋体" w:hAnsi="宋体"/>
          <w:b/>
          <w:color w:val="auto"/>
          <w:sz w:val="28"/>
          <w:highlight w:val="none"/>
        </w:rPr>
        <w:t xml:space="preserve"> </w:t>
      </w:r>
    </w:p>
    <w:p>
      <w:pPr>
        <w:pStyle w:val="44"/>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类似项目实施情况一览表</w:t>
      </w:r>
    </w:p>
    <w:tbl>
      <w:tblPr>
        <w:tblStyle w:val="29"/>
        <w:tblW w:w="8863"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2008"/>
        <w:gridCol w:w="1292"/>
        <w:gridCol w:w="1220"/>
        <w:gridCol w:w="2228"/>
        <w:gridCol w:w="158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07" w:hRule="atLeast"/>
          <w:jc w:val="center"/>
        </w:trPr>
        <w:tc>
          <w:tcPr>
            <w:tcW w:w="534" w:type="dxa"/>
            <w:tcBorders>
              <w:top w:val="single" w:color="auto" w:sz="6" w:space="0"/>
              <w:left w:val="single" w:color="auto" w:sz="6" w:space="0"/>
              <w:bottom w:val="single" w:color="auto" w:sz="6" w:space="0"/>
              <w:right w:val="single" w:color="auto" w:sz="6" w:space="0"/>
            </w:tcBorders>
            <w:vAlign w:val="center"/>
          </w:tcPr>
          <w:p>
            <w:pPr>
              <w:pStyle w:val="44"/>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序号</w:t>
            </w:r>
          </w:p>
        </w:tc>
        <w:tc>
          <w:tcPr>
            <w:tcW w:w="2008" w:type="dxa"/>
            <w:tcBorders>
              <w:top w:val="single" w:color="auto" w:sz="6" w:space="0"/>
              <w:left w:val="single" w:color="auto" w:sz="6" w:space="0"/>
              <w:bottom w:val="single" w:color="auto" w:sz="6" w:space="0"/>
              <w:right w:val="single" w:color="auto" w:sz="6" w:space="0"/>
            </w:tcBorders>
            <w:vAlign w:val="center"/>
          </w:tcPr>
          <w:p>
            <w:pPr>
              <w:pStyle w:val="44"/>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项目名称</w:t>
            </w:r>
          </w:p>
        </w:tc>
        <w:tc>
          <w:tcPr>
            <w:tcW w:w="1292" w:type="dxa"/>
            <w:tcBorders>
              <w:top w:val="single" w:color="auto" w:sz="6" w:space="0"/>
              <w:left w:val="single" w:color="auto" w:sz="6" w:space="0"/>
              <w:bottom w:val="single" w:color="auto" w:sz="6" w:space="0"/>
              <w:right w:val="single" w:color="auto" w:sz="6" w:space="0"/>
            </w:tcBorders>
            <w:vAlign w:val="center"/>
          </w:tcPr>
          <w:p>
            <w:pPr>
              <w:pStyle w:val="44"/>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实施时间</w:t>
            </w:r>
          </w:p>
        </w:tc>
        <w:tc>
          <w:tcPr>
            <w:tcW w:w="1220" w:type="dxa"/>
            <w:tcBorders>
              <w:top w:val="single" w:color="auto" w:sz="6" w:space="0"/>
              <w:left w:val="single" w:color="auto" w:sz="6" w:space="0"/>
              <w:bottom w:val="single" w:color="auto" w:sz="6" w:space="0"/>
              <w:right w:val="single" w:color="auto" w:sz="6" w:space="0"/>
            </w:tcBorders>
            <w:vAlign w:val="center"/>
          </w:tcPr>
          <w:p>
            <w:pPr>
              <w:pStyle w:val="44"/>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项目质量</w:t>
            </w:r>
          </w:p>
        </w:tc>
        <w:tc>
          <w:tcPr>
            <w:tcW w:w="2228" w:type="dxa"/>
            <w:tcBorders>
              <w:top w:val="single" w:color="auto" w:sz="6" w:space="0"/>
              <w:left w:val="single" w:color="auto" w:sz="6" w:space="0"/>
              <w:bottom w:val="single" w:color="auto" w:sz="6" w:space="0"/>
              <w:right w:val="single" w:color="auto" w:sz="6" w:space="0"/>
            </w:tcBorders>
            <w:vAlign w:val="center"/>
          </w:tcPr>
          <w:p>
            <w:pPr>
              <w:pStyle w:val="44"/>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项目单位名称及其联系人电话</w:t>
            </w:r>
          </w:p>
        </w:tc>
        <w:tc>
          <w:tcPr>
            <w:tcW w:w="1581" w:type="dxa"/>
            <w:tcBorders>
              <w:top w:val="single" w:color="auto" w:sz="6" w:space="0"/>
              <w:left w:val="single" w:color="auto" w:sz="6" w:space="0"/>
              <w:bottom w:val="single" w:color="auto" w:sz="6" w:space="0"/>
              <w:right w:val="single" w:color="auto" w:sz="6" w:space="0"/>
            </w:tcBorders>
            <w:vAlign w:val="center"/>
          </w:tcPr>
          <w:p>
            <w:pPr>
              <w:pStyle w:val="44"/>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项目负责人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jc w:val="center"/>
        </w:trPr>
        <w:tc>
          <w:tcPr>
            <w:tcW w:w="534" w:type="dxa"/>
            <w:tcBorders>
              <w:top w:val="single" w:color="auto" w:sz="6" w:space="0"/>
              <w:left w:val="single" w:color="auto" w:sz="6" w:space="0"/>
              <w:bottom w:val="single" w:color="auto" w:sz="6" w:space="0"/>
              <w:right w:val="single" w:color="auto" w:sz="6" w:space="0"/>
            </w:tcBorders>
            <w:vAlign w:val="center"/>
          </w:tcPr>
          <w:p>
            <w:pPr>
              <w:pStyle w:val="44"/>
              <w:spacing w:line="360" w:lineRule="auto"/>
              <w:jc w:val="center"/>
              <w:rPr>
                <w:rFonts w:ascii="宋体" w:hAnsi="宋体" w:cs="Arial"/>
                <w:color w:val="auto"/>
                <w:sz w:val="24"/>
                <w:highlight w:val="none"/>
              </w:rPr>
            </w:pPr>
            <w:r>
              <w:rPr>
                <w:rFonts w:hint="eastAsia" w:ascii="宋体" w:hAnsi="宋体" w:cs="Arial"/>
                <w:color w:val="auto"/>
                <w:sz w:val="24"/>
                <w:highlight w:val="none"/>
              </w:rPr>
              <w:t>1</w:t>
            </w:r>
          </w:p>
        </w:tc>
        <w:tc>
          <w:tcPr>
            <w:tcW w:w="2008"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1292"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1220"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2228"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1581"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42" w:hRule="atLeast"/>
          <w:jc w:val="center"/>
        </w:trPr>
        <w:tc>
          <w:tcPr>
            <w:tcW w:w="534" w:type="dxa"/>
            <w:tcBorders>
              <w:top w:val="single" w:color="auto" w:sz="6" w:space="0"/>
              <w:left w:val="single" w:color="auto" w:sz="6" w:space="0"/>
              <w:bottom w:val="single" w:color="auto" w:sz="6" w:space="0"/>
              <w:right w:val="single" w:color="auto" w:sz="6" w:space="0"/>
            </w:tcBorders>
            <w:vAlign w:val="center"/>
          </w:tcPr>
          <w:p>
            <w:pPr>
              <w:pStyle w:val="44"/>
              <w:spacing w:line="360" w:lineRule="auto"/>
              <w:jc w:val="center"/>
              <w:rPr>
                <w:rFonts w:ascii="宋体" w:hAnsi="宋体" w:cs="Arial"/>
                <w:color w:val="auto"/>
                <w:sz w:val="24"/>
                <w:highlight w:val="none"/>
              </w:rPr>
            </w:pPr>
            <w:r>
              <w:rPr>
                <w:rFonts w:hint="eastAsia" w:ascii="宋体" w:hAnsi="宋体" w:cs="Arial"/>
                <w:color w:val="auto"/>
                <w:sz w:val="24"/>
                <w:highlight w:val="none"/>
              </w:rPr>
              <w:t>2</w:t>
            </w:r>
          </w:p>
        </w:tc>
        <w:tc>
          <w:tcPr>
            <w:tcW w:w="2008"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1292"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1220"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2228"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1581"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6" w:hRule="atLeast"/>
          <w:jc w:val="center"/>
        </w:trPr>
        <w:tc>
          <w:tcPr>
            <w:tcW w:w="534" w:type="dxa"/>
            <w:tcBorders>
              <w:top w:val="single" w:color="auto" w:sz="6" w:space="0"/>
              <w:left w:val="single" w:color="auto" w:sz="6" w:space="0"/>
              <w:bottom w:val="single" w:color="auto" w:sz="6" w:space="0"/>
              <w:right w:val="single" w:color="auto" w:sz="6" w:space="0"/>
            </w:tcBorders>
            <w:vAlign w:val="center"/>
          </w:tcPr>
          <w:p>
            <w:pPr>
              <w:pStyle w:val="44"/>
              <w:spacing w:line="360" w:lineRule="auto"/>
              <w:jc w:val="center"/>
              <w:rPr>
                <w:rFonts w:ascii="宋体" w:hAnsi="宋体" w:cs="Arial"/>
                <w:color w:val="auto"/>
                <w:sz w:val="24"/>
                <w:highlight w:val="none"/>
              </w:rPr>
            </w:pPr>
            <w:r>
              <w:rPr>
                <w:rFonts w:hint="eastAsia" w:ascii="宋体" w:hAnsi="宋体" w:cs="Arial"/>
                <w:color w:val="auto"/>
                <w:sz w:val="24"/>
                <w:highlight w:val="none"/>
              </w:rPr>
              <w:t>3</w:t>
            </w:r>
          </w:p>
        </w:tc>
        <w:tc>
          <w:tcPr>
            <w:tcW w:w="2008"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1292"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1220"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2228"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1581"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jc w:val="center"/>
        </w:trPr>
        <w:tc>
          <w:tcPr>
            <w:tcW w:w="534" w:type="dxa"/>
            <w:tcBorders>
              <w:top w:val="single" w:color="auto" w:sz="6" w:space="0"/>
              <w:left w:val="single" w:color="auto" w:sz="6" w:space="0"/>
              <w:bottom w:val="single" w:color="auto" w:sz="6" w:space="0"/>
              <w:right w:val="single" w:color="auto" w:sz="6" w:space="0"/>
            </w:tcBorders>
            <w:vAlign w:val="center"/>
          </w:tcPr>
          <w:p>
            <w:pPr>
              <w:pStyle w:val="44"/>
              <w:spacing w:line="360" w:lineRule="auto"/>
              <w:jc w:val="center"/>
              <w:rPr>
                <w:rFonts w:ascii="宋体" w:hAnsi="宋体" w:cs="Arial"/>
                <w:color w:val="auto"/>
                <w:sz w:val="24"/>
                <w:highlight w:val="none"/>
              </w:rPr>
            </w:pPr>
            <w:r>
              <w:rPr>
                <w:rFonts w:hint="eastAsia" w:ascii="宋体" w:hAnsi="宋体" w:cs="Arial"/>
                <w:color w:val="auto"/>
                <w:sz w:val="24"/>
                <w:highlight w:val="none"/>
              </w:rPr>
              <w:t>…</w:t>
            </w:r>
          </w:p>
        </w:tc>
        <w:tc>
          <w:tcPr>
            <w:tcW w:w="2008"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1292"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1220"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2228"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1581"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jc w:val="center"/>
        </w:trPr>
        <w:tc>
          <w:tcPr>
            <w:tcW w:w="534"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2008"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1292"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1220"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2228"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1581"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jc w:val="center"/>
        </w:trPr>
        <w:tc>
          <w:tcPr>
            <w:tcW w:w="534"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2008"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1292"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1220"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2228"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1581"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8" w:hRule="atLeast"/>
          <w:jc w:val="center"/>
        </w:trPr>
        <w:tc>
          <w:tcPr>
            <w:tcW w:w="534" w:type="dxa"/>
            <w:tcBorders>
              <w:top w:val="single" w:color="auto" w:sz="6" w:space="0"/>
              <w:left w:val="single" w:color="auto" w:sz="6" w:space="0"/>
              <w:bottom w:val="single" w:color="auto" w:sz="4" w:space="0"/>
              <w:right w:val="single" w:color="auto" w:sz="6" w:space="0"/>
            </w:tcBorders>
          </w:tcPr>
          <w:p>
            <w:pPr>
              <w:pStyle w:val="44"/>
              <w:spacing w:line="360" w:lineRule="auto"/>
              <w:rPr>
                <w:rFonts w:ascii="宋体" w:hAnsi="宋体" w:cs="Arial"/>
                <w:color w:val="auto"/>
                <w:sz w:val="24"/>
                <w:highlight w:val="none"/>
              </w:rPr>
            </w:pPr>
          </w:p>
        </w:tc>
        <w:tc>
          <w:tcPr>
            <w:tcW w:w="2008" w:type="dxa"/>
            <w:tcBorders>
              <w:top w:val="single" w:color="auto" w:sz="6" w:space="0"/>
              <w:left w:val="single" w:color="auto" w:sz="6" w:space="0"/>
              <w:bottom w:val="single" w:color="auto" w:sz="4" w:space="0"/>
              <w:right w:val="single" w:color="auto" w:sz="6" w:space="0"/>
            </w:tcBorders>
          </w:tcPr>
          <w:p>
            <w:pPr>
              <w:pStyle w:val="44"/>
              <w:spacing w:line="360" w:lineRule="auto"/>
              <w:rPr>
                <w:rFonts w:ascii="宋体" w:hAnsi="宋体" w:cs="Arial"/>
                <w:color w:val="auto"/>
                <w:sz w:val="24"/>
                <w:highlight w:val="none"/>
              </w:rPr>
            </w:pPr>
          </w:p>
        </w:tc>
        <w:tc>
          <w:tcPr>
            <w:tcW w:w="1292" w:type="dxa"/>
            <w:tcBorders>
              <w:top w:val="single" w:color="auto" w:sz="6" w:space="0"/>
              <w:left w:val="single" w:color="auto" w:sz="6" w:space="0"/>
              <w:bottom w:val="single" w:color="auto" w:sz="4" w:space="0"/>
              <w:right w:val="single" w:color="auto" w:sz="6" w:space="0"/>
            </w:tcBorders>
          </w:tcPr>
          <w:p>
            <w:pPr>
              <w:pStyle w:val="44"/>
              <w:spacing w:line="360" w:lineRule="auto"/>
              <w:rPr>
                <w:rFonts w:ascii="宋体" w:hAnsi="宋体" w:cs="Arial"/>
                <w:color w:val="auto"/>
                <w:sz w:val="24"/>
                <w:highlight w:val="none"/>
              </w:rPr>
            </w:pPr>
          </w:p>
        </w:tc>
        <w:tc>
          <w:tcPr>
            <w:tcW w:w="1220" w:type="dxa"/>
            <w:tcBorders>
              <w:top w:val="single" w:color="auto" w:sz="6" w:space="0"/>
              <w:left w:val="single" w:color="auto" w:sz="6" w:space="0"/>
              <w:bottom w:val="single" w:color="auto" w:sz="4" w:space="0"/>
              <w:right w:val="single" w:color="auto" w:sz="6" w:space="0"/>
            </w:tcBorders>
          </w:tcPr>
          <w:p>
            <w:pPr>
              <w:pStyle w:val="44"/>
              <w:spacing w:line="360" w:lineRule="auto"/>
              <w:rPr>
                <w:rFonts w:ascii="宋体" w:hAnsi="宋体" w:cs="Arial"/>
                <w:color w:val="auto"/>
                <w:sz w:val="24"/>
                <w:highlight w:val="none"/>
              </w:rPr>
            </w:pPr>
          </w:p>
        </w:tc>
        <w:tc>
          <w:tcPr>
            <w:tcW w:w="2228" w:type="dxa"/>
            <w:tcBorders>
              <w:top w:val="single" w:color="auto" w:sz="6" w:space="0"/>
              <w:left w:val="single" w:color="auto" w:sz="6" w:space="0"/>
              <w:bottom w:val="single" w:color="auto" w:sz="4" w:space="0"/>
              <w:right w:val="single" w:color="auto" w:sz="6" w:space="0"/>
            </w:tcBorders>
          </w:tcPr>
          <w:p>
            <w:pPr>
              <w:pStyle w:val="44"/>
              <w:spacing w:line="360" w:lineRule="auto"/>
              <w:rPr>
                <w:rFonts w:ascii="宋体" w:hAnsi="宋体" w:cs="Arial"/>
                <w:color w:val="auto"/>
                <w:sz w:val="24"/>
                <w:highlight w:val="none"/>
              </w:rPr>
            </w:pPr>
          </w:p>
        </w:tc>
        <w:tc>
          <w:tcPr>
            <w:tcW w:w="1581" w:type="dxa"/>
            <w:tcBorders>
              <w:top w:val="single" w:color="auto" w:sz="6" w:space="0"/>
              <w:left w:val="single" w:color="auto" w:sz="6" w:space="0"/>
              <w:bottom w:val="single" w:color="auto" w:sz="4" w:space="0"/>
              <w:right w:val="single" w:color="auto" w:sz="6" w:space="0"/>
            </w:tcBorders>
          </w:tcPr>
          <w:p>
            <w:pPr>
              <w:pStyle w:val="44"/>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8" w:hRule="atLeast"/>
          <w:jc w:val="center"/>
        </w:trPr>
        <w:tc>
          <w:tcPr>
            <w:tcW w:w="534" w:type="dxa"/>
            <w:tcBorders>
              <w:top w:val="single" w:color="auto" w:sz="4" w:space="0"/>
              <w:left w:val="single" w:color="auto" w:sz="6" w:space="0"/>
              <w:bottom w:val="single" w:color="auto" w:sz="4" w:space="0"/>
              <w:right w:val="single" w:color="auto" w:sz="6" w:space="0"/>
            </w:tcBorders>
          </w:tcPr>
          <w:p>
            <w:pPr>
              <w:pStyle w:val="44"/>
              <w:spacing w:line="360" w:lineRule="auto"/>
              <w:rPr>
                <w:rFonts w:ascii="宋体" w:hAnsi="宋体" w:cs="Arial"/>
                <w:color w:val="auto"/>
                <w:sz w:val="24"/>
                <w:highlight w:val="none"/>
              </w:rPr>
            </w:pPr>
          </w:p>
        </w:tc>
        <w:tc>
          <w:tcPr>
            <w:tcW w:w="2008" w:type="dxa"/>
            <w:tcBorders>
              <w:top w:val="single" w:color="auto" w:sz="4" w:space="0"/>
              <w:left w:val="single" w:color="auto" w:sz="6" w:space="0"/>
              <w:bottom w:val="single" w:color="auto" w:sz="4" w:space="0"/>
              <w:right w:val="single" w:color="auto" w:sz="6" w:space="0"/>
            </w:tcBorders>
          </w:tcPr>
          <w:p>
            <w:pPr>
              <w:pStyle w:val="44"/>
              <w:spacing w:line="360" w:lineRule="auto"/>
              <w:rPr>
                <w:rFonts w:ascii="宋体" w:hAnsi="宋体" w:cs="Arial"/>
                <w:color w:val="auto"/>
                <w:sz w:val="24"/>
                <w:highlight w:val="none"/>
              </w:rPr>
            </w:pPr>
          </w:p>
        </w:tc>
        <w:tc>
          <w:tcPr>
            <w:tcW w:w="1292" w:type="dxa"/>
            <w:tcBorders>
              <w:top w:val="single" w:color="auto" w:sz="4" w:space="0"/>
              <w:left w:val="single" w:color="auto" w:sz="6" w:space="0"/>
              <w:bottom w:val="single" w:color="auto" w:sz="4" w:space="0"/>
              <w:right w:val="single" w:color="auto" w:sz="6" w:space="0"/>
            </w:tcBorders>
          </w:tcPr>
          <w:p>
            <w:pPr>
              <w:pStyle w:val="44"/>
              <w:spacing w:line="360" w:lineRule="auto"/>
              <w:rPr>
                <w:rFonts w:ascii="宋体" w:hAnsi="宋体" w:cs="Arial"/>
                <w:color w:val="auto"/>
                <w:sz w:val="24"/>
                <w:highlight w:val="none"/>
              </w:rPr>
            </w:pPr>
          </w:p>
        </w:tc>
        <w:tc>
          <w:tcPr>
            <w:tcW w:w="1220" w:type="dxa"/>
            <w:tcBorders>
              <w:top w:val="single" w:color="auto" w:sz="4" w:space="0"/>
              <w:left w:val="single" w:color="auto" w:sz="6" w:space="0"/>
              <w:bottom w:val="single" w:color="auto" w:sz="4" w:space="0"/>
              <w:right w:val="single" w:color="auto" w:sz="6" w:space="0"/>
            </w:tcBorders>
          </w:tcPr>
          <w:p>
            <w:pPr>
              <w:pStyle w:val="44"/>
              <w:spacing w:line="360" w:lineRule="auto"/>
              <w:rPr>
                <w:rFonts w:ascii="宋体" w:hAnsi="宋体" w:cs="Arial"/>
                <w:color w:val="auto"/>
                <w:sz w:val="24"/>
                <w:highlight w:val="none"/>
              </w:rPr>
            </w:pPr>
          </w:p>
        </w:tc>
        <w:tc>
          <w:tcPr>
            <w:tcW w:w="2228" w:type="dxa"/>
            <w:tcBorders>
              <w:top w:val="single" w:color="auto" w:sz="4" w:space="0"/>
              <w:left w:val="single" w:color="auto" w:sz="6" w:space="0"/>
              <w:bottom w:val="single" w:color="auto" w:sz="4" w:space="0"/>
              <w:right w:val="single" w:color="auto" w:sz="6" w:space="0"/>
            </w:tcBorders>
          </w:tcPr>
          <w:p>
            <w:pPr>
              <w:pStyle w:val="44"/>
              <w:spacing w:line="360" w:lineRule="auto"/>
              <w:rPr>
                <w:rFonts w:ascii="宋体" w:hAnsi="宋体" w:cs="Arial"/>
                <w:color w:val="auto"/>
                <w:sz w:val="24"/>
                <w:highlight w:val="none"/>
              </w:rPr>
            </w:pPr>
          </w:p>
        </w:tc>
        <w:tc>
          <w:tcPr>
            <w:tcW w:w="1581" w:type="dxa"/>
            <w:tcBorders>
              <w:top w:val="single" w:color="auto" w:sz="4" w:space="0"/>
              <w:left w:val="single" w:color="auto" w:sz="6" w:space="0"/>
              <w:bottom w:val="single" w:color="auto" w:sz="4" w:space="0"/>
              <w:right w:val="single" w:color="auto" w:sz="6" w:space="0"/>
            </w:tcBorders>
          </w:tcPr>
          <w:p>
            <w:pPr>
              <w:pStyle w:val="44"/>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3" w:hRule="atLeast"/>
          <w:jc w:val="center"/>
        </w:trPr>
        <w:tc>
          <w:tcPr>
            <w:tcW w:w="534" w:type="dxa"/>
            <w:tcBorders>
              <w:top w:val="single" w:color="auto" w:sz="4" w:space="0"/>
              <w:left w:val="single" w:color="auto" w:sz="6" w:space="0"/>
              <w:bottom w:val="single" w:color="auto" w:sz="4" w:space="0"/>
              <w:right w:val="single" w:color="auto" w:sz="6" w:space="0"/>
            </w:tcBorders>
          </w:tcPr>
          <w:p>
            <w:pPr>
              <w:pStyle w:val="44"/>
              <w:spacing w:line="360" w:lineRule="auto"/>
              <w:rPr>
                <w:rFonts w:ascii="宋体" w:hAnsi="宋体" w:cs="Arial"/>
                <w:color w:val="auto"/>
                <w:sz w:val="24"/>
                <w:highlight w:val="none"/>
              </w:rPr>
            </w:pPr>
          </w:p>
        </w:tc>
        <w:tc>
          <w:tcPr>
            <w:tcW w:w="2008" w:type="dxa"/>
            <w:tcBorders>
              <w:top w:val="single" w:color="auto" w:sz="4" w:space="0"/>
              <w:left w:val="single" w:color="auto" w:sz="6" w:space="0"/>
              <w:bottom w:val="single" w:color="auto" w:sz="4" w:space="0"/>
              <w:right w:val="single" w:color="auto" w:sz="6" w:space="0"/>
            </w:tcBorders>
          </w:tcPr>
          <w:p>
            <w:pPr>
              <w:pStyle w:val="44"/>
              <w:spacing w:line="360" w:lineRule="auto"/>
              <w:rPr>
                <w:rFonts w:ascii="宋体" w:hAnsi="宋体" w:cs="Arial"/>
                <w:color w:val="auto"/>
                <w:sz w:val="24"/>
                <w:highlight w:val="none"/>
              </w:rPr>
            </w:pPr>
          </w:p>
        </w:tc>
        <w:tc>
          <w:tcPr>
            <w:tcW w:w="1292" w:type="dxa"/>
            <w:tcBorders>
              <w:top w:val="single" w:color="auto" w:sz="4" w:space="0"/>
              <w:left w:val="single" w:color="auto" w:sz="6" w:space="0"/>
              <w:bottom w:val="single" w:color="auto" w:sz="4" w:space="0"/>
              <w:right w:val="single" w:color="auto" w:sz="6" w:space="0"/>
            </w:tcBorders>
          </w:tcPr>
          <w:p>
            <w:pPr>
              <w:pStyle w:val="44"/>
              <w:spacing w:line="360" w:lineRule="auto"/>
              <w:rPr>
                <w:rFonts w:ascii="宋体" w:hAnsi="宋体" w:cs="Arial"/>
                <w:color w:val="auto"/>
                <w:sz w:val="24"/>
                <w:highlight w:val="none"/>
              </w:rPr>
            </w:pPr>
          </w:p>
        </w:tc>
        <w:tc>
          <w:tcPr>
            <w:tcW w:w="1220" w:type="dxa"/>
            <w:tcBorders>
              <w:top w:val="single" w:color="auto" w:sz="4" w:space="0"/>
              <w:left w:val="single" w:color="auto" w:sz="6" w:space="0"/>
              <w:bottom w:val="single" w:color="auto" w:sz="4" w:space="0"/>
              <w:right w:val="single" w:color="auto" w:sz="6" w:space="0"/>
            </w:tcBorders>
          </w:tcPr>
          <w:p>
            <w:pPr>
              <w:pStyle w:val="44"/>
              <w:spacing w:line="360" w:lineRule="auto"/>
              <w:rPr>
                <w:rFonts w:ascii="宋体" w:hAnsi="宋体" w:cs="Arial"/>
                <w:color w:val="auto"/>
                <w:sz w:val="24"/>
                <w:highlight w:val="none"/>
              </w:rPr>
            </w:pPr>
          </w:p>
        </w:tc>
        <w:tc>
          <w:tcPr>
            <w:tcW w:w="2228" w:type="dxa"/>
            <w:tcBorders>
              <w:top w:val="single" w:color="auto" w:sz="4" w:space="0"/>
              <w:left w:val="single" w:color="auto" w:sz="6" w:space="0"/>
              <w:bottom w:val="single" w:color="auto" w:sz="4" w:space="0"/>
              <w:right w:val="single" w:color="auto" w:sz="6" w:space="0"/>
            </w:tcBorders>
          </w:tcPr>
          <w:p>
            <w:pPr>
              <w:pStyle w:val="44"/>
              <w:spacing w:line="360" w:lineRule="auto"/>
              <w:rPr>
                <w:rFonts w:ascii="宋体" w:hAnsi="宋体" w:cs="Arial"/>
                <w:color w:val="auto"/>
                <w:sz w:val="24"/>
                <w:highlight w:val="none"/>
              </w:rPr>
            </w:pPr>
          </w:p>
        </w:tc>
        <w:tc>
          <w:tcPr>
            <w:tcW w:w="1581" w:type="dxa"/>
            <w:tcBorders>
              <w:top w:val="single" w:color="auto" w:sz="4" w:space="0"/>
              <w:left w:val="single" w:color="auto" w:sz="6" w:space="0"/>
              <w:bottom w:val="single" w:color="auto" w:sz="4" w:space="0"/>
              <w:right w:val="single" w:color="auto" w:sz="6" w:space="0"/>
            </w:tcBorders>
          </w:tcPr>
          <w:p>
            <w:pPr>
              <w:pStyle w:val="44"/>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8" w:hRule="atLeast"/>
          <w:jc w:val="center"/>
        </w:trPr>
        <w:tc>
          <w:tcPr>
            <w:tcW w:w="534" w:type="dxa"/>
            <w:tcBorders>
              <w:top w:val="single" w:color="auto" w:sz="4"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2008" w:type="dxa"/>
            <w:tcBorders>
              <w:top w:val="single" w:color="auto" w:sz="4"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1292" w:type="dxa"/>
            <w:tcBorders>
              <w:top w:val="single" w:color="auto" w:sz="4"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1220" w:type="dxa"/>
            <w:tcBorders>
              <w:top w:val="single" w:color="auto" w:sz="4"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2228" w:type="dxa"/>
            <w:tcBorders>
              <w:top w:val="single" w:color="auto" w:sz="4"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1581" w:type="dxa"/>
            <w:tcBorders>
              <w:top w:val="single" w:color="auto" w:sz="4"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r>
    </w:tbl>
    <w:p>
      <w:pPr>
        <w:autoSpaceDE w:val="0"/>
        <w:autoSpaceDN w:val="0"/>
        <w:adjustRightInd w:val="0"/>
        <w:spacing w:before="120" w:beforeLines="50" w:line="360" w:lineRule="auto"/>
        <w:rPr>
          <w:rFonts w:ascii="宋体" w:hAnsi="宋体" w:cs="Arial"/>
          <w:b/>
          <w:color w:val="auto"/>
          <w:szCs w:val="21"/>
          <w:highlight w:val="none"/>
        </w:rPr>
      </w:pPr>
      <w:r>
        <w:rPr>
          <w:rFonts w:hint="eastAsia" w:ascii="宋体" w:hAnsi="宋体" w:cs="Arial"/>
          <w:b/>
          <w:color w:val="auto"/>
          <w:szCs w:val="21"/>
          <w:highlight w:val="none"/>
        </w:rPr>
        <w:t>要求</w:t>
      </w:r>
      <w:r>
        <w:rPr>
          <w:rFonts w:ascii="宋体" w:hAnsi="宋体" w:cs="Arial"/>
          <w:b/>
          <w:color w:val="auto"/>
          <w:szCs w:val="21"/>
          <w:highlight w:val="none"/>
        </w:rPr>
        <w:t>：</w:t>
      </w:r>
    </w:p>
    <w:p>
      <w:pPr>
        <w:autoSpaceDE w:val="0"/>
        <w:autoSpaceDN w:val="0"/>
        <w:adjustRightInd w:val="0"/>
        <w:spacing w:before="120" w:beforeLines="50" w:line="360" w:lineRule="auto"/>
        <w:ind w:firstLine="424" w:firstLineChars="202"/>
        <w:rPr>
          <w:rFonts w:ascii="宋体" w:hAnsi="宋体" w:cs="Arial"/>
          <w:b/>
          <w:color w:val="auto"/>
          <w:szCs w:val="21"/>
          <w:highlight w:val="none"/>
        </w:rPr>
      </w:pPr>
      <w:r>
        <w:rPr>
          <w:rFonts w:ascii="宋体" w:hAnsi="宋体" w:cs="Arial"/>
          <w:color w:val="auto"/>
          <w:szCs w:val="21"/>
          <w:highlight w:val="none"/>
        </w:rPr>
        <w:t>1</w:t>
      </w:r>
      <w:r>
        <w:rPr>
          <w:rFonts w:hint="eastAsia" w:ascii="宋体" w:hAnsi="宋体" w:cs="Arial"/>
          <w:color w:val="auto"/>
          <w:szCs w:val="21"/>
          <w:highlight w:val="none"/>
        </w:rPr>
        <w:t>.</w:t>
      </w:r>
      <w:r>
        <w:rPr>
          <w:rFonts w:ascii="宋体" w:hAnsi="宋体" w:cs="Arial"/>
          <w:color w:val="auto"/>
          <w:szCs w:val="21"/>
          <w:highlight w:val="none"/>
        </w:rPr>
        <w:t>业绩证明应提供证明材料（</w:t>
      </w:r>
      <w:r>
        <w:rPr>
          <w:rFonts w:hint="eastAsia" w:ascii="宋体" w:hAnsi="宋体" w:cs="Arial"/>
          <w:color w:val="auto"/>
          <w:szCs w:val="21"/>
          <w:highlight w:val="none"/>
        </w:rPr>
        <w:t>按“第四章磋商”相关评分标准要求提供</w:t>
      </w:r>
      <w:r>
        <w:rPr>
          <w:rFonts w:ascii="宋体" w:hAnsi="宋体" w:cs="Arial"/>
          <w:color w:val="auto"/>
          <w:szCs w:val="21"/>
          <w:highlight w:val="none"/>
        </w:rPr>
        <w:t>）</w:t>
      </w:r>
      <w:r>
        <w:rPr>
          <w:rFonts w:hint="eastAsia" w:ascii="宋体" w:hAnsi="宋体" w:cs="Arial"/>
          <w:color w:val="auto"/>
          <w:szCs w:val="21"/>
          <w:highlight w:val="none"/>
        </w:rPr>
        <w:t>。</w:t>
      </w:r>
    </w:p>
    <w:p>
      <w:pPr>
        <w:spacing w:line="360" w:lineRule="auto"/>
        <w:ind w:firstLine="424" w:firstLineChars="202"/>
        <w:jc w:val="left"/>
        <w:rPr>
          <w:rFonts w:ascii="宋体" w:hAnsi="宋体" w:cs="Arial"/>
          <w:color w:val="auto"/>
          <w:szCs w:val="21"/>
          <w:highlight w:val="none"/>
        </w:rPr>
      </w:pPr>
      <w:r>
        <w:rPr>
          <w:rFonts w:hint="eastAsia" w:ascii="宋体" w:hAnsi="宋体" w:cs="Arial"/>
          <w:color w:val="auto"/>
          <w:szCs w:val="21"/>
          <w:highlight w:val="none"/>
        </w:rPr>
        <w:t>2.磋商供应商</w:t>
      </w:r>
      <w:r>
        <w:rPr>
          <w:rFonts w:ascii="宋体" w:hAnsi="宋体" w:cs="Arial"/>
          <w:color w:val="auto"/>
          <w:szCs w:val="21"/>
          <w:highlight w:val="none"/>
        </w:rPr>
        <w:t>可按此表格式复制</w:t>
      </w:r>
      <w:r>
        <w:rPr>
          <w:rFonts w:hint="eastAsia" w:ascii="宋体" w:hAnsi="宋体" w:cs="Arial"/>
          <w:color w:val="auto"/>
          <w:szCs w:val="21"/>
          <w:highlight w:val="none"/>
        </w:rPr>
        <w:t>。</w:t>
      </w:r>
    </w:p>
    <w:p>
      <w:pPr>
        <w:spacing w:line="320" w:lineRule="exact"/>
        <w:ind w:left="420"/>
        <w:rPr>
          <w:rFonts w:ascii="宋体" w:hAnsi="宋体"/>
          <w:color w:val="auto"/>
          <w:szCs w:val="21"/>
          <w:highlight w:val="none"/>
        </w:rPr>
      </w:pPr>
      <w:r>
        <w:rPr>
          <w:rFonts w:hint="eastAsia" w:ascii="宋体" w:hAnsi="宋体" w:cs="Arial"/>
          <w:color w:val="auto"/>
          <w:szCs w:val="21"/>
          <w:highlight w:val="none"/>
        </w:rPr>
        <w:t>3.</w:t>
      </w:r>
      <w:r>
        <w:rPr>
          <w:rFonts w:hint="eastAsia" w:ascii="宋体" w:hAnsi="宋体"/>
          <w:color w:val="auto"/>
          <w:szCs w:val="21"/>
          <w:highlight w:val="none"/>
        </w:rPr>
        <w:t xml:space="preserve"> 本表如跨页，需每页加盖磋商供应商电子公章。</w:t>
      </w:r>
    </w:p>
    <w:p>
      <w:pPr>
        <w:spacing w:line="320" w:lineRule="exact"/>
        <w:ind w:left="420"/>
        <w:rPr>
          <w:rFonts w:ascii="宋体" w:hAnsi="宋体"/>
          <w:color w:val="auto"/>
          <w:szCs w:val="21"/>
          <w:highlight w:val="none"/>
        </w:rPr>
      </w:pPr>
    </w:p>
    <w:p>
      <w:pPr>
        <w:spacing w:line="480" w:lineRule="exact"/>
        <w:ind w:left="420"/>
        <w:rPr>
          <w:rFonts w:ascii="宋体" w:hAnsi="宋体"/>
          <w:color w:val="auto"/>
          <w:highlight w:val="none"/>
        </w:rPr>
      </w:pPr>
    </w:p>
    <w:p>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供应商名称（电子印章）：</w:t>
      </w:r>
    </w:p>
    <w:p>
      <w:pPr>
        <w:spacing w:line="360" w:lineRule="auto"/>
        <w:ind w:left="420"/>
        <w:rPr>
          <w:rFonts w:ascii="宋体" w:hAnsi="宋体"/>
          <w:color w:val="auto"/>
          <w:sz w:val="24"/>
          <w:highlight w:val="none"/>
        </w:rPr>
      </w:pPr>
    </w:p>
    <w:p>
      <w:pPr>
        <w:spacing w:line="360" w:lineRule="auto"/>
        <w:ind w:firstLine="424" w:firstLineChars="177"/>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法定代表人或授权委托人签字或电子印章</w:t>
      </w:r>
      <w:r>
        <w:rPr>
          <w:rFonts w:hint="eastAsia" w:ascii="宋体" w:hAnsi="宋体"/>
          <w:color w:val="auto"/>
          <w:sz w:val="24"/>
          <w:highlight w:val="none"/>
        </w:rPr>
        <w:t>：</w:t>
      </w:r>
    </w:p>
    <w:p>
      <w:pPr>
        <w:spacing w:line="360" w:lineRule="auto"/>
        <w:rPr>
          <w:rFonts w:ascii="宋体" w:hAnsi="宋体"/>
          <w:color w:val="auto"/>
          <w:sz w:val="24"/>
          <w:highlight w:val="none"/>
        </w:rPr>
      </w:pPr>
    </w:p>
    <w:p>
      <w:pPr>
        <w:spacing w:line="360" w:lineRule="auto"/>
        <w:ind w:firstLine="424" w:firstLineChars="177"/>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        期：</w:t>
      </w:r>
    </w:p>
    <w:p>
      <w:pPr>
        <w:rPr>
          <w:rFonts w:ascii="宋体" w:hAnsi="宋体"/>
          <w:b/>
          <w:color w:val="auto"/>
          <w:sz w:val="28"/>
          <w:highlight w:val="none"/>
        </w:rPr>
      </w:pPr>
      <w:r>
        <w:rPr>
          <w:rFonts w:ascii="宋体" w:hAnsi="宋体"/>
          <w:b/>
          <w:color w:val="auto"/>
          <w:sz w:val="28"/>
          <w:highlight w:val="none"/>
        </w:rPr>
        <w:br w:type="page"/>
      </w:r>
      <w:r>
        <w:rPr>
          <w:rFonts w:hint="eastAsia" w:ascii="宋体" w:hAnsi="宋体"/>
          <w:b/>
          <w:color w:val="auto"/>
          <w:kern w:val="0"/>
          <w:sz w:val="28"/>
          <w:szCs w:val="28"/>
          <w:highlight w:val="none"/>
        </w:rPr>
        <w:t xml:space="preserve">  附件14 </w:t>
      </w:r>
      <w:r>
        <w:rPr>
          <w:rFonts w:hint="eastAsia" w:ascii="宋体" w:hAnsi="宋体"/>
          <w:b/>
          <w:color w:val="auto"/>
          <w:sz w:val="28"/>
          <w:highlight w:val="none"/>
        </w:rPr>
        <w:t xml:space="preserve">      </w:t>
      </w:r>
    </w:p>
    <w:p>
      <w:pPr>
        <w:spacing w:line="480" w:lineRule="exact"/>
        <w:ind w:left="480"/>
        <w:jc w:val="center"/>
        <w:rPr>
          <w:rFonts w:ascii="宋体" w:hAnsi="宋体"/>
          <w:b/>
          <w:color w:val="auto"/>
          <w:sz w:val="24"/>
          <w:highlight w:val="none"/>
        </w:rPr>
      </w:pPr>
      <w:r>
        <w:rPr>
          <w:rFonts w:hint="eastAsia" w:ascii="宋体" w:hAnsi="宋体"/>
          <w:b/>
          <w:color w:val="auto"/>
          <w:sz w:val="30"/>
          <w:highlight w:val="none"/>
        </w:rPr>
        <w:t>首次报价一览表</w:t>
      </w:r>
      <w:r>
        <w:rPr>
          <w:rFonts w:hint="eastAsia" w:ascii="宋体" w:hAnsi="宋体"/>
          <w:b/>
          <w:color w:val="auto"/>
          <w:sz w:val="24"/>
          <w:highlight w:val="none"/>
        </w:rPr>
        <w:t xml:space="preserve"> </w:t>
      </w:r>
    </w:p>
    <w:p>
      <w:pPr>
        <w:spacing w:line="480" w:lineRule="exact"/>
        <w:ind w:left="480"/>
        <w:rPr>
          <w:rFonts w:ascii="宋体" w:hAnsi="宋体"/>
          <w:b/>
          <w:color w:val="auto"/>
          <w:sz w:val="30"/>
          <w:highlight w:val="none"/>
        </w:rPr>
      </w:pPr>
    </w:p>
    <w:p>
      <w:pPr>
        <w:spacing w:line="480" w:lineRule="exact"/>
        <w:jc w:val="center"/>
        <w:rPr>
          <w:rFonts w:ascii="宋体" w:hAnsi="宋体"/>
          <w:color w:val="auto"/>
          <w:highlight w:val="none"/>
        </w:rPr>
      </w:pPr>
      <w:r>
        <w:rPr>
          <w:rFonts w:hint="eastAsia" w:ascii="宋体" w:hAnsi="宋体"/>
          <w:color w:val="auto"/>
          <w:sz w:val="24"/>
          <w:highlight w:val="none"/>
        </w:rPr>
        <w:t xml:space="preserve">                                                                                       </w:t>
      </w:r>
    </w:p>
    <w:p>
      <w:pPr>
        <w:pStyle w:val="50"/>
        <w:spacing w:line="360" w:lineRule="auto"/>
        <w:ind w:right="480"/>
        <w:jc w:val="left"/>
        <w:rPr>
          <w:rFonts w:ascii="宋体" w:hAnsi="宋体"/>
          <w:color w:val="auto"/>
          <w:sz w:val="24"/>
          <w:highlight w:val="none"/>
        </w:rPr>
      </w:pPr>
      <w:r>
        <w:rPr>
          <w:rFonts w:hint="eastAsia" w:ascii="宋体" w:hAnsi="宋体"/>
          <w:color w:val="auto"/>
          <w:sz w:val="24"/>
          <w:highlight w:val="none"/>
        </w:rPr>
        <w:t xml:space="preserve">                  </w:t>
      </w:r>
    </w:p>
    <w:p>
      <w:pPr>
        <w:spacing w:line="360" w:lineRule="auto"/>
        <w:ind w:firstLine="240" w:firstLineChars="100"/>
        <w:rPr>
          <w:rFonts w:ascii="宋体" w:hAnsi="宋体"/>
          <w:color w:val="auto"/>
          <w:sz w:val="24"/>
          <w:highlight w:val="none"/>
          <w:u w:val="single"/>
        </w:rPr>
      </w:pPr>
      <w:r>
        <w:rPr>
          <w:rFonts w:hint="eastAsia" w:ascii="宋体" w:hAnsi="宋体"/>
          <w:color w:val="auto"/>
          <w:sz w:val="24"/>
          <w:highlight w:val="none"/>
        </w:rPr>
        <w:t>项目编号：</w:t>
      </w:r>
      <w:r>
        <w:rPr>
          <w:rFonts w:hint="eastAsia" w:ascii="宋体" w:hAnsi="宋体"/>
          <w:color w:val="auto"/>
          <w:sz w:val="24"/>
          <w:highlight w:val="none"/>
          <w:u w:val="single"/>
        </w:rPr>
        <w:t xml:space="preserve">                </w:t>
      </w:r>
    </w:p>
    <w:tbl>
      <w:tblPr>
        <w:tblStyle w:val="2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3"/>
        <w:gridCol w:w="5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5" w:hRule="atLeast"/>
        </w:trPr>
        <w:tc>
          <w:tcPr>
            <w:tcW w:w="4023"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jc w:val="center"/>
              <w:rPr>
                <w:rFonts w:ascii="宋体" w:hAnsi="宋体"/>
                <w:b/>
                <w:color w:val="auto"/>
                <w:sz w:val="24"/>
                <w:highlight w:val="none"/>
              </w:rPr>
            </w:pPr>
            <w:r>
              <w:rPr>
                <w:rFonts w:hint="eastAsia" w:ascii="宋体" w:hAnsi="宋体"/>
                <w:b/>
                <w:color w:val="auto"/>
                <w:sz w:val="24"/>
                <w:highlight w:val="none"/>
              </w:rPr>
              <w:t>项目名称</w:t>
            </w:r>
          </w:p>
        </w:tc>
        <w:tc>
          <w:tcPr>
            <w:tcW w:w="5263"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3"/>
              <w:jc w:val="center"/>
              <w:rPr>
                <w:rFonts w:ascii="宋体" w:hAnsi="宋体"/>
                <w:b/>
                <w:color w:val="auto"/>
                <w:sz w:val="24"/>
                <w:highlight w:val="none"/>
              </w:rPr>
            </w:pPr>
            <w:r>
              <w:rPr>
                <w:rFonts w:hint="eastAsia" w:ascii="宋体" w:hAnsi="宋体"/>
                <w:b/>
                <w:color w:val="auto"/>
                <w:sz w:val="24"/>
                <w:highlight w:val="none"/>
              </w:rPr>
              <w:t>总报价（人民币）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34" w:hRule="atLeast"/>
        </w:trPr>
        <w:tc>
          <w:tcPr>
            <w:tcW w:w="4023"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jc w:val="center"/>
              <w:rPr>
                <w:rFonts w:ascii="宋体" w:hAnsi="宋体"/>
                <w:b/>
                <w:color w:val="auto"/>
                <w:sz w:val="24"/>
                <w:highlight w:val="none"/>
              </w:rPr>
            </w:pPr>
            <w:r>
              <w:rPr>
                <w:rFonts w:hint="eastAsia" w:ascii="宋体" w:hAnsi="宋体"/>
                <w:b/>
                <w:color w:val="auto"/>
                <w:sz w:val="24"/>
                <w:highlight w:val="none"/>
              </w:rPr>
              <w:t>台州市第一中学食堂二楼备餐间、洗碗间和新疆班卫生间改造工程项目</w:t>
            </w:r>
          </w:p>
        </w:tc>
        <w:tc>
          <w:tcPr>
            <w:tcW w:w="5263"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firstLine="361" w:firstLineChars="150"/>
              <w:rPr>
                <w:rFonts w:ascii="宋体" w:hAnsi="宋体"/>
                <w:b/>
                <w:color w:val="auto"/>
                <w:sz w:val="24"/>
                <w:highlight w:val="none"/>
              </w:rPr>
            </w:pPr>
            <w:r>
              <w:rPr>
                <w:rFonts w:hint="eastAsia" w:ascii="宋体" w:hAnsi="宋体"/>
                <w:b/>
                <w:color w:val="auto"/>
                <w:sz w:val="24"/>
                <w:highlight w:val="none"/>
              </w:rPr>
              <w:t xml:space="preserve">大写： </w:t>
            </w:r>
            <w:r>
              <w:rPr>
                <w:rFonts w:hint="eastAsia" w:ascii="宋体" w:hAnsi="宋体"/>
                <w:b/>
                <w:color w:val="auto"/>
                <w:sz w:val="24"/>
                <w:highlight w:val="none"/>
                <w:u w:val="single"/>
              </w:rPr>
              <w:t xml:space="preserve">                 </w:t>
            </w:r>
            <w:r>
              <w:rPr>
                <w:rFonts w:hint="eastAsia" w:ascii="宋体" w:hAnsi="宋体"/>
                <w:b/>
                <w:color w:val="auto"/>
                <w:sz w:val="24"/>
                <w:highlight w:val="none"/>
              </w:rPr>
              <w:t>元</w:t>
            </w:r>
          </w:p>
          <w:p>
            <w:pPr>
              <w:tabs>
                <w:tab w:val="left" w:pos="8280"/>
              </w:tabs>
              <w:autoSpaceDE w:val="0"/>
              <w:autoSpaceDN w:val="0"/>
              <w:adjustRightInd w:val="0"/>
              <w:spacing w:line="360" w:lineRule="auto"/>
              <w:ind w:right="23" w:firstLine="361" w:firstLineChars="150"/>
              <w:rPr>
                <w:rFonts w:ascii="宋体" w:hAnsi="宋体"/>
                <w:b/>
                <w:color w:val="auto"/>
                <w:sz w:val="24"/>
                <w:highlight w:val="none"/>
              </w:rPr>
            </w:pPr>
            <w:r>
              <w:rPr>
                <w:rFonts w:hint="eastAsia" w:ascii="宋体" w:hAnsi="宋体"/>
                <w:b/>
                <w:color w:val="auto"/>
                <w:sz w:val="24"/>
                <w:highlight w:val="none"/>
              </w:rPr>
              <w:t xml:space="preserve">小写： </w:t>
            </w:r>
            <w:r>
              <w:rPr>
                <w:rFonts w:hint="eastAsia" w:ascii="宋体" w:hAnsi="宋体"/>
                <w:b/>
                <w:color w:val="auto"/>
                <w:sz w:val="24"/>
                <w:highlight w:val="none"/>
                <w:u w:val="single"/>
              </w:rPr>
              <w:t xml:space="preserve">                 </w:t>
            </w:r>
            <w:r>
              <w:rPr>
                <w:rFonts w:hint="eastAsia" w:ascii="宋体" w:hAnsi="宋体"/>
                <w:b/>
                <w:color w:val="auto"/>
                <w:sz w:val="24"/>
                <w:highlight w:val="none"/>
              </w:rPr>
              <w:t>元</w:t>
            </w:r>
          </w:p>
        </w:tc>
      </w:tr>
    </w:tbl>
    <w:p>
      <w:pPr>
        <w:spacing w:line="480" w:lineRule="exact"/>
        <w:rPr>
          <w:rFonts w:ascii="宋体" w:hAnsi="宋体"/>
          <w:b/>
          <w:color w:val="auto"/>
          <w:szCs w:val="21"/>
          <w:highlight w:val="none"/>
        </w:rPr>
      </w:pPr>
      <w:r>
        <w:rPr>
          <w:rFonts w:hint="eastAsia" w:ascii="宋体" w:hAnsi="宋体"/>
          <w:b/>
          <w:color w:val="auto"/>
          <w:szCs w:val="21"/>
          <w:highlight w:val="none"/>
        </w:rPr>
        <w:t>说明：</w:t>
      </w:r>
    </w:p>
    <w:p>
      <w:pPr>
        <w:spacing w:line="320" w:lineRule="exact"/>
        <w:ind w:firstLine="210" w:firstLineChars="100"/>
        <w:rPr>
          <w:rFonts w:ascii="宋体" w:hAnsi="宋体"/>
          <w:color w:val="auto"/>
          <w:sz w:val="24"/>
          <w:highlight w:val="none"/>
          <w:u w:val="single"/>
        </w:rPr>
      </w:pPr>
      <w:r>
        <w:rPr>
          <w:rFonts w:hint="eastAsia" w:ascii="宋体" w:hAnsi="宋体"/>
          <w:color w:val="auto"/>
          <w:szCs w:val="21"/>
          <w:highlight w:val="none"/>
        </w:rPr>
        <w:t>1.报价应包含完成本合同内容的全部费用。</w:t>
      </w:r>
    </w:p>
    <w:p>
      <w:pPr>
        <w:spacing w:line="360" w:lineRule="auto"/>
        <w:ind w:left="420"/>
        <w:rPr>
          <w:rFonts w:ascii="宋体" w:hAnsi="宋体"/>
          <w:color w:val="auto"/>
          <w:szCs w:val="21"/>
          <w:highlight w:val="none"/>
        </w:rPr>
      </w:pPr>
    </w:p>
    <w:p>
      <w:pPr>
        <w:spacing w:line="480" w:lineRule="exact"/>
        <w:rPr>
          <w:rFonts w:ascii="宋体" w:hAnsi="宋体"/>
          <w:color w:val="auto"/>
          <w:sz w:val="24"/>
          <w:highlight w:val="none"/>
        </w:rPr>
      </w:pPr>
    </w:p>
    <w:p>
      <w:pPr>
        <w:spacing w:line="480" w:lineRule="exact"/>
        <w:ind w:left="420"/>
        <w:rPr>
          <w:rFonts w:ascii="宋体" w:hAnsi="宋体"/>
          <w:color w:val="auto"/>
          <w:highlight w:val="none"/>
        </w:rPr>
      </w:pPr>
    </w:p>
    <w:p>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供应商名称（电子印章）：</w:t>
      </w:r>
    </w:p>
    <w:p>
      <w:pPr>
        <w:spacing w:line="360" w:lineRule="auto"/>
        <w:ind w:left="420"/>
        <w:rPr>
          <w:rFonts w:ascii="宋体" w:hAnsi="宋体"/>
          <w:color w:val="auto"/>
          <w:sz w:val="24"/>
          <w:highlight w:val="none"/>
        </w:rPr>
      </w:pPr>
    </w:p>
    <w:p>
      <w:pPr>
        <w:spacing w:line="360" w:lineRule="auto"/>
        <w:ind w:firstLine="424" w:firstLineChars="177"/>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法定代表人或授权委托人签字或电子印章</w:t>
      </w:r>
      <w:r>
        <w:rPr>
          <w:rFonts w:hint="eastAsia" w:ascii="宋体" w:hAnsi="宋体"/>
          <w:color w:val="auto"/>
          <w:sz w:val="24"/>
          <w:highlight w:val="none"/>
        </w:rPr>
        <w:t>：</w:t>
      </w:r>
    </w:p>
    <w:p>
      <w:pPr>
        <w:spacing w:line="360" w:lineRule="auto"/>
        <w:rPr>
          <w:rFonts w:ascii="宋体" w:hAnsi="宋体"/>
          <w:color w:val="auto"/>
          <w:sz w:val="24"/>
          <w:highlight w:val="none"/>
        </w:rPr>
      </w:pPr>
    </w:p>
    <w:p>
      <w:pPr>
        <w:spacing w:line="360" w:lineRule="auto"/>
        <w:ind w:firstLine="424" w:firstLineChars="177"/>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        期：</w:t>
      </w:r>
    </w:p>
    <w:p>
      <w:pPr>
        <w:spacing w:line="480" w:lineRule="exact"/>
        <w:ind w:firstLine="435"/>
        <w:rPr>
          <w:rFonts w:ascii="宋体" w:hAnsi="宋体"/>
          <w:color w:val="auto"/>
          <w:sz w:val="24"/>
          <w:highlight w:val="none"/>
        </w:rPr>
      </w:pPr>
    </w:p>
    <w:p>
      <w:pPr>
        <w:spacing w:line="480" w:lineRule="exact"/>
        <w:ind w:firstLine="315" w:firstLineChars="150"/>
        <w:rPr>
          <w:rFonts w:ascii="宋体" w:hAnsi="宋体"/>
          <w:color w:val="auto"/>
          <w:szCs w:val="21"/>
          <w:highlight w:val="none"/>
        </w:rPr>
      </w:pPr>
    </w:p>
    <w:p>
      <w:pPr>
        <w:pStyle w:val="28"/>
        <w:ind w:left="0" w:leftChars="0" w:firstLine="0"/>
        <w:rPr>
          <w:color w:val="auto"/>
          <w:highlight w:val="none"/>
        </w:rPr>
      </w:pPr>
    </w:p>
    <w:sectPr>
      <w:footerReference r:id="rId11" w:type="default"/>
      <w:type w:val="continuous"/>
      <w:pgSz w:w="11906" w:h="16838"/>
      <w:pgMar w:top="1440" w:right="1418" w:bottom="1440" w:left="1418"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ZACpVFgIAABUEAAAOAAAAAAAA&#10;AAEAIAAAAB8BAABkcnMvZTJvRG9jLnhtbFBLBQYAAAAABgAGAFkBAACn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7785" cy="131445"/>
              <wp:effectExtent l="0" t="0" r="12065" b="14605"/>
              <wp:wrapNone/>
              <wp:docPr id="2" name="文本框 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pPr>
                            <w:pStyle w:val="19"/>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3360;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u8AFjRAAAAAgEAAA8AAAAA&#10;AAAAAQAgAAAAIgAAAGRycy9kb3ducmV2LnhtbFBLAQIUABQAAAAIAIdO4kCzR5QeGwIAABIEAAAO&#10;AAAAAAAAAAEAIAAAACABAABkcnMvZTJvRG9jLnhtbFBLBQYAAAAABgAGAFkBAACt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9"/>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3xLOQWAgAAFQQAAA4AAABkcnMvZTJvRG9jLnhtbK1TzY7TMBC+I/EO&#10;lu80aVFX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83qa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98SzkFgIAABUEAAAOAAAAAAAA&#10;AAEAIAAAAB8BAABkcnMvZTJvRG9jLnhtbFBLBQYAAAAABgAGAFkBAACn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9"/>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WiW6wVAgAAFQQAAA4AAAAAAAAA&#10;AQAgAAAAHwEAAGRycy9lMm9Eb2MueG1sUEsFBgAAAAAGAAYAWQEAAKYFA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69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color w:val="000000" w:themeColor="text1"/>
        <w:kern w:val="0"/>
        <w:sz w:val="18"/>
        <w:u w:val="single"/>
        <w14:textFill>
          <w14:solidFill>
            <w14:schemeClr w14:val="tx1"/>
          </w14:solidFill>
        </w14:textFill>
      </w:rPr>
      <w:t xml:space="preserve">台州市政府采购竞争性磋商文件                                                      </w:t>
    </w:r>
    <w:r>
      <w:rPr>
        <w:rFonts w:hint="eastAsia"/>
        <w:b/>
        <w:color w:val="000000" w:themeColor="text1"/>
        <w:spacing w:val="-20"/>
        <w:kern w:val="0"/>
        <w:sz w:val="18"/>
        <w:u w:val="single"/>
        <w14:textFill>
          <w14:solidFill>
            <w14:schemeClr w14:val="tx1"/>
          </w14:solidFill>
        </w14:textFill>
      </w:rPr>
      <w:t xml:space="preserve">第  </w:t>
    </w:r>
    <w:r>
      <w:rPr>
        <w:b/>
        <w:color w:val="000000" w:themeColor="text1"/>
        <w:spacing w:val="-20"/>
        <w:kern w:val="0"/>
        <w:sz w:val="18"/>
        <w:u w:val="single"/>
        <w14:textFill>
          <w14:solidFill>
            <w14:schemeClr w14:val="tx1"/>
          </w14:solidFill>
        </w14:textFill>
      </w:rPr>
      <w:fldChar w:fldCharType="begin"/>
    </w:r>
    <w:r>
      <w:rPr>
        <w:b/>
        <w:color w:val="000000" w:themeColor="text1"/>
        <w:spacing w:val="-20"/>
        <w:kern w:val="0"/>
        <w:sz w:val="18"/>
        <w:u w:val="single"/>
        <w14:textFill>
          <w14:solidFill>
            <w14:schemeClr w14:val="tx1"/>
          </w14:solidFill>
        </w14:textFill>
      </w:rPr>
      <w:instrText xml:space="preserve"> PAGE </w:instrText>
    </w:r>
    <w:r>
      <w:rPr>
        <w:b/>
        <w:color w:val="000000" w:themeColor="text1"/>
        <w:spacing w:val="-20"/>
        <w:kern w:val="0"/>
        <w:sz w:val="18"/>
        <w:u w:val="single"/>
        <w14:textFill>
          <w14:solidFill>
            <w14:schemeClr w14:val="tx1"/>
          </w14:solidFill>
        </w14:textFill>
      </w:rPr>
      <w:fldChar w:fldCharType="separate"/>
    </w:r>
    <w:r>
      <w:rPr>
        <w:b/>
        <w:color w:val="000000" w:themeColor="text1"/>
        <w:spacing w:val="-20"/>
        <w:kern w:val="0"/>
        <w:sz w:val="18"/>
        <w:u w:val="single"/>
        <w14:textFill>
          <w14:solidFill>
            <w14:schemeClr w14:val="tx1"/>
          </w14:solidFill>
        </w14:textFill>
      </w:rPr>
      <w:t>1</w:t>
    </w:r>
    <w:r>
      <w:rPr>
        <w:b/>
        <w:color w:val="000000" w:themeColor="text1"/>
        <w:spacing w:val="-20"/>
        <w:kern w:val="0"/>
        <w:sz w:val="18"/>
        <w:u w:val="single"/>
        <w14:textFill>
          <w14:solidFill>
            <w14:schemeClr w14:val="tx1"/>
          </w14:solidFill>
        </w14:textFill>
      </w:rPr>
      <w:fldChar w:fldCharType="end"/>
    </w:r>
    <w:r>
      <w:rPr>
        <w:rFonts w:hint="eastAsia"/>
        <w:b/>
        <w:color w:val="000000" w:themeColor="text1"/>
        <w:spacing w:val="-20"/>
        <w:kern w:val="0"/>
        <w:sz w:val="18"/>
        <w:u w:val="single"/>
        <w14:textFill>
          <w14:solidFill>
            <w14:schemeClr w14:val="tx1"/>
          </w14:solidFill>
        </w14:textFill>
      </w:rPr>
      <w:t xml:space="preserve">页 共 </w:t>
    </w:r>
    <w:r>
      <w:rPr>
        <w:b/>
        <w:color w:val="000000" w:themeColor="text1"/>
        <w:spacing w:val="-20"/>
        <w:kern w:val="0"/>
        <w:sz w:val="18"/>
        <w:u w:val="single"/>
        <w14:textFill>
          <w14:solidFill>
            <w14:schemeClr w14:val="tx1"/>
          </w14:solidFill>
        </w14:textFill>
      </w:rPr>
      <w:fldChar w:fldCharType="begin"/>
    </w:r>
    <w:r>
      <w:rPr>
        <w:b/>
        <w:color w:val="000000" w:themeColor="text1"/>
        <w:spacing w:val="-20"/>
        <w:kern w:val="0"/>
        <w:sz w:val="18"/>
        <w:u w:val="single"/>
        <w14:textFill>
          <w14:solidFill>
            <w14:schemeClr w14:val="tx1"/>
          </w14:solidFill>
        </w14:textFill>
      </w:rPr>
      <w:instrText xml:space="preserve"> NUMPAGES </w:instrText>
    </w:r>
    <w:r>
      <w:rPr>
        <w:b/>
        <w:color w:val="000000" w:themeColor="text1"/>
        <w:spacing w:val="-20"/>
        <w:kern w:val="0"/>
        <w:sz w:val="18"/>
        <w:u w:val="single"/>
        <w14:textFill>
          <w14:solidFill>
            <w14:schemeClr w14:val="tx1"/>
          </w14:solidFill>
        </w14:textFill>
      </w:rPr>
      <w:fldChar w:fldCharType="separate"/>
    </w:r>
    <w:r>
      <w:rPr>
        <w:b/>
        <w:color w:val="000000" w:themeColor="text1"/>
        <w:spacing w:val="-20"/>
        <w:kern w:val="0"/>
        <w:sz w:val="18"/>
        <w:u w:val="single"/>
        <w14:textFill>
          <w14:solidFill>
            <w14:schemeClr w14:val="tx1"/>
          </w14:solidFill>
        </w14:textFill>
      </w:rPr>
      <w:t>69</w:t>
    </w:r>
    <w:r>
      <w:rPr>
        <w:b/>
        <w:color w:val="000000" w:themeColor="text1"/>
        <w:spacing w:val="-20"/>
        <w:kern w:val="0"/>
        <w:sz w:val="18"/>
        <w:u w:val="single"/>
        <w14:textFill>
          <w14:solidFill>
            <w14:schemeClr w14:val="tx1"/>
          </w14:solidFill>
        </w14:textFill>
      </w:rPr>
      <w:fldChar w:fldCharType="end"/>
    </w:r>
    <w:r>
      <w:rPr>
        <w:rFonts w:hint="eastAsia"/>
        <w:b/>
        <w:color w:val="000000" w:themeColor="text1"/>
        <w:spacing w:val="-20"/>
        <w:kern w:val="0"/>
        <w:sz w:val="18"/>
        <w:u w:val="single"/>
        <w14:textFill>
          <w14:solidFill>
            <w14:schemeClr w14:val="tx1"/>
          </w14:solidFill>
        </w14:textFill>
      </w:rPr>
      <w:t xml:space="preserve"> 页</w:t>
    </w:r>
  </w:p>
  <w:p>
    <w:pPr>
      <w:pStyle w:val="2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台州市政府采购竞争性磋商文件                                                             </w:t>
    </w:r>
    <w:r>
      <w:rPr>
        <w:rFonts w:hint="eastAsia"/>
        <w:b/>
        <w:i/>
        <w:color w:val="000000" w:themeColor="text1"/>
        <w:spacing w:val="-20"/>
        <w:kern w:val="0"/>
        <w:sz w:val="18"/>
        <w:u w:val="single"/>
        <w14:textFill>
          <w14:solidFill>
            <w14:schemeClr w14:val="tx1"/>
          </w14:solidFill>
        </w14:textFill>
      </w:rPr>
      <w:t>第</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40</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页共</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69</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w:t>
    </w:r>
  </w:p>
  <w:p>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rFonts w:hint="eastAsia" w:ascii="仿宋_GB2312" w:eastAsia="仿宋_GB2312"/>
        <w:sz w:val="24"/>
      </w:rPr>
      <w:t>丽水市政府采购中心</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color w:val="000000" w:themeColor="text1"/>
        <w:kern w:val="0"/>
        <w:sz w:val="18"/>
        <w:u w:val="single"/>
        <w14:textFill>
          <w14:solidFill>
            <w14:schemeClr w14:val="tx1"/>
          </w14:solidFill>
        </w14:textFill>
      </w:rPr>
      <w:t xml:space="preserve">台州市政府采购竞争性磋商文件                                                       </w:t>
    </w:r>
    <w:r>
      <w:rPr>
        <w:rFonts w:hint="eastAsia"/>
        <w:b/>
        <w:color w:val="000000" w:themeColor="text1"/>
        <w:spacing w:val="-20"/>
        <w:kern w:val="0"/>
        <w:sz w:val="18"/>
        <w:u w:val="single"/>
        <w14:textFill>
          <w14:solidFill>
            <w14:schemeClr w14:val="tx1"/>
          </w14:solidFill>
        </w14:textFill>
      </w:rPr>
      <w:t xml:space="preserve">第  </w:t>
    </w:r>
    <w:r>
      <w:rPr>
        <w:b/>
        <w:color w:val="000000" w:themeColor="text1"/>
        <w:spacing w:val="-20"/>
        <w:kern w:val="0"/>
        <w:sz w:val="18"/>
        <w:u w:val="single"/>
        <w14:textFill>
          <w14:solidFill>
            <w14:schemeClr w14:val="tx1"/>
          </w14:solidFill>
        </w14:textFill>
      </w:rPr>
      <w:fldChar w:fldCharType="begin"/>
    </w:r>
    <w:r>
      <w:rPr>
        <w:b/>
        <w:color w:val="000000" w:themeColor="text1"/>
        <w:spacing w:val="-20"/>
        <w:kern w:val="0"/>
        <w:sz w:val="18"/>
        <w:u w:val="single"/>
        <w14:textFill>
          <w14:solidFill>
            <w14:schemeClr w14:val="tx1"/>
          </w14:solidFill>
        </w14:textFill>
      </w:rPr>
      <w:instrText xml:space="preserve"> PAGE </w:instrText>
    </w:r>
    <w:r>
      <w:rPr>
        <w:b/>
        <w:color w:val="000000" w:themeColor="text1"/>
        <w:spacing w:val="-20"/>
        <w:kern w:val="0"/>
        <w:sz w:val="18"/>
        <w:u w:val="single"/>
        <w14:textFill>
          <w14:solidFill>
            <w14:schemeClr w14:val="tx1"/>
          </w14:solidFill>
        </w14:textFill>
      </w:rPr>
      <w:fldChar w:fldCharType="separate"/>
    </w:r>
    <w:r>
      <w:rPr>
        <w:b/>
        <w:color w:val="000000" w:themeColor="text1"/>
        <w:spacing w:val="-20"/>
        <w:kern w:val="0"/>
        <w:sz w:val="18"/>
        <w:u w:val="single"/>
        <w14:textFill>
          <w14:solidFill>
            <w14:schemeClr w14:val="tx1"/>
          </w14:solidFill>
        </w14:textFill>
      </w:rPr>
      <w:t>69</w:t>
    </w:r>
    <w:r>
      <w:rPr>
        <w:b/>
        <w:color w:val="000000" w:themeColor="text1"/>
        <w:spacing w:val="-20"/>
        <w:kern w:val="0"/>
        <w:sz w:val="18"/>
        <w:u w:val="single"/>
        <w14:textFill>
          <w14:solidFill>
            <w14:schemeClr w14:val="tx1"/>
          </w14:solidFill>
        </w14:textFill>
      </w:rPr>
      <w:fldChar w:fldCharType="end"/>
    </w:r>
    <w:r>
      <w:rPr>
        <w:rFonts w:hint="eastAsia"/>
        <w:b/>
        <w:color w:val="000000" w:themeColor="text1"/>
        <w:spacing w:val="-20"/>
        <w:kern w:val="0"/>
        <w:sz w:val="18"/>
        <w:u w:val="single"/>
        <w14:textFill>
          <w14:solidFill>
            <w14:schemeClr w14:val="tx1"/>
          </w14:solidFill>
        </w14:textFill>
      </w:rPr>
      <w:t xml:space="preserve">页 共 </w:t>
    </w:r>
    <w:r>
      <w:rPr>
        <w:b/>
        <w:color w:val="000000" w:themeColor="text1"/>
        <w:spacing w:val="-20"/>
        <w:kern w:val="0"/>
        <w:sz w:val="18"/>
        <w:u w:val="single"/>
        <w14:textFill>
          <w14:solidFill>
            <w14:schemeClr w14:val="tx1"/>
          </w14:solidFill>
        </w14:textFill>
      </w:rPr>
      <w:fldChar w:fldCharType="begin"/>
    </w:r>
    <w:r>
      <w:rPr>
        <w:b/>
        <w:color w:val="000000" w:themeColor="text1"/>
        <w:spacing w:val="-20"/>
        <w:kern w:val="0"/>
        <w:sz w:val="18"/>
        <w:u w:val="single"/>
        <w14:textFill>
          <w14:solidFill>
            <w14:schemeClr w14:val="tx1"/>
          </w14:solidFill>
        </w14:textFill>
      </w:rPr>
      <w:instrText xml:space="preserve"> NUMPAGES </w:instrText>
    </w:r>
    <w:r>
      <w:rPr>
        <w:b/>
        <w:color w:val="000000" w:themeColor="text1"/>
        <w:spacing w:val="-20"/>
        <w:kern w:val="0"/>
        <w:sz w:val="18"/>
        <w:u w:val="single"/>
        <w14:textFill>
          <w14:solidFill>
            <w14:schemeClr w14:val="tx1"/>
          </w14:solidFill>
        </w14:textFill>
      </w:rPr>
      <w:fldChar w:fldCharType="separate"/>
    </w:r>
    <w:r>
      <w:rPr>
        <w:b/>
        <w:color w:val="000000" w:themeColor="text1"/>
        <w:spacing w:val="-20"/>
        <w:kern w:val="0"/>
        <w:sz w:val="18"/>
        <w:u w:val="single"/>
        <w14:textFill>
          <w14:solidFill>
            <w14:schemeClr w14:val="tx1"/>
          </w14:solidFill>
        </w14:textFill>
      </w:rPr>
      <w:t>69</w:t>
    </w:r>
    <w:r>
      <w:rPr>
        <w:b/>
        <w:color w:val="000000" w:themeColor="text1"/>
        <w:spacing w:val="-20"/>
        <w:kern w:val="0"/>
        <w:sz w:val="18"/>
        <w:u w:val="single"/>
        <w14:textFill>
          <w14:solidFill>
            <w14:schemeClr w14:val="tx1"/>
          </w14:solidFill>
        </w14:textFill>
      </w:rPr>
      <w:fldChar w:fldCharType="end"/>
    </w:r>
    <w:r>
      <w:rPr>
        <w:rFonts w:hint="eastAsia"/>
        <w:b/>
        <w:color w:val="000000" w:themeColor="text1"/>
        <w:spacing w:val="-20"/>
        <w:kern w:val="0"/>
        <w:sz w:val="18"/>
        <w:u w:val="single"/>
        <w14:textFill>
          <w14:solidFill>
            <w14:schemeClr w14:val="tx1"/>
          </w14:solidFill>
        </w14:textFill>
      </w:rPr>
      <w:t xml:space="preserve"> 页</w:t>
    </w:r>
  </w:p>
  <w:p>
    <w:pPr>
      <w:pStyle w:val="2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rFonts w:hint="eastAsia" w:ascii="仿宋_GB2312" w:eastAsia="仿宋_GB2312"/>
        <w:sz w:val="24"/>
      </w:rPr>
      <w:t>丽水市政府采购中心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CFA382"/>
    <w:multiLevelType w:val="singleLevel"/>
    <w:tmpl w:val="95CFA382"/>
    <w:lvl w:ilvl="0" w:tentative="0">
      <w:start w:val="1"/>
      <w:numFmt w:val="decimal"/>
      <w:suff w:val="nothing"/>
      <w:lvlText w:val="%1、"/>
      <w:lvlJc w:val="left"/>
    </w:lvl>
  </w:abstractNum>
  <w:abstractNum w:abstractNumId="1">
    <w:nsid w:val="DF48CB86"/>
    <w:multiLevelType w:val="singleLevel"/>
    <w:tmpl w:val="DF48CB86"/>
    <w:lvl w:ilvl="0" w:tentative="0">
      <w:start w:val="1"/>
      <w:numFmt w:val="chineseCounting"/>
      <w:suff w:val="nothing"/>
      <w:lvlText w:val="（%1）"/>
      <w:lvlJc w:val="left"/>
      <w:rPr>
        <w:rFonts w:hint="eastAsia"/>
      </w:rPr>
    </w:lvl>
  </w:abstractNum>
  <w:abstractNum w:abstractNumId="2">
    <w:nsid w:val="0ED2C79B"/>
    <w:multiLevelType w:val="singleLevel"/>
    <w:tmpl w:val="0ED2C79B"/>
    <w:lvl w:ilvl="0" w:tentative="0">
      <w:start w:val="1"/>
      <w:numFmt w:val="decimal"/>
      <w:pStyle w:val="6"/>
      <w:lvlText w:val="%1."/>
      <w:lvlJc w:val="left"/>
      <w:pPr>
        <w:tabs>
          <w:tab w:val="left" w:pos="360"/>
        </w:tabs>
        <w:ind w:left="360" w:hanging="360"/>
      </w:pPr>
    </w:lvl>
  </w:abstractNum>
  <w:abstractNum w:abstractNumId="3">
    <w:nsid w:val="10513862"/>
    <w:multiLevelType w:val="singleLevel"/>
    <w:tmpl w:val="10513862"/>
    <w:lvl w:ilvl="0" w:tentative="0">
      <w:start w:val="1"/>
      <w:numFmt w:val="chineseCounting"/>
      <w:suff w:val="nothing"/>
      <w:lvlText w:val="%1、"/>
      <w:lvlJc w:val="left"/>
      <w:rPr>
        <w:rFonts w:hint="eastAsia"/>
      </w:rPr>
    </w:lvl>
  </w:abstractNum>
  <w:abstractNum w:abstractNumId="4">
    <w:nsid w:val="461E5E94"/>
    <w:multiLevelType w:val="singleLevel"/>
    <w:tmpl w:val="461E5E94"/>
    <w:lvl w:ilvl="0" w:tentative="0">
      <w:start w:val="2"/>
      <w:numFmt w:val="chineseCounting"/>
      <w:suff w:val="space"/>
      <w:lvlText w:val="第%1章"/>
      <w:lvlJc w:val="left"/>
      <w:rPr>
        <w:rFonts w:hint="eastAsia"/>
      </w:rPr>
    </w:lvl>
  </w:abstractNum>
  <w:abstractNum w:abstractNumId="5">
    <w:nsid w:val="58C28C62"/>
    <w:multiLevelType w:val="singleLevel"/>
    <w:tmpl w:val="58C28C62"/>
    <w:lvl w:ilvl="0" w:tentative="0">
      <w:start w:val="1"/>
      <w:numFmt w:val="decimal"/>
      <w:suff w:val="nothing"/>
      <w:lvlText w:val="（%1）"/>
      <w:lvlJc w:val="left"/>
      <w:rPr>
        <w:rFonts w:cs="Times New Roman"/>
      </w:rPr>
    </w:lvl>
  </w:abstractNum>
  <w:abstractNum w:abstractNumId="6">
    <w:nsid w:val="59BF3C4E"/>
    <w:multiLevelType w:val="singleLevel"/>
    <w:tmpl w:val="59BF3C4E"/>
    <w:lvl w:ilvl="0" w:tentative="0">
      <w:start w:val="8"/>
      <w:numFmt w:val="decimal"/>
      <w:suff w:val="space"/>
      <w:lvlText w:val="%1."/>
      <w:lvlJc w:val="left"/>
      <w:rPr>
        <w:rFonts w:cs="Times New Roman"/>
      </w:rPr>
    </w:lvl>
  </w:abstractNum>
  <w:abstractNum w:abstractNumId="7">
    <w:nsid w:val="636567A2"/>
    <w:multiLevelType w:val="multilevel"/>
    <w:tmpl w:val="636567A2"/>
    <w:lvl w:ilvl="0" w:tentative="0">
      <w:start w:val="1"/>
      <w:numFmt w:val="decimal"/>
      <w:pStyle w:val="2"/>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8">
    <w:nsid w:val="66DDD653"/>
    <w:multiLevelType w:val="singleLevel"/>
    <w:tmpl w:val="66DDD653"/>
    <w:lvl w:ilvl="0" w:tentative="0">
      <w:start w:val="1"/>
      <w:numFmt w:val="chineseCounting"/>
      <w:suff w:val="space"/>
      <w:lvlText w:val="第%1章"/>
      <w:lvlJc w:val="left"/>
      <w:rPr>
        <w:rFonts w:hint="eastAsia"/>
      </w:rPr>
    </w:lvl>
  </w:abstractNum>
  <w:num w:numId="1">
    <w:abstractNumId w:val="7"/>
  </w:num>
  <w:num w:numId="2">
    <w:abstractNumId w:val="2"/>
  </w:num>
  <w:num w:numId="3">
    <w:abstractNumId w:val="8"/>
  </w:num>
  <w:num w:numId="4">
    <w:abstractNumId w:val="4"/>
  </w:num>
  <w:num w:numId="5">
    <w:abstractNumId w:val="3"/>
  </w:num>
  <w:num w:numId="6">
    <w:abstractNumId w:val="1"/>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xMmYxN2FlODQwNmI4NDBhMmQyMDBmMmZlYzI2YmEifQ=="/>
    <w:docVar w:name="KSO_WPS_MARK_KEY" w:val="f0ce8bea-35d6-4c43-a8a3-1e5efb5eec78"/>
  </w:docVars>
  <w:rsids>
    <w:rsidRoot w:val="685F2B0C"/>
    <w:rsid w:val="0000328D"/>
    <w:rsid w:val="00013D68"/>
    <w:rsid w:val="00017B59"/>
    <w:rsid w:val="00021B42"/>
    <w:rsid w:val="0002618D"/>
    <w:rsid w:val="00033DBF"/>
    <w:rsid w:val="000516FC"/>
    <w:rsid w:val="00057D24"/>
    <w:rsid w:val="0006677E"/>
    <w:rsid w:val="00072FEE"/>
    <w:rsid w:val="0007403C"/>
    <w:rsid w:val="00076351"/>
    <w:rsid w:val="00090E7E"/>
    <w:rsid w:val="00092559"/>
    <w:rsid w:val="000A395C"/>
    <w:rsid w:val="000A4BB7"/>
    <w:rsid w:val="000B0B55"/>
    <w:rsid w:val="000B3A9B"/>
    <w:rsid w:val="000B4085"/>
    <w:rsid w:val="000C5CB8"/>
    <w:rsid w:val="000D20CD"/>
    <w:rsid w:val="000D26BE"/>
    <w:rsid w:val="000D5E35"/>
    <w:rsid w:val="000E3C1D"/>
    <w:rsid w:val="000E4BB9"/>
    <w:rsid w:val="000F0925"/>
    <w:rsid w:val="000F183B"/>
    <w:rsid w:val="000F34AF"/>
    <w:rsid w:val="00104467"/>
    <w:rsid w:val="00107D68"/>
    <w:rsid w:val="00114FBD"/>
    <w:rsid w:val="001171C5"/>
    <w:rsid w:val="0013521E"/>
    <w:rsid w:val="00135E83"/>
    <w:rsid w:val="0014312B"/>
    <w:rsid w:val="00147331"/>
    <w:rsid w:val="001716E7"/>
    <w:rsid w:val="00177AAC"/>
    <w:rsid w:val="00186161"/>
    <w:rsid w:val="00190DE8"/>
    <w:rsid w:val="001918DB"/>
    <w:rsid w:val="00192B2C"/>
    <w:rsid w:val="00196092"/>
    <w:rsid w:val="0019790F"/>
    <w:rsid w:val="001A184E"/>
    <w:rsid w:val="001A66C5"/>
    <w:rsid w:val="001A7D78"/>
    <w:rsid w:val="001B051F"/>
    <w:rsid w:val="001B1287"/>
    <w:rsid w:val="001C14A8"/>
    <w:rsid w:val="001C3F27"/>
    <w:rsid w:val="001C6CFD"/>
    <w:rsid w:val="001E5683"/>
    <w:rsid w:val="001E74E3"/>
    <w:rsid w:val="001F24B4"/>
    <w:rsid w:val="001F71C9"/>
    <w:rsid w:val="002043A1"/>
    <w:rsid w:val="002056B2"/>
    <w:rsid w:val="0021227B"/>
    <w:rsid w:val="00224039"/>
    <w:rsid w:val="002246D7"/>
    <w:rsid w:val="002321F3"/>
    <w:rsid w:val="0023468B"/>
    <w:rsid w:val="002404B5"/>
    <w:rsid w:val="00240FAA"/>
    <w:rsid w:val="00245669"/>
    <w:rsid w:val="00250CDA"/>
    <w:rsid w:val="002651A4"/>
    <w:rsid w:val="00267F83"/>
    <w:rsid w:val="00282CB1"/>
    <w:rsid w:val="00286F33"/>
    <w:rsid w:val="00291C5F"/>
    <w:rsid w:val="00294F04"/>
    <w:rsid w:val="002A5F23"/>
    <w:rsid w:val="002B11CB"/>
    <w:rsid w:val="002B63E7"/>
    <w:rsid w:val="002B7BD0"/>
    <w:rsid w:val="002D298A"/>
    <w:rsid w:val="002E2913"/>
    <w:rsid w:val="002F1EEC"/>
    <w:rsid w:val="002F707D"/>
    <w:rsid w:val="002F7C0F"/>
    <w:rsid w:val="00315916"/>
    <w:rsid w:val="00320E4A"/>
    <w:rsid w:val="0032293D"/>
    <w:rsid w:val="00346F2A"/>
    <w:rsid w:val="0034707D"/>
    <w:rsid w:val="00351121"/>
    <w:rsid w:val="00353148"/>
    <w:rsid w:val="00353231"/>
    <w:rsid w:val="003569FA"/>
    <w:rsid w:val="0036464B"/>
    <w:rsid w:val="00366FA4"/>
    <w:rsid w:val="0037287D"/>
    <w:rsid w:val="00377B09"/>
    <w:rsid w:val="0038026F"/>
    <w:rsid w:val="00380D6A"/>
    <w:rsid w:val="00384075"/>
    <w:rsid w:val="00386741"/>
    <w:rsid w:val="003907BE"/>
    <w:rsid w:val="003B2E29"/>
    <w:rsid w:val="003B6650"/>
    <w:rsid w:val="003C7968"/>
    <w:rsid w:val="003D1966"/>
    <w:rsid w:val="003D3AB9"/>
    <w:rsid w:val="003E2217"/>
    <w:rsid w:val="003E41A8"/>
    <w:rsid w:val="003F2A98"/>
    <w:rsid w:val="0040132F"/>
    <w:rsid w:val="0040501D"/>
    <w:rsid w:val="004221A1"/>
    <w:rsid w:val="00425114"/>
    <w:rsid w:val="00425838"/>
    <w:rsid w:val="00431C49"/>
    <w:rsid w:val="004332D6"/>
    <w:rsid w:val="00433C77"/>
    <w:rsid w:val="00436F96"/>
    <w:rsid w:val="00440BF3"/>
    <w:rsid w:val="004413D9"/>
    <w:rsid w:val="00441CA2"/>
    <w:rsid w:val="00442934"/>
    <w:rsid w:val="00446460"/>
    <w:rsid w:val="00455A64"/>
    <w:rsid w:val="00463175"/>
    <w:rsid w:val="00464C67"/>
    <w:rsid w:val="00467259"/>
    <w:rsid w:val="00471C22"/>
    <w:rsid w:val="00474993"/>
    <w:rsid w:val="0047732E"/>
    <w:rsid w:val="00491AA0"/>
    <w:rsid w:val="00492E96"/>
    <w:rsid w:val="00494287"/>
    <w:rsid w:val="004A4341"/>
    <w:rsid w:val="004A4824"/>
    <w:rsid w:val="004B3BBE"/>
    <w:rsid w:val="004B682B"/>
    <w:rsid w:val="004C3AE1"/>
    <w:rsid w:val="004D6486"/>
    <w:rsid w:val="004F0712"/>
    <w:rsid w:val="004F347B"/>
    <w:rsid w:val="00506521"/>
    <w:rsid w:val="00521F38"/>
    <w:rsid w:val="00526952"/>
    <w:rsid w:val="00531303"/>
    <w:rsid w:val="00541EE2"/>
    <w:rsid w:val="00545E12"/>
    <w:rsid w:val="00550205"/>
    <w:rsid w:val="005568F7"/>
    <w:rsid w:val="00557C12"/>
    <w:rsid w:val="005606A4"/>
    <w:rsid w:val="005632E7"/>
    <w:rsid w:val="005635EA"/>
    <w:rsid w:val="005669CE"/>
    <w:rsid w:val="005864B2"/>
    <w:rsid w:val="00587B2C"/>
    <w:rsid w:val="00594624"/>
    <w:rsid w:val="00596D59"/>
    <w:rsid w:val="005A038E"/>
    <w:rsid w:val="005A3249"/>
    <w:rsid w:val="005A5509"/>
    <w:rsid w:val="005C6FCC"/>
    <w:rsid w:val="005D3966"/>
    <w:rsid w:val="005D4AC0"/>
    <w:rsid w:val="005D74EC"/>
    <w:rsid w:val="005E4916"/>
    <w:rsid w:val="006032C9"/>
    <w:rsid w:val="006039A1"/>
    <w:rsid w:val="00605FCC"/>
    <w:rsid w:val="006205E9"/>
    <w:rsid w:val="00624441"/>
    <w:rsid w:val="006256D9"/>
    <w:rsid w:val="0064089D"/>
    <w:rsid w:val="0064090A"/>
    <w:rsid w:val="00640DDE"/>
    <w:rsid w:val="006414CA"/>
    <w:rsid w:val="006512A5"/>
    <w:rsid w:val="00667887"/>
    <w:rsid w:val="00670A8F"/>
    <w:rsid w:val="00673898"/>
    <w:rsid w:val="006747CC"/>
    <w:rsid w:val="0067707A"/>
    <w:rsid w:val="006823F5"/>
    <w:rsid w:val="006838C6"/>
    <w:rsid w:val="00692BB0"/>
    <w:rsid w:val="006951E5"/>
    <w:rsid w:val="00696033"/>
    <w:rsid w:val="006A3851"/>
    <w:rsid w:val="006A52A4"/>
    <w:rsid w:val="006A71FE"/>
    <w:rsid w:val="006B7EA5"/>
    <w:rsid w:val="006D2D54"/>
    <w:rsid w:val="006D5D05"/>
    <w:rsid w:val="006E1229"/>
    <w:rsid w:val="006F2372"/>
    <w:rsid w:val="006F492A"/>
    <w:rsid w:val="00702348"/>
    <w:rsid w:val="00705E47"/>
    <w:rsid w:val="00717882"/>
    <w:rsid w:val="00720DC6"/>
    <w:rsid w:val="00734BDC"/>
    <w:rsid w:val="0073607F"/>
    <w:rsid w:val="007406E0"/>
    <w:rsid w:val="00742512"/>
    <w:rsid w:val="0074647A"/>
    <w:rsid w:val="00750E70"/>
    <w:rsid w:val="00762E46"/>
    <w:rsid w:val="00765722"/>
    <w:rsid w:val="00767901"/>
    <w:rsid w:val="007728E9"/>
    <w:rsid w:val="00775FD6"/>
    <w:rsid w:val="00791044"/>
    <w:rsid w:val="007A069B"/>
    <w:rsid w:val="007A69F6"/>
    <w:rsid w:val="007B3E3E"/>
    <w:rsid w:val="007B51ED"/>
    <w:rsid w:val="007B5C1C"/>
    <w:rsid w:val="007B6F4D"/>
    <w:rsid w:val="007C4012"/>
    <w:rsid w:val="007D1324"/>
    <w:rsid w:val="007E0D72"/>
    <w:rsid w:val="007E5549"/>
    <w:rsid w:val="007F0B05"/>
    <w:rsid w:val="007F1F2A"/>
    <w:rsid w:val="008049E1"/>
    <w:rsid w:val="008111CE"/>
    <w:rsid w:val="00814B8A"/>
    <w:rsid w:val="008279AF"/>
    <w:rsid w:val="00827F1C"/>
    <w:rsid w:val="008307C2"/>
    <w:rsid w:val="00836DB5"/>
    <w:rsid w:val="00837985"/>
    <w:rsid w:val="0084109F"/>
    <w:rsid w:val="00842F60"/>
    <w:rsid w:val="00853FDF"/>
    <w:rsid w:val="008550DA"/>
    <w:rsid w:val="00864E0A"/>
    <w:rsid w:val="00872D24"/>
    <w:rsid w:val="008766DF"/>
    <w:rsid w:val="00882337"/>
    <w:rsid w:val="00890D6D"/>
    <w:rsid w:val="008933B7"/>
    <w:rsid w:val="0089777C"/>
    <w:rsid w:val="008A3A28"/>
    <w:rsid w:val="008A65C8"/>
    <w:rsid w:val="008B16C4"/>
    <w:rsid w:val="008B66CF"/>
    <w:rsid w:val="008B784D"/>
    <w:rsid w:val="008C14A5"/>
    <w:rsid w:val="008C2C9D"/>
    <w:rsid w:val="008C7834"/>
    <w:rsid w:val="008D5DAB"/>
    <w:rsid w:val="008F1797"/>
    <w:rsid w:val="008F3885"/>
    <w:rsid w:val="00903A9B"/>
    <w:rsid w:val="009325F0"/>
    <w:rsid w:val="00932D08"/>
    <w:rsid w:val="00940759"/>
    <w:rsid w:val="00942ADC"/>
    <w:rsid w:val="009458D6"/>
    <w:rsid w:val="00950487"/>
    <w:rsid w:val="00952EC8"/>
    <w:rsid w:val="00955519"/>
    <w:rsid w:val="0096506A"/>
    <w:rsid w:val="00975CCA"/>
    <w:rsid w:val="009777E7"/>
    <w:rsid w:val="00984C9F"/>
    <w:rsid w:val="00987EDA"/>
    <w:rsid w:val="00992114"/>
    <w:rsid w:val="009A276B"/>
    <w:rsid w:val="009A5D3E"/>
    <w:rsid w:val="009C5882"/>
    <w:rsid w:val="009C6960"/>
    <w:rsid w:val="00A167A4"/>
    <w:rsid w:val="00A16C62"/>
    <w:rsid w:val="00A20359"/>
    <w:rsid w:val="00A25A12"/>
    <w:rsid w:val="00A308A1"/>
    <w:rsid w:val="00A3246C"/>
    <w:rsid w:val="00A351AC"/>
    <w:rsid w:val="00A40E8B"/>
    <w:rsid w:val="00A42FF8"/>
    <w:rsid w:val="00A537C7"/>
    <w:rsid w:val="00A53C1A"/>
    <w:rsid w:val="00A56EEE"/>
    <w:rsid w:val="00A81B8B"/>
    <w:rsid w:val="00A833EA"/>
    <w:rsid w:val="00A87973"/>
    <w:rsid w:val="00A921FD"/>
    <w:rsid w:val="00A948B7"/>
    <w:rsid w:val="00A96D55"/>
    <w:rsid w:val="00A979AB"/>
    <w:rsid w:val="00AB49B7"/>
    <w:rsid w:val="00AD7C91"/>
    <w:rsid w:val="00AE55E8"/>
    <w:rsid w:val="00AF1584"/>
    <w:rsid w:val="00AF6BA4"/>
    <w:rsid w:val="00B000D2"/>
    <w:rsid w:val="00B00293"/>
    <w:rsid w:val="00B03C2A"/>
    <w:rsid w:val="00B03CDB"/>
    <w:rsid w:val="00B11A3F"/>
    <w:rsid w:val="00B11FAD"/>
    <w:rsid w:val="00B1325A"/>
    <w:rsid w:val="00B205EA"/>
    <w:rsid w:val="00B25759"/>
    <w:rsid w:val="00B25E1A"/>
    <w:rsid w:val="00B26CFD"/>
    <w:rsid w:val="00B32E29"/>
    <w:rsid w:val="00B359E0"/>
    <w:rsid w:val="00B43623"/>
    <w:rsid w:val="00B44D26"/>
    <w:rsid w:val="00B500CF"/>
    <w:rsid w:val="00B5340E"/>
    <w:rsid w:val="00B53551"/>
    <w:rsid w:val="00B57D78"/>
    <w:rsid w:val="00B65B84"/>
    <w:rsid w:val="00B702CD"/>
    <w:rsid w:val="00B74EA4"/>
    <w:rsid w:val="00B751F3"/>
    <w:rsid w:val="00B84C1F"/>
    <w:rsid w:val="00B92475"/>
    <w:rsid w:val="00B94D4F"/>
    <w:rsid w:val="00B95B9B"/>
    <w:rsid w:val="00BA253D"/>
    <w:rsid w:val="00BB244F"/>
    <w:rsid w:val="00BB432E"/>
    <w:rsid w:val="00BB790C"/>
    <w:rsid w:val="00BC1B19"/>
    <w:rsid w:val="00BC4F3B"/>
    <w:rsid w:val="00BC77AA"/>
    <w:rsid w:val="00BD0799"/>
    <w:rsid w:val="00BE027D"/>
    <w:rsid w:val="00BF19F1"/>
    <w:rsid w:val="00BF69C5"/>
    <w:rsid w:val="00C00575"/>
    <w:rsid w:val="00C04262"/>
    <w:rsid w:val="00C059B3"/>
    <w:rsid w:val="00C12EEE"/>
    <w:rsid w:val="00C175B4"/>
    <w:rsid w:val="00C207EC"/>
    <w:rsid w:val="00C2134B"/>
    <w:rsid w:val="00C231D4"/>
    <w:rsid w:val="00C266C9"/>
    <w:rsid w:val="00C344A2"/>
    <w:rsid w:val="00C4286B"/>
    <w:rsid w:val="00C51D50"/>
    <w:rsid w:val="00C652B6"/>
    <w:rsid w:val="00C77414"/>
    <w:rsid w:val="00C857E5"/>
    <w:rsid w:val="00C86512"/>
    <w:rsid w:val="00CA4AD5"/>
    <w:rsid w:val="00CA72CD"/>
    <w:rsid w:val="00CC173D"/>
    <w:rsid w:val="00CC186F"/>
    <w:rsid w:val="00CC3302"/>
    <w:rsid w:val="00CC53AC"/>
    <w:rsid w:val="00CD762E"/>
    <w:rsid w:val="00CE05D2"/>
    <w:rsid w:val="00D00593"/>
    <w:rsid w:val="00D0339A"/>
    <w:rsid w:val="00D04FC0"/>
    <w:rsid w:val="00D138B9"/>
    <w:rsid w:val="00D226FE"/>
    <w:rsid w:val="00D321AD"/>
    <w:rsid w:val="00D35563"/>
    <w:rsid w:val="00D35B18"/>
    <w:rsid w:val="00D476B8"/>
    <w:rsid w:val="00D5522B"/>
    <w:rsid w:val="00D57FF3"/>
    <w:rsid w:val="00D60BC4"/>
    <w:rsid w:val="00D7148B"/>
    <w:rsid w:val="00D76643"/>
    <w:rsid w:val="00D903D0"/>
    <w:rsid w:val="00D90A7E"/>
    <w:rsid w:val="00D9612A"/>
    <w:rsid w:val="00DA287C"/>
    <w:rsid w:val="00DA308F"/>
    <w:rsid w:val="00DA79DC"/>
    <w:rsid w:val="00DB2D70"/>
    <w:rsid w:val="00DB48EC"/>
    <w:rsid w:val="00DC1460"/>
    <w:rsid w:val="00DC2FE2"/>
    <w:rsid w:val="00DE3EEE"/>
    <w:rsid w:val="00DF0296"/>
    <w:rsid w:val="00DF4BA9"/>
    <w:rsid w:val="00DF5E78"/>
    <w:rsid w:val="00E028D4"/>
    <w:rsid w:val="00E165F2"/>
    <w:rsid w:val="00E36765"/>
    <w:rsid w:val="00E41CF8"/>
    <w:rsid w:val="00E44733"/>
    <w:rsid w:val="00E51936"/>
    <w:rsid w:val="00E51CBA"/>
    <w:rsid w:val="00E62226"/>
    <w:rsid w:val="00E82AFA"/>
    <w:rsid w:val="00E90410"/>
    <w:rsid w:val="00E909C4"/>
    <w:rsid w:val="00E9505E"/>
    <w:rsid w:val="00EB0AE1"/>
    <w:rsid w:val="00EC47C9"/>
    <w:rsid w:val="00ED13E1"/>
    <w:rsid w:val="00EE4D55"/>
    <w:rsid w:val="00EE6468"/>
    <w:rsid w:val="00EE6E3D"/>
    <w:rsid w:val="00EF7A92"/>
    <w:rsid w:val="00F05979"/>
    <w:rsid w:val="00F1334D"/>
    <w:rsid w:val="00F1616C"/>
    <w:rsid w:val="00F232AF"/>
    <w:rsid w:val="00F246B5"/>
    <w:rsid w:val="00F27C47"/>
    <w:rsid w:val="00F41CA5"/>
    <w:rsid w:val="00F45A9E"/>
    <w:rsid w:val="00F54DFE"/>
    <w:rsid w:val="00F55A57"/>
    <w:rsid w:val="00F71540"/>
    <w:rsid w:val="00F8697C"/>
    <w:rsid w:val="00F86FEC"/>
    <w:rsid w:val="00F91EF2"/>
    <w:rsid w:val="00F95BB0"/>
    <w:rsid w:val="00F96E60"/>
    <w:rsid w:val="00FA0CFE"/>
    <w:rsid w:val="00FA0EF5"/>
    <w:rsid w:val="00FA43DE"/>
    <w:rsid w:val="00FA7E94"/>
    <w:rsid w:val="00FB2F97"/>
    <w:rsid w:val="00FB5646"/>
    <w:rsid w:val="00FB73BF"/>
    <w:rsid w:val="00FB7B25"/>
    <w:rsid w:val="00FC231E"/>
    <w:rsid w:val="00FC5627"/>
    <w:rsid w:val="00FD2B1A"/>
    <w:rsid w:val="00FE456A"/>
    <w:rsid w:val="00FF2848"/>
    <w:rsid w:val="00FF4D75"/>
    <w:rsid w:val="010742D5"/>
    <w:rsid w:val="010F7FF3"/>
    <w:rsid w:val="011F460A"/>
    <w:rsid w:val="013D69DB"/>
    <w:rsid w:val="017B5E87"/>
    <w:rsid w:val="01851778"/>
    <w:rsid w:val="01AE11E6"/>
    <w:rsid w:val="01C3757A"/>
    <w:rsid w:val="01F53A09"/>
    <w:rsid w:val="02072CC8"/>
    <w:rsid w:val="02220C8A"/>
    <w:rsid w:val="02E32A3D"/>
    <w:rsid w:val="02FA6A29"/>
    <w:rsid w:val="033D3B0D"/>
    <w:rsid w:val="03400DD0"/>
    <w:rsid w:val="03AE165D"/>
    <w:rsid w:val="03B92608"/>
    <w:rsid w:val="03E6762D"/>
    <w:rsid w:val="045C047C"/>
    <w:rsid w:val="046041A0"/>
    <w:rsid w:val="04604D98"/>
    <w:rsid w:val="04675DA8"/>
    <w:rsid w:val="049D3746"/>
    <w:rsid w:val="049E081A"/>
    <w:rsid w:val="04A0717A"/>
    <w:rsid w:val="04C42869"/>
    <w:rsid w:val="04D80590"/>
    <w:rsid w:val="05A87DBC"/>
    <w:rsid w:val="05B01B1D"/>
    <w:rsid w:val="06086706"/>
    <w:rsid w:val="06653EC4"/>
    <w:rsid w:val="06744624"/>
    <w:rsid w:val="0699402C"/>
    <w:rsid w:val="069C64C8"/>
    <w:rsid w:val="06A0112C"/>
    <w:rsid w:val="06C00E8D"/>
    <w:rsid w:val="06EE255D"/>
    <w:rsid w:val="07222AB0"/>
    <w:rsid w:val="072A48E8"/>
    <w:rsid w:val="074273EB"/>
    <w:rsid w:val="0743404F"/>
    <w:rsid w:val="07473237"/>
    <w:rsid w:val="07725029"/>
    <w:rsid w:val="079F3EE7"/>
    <w:rsid w:val="07A9604A"/>
    <w:rsid w:val="07C86BAA"/>
    <w:rsid w:val="07C95D06"/>
    <w:rsid w:val="07DA6FC5"/>
    <w:rsid w:val="07DF5164"/>
    <w:rsid w:val="07E50580"/>
    <w:rsid w:val="07FA0FC2"/>
    <w:rsid w:val="08142FA0"/>
    <w:rsid w:val="081717A6"/>
    <w:rsid w:val="081911AD"/>
    <w:rsid w:val="081F2FCD"/>
    <w:rsid w:val="084B5CBA"/>
    <w:rsid w:val="08597429"/>
    <w:rsid w:val="08696EDC"/>
    <w:rsid w:val="08CE1EA3"/>
    <w:rsid w:val="08DC3175"/>
    <w:rsid w:val="08E44D18"/>
    <w:rsid w:val="09023BFE"/>
    <w:rsid w:val="092F5773"/>
    <w:rsid w:val="093D2D0F"/>
    <w:rsid w:val="0975564E"/>
    <w:rsid w:val="09E70A54"/>
    <w:rsid w:val="09F15703"/>
    <w:rsid w:val="09FA5669"/>
    <w:rsid w:val="0A8528D5"/>
    <w:rsid w:val="0AD56F1F"/>
    <w:rsid w:val="0AEA3C8C"/>
    <w:rsid w:val="0B0B6625"/>
    <w:rsid w:val="0B1E0CF0"/>
    <w:rsid w:val="0B4C5010"/>
    <w:rsid w:val="0B7F5105"/>
    <w:rsid w:val="0BE83010"/>
    <w:rsid w:val="0BF55127"/>
    <w:rsid w:val="0C4369A5"/>
    <w:rsid w:val="0C7E2237"/>
    <w:rsid w:val="0C8A3153"/>
    <w:rsid w:val="0C991BD9"/>
    <w:rsid w:val="0CD24D60"/>
    <w:rsid w:val="0D3F7F2E"/>
    <w:rsid w:val="0D705EC6"/>
    <w:rsid w:val="0D7558BB"/>
    <w:rsid w:val="0D860895"/>
    <w:rsid w:val="0DB757B9"/>
    <w:rsid w:val="0DE7555E"/>
    <w:rsid w:val="0DF10A71"/>
    <w:rsid w:val="0E1844B4"/>
    <w:rsid w:val="0E1D3528"/>
    <w:rsid w:val="0E2B3C80"/>
    <w:rsid w:val="0E310B9F"/>
    <w:rsid w:val="0E9F0BC2"/>
    <w:rsid w:val="0EFA552A"/>
    <w:rsid w:val="0F731A9E"/>
    <w:rsid w:val="0F833EF8"/>
    <w:rsid w:val="0F965542"/>
    <w:rsid w:val="0FAC1122"/>
    <w:rsid w:val="0FC27645"/>
    <w:rsid w:val="0FE801DA"/>
    <w:rsid w:val="100E1453"/>
    <w:rsid w:val="10401AB4"/>
    <w:rsid w:val="107C2AAE"/>
    <w:rsid w:val="109E446F"/>
    <w:rsid w:val="10BE1B05"/>
    <w:rsid w:val="115C632A"/>
    <w:rsid w:val="1161667C"/>
    <w:rsid w:val="118A244C"/>
    <w:rsid w:val="11914905"/>
    <w:rsid w:val="11A2124C"/>
    <w:rsid w:val="11B330FF"/>
    <w:rsid w:val="11C20C82"/>
    <w:rsid w:val="11DA3B8F"/>
    <w:rsid w:val="12101447"/>
    <w:rsid w:val="12543D89"/>
    <w:rsid w:val="125F1817"/>
    <w:rsid w:val="12A4175A"/>
    <w:rsid w:val="12BB2C5B"/>
    <w:rsid w:val="12CF4115"/>
    <w:rsid w:val="130B6440"/>
    <w:rsid w:val="134C77A5"/>
    <w:rsid w:val="13731B39"/>
    <w:rsid w:val="13815663"/>
    <w:rsid w:val="13C30E6E"/>
    <w:rsid w:val="13E56991"/>
    <w:rsid w:val="14230C67"/>
    <w:rsid w:val="144D2E15"/>
    <w:rsid w:val="1466198A"/>
    <w:rsid w:val="146B4F18"/>
    <w:rsid w:val="14EA3450"/>
    <w:rsid w:val="14F767B6"/>
    <w:rsid w:val="152201E5"/>
    <w:rsid w:val="153C7B00"/>
    <w:rsid w:val="155E782B"/>
    <w:rsid w:val="158D19C4"/>
    <w:rsid w:val="15A7636A"/>
    <w:rsid w:val="15B1120C"/>
    <w:rsid w:val="15B65685"/>
    <w:rsid w:val="16031113"/>
    <w:rsid w:val="16625C32"/>
    <w:rsid w:val="16725D01"/>
    <w:rsid w:val="168F227C"/>
    <w:rsid w:val="16F02A1F"/>
    <w:rsid w:val="171F0861"/>
    <w:rsid w:val="173D243C"/>
    <w:rsid w:val="17534ECF"/>
    <w:rsid w:val="175E1889"/>
    <w:rsid w:val="178B17FC"/>
    <w:rsid w:val="17AC754E"/>
    <w:rsid w:val="17D47161"/>
    <w:rsid w:val="181011F1"/>
    <w:rsid w:val="1827115F"/>
    <w:rsid w:val="18537282"/>
    <w:rsid w:val="19075792"/>
    <w:rsid w:val="1924523C"/>
    <w:rsid w:val="192A06DB"/>
    <w:rsid w:val="19657BF3"/>
    <w:rsid w:val="198218DD"/>
    <w:rsid w:val="19D659A9"/>
    <w:rsid w:val="19DA05DB"/>
    <w:rsid w:val="19EB475E"/>
    <w:rsid w:val="19EE41FA"/>
    <w:rsid w:val="1A447D15"/>
    <w:rsid w:val="1A5A6066"/>
    <w:rsid w:val="1A777345"/>
    <w:rsid w:val="1ABE0A6A"/>
    <w:rsid w:val="1AFF3C05"/>
    <w:rsid w:val="1B0079CB"/>
    <w:rsid w:val="1B305FC7"/>
    <w:rsid w:val="1B486897"/>
    <w:rsid w:val="1B6A0B90"/>
    <w:rsid w:val="1B8465ED"/>
    <w:rsid w:val="1B8C6B7B"/>
    <w:rsid w:val="1B930815"/>
    <w:rsid w:val="1BA66CC3"/>
    <w:rsid w:val="1BB91038"/>
    <w:rsid w:val="1BBF65FB"/>
    <w:rsid w:val="1BD17EB2"/>
    <w:rsid w:val="1BE658B0"/>
    <w:rsid w:val="1BF657FB"/>
    <w:rsid w:val="1BF968C4"/>
    <w:rsid w:val="1C3F5A00"/>
    <w:rsid w:val="1C494C47"/>
    <w:rsid w:val="1C7E5112"/>
    <w:rsid w:val="1CC868AA"/>
    <w:rsid w:val="1CEF0717"/>
    <w:rsid w:val="1CFA7EEF"/>
    <w:rsid w:val="1CFB1146"/>
    <w:rsid w:val="1CFE6504"/>
    <w:rsid w:val="1D2E0D77"/>
    <w:rsid w:val="1D37062D"/>
    <w:rsid w:val="1D3D753B"/>
    <w:rsid w:val="1D532C22"/>
    <w:rsid w:val="1D9308B3"/>
    <w:rsid w:val="1DD515F9"/>
    <w:rsid w:val="1E331E3B"/>
    <w:rsid w:val="1E4D682E"/>
    <w:rsid w:val="1E561B49"/>
    <w:rsid w:val="1E5B5B74"/>
    <w:rsid w:val="1E7D1B4B"/>
    <w:rsid w:val="1E8140C5"/>
    <w:rsid w:val="1ED36885"/>
    <w:rsid w:val="1EDB21B2"/>
    <w:rsid w:val="1EE21D29"/>
    <w:rsid w:val="1EFA6533"/>
    <w:rsid w:val="1F2A4B47"/>
    <w:rsid w:val="1F2E2C97"/>
    <w:rsid w:val="1F3E1D5D"/>
    <w:rsid w:val="1F6E3177"/>
    <w:rsid w:val="1F6F04BA"/>
    <w:rsid w:val="1F786F59"/>
    <w:rsid w:val="1F870ADE"/>
    <w:rsid w:val="1F88249A"/>
    <w:rsid w:val="1FEE47F4"/>
    <w:rsid w:val="20027E74"/>
    <w:rsid w:val="2024650C"/>
    <w:rsid w:val="20380E59"/>
    <w:rsid w:val="20464321"/>
    <w:rsid w:val="20505BF4"/>
    <w:rsid w:val="205D6C3D"/>
    <w:rsid w:val="206C4B4F"/>
    <w:rsid w:val="20797189"/>
    <w:rsid w:val="20835E3C"/>
    <w:rsid w:val="20B07511"/>
    <w:rsid w:val="215C6880"/>
    <w:rsid w:val="218F0080"/>
    <w:rsid w:val="21A5390F"/>
    <w:rsid w:val="21AD66DD"/>
    <w:rsid w:val="21D4253C"/>
    <w:rsid w:val="21EE760E"/>
    <w:rsid w:val="21F83EB4"/>
    <w:rsid w:val="22547C58"/>
    <w:rsid w:val="22734646"/>
    <w:rsid w:val="22963494"/>
    <w:rsid w:val="22B371B5"/>
    <w:rsid w:val="22C23296"/>
    <w:rsid w:val="22CC461B"/>
    <w:rsid w:val="230E2F31"/>
    <w:rsid w:val="23287509"/>
    <w:rsid w:val="233E4105"/>
    <w:rsid w:val="23666663"/>
    <w:rsid w:val="23693289"/>
    <w:rsid w:val="239147E1"/>
    <w:rsid w:val="23BB34F7"/>
    <w:rsid w:val="23C01E68"/>
    <w:rsid w:val="243B4C5D"/>
    <w:rsid w:val="24FD6DFA"/>
    <w:rsid w:val="24FE0E05"/>
    <w:rsid w:val="25A9590D"/>
    <w:rsid w:val="25AF3989"/>
    <w:rsid w:val="25B303CF"/>
    <w:rsid w:val="25C73339"/>
    <w:rsid w:val="25D43D29"/>
    <w:rsid w:val="25D62822"/>
    <w:rsid w:val="25EA40DF"/>
    <w:rsid w:val="25FC409C"/>
    <w:rsid w:val="26037DA0"/>
    <w:rsid w:val="266A24B5"/>
    <w:rsid w:val="266C7CA7"/>
    <w:rsid w:val="26B424FB"/>
    <w:rsid w:val="27116F14"/>
    <w:rsid w:val="27795787"/>
    <w:rsid w:val="27881ACA"/>
    <w:rsid w:val="27F30C40"/>
    <w:rsid w:val="28445F24"/>
    <w:rsid w:val="28482C7C"/>
    <w:rsid w:val="289A255F"/>
    <w:rsid w:val="28B54BEB"/>
    <w:rsid w:val="28D9203E"/>
    <w:rsid w:val="28E80E13"/>
    <w:rsid w:val="29127BE0"/>
    <w:rsid w:val="29196245"/>
    <w:rsid w:val="29554B42"/>
    <w:rsid w:val="295A4D29"/>
    <w:rsid w:val="29606A91"/>
    <w:rsid w:val="29807B6C"/>
    <w:rsid w:val="29B661A7"/>
    <w:rsid w:val="29FA460F"/>
    <w:rsid w:val="2A084E42"/>
    <w:rsid w:val="2AC017A8"/>
    <w:rsid w:val="2B492F53"/>
    <w:rsid w:val="2B7F0BDE"/>
    <w:rsid w:val="2BDE00CD"/>
    <w:rsid w:val="2C232160"/>
    <w:rsid w:val="2C235700"/>
    <w:rsid w:val="2C251BC9"/>
    <w:rsid w:val="2C517394"/>
    <w:rsid w:val="2C587AD3"/>
    <w:rsid w:val="2C7E6429"/>
    <w:rsid w:val="2C8206F9"/>
    <w:rsid w:val="2C834754"/>
    <w:rsid w:val="2C963671"/>
    <w:rsid w:val="2C9D4F34"/>
    <w:rsid w:val="2C9F7276"/>
    <w:rsid w:val="2CA2073A"/>
    <w:rsid w:val="2CB57537"/>
    <w:rsid w:val="2CE141E1"/>
    <w:rsid w:val="2D1C1443"/>
    <w:rsid w:val="2D84410B"/>
    <w:rsid w:val="2D8C3A4E"/>
    <w:rsid w:val="2DAB174B"/>
    <w:rsid w:val="2DAC3053"/>
    <w:rsid w:val="2E0320EB"/>
    <w:rsid w:val="2E125FC1"/>
    <w:rsid w:val="2E1B69A2"/>
    <w:rsid w:val="2E354929"/>
    <w:rsid w:val="2E696227"/>
    <w:rsid w:val="2E7B072C"/>
    <w:rsid w:val="2EF410B7"/>
    <w:rsid w:val="2F011E82"/>
    <w:rsid w:val="2F177C3F"/>
    <w:rsid w:val="2F631DFD"/>
    <w:rsid w:val="2F6858EF"/>
    <w:rsid w:val="2F8F12D1"/>
    <w:rsid w:val="2FA71114"/>
    <w:rsid w:val="2FBD3EFE"/>
    <w:rsid w:val="2FE06B43"/>
    <w:rsid w:val="2FF93253"/>
    <w:rsid w:val="3046030C"/>
    <w:rsid w:val="304D28E8"/>
    <w:rsid w:val="30576C83"/>
    <w:rsid w:val="30670F4B"/>
    <w:rsid w:val="307770A8"/>
    <w:rsid w:val="30D72609"/>
    <w:rsid w:val="30FD1799"/>
    <w:rsid w:val="312A215B"/>
    <w:rsid w:val="31AB540D"/>
    <w:rsid w:val="31B57A67"/>
    <w:rsid w:val="31F436E7"/>
    <w:rsid w:val="32413B97"/>
    <w:rsid w:val="324C0B81"/>
    <w:rsid w:val="328D576F"/>
    <w:rsid w:val="33091096"/>
    <w:rsid w:val="331C15B8"/>
    <w:rsid w:val="33232830"/>
    <w:rsid w:val="33290907"/>
    <w:rsid w:val="3341371B"/>
    <w:rsid w:val="33566686"/>
    <w:rsid w:val="337230AE"/>
    <w:rsid w:val="33781EF4"/>
    <w:rsid w:val="33843CA1"/>
    <w:rsid w:val="33A45B5A"/>
    <w:rsid w:val="33DD4134"/>
    <w:rsid w:val="33E47B88"/>
    <w:rsid w:val="33FA723C"/>
    <w:rsid w:val="341C55A4"/>
    <w:rsid w:val="343828C2"/>
    <w:rsid w:val="346500C7"/>
    <w:rsid w:val="34A13A37"/>
    <w:rsid w:val="34F5177C"/>
    <w:rsid w:val="35043821"/>
    <w:rsid w:val="355C4178"/>
    <w:rsid w:val="3562042D"/>
    <w:rsid w:val="35850AE6"/>
    <w:rsid w:val="35867C30"/>
    <w:rsid w:val="35DE1818"/>
    <w:rsid w:val="362D36E4"/>
    <w:rsid w:val="36787E34"/>
    <w:rsid w:val="367F3517"/>
    <w:rsid w:val="36813352"/>
    <w:rsid w:val="36A52258"/>
    <w:rsid w:val="36B77A33"/>
    <w:rsid w:val="36C54300"/>
    <w:rsid w:val="36FC06E4"/>
    <w:rsid w:val="370944C8"/>
    <w:rsid w:val="37182A56"/>
    <w:rsid w:val="372D27B8"/>
    <w:rsid w:val="37533A9C"/>
    <w:rsid w:val="37907B88"/>
    <w:rsid w:val="37930872"/>
    <w:rsid w:val="37AC0A3F"/>
    <w:rsid w:val="37DB78A9"/>
    <w:rsid w:val="37EE6B00"/>
    <w:rsid w:val="38053C44"/>
    <w:rsid w:val="383F153C"/>
    <w:rsid w:val="384910F0"/>
    <w:rsid w:val="388C0FB2"/>
    <w:rsid w:val="38B03176"/>
    <w:rsid w:val="38D123DD"/>
    <w:rsid w:val="38DB36C3"/>
    <w:rsid w:val="390169CA"/>
    <w:rsid w:val="39150581"/>
    <w:rsid w:val="392F5095"/>
    <w:rsid w:val="39465433"/>
    <w:rsid w:val="39561D5A"/>
    <w:rsid w:val="395B6912"/>
    <w:rsid w:val="397F2D08"/>
    <w:rsid w:val="398C4AF2"/>
    <w:rsid w:val="3A3F6C87"/>
    <w:rsid w:val="3A4275D3"/>
    <w:rsid w:val="3A9A511E"/>
    <w:rsid w:val="3AC55D59"/>
    <w:rsid w:val="3ACE2337"/>
    <w:rsid w:val="3ADF4EC5"/>
    <w:rsid w:val="3B175B2E"/>
    <w:rsid w:val="3B625CA9"/>
    <w:rsid w:val="3BC5147E"/>
    <w:rsid w:val="3BDF7BFD"/>
    <w:rsid w:val="3BE90506"/>
    <w:rsid w:val="3BEB1160"/>
    <w:rsid w:val="3BEB6832"/>
    <w:rsid w:val="3C3667CF"/>
    <w:rsid w:val="3C40766B"/>
    <w:rsid w:val="3C692C22"/>
    <w:rsid w:val="3C727D0E"/>
    <w:rsid w:val="3CB16103"/>
    <w:rsid w:val="3CB2101F"/>
    <w:rsid w:val="3CBD35C8"/>
    <w:rsid w:val="3CBF1A99"/>
    <w:rsid w:val="3CC764A1"/>
    <w:rsid w:val="3D097312"/>
    <w:rsid w:val="3D1001E1"/>
    <w:rsid w:val="3D2F6909"/>
    <w:rsid w:val="3D334F31"/>
    <w:rsid w:val="3DAE0624"/>
    <w:rsid w:val="3DE113F3"/>
    <w:rsid w:val="3E1E7238"/>
    <w:rsid w:val="3EB648CC"/>
    <w:rsid w:val="3EBD28B3"/>
    <w:rsid w:val="3ECC2AA4"/>
    <w:rsid w:val="3F506818"/>
    <w:rsid w:val="3FE36C1C"/>
    <w:rsid w:val="3FEB19D5"/>
    <w:rsid w:val="40225416"/>
    <w:rsid w:val="40323D4B"/>
    <w:rsid w:val="4036153F"/>
    <w:rsid w:val="40A30A33"/>
    <w:rsid w:val="40BC0D59"/>
    <w:rsid w:val="40BD7FC0"/>
    <w:rsid w:val="415E2B2E"/>
    <w:rsid w:val="419959F4"/>
    <w:rsid w:val="419E3E89"/>
    <w:rsid w:val="41DF073B"/>
    <w:rsid w:val="420F1D94"/>
    <w:rsid w:val="4213506F"/>
    <w:rsid w:val="422952A9"/>
    <w:rsid w:val="42B8170C"/>
    <w:rsid w:val="42E64A63"/>
    <w:rsid w:val="430D4AC0"/>
    <w:rsid w:val="431E047F"/>
    <w:rsid w:val="431E65EF"/>
    <w:rsid w:val="432D1A78"/>
    <w:rsid w:val="434B2DCF"/>
    <w:rsid w:val="43F16D43"/>
    <w:rsid w:val="4400649E"/>
    <w:rsid w:val="4478624B"/>
    <w:rsid w:val="4493367B"/>
    <w:rsid w:val="44A26554"/>
    <w:rsid w:val="44AB74B4"/>
    <w:rsid w:val="44D64ABE"/>
    <w:rsid w:val="45040706"/>
    <w:rsid w:val="451446FC"/>
    <w:rsid w:val="451D020A"/>
    <w:rsid w:val="452905F3"/>
    <w:rsid w:val="4579070F"/>
    <w:rsid w:val="457E6F7B"/>
    <w:rsid w:val="45FD70DB"/>
    <w:rsid w:val="464C3285"/>
    <w:rsid w:val="468509D2"/>
    <w:rsid w:val="46861DC9"/>
    <w:rsid w:val="46894D0A"/>
    <w:rsid w:val="46977D08"/>
    <w:rsid w:val="46BA6241"/>
    <w:rsid w:val="46BC0687"/>
    <w:rsid w:val="46D14AE8"/>
    <w:rsid w:val="46DA670B"/>
    <w:rsid w:val="46F40267"/>
    <w:rsid w:val="47105EA9"/>
    <w:rsid w:val="471332ED"/>
    <w:rsid w:val="47CC7D6B"/>
    <w:rsid w:val="47D27940"/>
    <w:rsid w:val="47DE0285"/>
    <w:rsid w:val="47F77566"/>
    <w:rsid w:val="47F90DC6"/>
    <w:rsid w:val="48013092"/>
    <w:rsid w:val="480F670E"/>
    <w:rsid w:val="481A78B1"/>
    <w:rsid w:val="481C1F20"/>
    <w:rsid w:val="48266AF3"/>
    <w:rsid w:val="48701663"/>
    <w:rsid w:val="48801F0A"/>
    <w:rsid w:val="489C7EA5"/>
    <w:rsid w:val="48BA1F20"/>
    <w:rsid w:val="48D75037"/>
    <w:rsid w:val="49267F46"/>
    <w:rsid w:val="493E3C2D"/>
    <w:rsid w:val="49470F79"/>
    <w:rsid w:val="494730DF"/>
    <w:rsid w:val="494B7F85"/>
    <w:rsid w:val="497C5511"/>
    <w:rsid w:val="49B65DC9"/>
    <w:rsid w:val="49E2412D"/>
    <w:rsid w:val="49E82B6B"/>
    <w:rsid w:val="4A151D89"/>
    <w:rsid w:val="4A321DB6"/>
    <w:rsid w:val="4A7674C1"/>
    <w:rsid w:val="4A812381"/>
    <w:rsid w:val="4B5F395F"/>
    <w:rsid w:val="4B7A6EF9"/>
    <w:rsid w:val="4BE81CD3"/>
    <w:rsid w:val="4C3B51D7"/>
    <w:rsid w:val="4C735908"/>
    <w:rsid w:val="4C7D3C4D"/>
    <w:rsid w:val="4C9743B6"/>
    <w:rsid w:val="4CCC503A"/>
    <w:rsid w:val="4CEB6172"/>
    <w:rsid w:val="4D345922"/>
    <w:rsid w:val="4D670A85"/>
    <w:rsid w:val="4D756665"/>
    <w:rsid w:val="4D806473"/>
    <w:rsid w:val="4DB87F6B"/>
    <w:rsid w:val="4DF85FC0"/>
    <w:rsid w:val="4E15408C"/>
    <w:rsid w:val="4E46059D"/>
    <w:rsid w:val="4E50373D"/>
    <w:rsid w:val="4E7B029B"/>
    <w:rsid w:val="4ECC5D80"/>
    <w:rsid w:val="4ED61833"/>
    <w:rsid w:val="4EDA18B9"/>
    <w:rsid w:val="4EDE26E1"/>
    <w:rsid w:val="4F0153DC"/>
    <w:rsid w:val="4F16322F"/>
    <w:rsid w:val="4F1D7796"/>
    <w:rsid w:val="4F4775DA"/>
    <w:rsid w:val="4F573543"/>
    <w:rsid w:val="4F9B4CA9"/>
    <w:rsid w:val="501C4E89"/>
    <w:rsid w:val="506A1839"/>
    <w:rsid w:val="50942DAE"/>
    <w:rsid w:val="509A34B5"/>
    <w:rsid w:val="50A93C64"/>
    <w:rsid w:val="50C353BD"/>
    <w:rsid w:val="50CF1F9A"/>
    <w:rsid w:val="50DD3BA3"/>
    <w:rsid w:val="50E61CAB"/>
    <w:rsid w:val="50FB2980"/>
    <w:rsid w:val="511C6CDD"/>
    <w:rsid w:val="51F91EC6"/>
    <w:rsid w:val="52512B8D"/>
    <w:rsid w:val="526405F3"/>
    <w:rsid w:val="52713ED9"/>
    <w:rsid w:val="52E04293"/>
    <w:rsid w:val="52F019E8"/>
    <w:rsid w:val="52F37A7A"/>
    <w:rsid w:val="52F42171"/>
    <w:rsid w:val="531E2D03"/>
    <w:rsid w:val="532513E5"/>
    <w:rsid w:val="53477E2E"/>
    <w:rsid w:val="53BC34C4"/>
    <w:rsid w:val="53CE29B7"/>
    <w:rsid w:val="54210DD6"/>
    <w:rsid w:val="543F5D07"/>
    <w:rsid w:val="54451376"/>
    <w:rsid w:val="545C6A17"/>
    <w:rsid w:val="54654B80"/>
    <w:rsid w:val="5480370F"/>
    <w:rsid w:val="54902752"/>
    <w:rsid w:val="54B0514F"/>
    <w:rsid w:val="54B430EF"/>
    <w:rsid w:val="54DE257B"/>
    <w:rsid w:val="54DF7BD4"/>
    <w:rsid w:val="54E275DE"/>
    <w:rsid w:val="5504461A"/>
    <w:rsid w:val="55122B96"/>
    <w:rsid w:val="553D5A1E"/>
    <w:rsid w:val="557D5456"/>
    <w:rsid w:val="55A0704C"/>
    <w:rsid w:val="55C47D86"/>
    <w:rsid w:val="55DD38ED"/>
    <w:rsid w:val="55FE100D"/>
    <w:rsid w:val="56BA1260"/>
    <w:rsid w:val="56EA1F97"/>
    <w:rsid w:val="576D604E"/>
    <w:rsid w:val="57AA5D1A"/>
    <w:rsid w:val="57BB22E7"/>
    <w:rsid w:val="57F64E7F"/>
    <w:rsid w:val="57F67BD6"/>
    <w:rsid w:val="58135758"/>
    <w:rsid w:val="58372026"/>
    <w:rsid w:val="587316C8"/>
    <w:rsid w:val="58800EF9"/>
    <w:rsid w:val="58B14644"/>
    <w:rsid w:val="5920032E"/>
    <w:rsid w:val="592233B5"/>
    <w:rsid w:val="594E58E1"/>
    <w:rsid w:val="5975560F"/>
    <w:rsid w:val="597E3F8E"/>
    <w:rsid w:val="59AF07EA"/>
    <w:rsid w:val="59BB38EE"/>
    <w:rsid w:val="59BD150F"/>
    <w:rsid w:val="59DC1D4F"/>
    <w:rsid w:val="59FE08FA"/>
    <w:rsid w:val="5A5640E0"/>
    <w:rsid w:val="5AC34C92"/>
    <w:rsid w:val="5ACF7403"/>
    <w:rsid w:val="5AD56953"/>
    <w:rsid w:val="5B040ECB"/>
    <w:rsid w:val="5B46719F"/>
    <w:rsid w:val="5BA42A14"/>
    <w:rsid w:val="5BDF212D"/>
    <w:rsid w:val="5BF91159"/>
    <w:rsid w:val="5C253B0A"/>
    <w:rsid w:val="5C2661F8"/>
    <w:rsid w:val="5C2B5AC7"/>
    <w:rsid w:val="5C342CD9"/>
    <w:rsid w:val="5C352A17"/>
    <w:rsid w:val="5C36681F"/>
    <w:rsid w:val="5C931B3A"/>
    <w:rsid w:val="5CE51647"/>
    <w:rsid w:val="5CFB3662"/>
    <w:rsid w:val="5D0B0214"/>
    <w:rsid w:val="5D1A0A42"/>
    <w:rsid w:val="5D4F1710"/>
    <w:rsid w:val="5D5D7F5C"/>
    <w:rsid w:val="5D71045F"/>
    <w:rsid w:val="5D8543BA"/>
    <w:rsid w:val="5D904778"/>
    <w:rsid w:val="5D9E16C8"/>
    <w:rsid w:val="5DB7371B"/>
    <w:rsid w:val="5DF04321"/>
    <w:rsid w:val="5E063CB4"/>
    <w:rsid w:val="5E092FDF"/>
    <w:rsid w:val="5E4A015A"/>
    <w:rsid w:val="5E700C18"/>
    <w:rsid w:val="5EF861CE"/>
    <w:rsid w:val="5F0575D1"/>
    <w:rsid w:val="5F2D2E3D"/>
    <w:rsid w:val="5F36490D"/>
    <w:rsid w:val="5F5C0DD6"/>
    <w:rsid w:val="5F744EF1"/>
    <w:rsid w:val="5F7B2335"/>
    <w:rsid w:val="5FC16B77"/>
    <w:rsid w:val="5FCF362D"/>
    <w:rsid w:val="5FDA399F"/>
    <w:rsid w:val="5FEB6673"/>
    <w:rsid w:val="5FF67529"/>
    <w:rsid w:val="5FFA79ED"/>
    <w:rsid w:val="60106671"/>
    <w:rsid w:val="60441617"/>
    <w:rsid w:val="606D0EF6"/>
    <w:rsid w:val="60835E90"/>
    <w:rsid w:val="60B85EAE"/>
    <w:rsid w:val="60EC443C"/>
    <w:rsid w:val="61013040"/>
    <w:rsid w:val="61107F31"/>
    <w:rsid w:val="611C35B8"/>
    <w:rsid w:val="61456201"/>
    <w:rsid w:val="61AE7556"/>
    <w:rsid w:val="61D41854"/>
    <w:rsid w:val="62282B27"/>
    <w:rsid w:val="623C3740"/>
    <w:rsid w:val="624F63B5"/>
    <w:rsid w:val="625A6442"/>
    <w:rsid w:val="628F2951"/>
    <w:rsid w:val="62F86A67"/>
    <w:rsid w:val="63221256"/>
    <w:rsid w:val="63622C15"/>
    <w:rsid w:val="638B4892"/>
    <w:rsid w:val="639279AF"/>
    <w:rsid w:val="63A66A42"/>
    <w:rsid w:val="63D062E3"/>
    <w:rsid w:val="63E6795E"/>
    <w:rsid w:val="641222ED"/>
    <w:rsid w:val="642B5582"/>
    <w:rsid w:val="64486B46"/>
    <w:rsid w:val="64643953"/>
    <w:rsid w:val="64654D54"/>
    <w:rsid w:val="64FB2F8F"/>
    <w:rsid w:val="650D6333"/>
    <w:rsid w:val="654908E4"/>
    <w:rsid w:val="656A6C63"/>
    <w:rsid w:val="657D5FF6"/>
    <w:rsid w:val="658C66C4"/>
    <w:rsid w:val="65B8738C"/>
    <w:rsid w:val="65F43065"/>
    <w:rsid w:val="66214EFA"/>
    <w:rsid w:val="666D65E1"/>
    <w:rsid w:val="668405BB"/>
    <w:rsid w:val="66BE059B"/>
    <w:rsid w:val="66C25FFC"/>
    <w:rsid w:val="66EF31C1"/>
    <w:rsid w:val="671A59C6"/>
    <w:rsid w:val="67340A1D"/>
    <w:rsid w:val="67404335"/>
    <w:rsid w:val="674B4232"/>
    <w:rsid w:val="678218BC"/>
    <w:rsid w:val="678A19AA"/>
    <w:rsid w:val="678E3970"/>
    <w:rsid w:val="67905785"/>
    <w:rsid w:val="67D547F3"/>
    <w:rsid w:val="67D85766"/>
    <w:rsid w:val="67E324DD"/>
    <w:rsid w:val="680C40CD"/>
    <w:rsid w:val="683B3D7E"/>
    <w:rsid w:val="685F2B0C"/>
    <w:rsid w:val="686E4CA0"/>
    <w:rsid w:val="686F6E6A"/>
    <w:rsid w:val="68840F3C"/>
    <w:rsid w:val="68B631F6"/>
    <w:rsid w:val="68BF2482"/>
    <w:rsid w:val="69520443"/>
    <w:rsid w:val="69B72806"/>
    <w:rsid w:val="69BD41F9"/>
    <w:rsid w:val="69C21FC2"/>
    <w:rsid w:val="69C52477"/>
    <w:rsid w:val="69CE3188"/>
    <w:rsid w:val="69E54E74"/>
    <w:rsid w:val="69F431E5"/>
    <w:rsid w:val="6A3A3987"/>
    <w:rsid w:val="6AD5470C"/>
    <w:rsid w:val="6AE7435F"/>
    <w:rsid w:val="6AE944A4"/>
    <w:rsid w:val="6AF00364"/>
    <w:rsid w:val="6B4E6ABF"/>
    <w:rsid w:val="6B560490"/>
    <w:rsid w:val="6B6150FB"/>
    <w:rsid w:val="6BAE2EC2"/>
    <w:rsid w:val="6BBC7D3D"/>
    <w:rsid w:val="6C253A83"/>
    <w:rsid w:val="6C256815"/>
    <w:rsid w:val="6C4C1DDE"/>
    <w:rsid w:val="6C526267"/>
    <w:rsid w:val="6C9F2B60"/>
    <w:rsid w:val="6CFB748C"/>
    <w:rsid w:val="6CFD78A4"/>
    <w:rsid w:val="6D272E6C"/>
    <w:rsid w:val="6D73227D"/>
    <w:rsid w:val="6D886D51"/>
    <w:rsid w:val="6D9C39D1"/>
    <w:rsid w:val="6DCC4C0D"/>
    <w:rsid w:val="6E4341AC"/>
    <w:rsid w:val="6E8E457E"/>
    <w:rsid w:val="6E92348F"/>
    <w:rsid w:val="6EA03CFE"/>
    <w:rsid w:val="6F0E15C8"/>
    <w:rsid w:val="6F2E3E59"/>
    <w:rsid w:val="6F436F8F"/>
    <w:rsid w:val="6F4E3774"/>
    <w:rsid w:val="6F6816AE"/>
    <w:rsid w:val="6F93693C"/>
    <w:rsid w:val="6FC9214C"/>
    <w:rsid w:val="6FE16E28"/>
    <w:rsid w:val="705D36AF"/>
    <w:rsid w:val="70B3257D"/>
    <w:rsid w:val="70CC02B3"/>
    <w:rsid w:val="70D53585"/>
    <w:rsid w:val="70F2273C"/>
    <w:rsid w:val="7107296B"/>
    <w:rsid w:val="71321C7C"/>
    <w:rsid w:val="7170146E"/>
    <w:rsid w:val="717268C8"/>
    <w:rsid w:val="71802D0E"/>
    <w:rsid w:val="718F5890"/>
    <w:rsid w:val="71D20CA2"/>
    <w:rsid w:val="722F3192"/>
    <w:rsid w:val="7235573F"/>
    <w:rsid w:val="726C56B8"/>
    <w:rsid w:val="727E6C9F"/>
    <w:rsid w:val="7288771C"/>
    <w:rsid w:val="728C57EE"/>
    <w:rsid w:val="72A458E1"/>
    <w:rsid w:val="72AD500E"/>
    <w:rsid w:val="72CE592F"/>
    <w:rsid w:val="73197AE0"/>
    <w:rsid w:val="73221860"/>
    <w:rsid w:val="733A4EF6"/>
    <w:rsid w:val="733D0234"/>
    <w:rsid w:val="735D0363"/>
    <w:rsid w:val="73773239"/>
    <w:rsid w:val="73B40BD5"/>
    <w:rsid w:val="73C4175E"/>
    <w:rsid w:val="73E80D98"/>
    <w:rsid w:val="73FA14E3"/>
    <w:rsid w:val="740267E6"/>
    <w:rsid w:val="740A1BE1"/>
    <w:rsid w:val="740A7F35"/>
    <w:rsid w:val="744A276A"/>
    <w:rsid w:val="74897210"/>
    <w:rsid w:val="74A45A74"/>
    <w:rsid w:val="74B87CFC"/>
    <w:rsid w:val="74BE67B4"/>
    <w:rsid w:val="74E52558"/>
    <w:rsid w:val="74F464D7"/>
    <w:rsid w:val="750924FE"/>
    <w:rsid w:val="751E40FE"/>
    <w:rsid w:val="755E6626"/>
    <w:rsid w:val="75841DF5"/>
    <w:rsid w:val="758D233C"/>
    <w:rsid w:val="75970A9E"/>
    <w:rsid w:val="75DE7C00"/>
    <w:rsid w:val="761A3089"/>
    <w:rsid w:val="762955DF"/>
    <w:rsid w:val="76373E70"/>
    <w:rsid w:val="764802D8"/>
    <w:rsid w:val="76C54839"/>
    <w:rsid w:val="76FB601C"/>
    <w:rsid w:val="77081D08"/>
    <w:rsid w:val="77945DEF"/>
    <w:rsid w:val="77AB41A4"/>
    <w:rsid w:val="77B46DA4"/>
    <w:rsid w:val="77EB2D72"/>
    <w:rsid w:val="780776F7"/>
    <w:rsid w:val="78163522"/>
    <w:rsid w:val="785E50A2"/>
    <w:rsid w:val="78867CFB"/>
    <w:rsid w:val="789F2C29"/>
    <w:rsid w:val="79042EE5"/>
    <w:rsid w:val="79210966"/>
    <w:rsid w:val="794321BB"/>
    <w:rsid w:val="794D51CC"/>
    <w:rsid w:val="795F47C4"/>
    <w:rsid w:val="7967171B"/>
    <w:rsid w:val="799447B2"/>
    <w:rsid w:val="79993DEC"/>
    <w:rsid w:val="799B671E"/>
    <w:rsid w:val="79B7238B"/>
    <w:rsid w:val="79F16C5D"/>
    <w:rsid w:val="79F9227E"/>
    <w:rsid w:val="7A03141B"/>
    <w:rsid w:val="7A1817A4"/>
    <w:rsid w:val="7A470DFD"/>
    <w:rsid w:val="7A9E603E"/>
    <w:rsid w:val="7B225C49"/>
    <w:rsid w:val="7B310ADB"/>
    <w:rsid w:val="7B8340AE"/>
    <w:rsid w:val="7B8F7B53"/>
    <w:rsid w:val="7B9F467D"/>
    <w:rsid w:val="7BB151BD"/>
    <w:rsid w:val="7BCC2A37"/>
    <w:rsid w:val="7BF60404"/>
    <w:rsid w:val="7C42078B"/>
    <w:rsid w:val="7CA50B86"/>
    <w:rsid w:val="7CD40CD3"/>
    <w:rsid w:val="7D6D40C6"/>
    <w:rsid w:val="7DAA7D03"/>
    <w:rsid w:val="7DAE4568"/>
    <w:rsid w:val="7DF42A4B"/>
    <w:rsid w:val="7DF443C8"/>
    <w:rsid w:val="7EAB2F61"/>
    <w:rsid w:val="7EE626A2"/>
    <w:rsid w:val="7EF1767C"/>
    <w:rsid w:val="7F1747D7"/>
    <w:rsid w:val="7F2F78BB"/>
    <w:rsid w:val="7F370C17"/>
    <w:rsid w:val="7FAD0277"/>
    <w:rsid w:val="7FAF5376"/>
    <w:rsid w:val="7FDD00AC"/>
    <w:rsid w:val="7FDE6D39"/>
    <w:rsid w:val="7FE17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3">
    <w:name w:val="heading 2"/>
    <w:basedOn w:val="4"/>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5">
    <w:name w:val="heading 3"/>
    <w:basedOn w:val="1"/>
    <w:next w:val="1"/>
    <w:semiHidden/>
    <w:unhideWhenUsed/>
    <w:qFormat/>
    <w:uiPriority w:val="0"/>
    <w:pPr>
      <w:keepNext/>
      <w:keepLines/>
      <w:tabs>
        <w:tab w:val="left" w:pos="8280"/>
      </w:tabs>
      <w:spacing w:before="260" w:after="260" w:line="416" w:lineRule="auto"/>
      <w:outlineLvl w:val="2"/>
    </w:pPr>
    <w:rPr>
      <w:bCs/>
      <w:szCs w:val="32"/>
    </w:rPr>
  </w:style>
  <w:style w:type="character" w:default="1" w:styleId="32">
    <w:name w:val="Default Paragraph Font"/>
    <w:semiHidden/>
    <w:unhideWhenUsed/>
    <w:qFormat/>
    <w:uiPriority w:val="1"/>
  </w:style>
  <w:style w:type="table" w:default="1" w:styleId="29">
    <w:name w:val="Normal Table"/>
    <w:semiHidden/>
    <w:unhideWhenUsed/>
    <w:qFormat/>
    <w:uiPriority w:val="99"/>
    <w:tblPr>
      <w:tblLayout w:type="fixed"/>
      <w:tblCellMar>
        <w:top w:w="0" w:type="dxa"/>
        <w:left w:w="108" w:type="dxa"/>
        <w:bottom w:w="0" w:type="dxa"/>
        <w:right w:w="108" w:type="dxa"/>
      </w:tblCellMar>
    </w:tblPr>
  </w:style>
  <w:style w:type="paragraph" w:customStyle="1" w:styleId="4">
    <w:name w:val="目录 21"/>
    <w:basedOn w:val="1"/>
    <w:next w:val="1"/>
    <w:qFormat/>
    <w:uiPriority w:val="39"/>
    <w:pPr>
      <w:ind w:left="420"/>
    </w:pPr>
  </w:style>
  <w:style w:type="paragraph" w:styleId="6">
    <w:name w:val="List Number"/>
    <w:basedOn w:val="1"/>
    <w:qFormat/>
    <w:uiPriority w:val="0"/>
    <w:pPr>
      <w:numPr>
        <w:ilvl w:val="0"/>
        <w:numId w:val="2"/>
      </w:numPr>
    </w:pPr>
  </w:style>
  <w:style w:type="paragraph" w:styleId="7">
    <w:name w:val="Normal Indent"/>
    <w:basedOn w:val="1"/>
    <w:qFormat/>
    <w:uiPriority w:val="0"/>
    <w:pPr>
      <w:ind w:firstLine="420"/>
    </w:pPr>
    <w:rPr>
      <w:szCs w:val="20"/>
    </w:rPr>
  </w:style>
  <w:style w:type="paragraph" w:styleId="8">
    <w:name w:val="annotation text"/>
    <w:basedOn w:val="1"/>
    <w:link w:val="65"/>
    <w:qFormat/>
    <w:uiPriority w:val="99"/>
    <w:pPr>
      <w:jc w:val="left"/>
    </w:pPr>
  </w:style>
  <w:style w:type="paragraph" w:styleId="9">
    <w:name w:val="Body Text"/>
    <w:basedOn w:val="1"/>
    <w:next w:val="10"/>
    <w:qFormat/>
    <w:uiPriority w:val="0"/>
    <w:pPr>
      <w:spacing w:line="360" w:lineRule="exact"/>
    </w:pPr>
    <w:rPr>
      <w:sz w:val="24"/>
    </w:rPr>
  </w:style>
  <w:style w:type="paragraph" w:styleId="10">
    <w:name w:val="Body Text First Indent"/>
    <w:basedOn w:val="9"/>
    <w:next w:val="11"/>
    <w:link w:val="62"/>
    <w:qFormat/>
    <w:uiPriority w:val="99"/>
    <w:pPr>
      <w:ind w:firstLine="200" w:firstLineChars="200"/>
    </w:pPr>
  </w:style>
  <w:style w:type="paragraph" w:styleId="11">
    <w:name w:val="toc 6"/>
    <w:basedOn w:val="1"/>
    <w:next w:val="1"/>
    <w:qFormat/>
    <w:uiPriority w:val="99"/>
    <w:pPr>
      <w:ind w:left="1600"/>
      <w:jc w:val="left"/>
    </w:pPr>
    <w:rPr>
      <w:szCs w:val="21"/>
    </w:rPr>
  </w:style>
  <w:style w:type="paragraph" w:styleId="12">
    <w:name w:val="Body Text Indent"/>
    <w:basedOn w:val="1"/>
    <w:next w:val="1"/>
    <w:qFormat/>
    <w:uiPriority w:val="0"/>
    <w:pPr>
      <w:spacing w:after="120"/>
      <w:ind w:left="420" w:leftChars="200"/>
    </w:pPr>
  </w:style>
  <w:style w:type="paragraph" w:styleId="13">
    <w:name w:val="List 2"/>
    <w:basedOn w:val="1"/>
    <w:qFormat/>
    <w:uiPriority w:val="0"/>
    <w:pPr>
      <w:ind w:left="100" w:leftChars="200" w:hanging="200" w:hangingChars="200"/>
      <w:contextualSpacing/>
    </w:pPr>
  </w:style>
  <w:style w:type="paragraph" w:styleId="14">
    <w:name w:val="Block Text"/>
    <w:basedOn w:val="1"/>
    <w:qFormat/>
    <w:uiPriority w:val="0"/>
    <w:pPr>
      <w:autoSpaceDE w:val="0"/>
      <w:autoSpaceDN w:val="0"/>
      <w:adjustRightInd w:val="0"/>
      <w:spacing w:line="240" w:lineRule="atLeast"/>
      <w:ind w:left="1797" w:right="857" w:rightChars="857" w:firstLine="542" w:firstLineChars="226"/>
      <w:jc w:val="left"/>
    </w:pPr>
    <w:rPr>
      <w:rFonts w:hint="eastAsia" w:ascii="宋体"/>
      <w:color w:val="000000"/>
      <w:kern w:val="0"/>
      <w:sz w:val="24"/>
    </w:rPr>
  </w:style>
  <w:style w:type="paragraph" w:styleId="15">
    <w:name w:val="Plain Text"/>
    <w:basedOn w:val="1"/>
    <w:next w:val="16"/>
    <w:link w:val="61"/>
    <w:qFormat/>
    <w:uiPriority w:val="0"/>
    <w:rPr>
      <w:rFonts w:ascii="宋体" w:hAnsi="Courier New" w:cstheme="minorBidi"/>
    </w:rPr>
  </w:style>
  <w:style w:type="paragraph" w:styleId="16">
    <w:name w:val="Date"/>
    <w:basedOn w:val="1"/>
    <w:next w:val="1"/>
    <w:link w:val="73"/>
    <w:qFormat/>
    <w:uiPriority w:val="99"/>
    <w:pPr>
      <w:ind w:left="2500" w:leftChars="2500"/>
    </w:pPr>
    <w:rPr>
      <w:rFonts w:eastAsia="楷体_GB2312" w:asciiTheme="minorHAnsi" w:hAnsiTheme="minorHAnsi" w:cstheme="minorBidi"/>
      <w:sz w:val="32"/>
      <w:szCs w:val="22"/>
    </w:rPr>
  </w:style>
  <w:style w:type="paragraph" w:styleId="17">
    <w:name w:val="toc 8"/>
    <w:basedOn w:val="1"/>
    <w:next w:val="1"/>
    <w:qFormat/>
    <w:uiPriority w:val="0"/>
    <w:pPr>
      <w:ind w:left="2940" w:leftChars="1400"/>
    </w:pPr>
  </w:style>
  <w:style w:type="paragraph" w:styleId="18">
    <w:name w:val="Balloon Text"/>
    <w:basedOn w:val="1"/>
    <w:link w:val="60"/>
    <w:qFormat/>
    <w:uiPriority w:val="0"/>
    <w:rPr>
      <w:sz w:val="18"/>
      <w:szCs w:val="18"/>
    </w:rPr>
  </w:style>
  <w:style w:type="paragraph" w:styleId="19">
    <w:name w:val="footer"/>
    <w:basedOn w:val="1"/>
    <w:link w:val="64"/>
    <w:qFormat/>
    <w:uiPriority w:val="0"/>
    <w:pPr>
      <w:tabs>
        <w:tab w:val="center" w:pos="4153"/>
        <w:tab w:val="right" w:pos="8306"/>
      </w:tabs>
      <w:snapToGrid w:val="0"/>
      <w:jc w:val="left"/>
    </w:pPr>
    <w:rPr>
      <w:sz w:val="18"/>
    </w:rPr>
  </w:style>
  <w:style w:type="paragraph" w:styleId="20">
    <w:name w:val="envelope return"/>
    <w:basedOn w:val="1"/>
    <w:qFormat/>
    <w:uiPriority w:val="0"/>
    <w:pPr>
      <w:snapToGrid w:val="0"/>
    </w:pPr>
    <w:rPr>
      <w:rFonts w:ascii="Arial" w:hAnsi="Arial"/>
    </w:rPr>
  </w:style>
  <w:style w:type="paragraph" w:styleId="21">
    <w:name w:val="header"/>
    <w:basedOn w:val="1"/>
    <w:next w:val="22"/>
    <w:link w:val="6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22">
    <w:name w:val="Quote1"/>
    <w:next w:val="1"/>
    <w:qFormat/>
    <w:uiPriority w:val="99"/>
    <w:pPr>
      <w:wordWrap w:val="0"/>
      <w:spacing w:before="200" w:after="160"/>
      <w:ind w:left="864" w:right="864"/>
      <w:jc w:val="center"/>
    </w:pPr>
    <w:rPr>
      <w:rFonts w:ascii="宋体" w:hAnsi="Times New Roman" w:eastAsia="宋体" w:cs="Times New Roman"/>
      <w:i/>
      <w:color w:val="404040"/>
      <w:kern w:val="2"/>
      <w:sz w:val="21"/>
      <w:szCs w:val="24"/>
      <w:lang w:val="en-US" w:eastAsia="zh-CN" w:bidi="ar-SA"/>
    </w:rPr>
  </w:style>
  <w:style w:type="paragraph" w:styleId="23">
    <w:name w:val="toc 1"/>
    <w:basedOn w:val="1"/>
    <w:next w:val="1"/>
    <w:qFormat/>
    <w:uiPriority w:val="39"/>
  </w:style>
  <w:style w:type="paragraph" w:styleId="24">
    <w:name w:val="List"/>
    <w:basedOn w:val="1"/>
    <w:qFormat/>
    <w:uiPriority w:val="0"/>
    <w:pPr>
      <w:ind w:left="200" w:hanging="200" w:hangingChars="200"/>
      <w:contextualSpacing/>
    </w:pPr>
  </w:style>
  <w:style w:type="paragraph" w:styleId="25">
    <w:name w:val="toc 2"/>
    <w:basedOn w:val="1"/>
    <w:next w:val="1"/>
    <w:qFormat/>
    <w:uiPriority w:val="0"/>
    <w:pPr>
      <w:spacing w:line="360" w:lineRule="auto"/>
      <w:ind w:left="210" w:leftChars="100" w:firstLine="472" w:firstLineChars="196"/>
      <w:jc w:val="left"/>
    </w:pPr>
    <w:rPr>
      <w:rFonts w:ascii="宋体" w:hAnsi="宋体"/>
      <w:b/>
      <w:sz w:val="24"/>
    </w:rPr>
  </w:style>
  <w:style w:type="paragraph" w:styleId="26">
    <w:name w:val="Normal (Web)"/>
    <w:basedOn w:val="1"/>
    <w:link w:val="90"/>
    <w:qFormat/>
    <w:uiPriority w:val="0"/>
    <w:pPr>
      <w:widowControl/>
      <w:spacing w:before="100" w:beforeAutospacing="1" w:after="100" w:afterAutospacing="1"/>
      <w:jc w:val="left"/>
    </w:pPr>
    <w:rPr>
      <w:rFonts w:hint="eastAsia" w:ascii="宋体" w:hAnsi="宋体"/>
      <w:kern w:val="0"/>
      <w:sz w:val="24"/>
    </w:rPr>
  </w:style>
  <w:style w:type="paragraph" w:styleId="27">
    <w:name w:val="annotation subject"/>
    <w:basedOn w:val="8"/>
    <w:next w:val="8"/>
    <w:link w:val="66"/>
    <w:qFormat/>
    <w:uiPriority w:val="0"/>
    <w:rPr>
      <w:b/>
      <w:bCs/>
    </w:rPr>
  </w:style>
  <w:style w:type="paragraph" w:styleId="28">
    <w:name w:val="Body Text First Indent 2"/>
    <w:basedOn w:val="12"/>
    <w:next w:val="14"/>
    <w:link w:val="89"/>
    <w:qFormat/>
    <w:uiPriority w:val="0"/>
    <w:pPr>
      <w:ind w:firstLine="420"/>
    </w:pPr>
  </w:style>
  <w:style w:type="table" w:styleId="30">
    <w:name w:val="Table Grid"/>
    <w:basedOn w:val="29"/>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style>
  <w:style w:type="table" w:styleId="31">
    <w:name w:val="Table Theme"/>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3">
    <w:name w:val="FollowedHyperlink"/>
    <w:basedOn w:val="32"/>
    <w:qFormat/>
    <w:uiPriority w:val="0"/>
    <w:rPr>
      <w:color w:val="5579A7"/>
      <w:u w:val="none"/>
    </w:rPr>
  </w:style>
  <w:style w:type="character" w:styleId="34">
    <w:name w:val="Hyperlink"/>
    <w:qFormat/>
    <w:uiPriority w:val="99"/>
    <w:rPr>
      <w:color w:val="0000FF"/>
      <w:u w:val="single"/>
    </w:rPr>
  </w:style>
  <w:style w:type="character" w:styleId="35">
    <w:name w:val="annotation reference"/>
    <w:basedOn w:val="32"/>
    <w:qFormat/>
    <w:uiPriority w:val="0"/>
    <w:rPr>
      <w:sz w:val="21"/>
      <w:szCs w:val="21"/>
    </w:rPr>
  </w:style>
  <w:style w:type="paragraph" w:customStyle="1" w:styleId="36">
    <w:name w:val="签发人"/>
    <w:basedOn w:val="1"/>
    <w:qFormat/>
    <w:uiPriority w:val="0"/>
    <w:rPr>
      <w:rFonts w:eastAsia="楷体"/>
      <w:sz w:val="32"/>
    </w:rPr>
  </w:style>
  <w:style w:type="paragraph" w:customStyle="1" w:styleId="37">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38">
    <w:name w:val="List Paragraph"/>
    <w:basedOn w:val="1"/>
    <w:link w:val="72"/>
    <w:qFormat/>
    <w:uiPriority w:val="34"/>
    <w:pPr>
      <w:ind w:firstLine="420" w:firstLineChars="200"/>
    </w:pPr>
    <w:rPr>
      <w:rFonts w:ascii="Calibri" w:hAnsi="Calibri"/>
      <w:szCs w:val="22"/>
    </w:rPr>
  </w:style>
  <w:style w:type="paragraph" w:customStyle="1" w:styleId="39">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40">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4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2">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14"/>
    <w:qFormat/>
    <w:uiPriority w:val="0"/>
    <w:rPr>
      <w:rFonts w:ascii="Times New Roman" w:hAnsi="Times New Roman" w:eastAsia="宋体" w:cs="Times New Roman"/>
      <w:sz w:val="21"/>
      <w:szCs w:val="22"/>
      <w:lang w:val="en-US" w:eastAsia="zh-CN" w:bidi="ar-SA"/>
    </w:rPr>
  </w:style>
  <w:style w:type="paragraph" w:customStyle="1" w:styleId="44">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纯文本_3"/>
    <w:basedOn w:val="46"/>
    <w:qFormat/>
    <w:uiPriority w:val="0"/>
    <w:pPr>
      <w:widowControl/>
      <w:jc w:val="left"/>
    </w:pPr>
    <w:rPr>
      <w:rFonts w:ascii="宋体" w:hAnsi="Courier New" w:eastAsiaTheme="minorEastAsia" w:cstheme="minorBidi"/>
      <w:szCs w:val="21"/>
    </w:rPr>
  </w:style>
  <w:style w:type="paragraph" w:customStyle="1" w:styleId="48">
    <w:name w:val="纯文本_0_1"/>
    <w:basedOn w:val="1"/>
    <w:qFormat/>
    <w:uiPriority w:val="0"/>
    <w:pPr>
      <w:widowControl/>
      <w:jc w:val="left"/>
    </w:pPr>
    <w:rPr>
      <w:rFonts w:ascii="宋体" w:hAnsi="Courier New" w:eastAsiaTheme="minorEastAsia" w:cstheme="minorBidi"/>
      <w:szCs w:val="21"/>
    </w:rPr>
  </w:style>
  <w:style w:type="paragraph" w:customStyle="1" w:styleId="4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53">
    <w:name w:val="font21"/>
    <w:basedOn w:val="32"/>
    <w:qFormat/>
    <w:uiPriority w:val="0"/>
    <w:rPr>
      <w:rFonts w:hint="default" w:ascii="Arial" w:hAnsi="Arial" w:cs="Arial"/>
      <w:color w:val="000000"/>
      <w:sz w:val="20"/>
      <w:szCs w:val="20"/>
      <w:u w:val="none"/>
    </w:rPr>
  </w:style>
  <w:style w:type="character" w:customStyle="1" w:styleId="54">
    <w:name w:val="font01"/>
    <w:basedOn w:val="32"/>
    <w:qFormat/>
    <w:uiPriority w:val="0"/>
    <w:rPr>
      <w:rFonts w:hint="eastAsia" w:ascii="宋体" w:hAnsi="宋体" w:eastAsia="宋体" w:cs="宋体"/>
      <w:color w:val="000000"/>
      <w:sz w:val="20"/>
      <w:szCs w:val="20"/>
      <w:u w:val="none"/>
    </w:rPr>
  </w:style>
  <w:style w:type="paragraph" w:customStyle="1" w:styleId="55">
    <w:name w:val="纯文本1"/>
    <w:basedOn w:val="56"/>
    <w:qFormat/>
    <w:uiPriority w:val="0"/>
    <w:pPr>
      <w:widowControl/>
      <w:jc w:val="left"/>
    </w:pPr>
    <w:rPr>
      <w:rFonts w:ascii="宋体" w:hAnsi="Courier New"/>
    </w:rPr>
  </w:style>
  <w:style w:type="paragraph" w:customStyle="1" w:styleId="56">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7">
    <w:name w:val="Table Paragraph"/>
    <w:basedOn w:val="1"/>
    <w:qFormat/>
    <w:uiPriority w:val="1"/>
    <w:rPr>
      <w:rFonts w:ascii="宋体" w:hAnsi="宋体" w:cs="宋体"/>
    </w:rPr>
  </w:style>
  <w:style w:type="paragraph" w:customStyle="1" w:styleId="58">
    <w:name w:val="WPSOffice手动目录 1"/>
    <w:qFormat/>
    <w:uiPriority w:val="0"/>
    <w:rPr>
      <w:rFonts w:ascii="Times New Roman" w:hAnsi="Times New Roman" w:eastAsia="宋体" w:cs="Times New Roman"/>
      <w:lang w:val="en-US" w:eastAsia="zh-CN" w:bidi="ar-SA"/>
    </w:rPr>
  </w:style>
  <w:style w:type="paragraph" w:customStyle="1" w:styleId="59">
    <w:name w:val="默认段落字体 Para Char Char Char Char Char Char Char Char Char1 Char Char Char Char"/>
    <w:basedOn w:val="1"/>
    <w:qFormat/>
    <w:uiPriority w:val="0"/>
    <w:rPr>
      <w:rFonts w:ascii="Tahoma" w:hAnsi="Tahoma"/>
      <w:sz w:val="24"/>
      <w:szCs w:val="20"/>
    </w:rPr>
  </w:style>
  <w:style w:type="character" w:customStyle="1" w:styleId="60">
    <w:name w:val="批注框文本 Char"/>
    <w:basedOn w:val="32"/>
    <w:link w:val="18"/>
    <w:qFormat/>
    <w:uiPriority w:val="0"/>
    <w:rPr>
      <w:kern w:val="2"/>
      <w:sz w:val="18"/>
      <w:szCs w:val="18"/>
    </w:rPr>
  </w:style>
  <w:style w:type="character" w:customStyle="1" w:styleId="61">
    <w:name w:val="纯文本 Char"/>
    <w:link w:val="15"/>
    <w:qFormat/>
    <w:uiPriority w:val="0"/>
    <w:rPr>
      <w:rFonts w:ascii="宋体" w:hAnsi="Courier New" w:cstheme="minorBidi"/>
      <w:kern w:val="2"/>
      <w:sz w:val="21"/>
      <w:szCs w:val="24"/>
    </w:rPr>
  </w:style>
  <w:style w:type="character" w:customStyle="1" w:styleId="62">
    <w:name w:val="正文首行缩进 Char"/>
    <w:basedOn w:val="32"/>
    <w:link w:val="10"/>
    <w:qFormat/>
    <w:uiPriority w:val="99"/>
    <w:rPr>
      <w:kern w:val="2"/>
      <w:sz w:val="21"/>
      <w:szCs w:val="24"/>
    </w:rPr>
  </w:style>
  <w:style w:type="character" w:customStyle="1" w:styleId="63">
    <w:name w:val="页眉 Char"/>
    <w:basedOn w:val="32"/>
    <w:link w:val="21"/>
    <w:qFormat/>
    <w:uiPriority w:val="0"/>
    <w:rPr>
      <w:kern w:val="2"/>
      <w:sz w:val="18"/>
      <w:szCs w:val="24"/>
    </w:rPr>
  </w:style>
  <w:style w:type="character" w:customStyle="1" w:styleId="64">
    <w:name w:val="页脚 Char"/>
    <w:basedOn w:val="32"/>
    <w:link w:val="19"/>
    <w:qFormat/>
    <w:uiPriority w:val="99"/>
    <w:rPr>
      <w:kern w:val="2"/>
      <w:sz w:val="18"/>
      <w:szCs w:val="24"/>
    </w:rPr>
  </w:style>
  <w:style w:type="character" w:customStyle="1" w:styleId="65">
    <w:name w:val="批注文字 Char"/>
    <w:basedOn w:val="32"/>
    <w:link w:val="8"/>
    <w:qFormat/>
    <w:uiPriority w:val="99"/>
    <w:rPr>
      <w:kern w:val="2"/>
      <w:sz w:val="21"/>
      <w:szCs w:val="24"/>
    </w:rPr>
  </w:style>
  <w:style w:type="character" w:customStyle="1" w:styleId="66">
    <w:name w:val="批注主题 Char"/>
    <w:basedOn w:val="65"/>
    <w:link w:val="27"/>
    <w:qFormat/>
    <w:uiPriority w:val="0"/>
    <w:rPr>
      <w:b/>
      <w:bCs/>
      <w:kern w:val="2"/>
      <w:sz w:val="21"/>
      <w:szCs w:val="24"/>
    </w:rPr>
  </w:style>
  <w:style w:type="paragraph" w:customStyle="1" w:styleId="67">
    <w:name w:val="列表段落1"/>
    <w:basedOn w:val="1"/>
    <w:link w:val="68"/>
    <w:qFormat/>
    <w:uiPriority w:val="34"/>
    <w:pPr>
      <w:ind w:firstLine="420" w:firstLineChars="200"/>
    </w:pPr>
    <w:rPr>
      <w:rFonts w:asciiTheme="minorHAnsi" w:hAnsiTheme="minorHAnsi" w:eastAsiaTheme="minorEastAsia" w:cstheme="minorBidi"/>
      <w:szCs w:val="22"/>
    </w:rPr>
  </w:style>
  <w:style w:type="character" w:customStyle="1" w:styleId="68">
    <w:name w:val="列表段落 字符"/>
    <w:link w:val="67"/>
    <w:qFormat/>
    <w:locked/>
    <w:uiPriority w:val="34"/>
    <w:rPr>
      <w:rFonts w:asciiTheme="minorHAnsi" w:hAnsiTheme="minorHAnsi" w:eastAsiaTheme="minorEastAsia" w:cstheme="minorBidi"/>
      <w:kern w:val="2"/>
      <w:sz w:val="21"/>
      <w:szCs w:val="22"/>
    </w:rPr>
  </w:style>
  <w:style w:type="paragraph" w:customStyle="1" w:styleId="69">
    <w:name w:val="Default"/>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customStyle="1" w:styleId="70">
    <w:name w:val="正文文字2"/>
    <w:basedOn w:val="9"/>
    <w:qFormat/>
    <w:uiPriority w:val="0"/>
    <w:pPr>
      <w:widowControl/>
      <w:adjustRightInd w:val="0"/>
      <w:spacing w:after="60" w:line="360" w:lineRule="atLeast"/>
      <w:ind w:left="72" w:leftChars="30" w:right="72" w:rightChars="30" w:firstLine="200" w:firstLineChars="200"/>
      <w:jc w:val="center"/>
      <w:textAlignment w:val="baseline"/>
    </w:pPr>
    <w:rPr>
      <w:rFonts w:ascii="Arial" w:eastAsia="黑体"/>
      <w:kern w:val="0"/>
      <w:sz w:val="28"/>
      <w:szCs w:val="20"/>
    </w:rPr>
  </w:style>
  <w:style w:type="character" w:customStyle="1" w:styleId="71">
    <w:name w:val="NormalCharacter"/>
    <w:qFormat/>
    <w:uiPriority w:val="0"/>
  </w:style>
  <w:style w:type="character" w:customStyle="1" w:styleId="72">
    <w:name w:val="列出段落 Char"/>
    <w:link w:val="38"/>
    <w:qFormat/>
    <w:uiPriority w:val="34"/>
    <w:rPr>
      <w:rFonts w:ascii="Calibri" w:hAnsi="Calibri"/>
      <w:kern w:val="2"/>
      <w:sz w:val="21"/>
      <w:szCs w:val="22"/>
    </w:rPr>
  </w:style>
  <w:style w:type="character" w:customStyle="1" w:styleId="73">
    <w:name w:val="日期 Char"/>
    <w:basedOn w:val="32"/>
    <w:link w:val="16"/>
    <w:qFormat/>
    <w:uiPriority w:val="99"/>
    <w:rPr>
      <w:rFonts w:eastAsia="楷体_GB2312" w:asciiTheme="minorHAnsi" w:hAnsiTheme="minorHAnsi" w:cstheme="minorBidi"/>
      <w:kern w:val="2"/>
      <w:sz w:val="32"/>
      <w:szCs w:val="22"/>
    </w:rPr>
  </w:style>
  <w:style w:type="character" w:customStyle="1" w:styleId="74">
    <w:name w:val="纯文本 Char1"/>
    <w:qFormat/>
    <w:uiPriority w:val="0"/>
    <w:rPr>
      <w:rFonts w:ascii="宋体" w:hAnsi="Courier New" w:cstheme="minorBidi"/>
      <w:kern w:val="2"/>
      <w:sz w:val="21"/>
      <w:szCs w:val="24"/>
    </w:rPr>
  </w:style>
  <w:style w:type="paragraph" w:customStyle="1" w:styleId="75">
    <w:name w:val="UserStyle_57"/>
    <w:qFormat/>
    <w:uiPriority w:val="0"/>
    <w:pPr>
      <w:snapToGrid w:val="0"/>
      <w:textAlignment w:val="baseline"/>
    </w:pPr>
    <w:rPr>
      <w:rFonts w:ascii="Tahoma" w:hAnsi="Tahoma" w:eastAsia="微软雅黑" w:cs="Times New Roman"/>
      <w:sz w:val="22"/>
      <w:szCs w:val="22"/>
      <w:lang w:val="en-US" w:eastAsia="zh-CN" w:bidi="ar-SA"/>
    </w:rPr>
  </w:style>
  <w:style w:type="paragraph" w:customStyle="1" w:styleId="76">
    <w:name w:val="4、正文"/>
    <w:basedOn w:val="1"/>
    <w:qFormat/>
    <w:uiPriority w:val="99"/>
    <w:pPr>
      <w:ind w:firstLine="200" w:firstLineChars="200"/>
    </w:pPr>
    <w:rPr>
      <w:rFonts w:ascii="宋体"/>
      <w:sz w:val="24"/>
      <w:szCs w:val="28"/>
    </w:rPr>
  </w:style>
  <w:style w:type="paragraph" w:customStyle="1" w:styleId="77">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78">
    <w:name w:val="正文ok"/>
    <w:basedOn w:val="1"/>
    <w:qFormat/>
    <w:uiPriority w:val="0"/>
    <w:pPr>
      <w:widowControl/>
      <w:spacing w:line="360" w:lineRule="auto"/>
      <w:ind w:firstLine="200" w:firstLineChars="200"/>
      <w:jc w:val="left"/>
    </w:pPr>
    <w:rPr>
      <w:rFonts w:hint="eastAsia" w:ascii="宋体"/>
      <w:kern w:val="0"/>
      <w:sz w:val="24"/>
      <w:szCs w:val="20"/>
    </w:rPr>
  </w:style>
  <w:style w:type="paragraph" w:customStyle="1" w:styleId="79">
    <w:name w:val="样式 标题 2 + Times New Roman 四号 非加粗 段前: 5 磅 段后: 0 磅 行距: 固定值 20..."/>
    <w:basedOn w:val="3"/>
    <w:qFormat/>
    <w:uiPriority w:val="99"/>
    <w:pPr>
      <w:spacing w:before="100" w:line="400" w:lineRule="exact"/>
      <w:ind w:left="0"/>
    </w:pPr>
    <w:rPr>
      <w:rFonts w:ascii="Times New Roman" w:hAnsi="Times New Roman" w:cs="宋体"/>
      <w:b w:val="0"/>
      <w:sz w:val="28"/>
      <w:szCs w:val="20"/>
    </w:rPr>
  </w:style>
  <w:style w:type="character" w:customStyle="1" w:styleId="80">
    <w:name w:val="jbox-icon-question"/>
    <w:basedOn w:val="32"/>
    <w:qFormat/>
    <w:uiPriority w:val="0"/>
  </w:style>
  <w:style w:type="character" w:customStyle="1" w:styleId="81">
    <w:name w:val="jbox-icon-error"/>
    <w:basedOn w:val="32"/>
    <w:qFormat/>
    <w:uiPriority w:val="0"/>
  </w:style>
  <w:style w:type="character" w:customStyle="1" w:styleId="82">
    <w:name w:val="jbox-icon-success"/>
    <w:basedOn w:val="32"/>
    <w:qFormat/>
    <w:uiPriority w:val="0"/>
  </w:style>
  <w:style w:type="character" w:customStyle="1" w:styleId="83">
    <w:name w:val="jbox-icon-loading"/>
    <w:basedOn w:val="32"/>
    <w:qFormat/>
    <w:uiPriority w:val="0"/>
  </w:style>
  <w:style w:type="character" w:customStyle="1" w:styleId="84">
    <w:name w:val="jbox-icon-warning"/>
    <w:basedOn w:val="32"/>
    <w:qFormat/>
    <w:uiPriority w:val="0"/>
  </w:style>
  <w:style w:type="character" w:customStyle="1" w:styleId="85">
    <w:name w:val="jbox-icon-info"/>
    <w:basedOn w:val="32"/>
    <w:qFormat/>
    <w:uiPriority w:val="0"/>
  </w:style>
  <w:style w:type="character" w:customStyle="1" w:styleId="86">
    <w:name w:val="jbox-icon"/>
    <w:basedOn w:val="32"/>
    <w:qFormat/>
    <w:uiPriority w:val="0"/>
  </w:style>
  <w:style w:type="character" w:customStyle="1" w:styleId="87">
    <w:name w:val="jbox-icon-none"/>
    <w:basedOn w:val="32"/>
    <w:qFormat/>
    <w:uiPriority w:val="0"/>
    <w:rPr>
      <w:vanish/>
    </w:rPr>
  </w:style>
  <w:style w:type="paragraph" w:customStyle="1" w:styleId="88">
    <w:name w:val="表格文字"/>
    <w:basedOn w:val="12"/>
    <w:next w:val="9"/>
    <w:qFormat/>
    <w:uiPriority w:val="99"/>
    <w:pPr>
      <w:adjustRightInd w:val="0"/>
      <w:spacing w:line="420" w:lineRule="atLeast"/>
      <w:jc w:val="left"/>
      <w:textAlignment w:val="baseline"/>
    </w:pPr>
    <w:rPr>
      <w:kern w:val="0"/>
    </w:rPr>
  </w:style>
  <w:style w:type="character" w:customStyle="1" w:styleId="89">
    <w:name w:val="正文首行缩进 2 Char"/>
    <w:basedOn w:val="32"/>
    <w:link w:val="28"/>
    <w:qFormat/>
    <w:uiPriority w:val="0"/>
    <w:rPr>
      <w:kern w:val="2"/>
      <w:sz w:val="21"/>
      <w:szCs w:val="24"/>
    </w:rPr>
  </w:style>
  <w:style w:type="character" w:customStyle="1" w:styleId="90">
    <w:name w:val="普通(网站) Char"/>
    <w:link w:val="26"/>
    <w:qFormat/>
    <w:uiPriority w:val="0"/>
    <w:rPr>
      <w:rFonts w:ascii="宋体" w:hAnsi="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69</Pages>
  <Words>8103</Words>
  <Characters>46188</Characters>
  <Lines>384</Lines>
  <Paragraphs>108</Paragraphs>
  <TotalTime>243</TotalTime>
  <ScaleCrop>false</ScaleCrop>
  <LinksUpToDate>false</LinksUpToDate>
  <CharactersWithSpaces>54183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2025-06-30T01:46:00Z</dcterms:created>
  <dc:creator>Thorpe521</dc:creator>
  <cp:lastModifiedBy>哈哈 </cp:lastModifiedBy>
  <dcterms:modified xsi:type="dcterms:W3CDTF">2025-06-30T09:25:51Z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B26C5CEBF3E5451586EAAFEDD564F195</vt:lpwstr>
  </property>
  <property fmtid="{D5CDD505-2E9C-101B-9397-08002B2CF9AE}" pid="4" name="commondata">
    <vt:lpwstr>eyJoZGlkIjoiN2ExMmYxN2FlODQwNmI4NDBhMmQyMDBmMmZlYzI2YmEifQ==</vt:lpwstr>
  </property>
</Properties>
</file>