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/>
        <w:jc w:val="center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海正药业（杭州）有限公司</w:t>
      </w:r>
      <w:r>
        <w:rPr>
          <w:color w:val="auto"/>
          <w:lang w:eastAsia="zh-CN"/>
        </w:rPr>
        <w:t>废气整治系统</w:t>
      </w:r>
      <w:r>
        <w:rPr>
          <w:rFonts w:hint="eastAsia" w:ascii="微软雅黑" w:hAnsi="微软雅黑" w:eastAsia="微软雅黑"/>
          <w:color w:val="auto"/>
          <w:lang w:eastAsia="zh-CN"/>
        </w:rPr>
        <w:t>EPC项目</w:t>
      </w:r>
    </w:p>
    <w:p>
      <w:pPr>
        <w:spacing w:before="6" w:line="360" w:lineRule="auto"/>
        <w:rPr>
          <w:rFonts w:ascii="黑体" w:hAnsi="黑体" w:eastAsia="黑体" w:cs="黑体"/>
          <w:color w:val="auto"/>
          <w:sz w:val="26"/>
          <w:szCs w:val="26"/>
          <w:lang w:eastAsia="zh-CN"/>
        </w:rPr>
      </w:pPr>
    </w:p>
    <w:p>
      <w:pPr>
        <w:pStyle w:val="4"/>
        <w:numPr>
          <w:ilvl w:val="0"/>
          <w:numId w:val="2"/>
        </w:numPr>
        <w:spacing w:line="360" w:lineRule="auto"/>
        <w:rPr>
          <w:color w:val="auto"/>
        </w:rPr>
      </w:pPr>
      <w:bookmarkStart w:id="0" w:name="1._目的"/>
      <w:bookmarkEnd w:id="0"/>
      <w:bookmarkStart w:id="1" w:name="_Toc26201809"/>
      <w:r>
        <w:rPr>
          <w:rFonts w:hint="eastAsia"/>
          <w:color w:val="auto"/>
        </w:rPr>
        <w:t>目的</w:t>
      </w:r>
      <w:bookmarkEnd w:id="1"/>
      <w:bookmarkStart w:id="4" w:name="_GoBack"/>
      <w:bookmarkEnd w:id="4"/>
    </w:p>
    <w:p>
      <w:pPr>
        <w:pStyle w:val="11"/>
        <w:numPr>
          <w:ilvl w:val="1"/>
          <w:numId w:val="3"/>
        </w:numPr>
        <w:spacing w:line="360" w:lineRule="auto"/>
        <w:ind w:left="567"/>
        <w:rPr>
          <w:rFonts w:ascii="微软雅黑" w:hAnsi="微软雅黑" w:eastAsia="微软雅黑"/>
          <w:color w:val="auto"/>
          <w:lang w:eastAsia="zh-CN"/>
        </w:rPr>
      </w:pPr>
      <w:r>
        <w:rPr>
          <w:rFonts w:hint="eastAsia" w:ascii="微软雅黑" w:hAnsi="微软雅黑" w:eastAsia="微软雅黑"/>
          <w:color w:val="auto"/>
          <w:lang w:eastAsia="zh-CN"/>
        </w:rPr>
        <w:t>海正药业（杭州）废气整治系统采取整套系统的设计、制造、安装建设、试车、达标排放（符合DB33/923-2014和GB37823-2019）的EPC模式。</w:t>
      </w:r>
    </w:p>
    <w:p>
      <w:pPr>
        <w:pStyle w:val="11"/>
        <w:numPr>
          <w:ilvl w:val="1"/>
          <w:numId w:val="3"/>
        </w:numPr>
        <w:spacing w:line="360" w:lineRule="auto"/>
        <w:ind w:left="567"/>
        <w:rPr>
          <w:rFonts w:ascii="微软雅黑" w:hAnsi="微软雅黑" w:eastAsia="微软雅黑"/>
          <w:color w:val="auto"/>
          <w:highlight w:val="none"/>
          <w:lang w:eastAsia="zh-CN"/>
        </w:rPr>
      </w:pPr>
      <w:r>
        <w:rPr>
          <w:rFonts w:hint="eastAsia" w:ascii="微软雅黑" w:hAnsi="微软雅黑" w:eastAsia="微软雅黑"/>
          <w:color w:val="auto"/>
          <w:highlight w:val="none"/>
          <w:lang w:eastAsia="zh-CN"/>
        </w:rPr>
        <w:t>要求参与单位有</w:t>
      </w:r>
      <w:r>
        <w:rPr>
          <w:rFonts w:hint="eastAsia" w:ascii="微软雅黑" w:hAnsi="微软雅黑" w:eastAsia="微软雅黑"/>
          <w:color w:val="auto"/>
          <w:highlight w:val="none"/>
          <w:lang w:val="en-US" w:eastAsia="zh-CN"/>
        </w:rPr>
        <w:t>以下资质：</w:t>
      </w:r>
      <w:r>
        <w:rPr>
          <w:rFonts w:hint="eastAsia" w:ascii="微软雅黑" w:hAnsi="微软雅黑" w:eastAsia="微软雅黑"/>
          <w:color w:val="auto"/>
          <w:highlight w:val="none"/>
          <w:lang w:eastAsia="zh-CN"/>
        </w:rPr>
        <w:t>住建部(建设局)颁发的工程设计环境工程专项（大气污染防治工程）乙级及以上；环保工程专业承包资质</w:t>
      </w:r>
      <w:r>
        <w:rPr>
          <w:rFonts w:hint="eastAsia" w:ascii="微软雅黑" w:hAnsi="微软雅黑" w:eastAsia="微软雅黑"/>
          <w:color w:val="auto"/>
          <w:highlight w:val="none"/>
          <w:lang w:val="en-US" w:eastAsia="zh-CN"/>
        </w:rPr>
        <w:t>三</w:t>
      </w:r>
      <w:r>
        <w:rPr>
          <w:rFonts w:hint="eastAsia" w:ascii="微软雅黑" w:hAnsi="微软雅黑" w:eastAsia="微软雅黑"/>
          <w:color w:val="auto"/>
          <w:highlight w:val="none"/>
          <w:lang w:eastAsia="zh-CN"/>
        </w:rPr>
        <w:t>级及以上；具有有效的安全生产许可证,不接受联合体投标。</w:t>
      </w:r>
    </w:p>
    <w:p>
      <w:pPr>
        <w:pStyle w:val="11"/>
        <w:numPr>
          <w:ilvl w:val="1"/>
          <w:numId w:val="3"/>
        </w:numPr>
        <w:spacing w:line="360" w:lineRule="auto"/>
        <w:ind w:left="567"/>
        <w:rPr>
          <w:rFonts w:ascii="微软雅黑" w:hAnsi="微软雅黑" w:eastAsia="微软雅黑"/>
          <w:color w:val="auto"/>
          <w:lang w:eastAsia="zh-CN"/>
        </w:rPr>
      </w:pPr>
      <w:r>
        <w:rPr>
          <w:rFonts w:hint="eastAsia" w:ascii="微软雅黑" w:hAnsi="微软雅黑" w:eastAsia="微软雅黑"/>
          <w:color w:val="auto"/>
          <w:lang w:eastAsia="zh-CN"/>
        </w:rPr>
        <w:t>本URS，用于整套系统的设计、制造、安装建设、试车全过程。</w:t>
      </w:r>
    </w:p>
    <w:p>
      <w:pPr>
        <w:spacing w:line="360" w:lineRule="auto"/>
        <w:ind w:firstLine="630" w:firstLineChars="300"/>
        <w:rPr>
          <w:rFonts w:ascii="微软雅黑" w:hAnsi="微软雅黑" w:eastAsia="微软雅黑"/>
          <w:color w:val="auto"/>
          <w:lang w:eastAsia="zh-CN"/>
        </w:rPr>
      </w:pPr>
      <w:r>
        <w:rPr>
          <w:rFonts w:hint="eastAsia" w:ascii="微软雅黑" w:hAnsi="微软雅黑" w:eastAsia="微软雅黑"/>
          <w:color w:val="auto"/>
          <w:lang w:eastAsia="zh-CN"/>
        </w:rPr>
        <w:t>海正药业（杭州）有限公司废气整治系统EPC项目只接受沸石转轮+三箱式RTO为主要工艺。大明山以“沸石转轮+三箱式RTO（一台）”为主设备的一套系统。塘边坞“三箱式RTO（一台）+沼气燃烧+余热锅炉”（预留沸石转轮）为主设备的一套系统。</w:t>
      </w:r>
    </w:p>
    <w:p>
      <w:pPr>
        <w:pStyle w:val="4"/>
        <w:numPr>
          <w:ilvl w:val="0"/>
          <w:numId w:val="2"/>
        </w:numPr>
        <w:spacing w:line="360" w:lineRule="auto"/>
        <w:rPr>
          <w:color w:val="auto"/>
        </w:rPr>
      </w:pPr>
      <w:bookmarkStart w:id="2" w:name="_范围"/>
      <w:bookmarkEnd w:id="2"/>
      <w:bookmarkStart w:id="3" w:name="_Toc26201810"/>
      <w:r>
        <w:rPr>
          <w:rFonts w:hint="eastAsia"/>
          <w:color w:val="auto"/>
        </w:rPr>
        <w:t>范围</w:t>
      </w:r>
      <w:bookmarkEnd w:id="3"/>
    </w:p>
    <w:p>
      <w:pPr>
        <w:spacing w:line="360" w:lineRule="auto"/>
        <w:ind w:firstLine="420" w:firstLineChars="200"/>
        <w:rPr>
          <w:rFonts w:ascii="微软雅黑" w:hAnsi="微软雅黑" w:eastAsia="微软雅黑"/>
          <w:color w:val="auto"/>
          <w:lang w:eastAsia="zh-CN"/>
        </w:rPr>
      </w:pPr>
      <w:r>
        <w:rPr>
          <w:rFonts w:hint="eastAsia" w:ascii="微软雅黑" w:hAnsi="微软雅黑" w:eastAsia="微软雅黑"/>
          <w:color w:val="auto"/>
          <w:lang w:eastAsia="zh-CN"/>
        </w:rPr>
        <w:t>本系统包含管道输送子系统、沸石转轮浓缩子系统、废气RTO焚烧子系统；其中废气RTO焚烧子系统包含废气检测系统、废气混合及预处理系统、废气RTO焚烧装置系统、焚烧气体后处理、排放系统、自控及安全控制系统。</w:t>
      </w:r>
    </w:p>
    <w:p>
      <w:pPr>
        <w:rPr>
          <w:rFonts w:hint="eastAsia" w:hAnsi="宋体" w:cs="Arial"/>
        </w:rPr>
      </w:pPr>
    </w:p>
    <w:p>
      <w:pPr>
        <w:ind w:left="840" w:leftChars="400" w:firstLine="468" w:firstLineChars="223"/>
        <w:rPr>
          <w:rFonts w:hint="eastAsia" w:hAnsi="宋体" w:cs="Arial"/>
        </w:rPr>
      </w:pPr>
    </w:p>
    <w:p>
      <w:pPr>
        <w:spacing w:line="360" w:lineRule="auto"/>
        <w:rPr>
          <w:rFonts w:hint="eastAsia"/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>潜在供应商报名资料发送指定邮箱后，采购代理机构发送详细要求（</w:t>
      </w:r>
      <w:r>
        <w:rPr>
          <w:rFonts w:hint="eastAsia"/>
          <w:highlight w:val="yellow"/>
          <w:lang w:val="en-US" w:eastAsia="zh-CN"/>
        </w:rPr>
        <w:t>URS</w:t>
      </w:r>
      <w:r>
        <w:rPr>
          <w:rFonts w:hint="eastAsia"/>
          <w:highlight w:val="yellow"/>
          <w:lang w:eastAsia="zh-CN"/>
        </w:rPr>
        <w:t>）。</w:t>
      </w:r>
    </w:p>
    <w:p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供应商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接收到URS后，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请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组织技术和商务人员对项目技术细节和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服务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进行分析和梳理，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以便在报名截止后采购人与贵司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进行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下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一步的沟通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74A3C"/>
    <w:multiLevelType w:val="multilevel"/>
    <w:tmpl w:val="25E74A3C"/>
    <w:lvl w:ilvl="0" w:tentative="0">
      <w:start w:val="1"/>
      <w:numFmt w:val="decimal"/>
      <w:pStyle w:val="3"/>
      <w:lvlText w:val="%1"/>
      <w:lvlJc w:val="left"/>
      <w:pPr>
        <w:ind w:left="567" w:hanging="567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92E4CC7"/>
    <w:multiLevelType w:val="multilevel"/>
    <w:tmpl w:val="392E4CC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（%3）"/>
      <w:lvlJc w:val="left"/>
      <w:pPr>
        <w:ind w:left="1560" w:hanging="720"/>
      </w:pPr>
      <w:rPr>
        <w:rFonts w:hint="default" w:cs="Arial Unicode MS"/>
        <w:color w:val="auto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0D5B82"/>
    <w:multiLevelType w:val="multilevel"/>
    <w:tmpl w:val="7F0D5B82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620D9"/>
    <w:rsid w:val="0B297969"/>
    <w:rsid w:val="11F96550"/>
    <w:rsid w:val="1BC459BB"/>
    <w:rsid w:val="1FBB4CAA"/>
    <w:rsid w:val="28A46FD6"/>
    <w:rsid w:val="3FDA6EFC"/>
    <w:rsid w:val="44F620D9"/>
    <w:rsid w:val="5C8977C9"/>
    <w:rsid w:val="60FC7FC3"/>
    <w:rsid w:val="781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</w:pPr>
    <w:rPr>
      <w:rFonts w:ascii="Arial" w:hAnsi="Arial" w:eastAsia="宋体" w:cs="Times New Roman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 w:val="0"/>
      <w:numPr>
        <w:ilvl w:val="0"/>
        <w:numId w:val="1"/>
      </w:numPr>
      <w:tabs>
        <w:tab w:val="left" w:pos="709"/>
      </w:tabs>
      <w:spacing w:before="120" w:beforeLines="50"/>
      <w:ind w:left="567" w:hanging="567"/>
      <w:outlineLvl w:val="0"/>
    </w:pPr>
    <w:rPr>
      <w:b/>
      <w:kern w:val="2"/>
      <w:sz w:val="24"/>
      <w:szCs w:val="20"/>
    </w:rPr>
  </w:style>
  <w:style w:type="paragraph" w:styleId="4">
    <w:name w:val="heading 2"/>
    <w:basedOn w:val="1"/>
    <w:next w:val="1"/>
    <w:qFormat/>
    <w:uiPriority w:val="6"/>
    <w:pPr>
      <w:ind w:left="138"/>
      <w:outlineLvl w:val="1"/>
    </w:pPr>
    <w:rPr>
      <w:rFonts w:ascii="黑体" w:hAnsi="黑体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38"/>
    </w:pPr>
    <w:rPr>
      <w:rFonts w:ascii="宋体" w:hAnsi="宋体" w:eastAsia="宋体"/>
      <w:sz w:val="21"/>
      <w:szCs w:val="21"/>
    </w:rPr>
  </w:style>
  <w:style w:type="paragraph" w:styleId="5">
    <w:name w:val="annotation text"/>
    <w:basedOn w:val="1"/>
    <w:semiHidden/>
    <w:qFormat/>
    <w:uiPriority w:val="0"/>
    <w:pPr>
      <w:widowControl/>
      <w:jc w:val="left"/>
    </w:pPr>
    <w:rPr>
      <w:sz w:val="24"/>
      <w:szCs w:val="20"/>
      <w:lang w:eastAsia="en-US"/>
    </w:rPr>
  </w:style>
  <w:style w:type="paragraph" w:styleId="6">
    <w:name w:val="footer"/>
    <w:basedOn w:val="1"/>
    <w:qFormat/>
    <w:uiPriority w:val="0"/>
    <w:pPr>
      <w:tabs>
        <w:tab w:val="center" w:pos="4320"/>
        <w:tab w:val="right" w:pos="8640"/>
      </w:tabs>
    </w:pPr>
    <w:rPr>
      <w:rFonts w:eastAsia="楷体_GB2312"/>
      <w:szCs w:val="20"/>
    </w:rPr>
  </w:style>
  <w:style w:type="paragraph" w:styleId="7">
    <w:name w:val="header"/>
    <w:basedOn w:val="1"/>
    <w:qFormat/>
    <w:uiPriority w:val="0"/>
    <w:pPr>
      <w:tabs>
        <w:tab w:val="center" w:pos="4320"/>
        <w:tab w:val="right" w:pos="8640"/>
      </w:tabs>
    </w:pPr>
    <w:rPr>
      <w:rFonts w:eastAsia="楷体_GB2312"/>
      <w:szCs w:val="20"/>
    </w:rPr>
  </w:style>
  <w:style w:type="character" w:styleId="10">
    <w:name w:val="annotation reference"/>
    <w:semiHidden/>
    <w:qFormat/>
    <w:uiPriority w:val="0"/>
    <w:rPr>
      <w:sz w:val="21"/>
    </w:rPr>
  </w:style>
  <w:style w:type="paragraph" w:styleId="11">
    <w:name w:val="List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2021-03-19T06:29:00Z</dcterms:created>
  <dc:creator>周正辉</dc:creator>
  <cp:lastModifiedBy>周正辉</cp:lastModifiedBy>
  <dcterms:modified xsi:type="dcterms:W3CDTF">2021-03-23T08:33:28Z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D5C49C340BF648EEAC344D27A9FF35C4</vt:lpwstr>
  </property>
</Properties>
</file>