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Toc58575920"/>
      <w:bookmarkStart w:id="1" w:name="_Toc59025318"/>
      <w:r>
        <w:rPr>
          <w:rFonts w:hint="eastAsia"/>
        </w:rPr>
        <w:t>概</w:t>
      </w:r>
      <w:bookmarkEnd w:id="0"/>
      <w:r>
        <w:rPr>
          <w:rFonts w:hint="eastAsia"/>
        </w:rPr>
        <w:t>要</w:t>
      </w:r>
      <w:bookmarkEnd w:id="1"/>
    </w:p>
    <w:p>
      <w:pPr>
        <w:pStyle w:val="3"/>
        <w:ind w:left="424" w:hanging="424" w:hangingChars="202"/>
      </w:pPr>
      <w:bookmarkStart w:id="2" w:name="_Toc224716746"/>
      <w:r>
        <w:t>项目介绍</w:t>
      </w:r>
      <w:bookmarkEnd w:id="2"/>
    </w:p>
    <w:p>
      <w:pPr>
        <w:tabs>
          <w:tab w:val="left" w:pos="5985"/>
        </w:tabs>
        <w:ind w:left="420" w:leftChars="200" w:right="-96"/>
        <w:rPr>
          <w:rFonts w:hint="eastAsia" w:hAnsi="宋体"/>
          <w:bCs/>
        </w:rPr>
      </w:pPr>
      <w:r>
        <w:rPr>
          <w:rFonts w:hAnsi="宋体"/>
          <w:bCs/>
        </w:rPr>
        <w:t>海正药业是中国一家处于领先位置的制药公司，主要涉及原料药和制剂产品的生产。为了</w:t>
      </w:r>
      <w:r>
        <w:rPr>
          <w:rFonts w:hint="eastAsia" w:hAnsi="宋体"/>
          <w:bCs/>
        </w:rPr>
        <w:t>平稳生产，保证设备备用轮换</w:t>
      </w:r>
      <w:r>
        <w:rPr>
          <w:rFonts w:hAnsi="宋体"/>
          <w:bCs/>
        </w:rPr>
        <w:t>，更换原</w:t>
      </w:r>
      <w:r>
        <w:rPr>
          <w:rFonts w:hint="eastAsia" w:hAnsi="宋体"/>
          <w:bCs/>
        </w:rPr>
        <w:t>Y</w:t>
      </w:r>
      <w:r>
        <w:rPr>
          <w:rFonts w:hAnsi="宋体"/>
          <w:bCs/>
        </w:rPr>
        <w:t>70/</w:t>
      </w:r>
      <w:r>
        <w:rPr>
          <w:rFonts w:hint="eastAsia" w:hAnsi="宋体"/>
          <w:bCs/>
        </w:rPr>
        <w:t>Y32</w:t>
      </w:r>
      <w:r>
        <w:rPr>
          <w:rFonts w:hAnsi="宋体"/>
        </w:rPr>
        <w:t>冷冻</w:t>
      </w:r>
      <w:r>
        <w:rPr>
          <w:rFonts w:hint="eastAsia" w:hAnsi="宋体"/>
          <w:bCs/>
          <w:szCs w:val="21"/>
        </w:rPr>
        <w:t>盐水氨机制冷</w:t>
      </w:r>
      <w:r>
        <w:rPr>
          <w:rFonts w:hint="eastAsia" w:hAnsi="宋体"/>
          <w:bCs/>
        </w:rPr>
        <w:t>系统</w:t>
      </w:r>
      <w:r>
        <w:rPr>
          <w:rFonts w:hAnsi="宋体"/>
          <w:bCs/>
        </w:rPr>
        <w:t>。出于此目的，融合最新GMP和GEP对</w:t>
      </w:r>
      <w:r>
        <w:rPr>
          <w:rFonts w:hint="eastAsia" w:hAnsi="宋体"/>
          <w:bCs/>
        </w:rPr>
        <w:t>502车间Y</w:t>
      </w:r>
      <w:r>
        <w:rPr>
          <w:rFonts w:hAnsi="宋体"/>
          <w:bCs/>
        </w:rPr>
        <w:t>70/</w:t>
      </w:r>
      <w:r>
        <w:rPr>
          <w:rFonts w:hint="eastAsia" w:hAnsi="宋体"/>
          <w:bCs/>
        </w:rPr>
        <w:t>Y32</w:t>
      </w:r>
      <w:r>
        <w:rPr>
          <w:rFonts w:hAnsi="宋体"/>
        </w:rPr>
        <w:t>冷冻</w:t>
      </w:r>
      <w:r>
        <w:rPr>
          <w:rFonts w:hint="eastAsia" w:hAnsi="宋体"/>
          <w:bCs/>
          <w:szCs w:val="21"/>
        </w:rPr>
        <w:t>盐水</w:t>
      </w:r>
      <w:r>
        <w:rPr>
          <w:rFonts w:hint="eastAsia" w:hAnsi="宋体"/>
          <w:bCs/>
        </w:rPr>
        <w:t>系统</w:t>
      </w:r>
      <w:r>
        <w:rPr>
          <w:rFonts w:hAnsi="宋体"/>
          <w:bCs/>
        </w:rPr>
        <w:t>设备设施进行设计。</w:t>
      </w:r>
    </w:p>
    <w:p>
      <w:pPr>
        <w:pStyle w:val="3"/>
        <w:ind w:left="424" w:hanging="424" w:hangingChars="202"/>
        <w:rPr>
          <w:rFonts w:hint="eastAsia"/>
        </w:rPr>
      </w:pPr>
      <w:bookmarkStart w:id="3" w:name="_Toc224716748"/>
      <w:r>
        <w:rPr>
          <w:rFonts w:hint="eastAsia"/>
        </w:rPr>
        <w:t>项目标准</w:t>
      </w:r>
    </w:p>
    <w:p>
      <w:pPr>
        <w:tabs>
          <w:tab w:val="left" w:pos="5985"/>
        </w:tabs>
        <w:ind w:left="315" w:leftChars="150" w:right="-96"/>
        <w:rPr>
          <w:rFonts w:hint="eastAsia" w:cs="Arial"/>
          <w:szCs w:val="21"/>
        </w:rPr>
      </w:pPr>
      <w:r>
        <w:rPr>
          <w:rFonts w:cs="Arial"/>
          <w:szCs w:val="21"/>
        </w:rPr>
        <w:t>符合美国FDA, 欧共体GMP, TGA以及中国GMP,世界卫生组织的指南等。</w:t>
      </w:r>
    </w:p>
    <w:p>
      <w:pPr>
        <w:pStyle w:val="3"/>
        <w:ind w:left="424" w:hanging="424" w:hangingChars="202"/>
        <w:rPr>
          <w:rFonts w:hint="eastAsia"/>
        </w:rPr>
      </w:pPr>
      <w:r>
        <w:rPr>
          <w:rFonts w:hint="eastAsia"/>
        </w:rPr>
        <w:t>设备描述</w:t>
      </w:r>
    </w:p>
    <w:bookmarkEnd w:id="3"/>
    <w:p>
      <w:pPr>
        <w:tabs>
          <w:tab w:val="left" w:pos="5985"/>
        </w:tabs>
        <w:ind w:left="420" w:leftChars="200" w:right="-96"/>
        <w:rPr>
          <w:rFonts w:hint="eastAsia" w:hAnsi="宋体"/>
          <w:bCs/>
        </w:rPr>
      </w:pPr>
      <w:r>
        <w:rPr>
          <w:rFonts w:hint="eastAsia" w:hAnsi="宋体"/>
          <w:bCs/>
        </w:rPr>
        <w:t>冷冻盐水机组在整个系统中用于冷却氯化钙盐水池中的冷冻盐水的功能，可以在设计范围内控制的冷冻</w:t>
      </w:r>
      <w:bookmarkStart w:id="7" w:name="_GoBack"/>
      <w:bookmarkEnd w:id="7"/>
      <w:r>
        <w:rPr>
          <w:rFonts w:hint="eastAsia" w:hAnsi="宋体"/>
          <w:bCs/>
        </w:rPr>
        <w:t>盐水温度。</w:t>
      </w:r>
    </w:p>
    <w:p>
      <w:pPr>
        <w:pStyle w:val="3"/>
        <w:ind w:left="424" w:hanging="424" w:hangingChars="202"/>
        <w:rPr>
          <w:rFonts w:hint="eastAsia"/>
        </w:rPr>
      </w:pPr>
      <w:r>
        <w:rPr>
          <w:rFonts w:hint="eastAsia"/>
        </w:rPr>
        <w:t>参照工艺/工业指南</w:t>
      </w:r>
    </w:p>
    <w:p>
      <w:pPr>
        <w:numPr>
          <w:ilvl w:val="2"/>
          <w:numId w:val="2"/>
        </w:numPr>
        <w:tabs>
          <w:tab w:val="left" w:pos="360"/>
          <w:tab w:val="clear" w:pos="720"/>
        </w:tabs>
        <w:ind w:left="539" w:hanging="539"/>
        <w:rPr>
          <w:rFonts w:hAnsi="宋体" w:cs="Arial"/>
        </w:rPr>
      </w:pPr>
      <w:r>
        <w:rPr>
          <w:rFonts w:hAnsi="宋体" w:cs="Arial"/>
        </w:rPr>
        <w:t>GMP要求</w:t>
      </w:r>
    </w:p>
    <w:p>
      <w:pPr>
        <w:numPr>
          <w:ilvl w:val="0"/>
          <w:numId w:val="3"/>
        </w:numPr>
        <w:rPr>
          <w:rFonts w:hAnsi="宋体" w:cs="Arial"/>
          <w:szCs w:val="20"/>
        </w:rPr>
      </w:pPr>
      <w:r>
        <w:rPr>
          <w:rFonts w:hAnsi="宋体" w:cs="Arial"/>
          <w:szCs w:val="20"/>
        </w:rPr>
        <w:t>中国GMP</w:t>
      </w:r>
    </w:p>
    <w:p>
      <w:pPr>
        <w:numPr>
          <w:ilvl w:val="0"/>
          <w:numId w:val="3"/>
        </w:numPr>
        <w:rPr>
          <w:rFonts w:hAnsi="宋体" w:cs="Arial"/>
          <w:szCs w:val="20"/>
        </w:rPr>
      </w:pPr>
      <w:r>
        <w:rPr>
          <w:rFonts w:hAnsi="宋体" w:cs="Arial"/>
          <w:szCs w:val="20"/>
        </w:rPr>
        <w:t>欧洲GMP</w:t>
      </w:r>
    </w:p>
    <w:p>
      <w:pPr>
        <w:numPr>
          <w:ilvl w:val="0"/>
          <w:numId w:val="4"/>
        </w:numPr>
        <w:rPr>
          <w:rFonts w:hint="eastAsia" w:hAnsi="宋体" w:cs="Arial"/>
          <w:szCs w:val="20"/>
        </w:rPr>
      </w:pPr>
      <w:r>
        <w:rPr>
          <w:rFonts w:hAnsi="宋体" w:cs="Arial"/>
          <w:szCs w:val="20"/>
        </w:rPr>
        <w:t>21 CFR第21</w:t>
      </w:r>
      <w:r>
        <w:rPr>
          <w:rFonts w:hint="eastAsia" w:hAnsi="宋体" w:cs="Arial"/>
          <w:szCs w:val="20"/>
        </w:rPr>
        <w:t>0</w:t>
      </w:r>
      <w:r>
        <w:rPr>
          <w:rFonts w:hAnsi="宋体" w:cs="Arial"/>
          <w:szCs w:val="20"/>
        </w:rPr>
        <w:t>部分</w:t>
      </w:r>
    </w:p>
    <w:p>
      <w:pPr>
        <w:numPr>
          <w:ilvl w:val="0"/>
          <w:numId w:val="4"/>
        </w:numPr>
        <w:rPr>
          <w:rFonts w:hAnsi="宋体" w:cs="Arial"/>
          <w:szCs w:val="20"/>
        </w:rPr>
      </w:pPr>
      <w:r>
        <w:rPr>
          <w:rFonts w:hAnsi="宋体" w:cs="Arial"/>
          <w:szCs w:val="20"/>
        </w:rPr>
        <w:t>21 CFR第11部分</w:t>
      </w:r>
    </w:p>
    <w:p>
      <w:pPr>
        <w:numPr>
          <w:ilvl w:val="2"/>
          <w:numId w:val="2"/>
        </w:numPr>
        <w:tabs>
          <w:tab w:val="left" w:pos="360"/>
          <w:tab w:val="clear" w:pos="720"/>
        </w:tabs>
        <w:ind w:left="539" w:hanging="539"/>
        <w:rPr>
          <w:rFonts w:hAnsi="宋体" w:cs="Arial"/>
        </w:rPr>
      </w:pPr>
      <w:r>
        <w:rPr>
          <w:rFonts w:hAnsi="宋体" w:cs="Arial"/>
        </w:rPr>
        <w:t>工业指南</w:t>
      </w:r>
    </w:p>
    <w:p>
      <w:pPr>
        <w:numPr>
          <w:ilvl w:val="0"/>
          <w:numId w:val="4"/>
        </w:numPr>
        <w:rPr>
          <w:rFonts w:hAnsi="宋体" w:cs="Arial"/>
          <w:szCs w:val="20"/>
        </w:rPr>
      </w:pPr>
      <w:r>
        <w:rPr>
          <w:rFonts w:hAnsi="宋体" w:cs="Arial"/>
          <w:szCs w:val="20"/>
        </w:rPr>
        <w:t>ICH Q7。</w:t>
      </w:r>
    </w:p>
    <w:p>
      <w:pPr>
        <w:numPr>
          <w:ilvl w:val="2"/>
          <w:numId w:val="2"/>
        </w:numPr>
        <w:tabs>
          <w:tab w:val="left" w:pos="360"/>
          <w:tab w:val="clear" w:pos="720"/>
        </w:tabs>
        <w:ind w:left="539" w:hanging="539"/>
        <w:rPr>
          <w:rFonts w:hAnsi="宋体" w:cs="Arial"/>
        </w:rPr>
      </w:pPr>
      <w:r>
        <w:rPr>
          <w:rFonts w:hAnsi="宋体" w:cs="Arial"/>
        </w:rPr>
        <w:t>GAMP</w:t>
      </w:r>
    </w:p>
    <w:p>
      <w:pPr>
        <w:numPr>
          <w:ilvl w:val="0"/>
          <w:numId w:val="4"/>
        </w:numPr>
        <w:rPr>
          <w:rFonts w:hAnsi="宋体" w:cs="Arial"/>
          <w:szCs w:val="20"/>
        </w:rPr>
      </w:pPr>
      <w:r>
        <w:rPr>
          <w:rFonts w:hAnsi="宋体" w:cs="Arial"/>
          <w:szCs w:val="20"/>
        </w:rPr>
        <w:t>GAMP 5：基于风险的计算机化系统验证</w:t>
      </w:r>
    </w:p>
    <w:p>
      <w:pPr>
        <w:pStyle w:val="2"/>
      </w:pPr>
      <w:bookmarkStart w:id="4" w:name="_Toc58575922"/>
      <w:bookmarkStart w:id="5" w:name="_Toc59025319"/>
      <w:bookmarkStart w:id="6" w:name="_Toc224716750"/>
      <w:r>
        <w:t>工艺描述</w:t>
      </w:r>
      <w:bookmarkEnd w:id="4"/>
      <w:bookmarkEnd w:id="5"/>
      <w:bookmarkEnd w:id="6"/>
    </w:p>
    <w:p>
      <w:pPr>
        <w:ind w:firstLine="420" w:firstLineChars="200"/>
        <w:rPr>
          <w:rFonts w:hint="eastAsia" w:hAnsi="宋体"/>
          <w:bCs/>
          <w:szCs w:val="21"/>
        </w:rPr>
      </w:pPr>
      <w:r>
        <w:rPr>
          <w:rFonts w:hint="eastAsia" w:hAnsi="宋体"/>
          <w:bCs/>
          <w:szCs w:val="21"/>
        </w:rPr>
        <w:t>冷冻盐水降温过程</w:t>
      </w:r>
      <w:r>
        <w:rPr>
          <w:rFonts w:hAnsi="宋体"/>
          <w:bCs/>
          <w:szCs w:val="21"/>
        </w:rPr>
        <w:t>：通过</w:t>
      </w:r>
      <w:r>
        <w:rPr>
          <w:rFonts w:hint="eastAsia" w:hAnsi="宋体"/>
          <w:bCs/>
          <w:szCs w:val="21"/>
        </w:rPr>
        <w:t>增压水泵将冷冻盐水用管道输送至冷冻盐水机组蒸发器当中，利用蒸发器中的</w:t>
      </w:r>
    </w:p>
    <w:p>
      <w:pPr>
        <w:ind w:firstLine="420" w:firstLineChars="200"/>
        <w:rPr>
          <w:rFonts w:hint="eastAsia" w:hAnsi="宋体"/>
          <w:bCs/>
          <w:szCs w:val="21"/>
        </w:rPr>
      </w:pPr>
      <w:r>
        <w:rPr>
          <w:rFonts w:hint="eastAsia" w:hAnsi="宋体"/>
          <w:bCs/>
          <w:szCs w:val="21"/>
        </w:rPr>
        <w:t>制冷剂与冷冻盐水进行换热，后通过管道输送回氯化钙盐水池，不断循环，达到降温的目的。</w:t>
      </w:r>
    </w:p>
    <w:p/>
    <w:p>
      <w:pPr>
        <w:spacing w:line="360" w:lineRule="auto"/>
        <w:rPr>
          <w:rFonts w:hint="eastAsia"/>
          <w:highlight w:val="yellow"/>
          <w:lang w:eastAsia="zh-CN"/>
        </w:rPr>
      </w:pPr>
      <w:r>
        <w:rPr>
          <w:rFonts w:hint="eastAsia"/>
          <w:highlight w:val="yellow"/>
          <w:lang w:eastAsia="zh-CN"/>
        </w:rPr>
        <w:t>潜在供应商报名资料发送指定邮箱后，采购代理机构发送详细要求（</w:t>
      </w:r>
      <w:r>
        <w:rPr>
          <w:rFonts w:hint="eastAsia"/>
          <w:highlight w:val="yellow"/>
          <w:lang w:val="en-US" w:eastAsia="zh-CN"/>
        </w:rPr>
        <w:t>URS</w:t>
      </w:r>
      <w:r>
        <w:rPr>
          <w:rFonts w:hint="eastAsia"/>
          <w:highlight w:val="yellow"/>
          <w:lang w:eastAsia="zh-CN"/>
        </w:rPr>
        <w:t>）。</w:t>
      </w:r>
    </w:p>
    <w:p>
      <w:r>
        <w:rPr>
          <w:rFonts w:hint="eastAsia" w:ascii="Arial" w:hAnsi="Arial" w:cs="Arial"/>
          <w:b w:val="0"/>
          <w:i w:val="0"/>
          <w:caps w:val="0"/>
          <w:color w:val="000000"/>
          <w:spacing w:val="0"/>
          <w:sz w:val="21"/>
          <w:szCs w:val="21"/>
          <w:shd w:val="clear" w:fill="FFFFFF"/>
          <w:lang w:eastAsia="zh-CN"/>
        </w:rPr>
        <w:t>供应商</w:t>
      </w:r>
      <w:r>
        <w:rPr>
          <w:rFonts w:ascii="Arial" w:hAnsi="Arial" w:eastAsia="宋体" w:cs="Arial"/>
          <w:b w:val="0"/>
          <w:i w:val="0"/>
          <w:caps w:val="0"/>
          <w:color w:val="000000"/>
          <w:spacing w:val="0"/>
          <w:sz w:val="21"/>
          <w:szCs w:val="21"/>
          <w:shd w:val="clear" w:fill="FFFFFF"/>
        </w:rPr>
        <w:t>接收到URS后，</w:t>
      </w:r>
      <w:r>
        <w:rPr>
          <w:rFonts w:hint="eastAsia" w:ascii="Arial" w:hAnsi="Arial" w:cs="Arial"/>
          <w:b w:val="0"/>
          <w:i w:val="0"/>
          <w:caps w:val="0"/>
          <w:color w:val="000000"/>
          <w:spacing w:val="0"/>
          <w:sz w:val="21"/>
          <w:szCs w:val="21"/>
          <w:shd w:val="clear" w:fill="FFFFFF"/>
          <w:lang w:eastAsia="zh-CN"/>
        </w:rPr>
        <w:t>请</w:t>
      </w:r>
      <w:r>
        <w:rPr>
          <w:rFonts w:ascii="Arial" w:hAnsi="Arial" w:eastAsia="宋体" w:cs="Arial"/>
          <w:b w:val="0"/>
          <w:i w:val="0"/>
          <w:caps w:val="0"/>
          <w:color w:val="000000"/>
          <w:spacing w:val="0"/>
          <w:sz w:val="21"/>
          <w:szCs w:val="21"/>
          <w:shd w:val="clear" w:fill="FFFFFF"/>
        </w:rPr>
        <w:t>组织技术和商务人员对项目技术细节和</w:t>
      </w:r>
      <w:r>
        <w:rPr>
          <w:rFonts w:hint="eastAsia" w:ascii="Arial" w:hAnsi="Arial" w:cs="Arial"/>
          <w:b w:val="0"/>
          <w:i w:val="0"/>
          <w:caps w:val="0"/>
          <w:color w:val="000000"/>
          <w:spacing w:val="0"/>
          <w:sz w:val="21"/>
          <w:szCs w:val="21"/>
          <w:shd w:val="clear" w:fill="FFFFFF"/>
          <w:lang w:eastAsia="zh-CN"/>
        </w:rPr>
        <w:t>服务</w:t>
      </w:r>
      <w:r>
        <w:rPr>
          <w:rFonts w:ascii="Arial" w:hAnsi="Arial" w:eastAsia="宋体" w:cs="Arial"/>
          <w:b w:val="0"/>
          <w:i w:val="0"/>
          <w:caps w:val="0"/>
          <w:color w:val="000000"/>
          <w:spacing w:val="0"/>
          <w:sz w:val="21"/>
          <w:szCs w:val="21"/>
          <w:shd w:val="clear" w:fill="FFFFFF"/>
        </w:rPr>
        <w:t>进行分析和梳理，</w:t>
      </w:r>
      <w:r>
        <w:rPr>
          <w:rFonts w:hint="eastAsia" w:ascii="Arial" w:hAnsi="Arial" w:cs="Arial"/>
          <w:b w:val="0"/>
          <w:i w:val="0"/>
          <w:caps w:val="0"/>
          <w:color w:val="000000"/>
          <w:spacing w:val="0"/>
          <w:sz w:val="21"/>
          <w:szCs w:val="21"/>
          <w:shd w:val="clear" w:fill="FFFFFF"/>
          <w:lang w:eastAsia="zh-CN"/>
        </w:rPr>
        <w:t>以便在报名截止后采购人与贵司</w:t>
      </w:r>
      <w:r>
        <w:rPr>
          <w:rFonts w:ascii="Arial" w:hAnsi="Arial" w:eastAsia="宋体" w:cs="Arial"/>
          <w:b w:val="0"/>
          <w:i w:val="0"/>
          <w:caps w:val="0"/>
          <w:color w:val="000000"/>
          <w:spacing w:val="0"/>
          <w:sz w:val="21"/>
          <w:szCs w:val="21"/>
          <w:shd w:val="clear" w:fill="FFFFFF"/>
        </w:rPr>
        <w:t>进行</w:t>
      </w:r>
      <w:r>
        <w:rPr>
          <w:rFonts w:hint="eastAsia" w:ascii="Arial" w:hAnsi="Arial" w:cs="Arial"/>
          <w:b w:val="0"/>
          <w:i w:val="0"/>
          <w:caps w:val="0"/>
          <w:color w:val="000000"/>
          <w:spacing w:val="0"/>
          <w:sz w:val="21"/>
          <w:szCs w:val="21"/>
          <w:shd w:val="clear" w:fill="FFFFFF"/>
          <w:lang w:eastAsia="zh-CN"/>
        </w:rPr>
        <w:t>下</w:t>
      </w:r>
      <w:r>
        <w:rPr>
          <w:rFonts w:ascii="Arial" w:hAnsi="Arial" w:eastAsia="宋体" w:cs="Arial"/>
          <w:b w:val="0"/>
          <w:i w:val="0"/>
          <w:caps w:val="0"/>
          <w:color w:val="000000"/>
          <w:spacing w:val="0"/>
          <w:sz w:val="21"/>
          <w:szCs w:val="21"/>
          <w:shd w:val="clear" w:fill="FFFFFF"/>
        </w:rPr>
        <w:t>一步的沟通</w:t>
      </w:r>
      <w:r>
        <w:rPr>
          <w:rFonts w:hint="eastAsia" w:ascii="Arial" w:hAnsi="Arial" w:cs="Arial"/>
          <w:b w:val="0"/>
          <w:i w:val="0"/>
          <w:caps w:val="0"/>
          <w:color w:val="000000"/>
          <w:spacing w:val="0"/>
          <w:sz w:val="21"/>
          <w:szCs w:val="21"/>
          <w:shd w:val="clear"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ungsuh">
    <w:altName w:val="Malgun Gothic"/>
    <w:panose1 w:val="02030600000101010101"/>
    <w:charset w:val="81"/>
    <w:family w:val="roman"/>
    <w:pitch w:val="default"/>
    <w:sig w:usb0="00000000" w:usb1="00000000" w:usb2="00000030" w:usb3="00000000" w:csb0="000800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088"/>
    <w:multiLevelType w:val="multilevel"/>
    <w:tmpl w:val="04D63088"/>
    <w:lvl w:ilvl="0" w:tentative="0">
      <w:start w:val="1"/>
      <w:numFmt w:val="bullet"/>
      <w:lvlText w:val=""/>
      <w:lvlJc w:val="left"/>
      <w:pPr>
        <w:tabs>
          <w:tab w:val="left" w:pos="420"/>
        </w:tabs>
        <w:ind w:left="420" w:hanging="420"/>
      </w:pPr>
      <w:rPr>
        <w:rFonts w:hint="default" w:ascii="Wingdings" w:hAnsi="Wingdings"/>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CD91B6C"/>
    <w:multiLevelType w:val="multilevel"/>
    <w:tmpl w:val="0CD91B6C"/>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F586F81"/>
    <w:multiLevelType w:val="multilevel"/>
    <w:tmpl w:val="5F586F81"/>
    <w:lvl w:ilvl="0" w:tentative="0">
      <w:start w:val="1"/>
      <w:numFmt w:val="decimal"/>
      <w:pStyle w:val="2"/>
      <w:lvlText w:val="%1"/>
      <w:lvlJc w:val="left"/>
      <w:pPr>
        <w:ind w:left="432" w:hanging="432"/>
      </w:pPr>
    </w:lvl>
    <w:lvl w:ilvl="1" w:tentative="0">
      <w:start w:val="1"/>
      <w:numFmt w:val="decimal"/>
      <w:pStyle w:val="3"/>
      <w:lvlText w:val="%1.%2"/>
      <w:lvlJc w:val="left"/>
      <w:pPr>
        <w:ind w:left="1286" w:hanging="576"/>
      </w:pPr>
      <w:rPr>
        <w:rFonts w:hint="default" w:ascii="Arial" w:hAnsi="Arial" w:eastAsia="Gungsuh" w:cs="Arial"/>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68EF668B"/>
    <w:multiLevelType w:val="multilevel"/>
    <w:tmpl w:val="68EF668B"/>
    <w:lvl w:ilvl="0" w:tentative="0">
      <w:start w:val="1"/>
      <w:numFmt w:val="decimal"/>
      <w:suff w:val="space"/>
      <w:lvlText w:val="3.%1"/>
      <w:lvlJc w:val="left"/>
      <w:pPr>
        <w:ind w:left="360" w:hanging="360"/>
      </w:pPr>
      <w:rPr>
        <w:rFonts w:hint="default"/>
        <w:b/>
        <w:sz w:val="24"/>
        <w:szCs w:val="24"/>
      </w:rPr>
    </w:lvl>
    <w:lvl w:ilvl="1" w:tentative="0">
      <w:start w:val="1"/>
      <w:numFmt w:val="decimal"/>
      <w:lvlText w:val="1.%2"/>
      <w:lvlJc w:val="left"/>
      <w:pPr>
        <w:tabs>
          <w:tab w:val="left" w:pos="360"/>
        </w:tabs>
        <w:ind w:left="360" w:hanging="360"/>
      </w:pPr>
      <w:rPr>
        <w:rFonts w:hint="default"/>
        <w:sz w:val="21"/>
        <w:szCs w:val="21"/>
      </w:rPr>
    </w:lvl>
    <w:lvl w:ilvl="2" w:tentative="0">
      <w:start w:val="1"/>
      <w:numFmt w:val="decimal"/>
      <w:lvlText w:val="%1.%2.%3"/>
      <w:lvlJc w:val="left"/>
      <w:pPr>
        <w:tabs>
          <w:tab w:val="left" w:pos="720"/>
        </w:tabs>
        <w:ind w:left="720" w:hanging="720"/>
      </w:pPr>
      <w:rPr>
        <w:rFonts w:hint="default"/>
        <w:b w:val="0"/>
        <w:color w:val="auto"/>
        <w:sz w:val="21"/>
        <w:szCs w:val="21"/>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C5A78"/>
    <w:rsid w:val="093C5A78"/>
    <w:rsid w:val="14BE5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Arial" w:hAnsi="Arial" w:eastAsia="宋体" w:cs="Times New Roman"/>
      <w:sz w:val="21"/>
      <w:szCs w:val="24"/>
      <w:lang w:val="en-US" w:eastAsia="zh-CN" w:bidi="ar-SA"/>
    </w:rPr>
  </w:style>
  <w:style w:type="paragraph" w:styleId="2">
    <w:name w:val="heading 1"/>
    <w:basedOn w:val="1"/>
    <w:next w:val="1"/>
    <w:qFormat/>
    <w:uiPriority w:val="0"/>
    <w:pPr>
      <w:keepNext/>
      <w:widowControl w:val="0"/>
      <w:numPr>
        <w:ilvl w:val="0"/>
        <w:numId w:val="1"/>
      </w:numPr>
      <w:ind w:left="420" w:hanging="420"/>
      <w:outlineLvl w:val="0"/>
    </w:pPr>
    <w:rPr>
      <w:b/>
      <w:kern w:val="2"/>
      <w:sz w:val="24"/>
      <w:szCs w:val="20"/>
    </w:rPr>
  </w:style>
  <w:style w:type="paragraph" w:styleId="3">
    <w:name w:val="heading 2"/>
    <w:basedOn w:val="1"/>
    <w:next w:val="1"/>
    <w:qFormat/>
    <w:uiPriority w:val="0"/>
    <w:pPr>
      <w:keepNext/>
      <w:keepLines/>
      <w:widowControl w:val="0"/>
      <w:numPr>
        <w:ilvl w:val="1"/>
        <w:numId w:val="1"/>
      </w:numPr>
      <w:ind w:firstLine="100" w:firstLineChars="100"/>
      <w:jc w:val="both"/>
      <w:outlineLvl w:val="1"/>
    </w:pPr>
    <w:rPr>
      <w:rFonts w:ascii="宋体" w:hAnsi="宋体"/>
      <w:bCs/>
      <w:kern w:val="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320"/>
        <w:tab w:val="right" w:pos="8640"/>
      </w:tabs>
    </w:pPr>
    <w:rPr>
      <w:rFonts w:eastAsia="楷体_GB2312"/>
      <w:szCs w:val="20"/>
    </w:rPr>
  </w:style>
  <w:style w:type="paragraph" w:styleId="5">
    <w:name w:val="header"/>
    <w:basedOn w:val="1"/>
    <w:uiPriority w:val="0"/>
    <w:pPr>
      <w:tabs>
        <w:tab w:val="center" w:pos="4320"/>
        <w:tab w:val="right" w:pos="8640"/>
      </w:tabs>
    </w:pPr>
    <w:rPr>
      <w:rFonts w:eastAsia="楷体_GB231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2021-03-14T12:15:00Z</dcterms:created>
  <dc:creator>周正辉</dc:creator>
  <cp:lastModifiedBy>周正辉</cp:lastModifiedBy>
  <dcterms:modified xsi:type="dcterms:W3CDTF">2021-03-14T12:16:24Z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