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191C2">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Theme="majorEastAsia" w:hAnsiTheme="majorEastAsia" w:eastAsiaTheme="majorEastAsia"/>
          <w:b/>
          <w:color w:val="auto"/>
          <w:kern w:val="0"/>
          <w:sz w:val="72"/>
          <w:szCs w:val="72"/>
          <w:highlight w:val="none"/>
        </w:rPr>
      </w:pPr>
      <w:bookmarkStart w:id="7" w:name="_GoBack"/>
    </w:p>
    <w:p w14:paraId="7C83B91E">
      <w:pPr>
        <w:shd w:val="clear"/>
        <w:adjustRightInd w:val="0"/>
        <w:snapToGrid w:val="0"/>
        <w:spacing w:line="1200" w:lineRule="exact"/>
        <w:jc w:val="center"/>
        <w:rPr>
          <w:rFonts w:ascii="宋体" w:hAnsi="宋体" w:cs="宋体"/>
          <w:b/>
          <w:bCs/>
          <w:color w:val="auto"/>
          <w:sz w:val="72"/>
          <w:highlight w:val="none"/>
        </w:rPr>
      </w:pPr>
      <w:r>
        <w:rPr>
          <w:rFonts w:hint="eastAsia" w:ascii="宋体" w:hAnsi="宋体" w:cs="宋体"/>
          <w:b/>
          <w:bCs/>
          <w:color w:val="auto"/>
          <w:sz w:val="72"/>
          <w:highlight w:val="none"/>
        </w:rPr>
        <w:t>台州市政府采购</w:t>
      </w:r>
    </w:p>
    <w:p w14:paraId="4DB96108">
      <w:pPr>
        <w:shd w:val="clear"/>
        <w:adjustRightInd w:val="0"/>
        <w:snapToGrid w:val="0"/>
        <w:spacing w:line="1200" w:lineRule="exact"/>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招  标  文  件</w:t>
      </w:r>
    </w:p>
    <w:p w14:paraId="75724999">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b/>
          <w:bCs/>
          <w:color w:val="auto"/>
          <w:kern w:val="0"/>
          <w:sz w:val="36"/>
          <w:szCs w:val="36"/>
          <w:highlight w:val="none"/>
        </w:rPr>
      </w:pPr>
      <w:r>
        <w:rPr>
          <w:rFonts w:hint="eastAsia" w:ascii="宋体"/>
          <w:b/>
          <w:bCs/>
          <w:color w:val="auto"/>
          <w:kern w:val="0"/>
          <w:sz w:val="36"/>
          <w:szCs w:val="36"/>
          <w:highlight w:val="none"/>
        </w:rPr>
        <w:t xml:space="preserve">   （电子招投标方式）</w:t>
      </w:r>
    </w:p>
    <w:p w14:paraId="219BD064">
      <w:pPr>
        <w:shd w:val="clea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color w:val="auto"/>
          <w:kern w:val="0"/>
          <w:sz w:val="28"/>
          <w:szCs w:val="28"/>
          <w:highlight w:val="none"/>
          <w:lang w:eastAsia="zh-CN"/>
        </w:rPr>
      </w:pPr>
      <w:r>
        <w:rPr>
          <w:rFonts w:hint="eastAsia" w:ascii="宋体"/>
          <w:color w:val="auto"/>
          <w:kern w:val="0"/>
          <w:sz w:val="28"/>
          <w:szCs w:val="28"/>
          <w:highlight w:val="none"/>
        </w:rPr>
        <w:t xml:space="preserve">   编号：</w:t>
      </w:r>
      <w:r>
        <w:rPr>
          <w:rFonts w:hint="eastAsia" w:ascii="宋体" w:hAnsi="宋体" w:cs="宋体"/>
          <w:color w:val="auto"/>
          <w:kern w:val="0"/>
          <w:sz w:val="28"/>
          <w:szCs w:val="28"/>
          <w:highlight w:val="none"/>
          <w:lang w:eastAsia="zh-CN"/>
        </w:rPr>
        <w:t>TZJH-2025-036号</w:t>
      </w:r>
    </w:p>
    <w:p w14:paraId="6A3D2EBF">
      <w:pPr>
        <w:pStyle w:val="22"/>
        <w:shd w:val="clear"/>
        <w:jc w:val="center"/>
        <w:rPr>
          <w:color w:val="auto"/>
          <w:highlight w:val="none"/>
        </w:rPr>
      </w:pPr>
    </w:p>
    <w:p w14:paraId="20A91781">
      <w:pPr>
        <w:pStyle w:val="23"/>
        <w:shd w:val="clear"/>
        <w:ind w:firstLine="0" w:firstLineChars="0"/>
        <w:rPr>
          <w:color w:val="auto"/>
          <w:highlight w:val="none"/>
        </w:rPr>
      </w:pPr>
    </w:p>
    <w:p w14:paraId="54CF7B1F">
      <w:pPr>
        <w:pStyle w:val="22"/>
        <w:shd w:val="clear"/>
        <w:jc w:val="center"/>
        <w:rPr>
          <w:color w:val="auto"/>
          <w:highlight w:val="none"/>
        </w:rPr>
      </w:pPr>
    </w:p>
    <w:p w14:paraId="7D7404AD">
      <w:pPr>
        <w:shd w:val="clear"/>
        <w:spacing w:line="600" w:lineRule="auto"/>
        <w:ind w:left="1600" w:hanging="1600" w:hangingChars="500"/>
        <w:jc w:val="center"/>
        <w:rPr>
          <w:rFonts w:ascii="宋体" w:hAnsi="宋体" w:cs="宋体"/>
          <w:color w:val="auto"/>
          <w:kern w:val="0"/>
          <w:sz w:val="32"/>
          <w:highlight w:val="none"/>
        </w:rPr>
      </w:pPr>
    </w:p>
    <w:p w14:paraId="1B6B8C47">
      <w:pPr>
        <w:shd w:val="clear"/>
        <w:spacing w:line="600" w:lineRule="auto"/>
        <w:ind w:left="1600" w:hanging="1600" w:hangingChars="500"/>
        <w:jc w:val="center"/>
        <w:rPr>
          <w:rFonts w:hint="eastAsia" w:eastAsia="宋体"/>
          <w:color w:val="auto"/>
          <w:sz w:val="22"/>
          <w:szCs w:val="28"/>
          <w:highlight w:val="none"/>
          <w:lang w:eastAsia="zh-CN"/>
        </w:rPr>
      </w:pPr>
      <w:r>
        <w:rPr>
          <w:rFonts w:hint="eastAsia" w:ascii="宋体"/>
          <w:color w:val="auto"/>
          <w:kern w:val="0"/>
          <w:sz w:val="32"/>
          <w:szCs w:val="32"/>
          <w:highlight w:val="none"/>
        </w:rPr>
        <w:t>采购项目：</w:t>
      </w:r>
      <w:r>
        <w:rPr>
          <w:rFonts w:hint="eastAsia" w:ascii="宋体"/>
          <w:color w:val="auto"/>
          <w:kern w:val="0"/>
          <w:sz w:val="32"/>
          <w:szCs w:val="32"/>
          <w:highlight w:val="none"/>
          <w:u w:val="single"/>
        </w:rPr>
        <w:t xml:space="preserve"> </w:t>
      </w:r>
      <w:r>
        <w:rPr>
          <w:rFonts w:hint="eastAsia" w:ascii="宋体"/>
          <w:color w:val="auto"/>
          <w:kern w:val="0"/>
          <w:sz w:val="32"/>
          <w:szCs w:val="32"/>
          <w:highlight w:val="none"/>
          <w:u w:val="single"/>
          <w:lang w:eastAsia="zh-CN"/>
        </w:rPr>
        <w:t>2025年智慧城管中心服务项目</w:t>
      </w:r>
    </w:p>
    <w:p w14:paraId="654F81CB">
      <w:pPr>
        <w:shd w:val="clear"/>
        <w:spacing w:line="600" w:lineRule="auto"/>
        <w:jc w:val="center"/>
        <w:rPr>
          <w:rFonts w:hint="eastAsia" w:ascii="宋体" w:eastAsia="宋体"/>
          <w:color w:val="auto"/>
          <w:kern w:val="0"/>
          <w:sz w:val="32"/>
          <w:szCs w:val="32"/>
          <w:highlight w:val="none"/>
          <w:u w:val="single"/>
          <w:lang w:eastAsia="zh-CN"/>
        </w:rPr>
      </w:pPr>
      <w:r>
        <w:rPr>
          <w:rFonts w:hint="eastAsia" w:ascii="宋体"/>
          <w:color w:val="auto"/>
          <w:kern w:val="0"/>
          <w:sz w:val="32"/>
          <w:szCs w:val="32"/>
          <w:highlight w:val="none"/>
        </w:rPr>
        <w:t>采 购 人：</w:t>
      </w:r>
      <w:r>
        <w:rPr>
          <w:rFonts w:hint="eastAsia" w:ascii="宋体"/>
          <w:color w:val="auto"/>
          <w:kern w:val="0"/>
          <w:sz w:val="32"/>
          <w:szCs w:val="32"/>
          <w:highlight w:val="none"/>
          <w:u w:val="single"/>
        </w:rPr>
        <w:t xml:space="preserve"> </w:t>
      </w:r>
      <w:r>
        <w:rPr>
          <w:rFonts w:hint="eastAsia" w:ascii="宋体"/>
          <w:color w:val="auto"/>
          <w:kern w:val="0"/>
          <w:sz w:val="32"/>
          <w:szCs w:val="32"/>
          <w:highlight w:val="none"/>
          <w:u w:val="single"/>
          <w:lang w:eastAsia="zh-CN"/>
        </w:rPr>
        <w:t>台州湾新区管理委员会</w:t>
      </w:r>
    </w:p>
    <w:p w14:paraId="00D1DB5B">
      <w:pPr>
        <w:pStyle w:val="22"/>
        <w:shd w:val="clear"/>
        <w:rPr>
          <w:color w:val="auto"/>
          <w:highlight w:val="none"/>
        </w:rPr>
      </w:pPr>
    </w:p>
    <w:p w14:paraId="085BD18D">
      <w:pPr>
        <w:shd w:val="clear"/>
        <w:spacing w:line="360" w:lineRule="auto"/>
        <w:jc w:val="center"/>
        <w:rPr>
          <w:rFonts w:ascii="宋体"/>
          <w:color w:val="auto"/>
          <w:kern w:val="0"/>
          <w:sz w:val="28"/>
          <w:szCs w:val="28"/>
          <w:highlight w:val="none"/>
        </w:rPr>
      </w:pPr>
    </w:p>
    <w:p w14:paraId="6536D1C1">
      <w:pPr>
        <w:pStyle w:val="22"/>
        <w:shd w:val="clear"/>
        <w:rPr>
          <w:color w:val="auto"/>
          <w:highlight w:val="none"/>
        </w:rPr>
      </w:pPr>
    </w:p>
    <w:p w14:paraId="6478F8B5">
      <w:pPr>
        <w:shd w:val="clear"/>
        <w:spacing w:line="360" w:lineRule="auto"/>
        <w:rPr>
          <w:rFonts w:ascii="宋体"/>
          <w:color w:val="auto"/>
          <w:kern w:val="0"/>
          <w:sz w:val="28"/>
          <w:szCs w:val="28"/>
          <w:highlight w:val="none"/>
        </w:rPr>
      </w:pPr>
    </w:p>
    <w:p w14:paraId="10E0D560">
      <w:pPr>
        <w:pStyle w:val="22"/>
        <w:shd w:val="clear"/>
        <w:rPr>
          <w:color w:val="auto"/>
          <w:highlight w:val="none"/>
        </w:rPr>
      </w:pPr>
    </w:p>
    <w:p w14:paraId="6AF23ED2">
      <w:pPr>
        <w:shd w:val="clear"/>
        <w:spacing w:line="360" w:lineRule="auto"/>
        <w:jc w:val="center"/>
        <w:rPr>
          <w:rFonts w:hint="eastAsia" w:ascii="宋体" w:eastAsia="宋体"/>
          <w:color w:val="auto"/>
          <w:kern w:val="0"/>
          <w:sz w:val="28"/>
          <w:szCs w:val="28"/>
          <w:highlight w:val="none"/>
          <w:lang w:eastAsia="zh-CN"/>
        </w:rPr>
      </w:pPr>
      <w:r>
        <w:rPr>
          <w:rFonts w:hint="eastAsia" w:ascii="宋体"/>
          <w:color w:val="auto"/>
          <w:kern w:val="0"/>
          <w:sz w:val="28"/>
          <w:szCs w:val="28"/>
          <w:highlight w:val="none"/>
          <w:lang w:eastAsia="zh-CN"/>
        </w:rPr>
        <w:t>台州市建航工程管理有限公司</w:t>
      </w:r>
    </w:p>
    <w:p w14:paraId="18EA9E6A">
      <w:pPr>
        <w:pStyle w:val="22"/>
        <w:shd w:val="clear"/>
        <w:rPr>
          <w:color w:val="auto"/>
          <w:highlight w:val="none"/>
        </w:rPr>
      </w:pPr>
    </w:p>
    <w:p w14:paraId="5D0DF92A">
      <w:pPr>
        <w:pStyle w:val="23"/>
        <w:shd w:val="clear"/>
        <w:ind w:firstLine="304"/>
        <w:jc w:val="center"/>
        <w:rPr>
          <w:color w:val="auto"/>
          <w:highlight w:val="none"/>
        </w:rPr>
      </w:pPr>
      <w:r>
        <w:rPr>
          <w:rFonts w:hint="eastAsia" w:ascii="宋体"/>
          <w:color w:val="auto"/>
          <w:szCs w:val="28"/>
          <w:highlight w:val="none"/>
        </w:rPr>
        <w:t>二0二</w:t>
      </w:r>
      <w:r>
        <w:rPr>
          <w:rFonts w:hint="eastAsia" w:ascii="宋体"/>
          <w:color w:val="auto"/>
          <w:szCs w:val="28"/>
          <w:highlight w:val="none"/>
          <w:lang w:val="en-US" w:eastAsia="zh-CN"/>
        </w:rPr>
        <w:t>五</w:t>
      </w:r>
      <w:r>
        <w:rPr>
          <w:rFonts w:hint="eastAsia" w:ascii="宋体"/>
          <w:color w:val="auto"/>
          <w:szCs w:val="28"/>
          <w:highlight w:val="none"/>
        </w:rPr>
        <w:t>年</w:t>
      </w:r>
      <w:r>
        <w:rPr>
          <w:rFonts w:hint="eastAsia" w:ascii="宋体"/>
          <w:color w:val="auto"/>
          <w:szCs w:val="28"/>
          <w:highlight w:val="none"/>
          <w:lang w:val="en-US" w:eastAsia="zh-CN"/>
        </w:rPr>
        <w:t>七</w:t>
      </w:r>
      <w:r>
        <w:rPr>
          <w:rFonts w:hint="eastAsia" w:ascii="宋体"/>
          <w:color w:val="auto"/>
          <w:szCs w:val="28"/>
          <w:highlight w:val="none"/>
        </w:rPr>
        <w:t>月</w:t>
      </w:r>
    </w:p>
    <w:p w14:paraId="1039E17A">
      <w:pPr>
        <w:shd w:val="clear"/>
        <w:rPr>
          <w:rFonts w:ascii="宋体" w:hAnsi="宋体" w:cs="宋体"/>
          <w:b/>
          <w:bCs/>
          <w:color w:val="auto"/>
          <w:sz w:val="36"/>
          <w:szCs w:val="36"/>
          <w:highlight w:val="none"/>
        </w:rPr>
      </w:pPr>
    </w:p>
    <w:p w14:paraId="05D10AF0">
      <w:pPr>
        <w:shd w:val="clear"/>
        <w:jc w:val="center"/>
        <w:rPr>
          <w:rFonts w:ascii="宋体" w:hAnsi="宋体" w:cs="宋体"/>
          <w:b/>
          <w:bCs/>
          <w:color w:val="auto"/>
          <w:sz w:val="36"/>
          <w:szCs w:val="36"/>
          <w:highlight w:val="none"/>
        </w:rPr>
      </w:pPr>
    </w:p>
    <w:p w14:paraId="6B75A81E">
      <w:pPr>
        <w:shd w:val="clea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0634570D">
      <w:pPr>
        <w:shd w:val="clea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cs="宋体"/>
          <w:b/>
          <w:color w:val="auto"/>
          <w:sz w:val="36"/>
          <w:highlight w:val="none"/>
        </w:rPr>
      </w:pPr>
    </w:p>
    <w:p w14:paraId="1DF837B8">
      <w:pPr>
        <w:shd w:val="clear"/>
        <w:spacing w:line="360" w:lineRule="auto"/>
        <w:rPr>
          <w:rFonts w:ascii="宋体" w:hAnsi="宋体" w:cs="宋体"/>
          <w:color w:val="auto"/>
          <w:sz w:val="28"/>
          <w:szCs w:val="28"/>
          <w:highlight w:val="none"/>
        </w:rPr>
      </w:pPr>
    </w:p>
    <w:p w14:paraId="4D5B192F">
      <w:pPr>
        <w:numPr>
          <w:ilvl w:val="0"/>
          <w:numId w:val="9"/>
        </w:numPr>
        <w:shd w:val="clea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公开招标采购公告</w:t>
      </w:r>
    </w:p>
    <w:p w14:paraId="408CC4F6">
      <w:pPr>
        <w:numPr>
          <w:ilvl w:val="0"/>
          <w:numId w:val="9"/>
        </w:numPr>
        <w:shd w:val="clea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投标人须知</w:t>
      </w:r>
    </w:p>
    <w:p w14:paraId="620F6D5B">
      <w:pPr>
        <w:numPr>
          <w:ilvl w:val="0"/>
          <w:numId w:val="9"/>
        </w:numPr>
        <w:shd w:val="clea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评标办法及评分标准</w:t>
      </w:r>
    </w:p>
    <w:p w14:paraId="5488D374">
      <w:pPr>
        <w:numPr>
          <w:ilvl w:val="0"/>
          <w:numId w:val="9"/>
        </w:numPr>
        <w:shd w:val="clea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公开招标需求</w:t>
      </w:r>
    </w:p>
    <w:p w14:paraId="58040809">
      <w:pPr>
        <w:numPr>
          <w:ilvl w:val="0"/>
          <w:numId w:val="9"/>
        </w:numPr>
        <w:shd w:val="clea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政府采购合同主要条款指引</w:t>
      </w:r>
    </w:p>
    <w:p w14:paraId="1DE04E1D">
      <w:pPr>
        <w:numPr>
          <w:ilvl w:val="0"/>
          <w:numId w:val="9"/>
        </w:numPr>
        <w:shd w:val="clea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电子投标文件格式附件</w:t>
      </w:r>
    </w:p>
    <w:p w14:paraId="2AB45E93">
      <w:pPr>
        <w:shd w:val="clear"/>
        <w:spacing w:line="360" w:lineRule="auto"/>
        <w:rPr>
          <w:rFonts w:ascii="宋体" w:hAnsi="宋体" w:cs="宋体"/>
          <w:color w:val="auto"/>
          <w:highlight w:val="none"/>
        </w:rPr>
      </w:pPr>
    </w:p>
    <w:p w14:paraId="2CFE892A">
      <w:pPr>
        <w:shd w:val="clear"/>
        <w:spacing w:line="360" w:lineRule="auto"/>
        <w:rPr>
          <w:rFonts w:ascii="宋体" w:hAnsi="宋体" w:cs="宋体"/>
          <w:color w:val="auto"/>
          <w:highlight w:val="none"/>
        </w:rPr>
      </w:pPr>
    </w:p>
    <w:p w14:paraId="0F645D8B">
      <w:pPr>
        <w:shd w:val="clear"/>
        <w:spacing w:line="360" w:lineRule="auto"/>
        <w:rPr>
          <w:rFonts w:ascii="宋体" w:hAnsi="宋体" w:cs="宋体"/>
          <w:color w:val="auto"/>
          <w:highlight w:val="none"/>
        </w:rPr>
      </w:pPr>
    </w:p>
    <w:p w14:paraId="69254168">
      <w:pPr>
        <w:shd w:val="clear"/>
        <w:spacing w:line="360" w:lineRule="auto"/>
        <w:rPr>
          <w:rFonts w:ascii="宋体" w:hAnsi="宋体" w:cs="宋体"/>
          <w:color w:val="auto"/>
          <w:highlight w:val="none"/>
        </w:rPr>
      </w:pPr>
    </w:p>
    <w:p w14:paraId="49A01DE4">
      <w:pPr>
        <w:shd w:val="clear"/>
        <w:spacing w:line="360" w:lineRule="auto"/>
        <w:rPr>
          <w:rFonts w:ascii="宋体" w:hAnsi="宋体" w:cs="宋体"/>
          <w:color w:val="auto"/>
          <w:highlight w:val="none"/>
        </w:rPr>
      </w:pPr>
    </w:p>
    <w:p w14:paraId="03103299">
      <w:pPr>
        <w:shd w:val="clear"/>
        <w:spacing w:line="360" w:lineRule="auto"/>
        <w:rPr>
          <w:rFonts w:ascii="宋体" w:hAnsi="宋体" w:cs="宋体"/>
          <w:color w:val="auto"/>
          <w:highlight w:val="none"/>
        </w:rPr>
      </w:pPr>
    </w:p>
    <w:p w14:paraId="0C355E2B">
      <w:pPr>
        <w:shd w:val="clear"/>
        <w:spacing w:line="360" w:lineRule="auto"/>
        <w:rPr>
          <w:rFonts w:ascii="宋体" w:hAnsi="宋体" w:cs="宋体"/>
          <w:color w:val="auto"/>
          <w:highlight w:val="none"/>
        </w:rPr>
      </w:pPr>
    </w:p>
    <w:p w14:paraId="253B08CB">
      <w:pPr>
        <w:shd w:val="clear"/>
        <w:spacing w:line="360" w:lineRule="auto"/>
        <w:rPr>
          <w:rFonts w:ascii="宋体" w:hAnsi="宋体" w:cs="宋体"/>
          <w:color w:val="auto"/>
          <w:highlight w:val="none"/>
        </w:rPr>
      </w:pPr>
    </w:p>
    <w:p w14:paraId="51E0CC7F">
      <w:pPr>
        <w:shd w:val="clear"/>
        <w:spacing w:line="360" w:lineRule="auto"/>
        <w:rPr>
          <w:rFonts w:ascii="宋体" w:hAnsi="宋体" w:cs="宋体"/>
          <w:color w:val="auto"/>
          <w:highlight w:val="none"/>
        </w:rPr>
      </w:pPr>
    </w:p>
    <w:p w14:paraId="22BEB613">
      <w:pPr>
        <w:shd w:val="clear"/>
        <w:spacing w:line="360" w:lineRule="auto"/>
        <w:rPr>
          <w:rFonts w:ascii="宋体" w:hAnsi="宋体" w:cs="宋体"/>
          <w:color w:val="auto"/>
          <w:highlight w:val="none"/>
        </w:rPr>
      </w:pPr>
    </w:p>
    <w:p w14:paraId="7CEBB2D0">
      <w:pPr>
        <w:shd w:val="clear"/>
        <w:spacing w:line="360" w:lineRule="auto"/>
        <w:rPr>
          <w:rFonts w:ascii="宋体" w:hAnsi="宋体" w:cs="宋体"/>
          <w:color w:val="auto"/>
          <w:highlight w:val="none"/>
        </w:rPr>
      </w:pPr>
    </w:p>
    <w:p w14:paraId="10FED97D">
      <w:pPr>
        <w:shd w:val="clear"/>
        <w:spacing w:line="360" w:lineRule="auto"/>
        <w:rPr>
          <w:rFonts w:ascii="宋体" w:hAnsi="宋体" w:cs="宋体"/>
          <w:color w:val="auto"/>
          <w:highlight w:val="none"/>
        </w:rPr>
      </w:pPr>
    </w:p>
    <w:p w14:paraId="4EE044AA">
      <w:pPr>
        <w:shd w:val="clear"/>
        <w:spacing w:line="360" w:lineRule="auto"/>
        <w:rPr>
          <w:rFonts w:ascii="宋体" w:hAnsi="宋体" w:cs="宋体"/>
          <w:color w:val="auto"/>
          <w:highlight w:val="none"/>
        </w:rPr>
      </w:pPr>
    </w:p>
    <w:p w14:paraId="0FBECFB3">
      <w:pPr>
        <w:pStyle w:val="43"/>
        <w:shd w:val="clear"/>
        <w:rPr>
          <w:color w:val="auto"/>
          <w:highlight w:val="none"/>
        </w:rPr>
      </w:pPr>
    </w:p>
    <w:p w14:paraId="6FC826FD">
      <w:pPr>
        <w:shd w:val="clear"/>
        <w:rPr>
          <w:color w:val="auto"/>
          <w:highlight w:val="none"/>
        </w:rPr>
      </w:pPr>
    </w:p>
    <w:p w14:paraId="7F624D68">
      <w:pPr>
        <w:pStyle w:val="17"/>
        <w:shd w:val="clear"/>
        <w:rPr>
          <w:color w:val="auto"/>
          <w:highlight w:val="none"/>
        </w:rPr>
      </w:pPr>
    </w:p>
    <w:p w14:paraId="482134EC">
      <w:pPr>
        <w:shd w:val="clear"/>
        <w:rPr>
          <w:color w:val="auto"/>
          <w:highlight w:val="none"/>
        </w:rPr>
      </w:pPr>
    </w:p>
    <w:p w14:paraId="486C5942">
      <w:pPr>
        <w:pStyle w:val="45"/>
        <w:shd w:val="clear"/>
        <w:spacing w:after="240"/>
        <w:ind w:left="420" w:firstLine="480"/>
        <w:rPr>
          <w:color w:val="auto"/>
          <w:highlight w:val="none"/>
        </w:rPr>
      </w:pPr>
    </w:p>
    <w:p w14:paraId="4D0EE165">
      <w:pPr>
        <w:pStyle w:val="17"/>
        <w:shd w:val="clear"/>
        <w:rPr>
          <w:color w:val="auto"/>
          <w:highlight w:val="none"/>
        </w:rPr>
      </w:pPr>
    </w:p>
    <w:p w14:paraId="238433A0">
      <w:pPr>
        <w:pStyle w:val="45"/>
        <w:shd w:val="clear"/>
        <w:spacing w:after="240"/>
        <w:ind w:left="420" w:firstLine="480"/>
        <w:rPr>
          <w:color w:val="auto"/>
          <w:highlight w:val="none"/>
        </w:rPr>
      </w:pPr>
    </w:p>
    <w:p w14:paraId="2CE0D939">
      <w:pPr>
        <w:shd w:val="clear"/>
        <w:spacing w:line="360" w:lineRule="auto"/>
        <w:rPr>
          <w:rFonts w:ascii="宋体" w:hAnsi="宋体" w:cs="宋体"/>
          <w:color w:val="auto"/>
          <w:highlight w:val="none"/>
        </w:rPr>
      </w:pPr>
    </w:p>
    <w:p w14:paraId="523CB2DE">
      <w:pPr>
        <w:numPr>
          <w:ilvl w:val="0"/>
          <w:numId w:val="10"/>
        </w:numPr>
        <w:shd w:val="clear"/>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t xml:space="preserve"> 公开</w:t>
      </w:r>
      <w:r>
        <w:rPr>
          <w:rFonts w:hint="eastAsia" w:ascii="宋体" w:hAnsi="宋体" w:cs="宋体"/>
          <w:b/>
          <w:color w:val="auto"/>
          <w:sz w:val="36"/>
          <w:szCs w:val="36"/>
          <w:highlight w:val="none"/>
        </w:rPr>
        <w:t>招标采购公告</w:t>
      </w:r>
    </w:p>
    <w:p w14:paraId="4514DD1A">
      <w:pPr>
        <w:pStyle w:val="56"/>
        <w:shd w:val="clear"/>
        <w:rPr>
          <w:color w:val="auto"/>
          <w:highlight w:val="none"/>
        </w:rPr>
      </w:pPr>
    </w:p>
    <w:p w14:paraId="38B608B9">
      <w:pPr>
        <w:shd w:val="clear"/>
        <w:tabs>
          <w:tab w:val="left" w:pos="180"/>
          <w:tab w:val="left" w:pos="360"/>
          <w:tab w:val="left" w:pos="540"/>
          <w:tab w:val="left" w:pos="8280"/>
        </w:tabs>
        <w:autoSpaceDE w:val="0"/>
        <w:autoSpaceDN w:val="0"/>
        <w:adjustRightInd w:val="0"/>
        <w:spacing w:beforeLines="100" w:line="360" w:lineRule="auto"/>
        <w:ind w:right="23" w:firstLine="539"/>
        <w:jc w:val="left"/>
        <w:rPr>
          <w:rFonts w:ascii="宋体" w:hAnsi="宋体" w:cs="宋体"/>
          <w:color w:val="auto"/>
          <w:sz w:val="24"/>
          <w:highlight w:val="none"/>
        </w:rPr>
      </w:pPr>
      <w:r>
        <w:rPr>
          <w:rFonts w:hint="eastAsia" w:ascii="宋体" w:hAnsi="宋体" w:cs="宋体"/>
          <w:color w:val="auto"/>
          <w:kern w:val="0"/>
          <w:sz w:val="24"/>
          <w:highlight w:val="none"/>
        </w:rPr>
        <w:t>根据《中华人民共和国政府采购法》、《中华人民共和国政府采购法实施条例》和财政部令第87号《政府采购货物和服务招标投标管理办法》等有关规定, 受采购人委托，现就</w:t>
      </w:r>
      <w:r>
        <w:rPr>
          <w:rFonts w:hint="eastAsia" w:ascii="宋体" w:hAnsi="宋体" w:cs="宋体"/>
          <w:color w:val="auto"/>
          <w:kern w:val="0"/>
          <w:sz w:val="24"/>
          <w:highlight w:val="none"/>
          <w:lang w:eastAsia="zh-CN"/>
        </w:rPr>
        <w:t>台州湾新区管理委员会2025年智慧城管中心服务项目</w:t>
      </w:r>
      <w:r>
        <w:rPr>
          <w:rFonts w:hint="eastAsia" w:ascii="宋体" w:hAnsi="宋体" w:cs="宋体"/>
          <w:color w:val="auto"/>
          <w:kern w:val="0"/>
          <w:sz w:val="24"/>
          <w:highlight w:val="none"/>
        </w:rPr>
        <w:t>进行公开招标采购，欢迎合格供应商前来投标（电子招投标）。</w:t>
      </w:r>
    </w:p>
    <w:p w14:paraId="5595CDCB">
      <w:pPr>
        <w:shd w:val="clear"/>
        <w:tabs>
          <w:tab w:val="left" w:pos="180"/>
          <w:tab w:val="left" w:pos="360"/>
          <w:tab w:val="left" w:pos="540"/>
          <w:tab w:val="left" w:pos="8280"/>
        </w:tabs>
        <w:autoSpaceDE w:val="0"/>
        <w:autoSpaceDN w:val="0"/>
        <w:spacing w:line="360" w:lineRule="auto"/>
        <w:ind w:firstLine="482" w:firstLineChars="200"/>
        <w:rPr>
          <w:rFonts w:hint="eastAsia" w:ascii="宋体" w:hAnsi="宋体" w:eastAsia="宋体" w:cs="宋体"/>
          <w:color w:val="auto"/>
          <w:kern w:val="0"/>
          <w:sz w:val="24"/>
          <w:highlight w:val="none"/>
          <w:lang w:eastAsia="zh-CN"/>
        </w:rPr>
      </w:pPr>
      <w:r>
        <w:rPr>
          <w:rFonts w:hint="eastAsia" w:ascii="宋体" w:hAnsi="宋体" w:cs="宋体"/>
          <w:b/>
          <w:color w:val="auto"/>
          <w:kern w:val="0"/>
          <w:sz w:val="24"/>
          <w:highlight w:val="none"/>
        </w:rPr>
        <w:t>一、项目编号：</w:t>
      </w:r>
      <w:r>
        <w:rPr>
          <w:rFonts w:hint="eastAsia" w:ascii="宋体" w:hAnsi="宋体" w:cs="宋体"/>
          <w:b/>
          <w:color w:val="auto"/>
          <w:kern w:val="0"/>
          <w:sz w:val="24"/>
          <w:highlight w:val="none"/>
          <w:lang w:eastAsia="zh-CN"/>
        </w:rPr>
        <w:t>TZJH-2025-036号</w:t>
      </w:r>
    </w:p>
    <w:p w14:paraId="22E1959A">
      <w:pPr>
        <w:shd w:val="clear"/>
        <w:tabs>
          <w:tab w:val="left" w:pos="180"/>
          <w:tab w:val="left" w:pos="360"/>
          <w:tab w:val="left" w:pos="540"/>
          <w:tab w:val="left" w:pos="8280"/>
        </w:tabs>
        <w:autoSpaceDE w:val="0"/>
        <w:autoSpaceDN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二、招标项目概况：</w:t>
      </w:r>
    </w:p>
    <w:p w14:paraId="58E2048C">
      <w:pPr>
        <w:shd w:val="clear"/>
        <w:tabs>
          <w:tab w:val="left" w:pos="8280"/>
        </w:tabs>
        <w:autoSpaceDE w:val="0"/>
        <w:autoSpaceDN w:val="0"/>
        <w:adjustRightInd w:val="0"/>
        <w:spacing w:line="360" w:lineRule="auto"/>
        <w:ind w:right="25" w:firstLine="280"/>
        <w:rPr>
          <w:rFonts w:ascii="宋体" w:hAnsi="宋体" w:cs="宋体"/>
          <w:color w:val="auto"/>
          <w:sz w:val="24"/>
          <w:highlight w:val="none"/>
        </w:rPr>
      </w:pPr>
      <w:r>
        <w:rPr>
          <w:rFonts w:hint="eastAsia" w:ascii="宋体" w:hAnsi="宋体" w:cs="宋体"/>
          <w:color w:val="auto"/>
          <w:sz w:val="24"/>
          <w:highlight w:val="none"/>
        </w:rPr>
        <w:t>本次招标共</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个标段，具体内容如下表：</w:t>
      </w:r>
    </w:p>
    <w:tbl>
      <w:tblPr>
        <w:tblStyle w:val="46"/>
        <w:tblW w:w="9829"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090"/>
        <w:gridCol w:w="1725"/>
        <w:gridCol w:w="765"/>
        <w:gridCol w:w="1020"/>
        <w:gridCol w:w="1215"/>
        <w:gridCol w:w="1054"/>
      </w:tblGrid>
      <w:tr w14:paraId="5DA6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960" w:type="dxa"/>
            <w:vAlign w:val="center"/>
          </w:tcPr>
          <w:p w14:paraId="748A26B9">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标段号</w:t>
            </w:r>
          </w:p>
        </w:tc>
        <w:tc>
          <w:tcPr>
            <w:tcW w:w="3090" w:type="dxa"/>
            <w:vAlign w:val="center"/>
          </w:tcPr>
          <w:p w14:paraId="371670EA">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firstLine="120" w:firstLineChars="50"/>
              <w:jc w:val="center"/>
              <w:rPr>
                <w:rFonts w:hint="default" w:ascii="宋体" w:hAnsi="宋体" w:cs="宋体"/>
                <w:b/>
                <w:color w:val="auto"/>
                <w:sz w:val="24"/>
                <w:highlight w:val="none"/>
              </w:rPr>
            </w:pPr>
            <w:r>
              <w:rPr>
                <w:rFonts w:hint="eastAsia" w:ascii="宋体" w:hAnsi="宋体" w:cs="宋体"/>
                <w:b/>
                <w:color w:val="auto"/>
                <w:sz w:val="24"/>
                <w:highlight w:val="none"/>
              </w:rPr>
              <w:t>项目名称</w:t>
            </w:r>
          </w:p>
        </w:tc>
        <w:tc>
          <w:tcPr>
            <w:tcW w:w="1725" w:type="dxa"/>
            <w:vAlign w:val="center"/>
          </w:tcPr>
          <w:p w14:paraId="3E278614">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内容</w:t>
            </w:r>
          </w:p>
        </w:tc>
        <w:tc>
          <w:tcPr>
            <w:tcW w:w="765" w:type="dxa"/>
            <w:vAlign w:val="center"/>
          </w:tcPr>
          <w:p w14:paraId="24360125">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数量</w:t>
            </w:r>
          </w:p>
        </w:tc>
        <w:tc>
          <w:tcPr>
            <w:tcW w:w="1020" w:type="dxa"/>
            <w:vAlign w:val="center"/>
          </w:tcPr>
          <w:p w14:paraId="3CEE474C">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单位</w:t>
            </w:r>
          </w:p>
        </w:tc>
        <w:tc>
          <w:tcPr>
            <w:tcW w:w="1215" w:type="dxa"/>
            <w:vAlign w:val="center"/>
          </w:tcPr>
          <w:p w14:paraId="1CBB75F9">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预算</w:t>
            </w:r>
          </w:p>
          <w:p w14:paraId="668265E7">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（万元）</w:t>
            </w:r>
          </w:p>
        </w:tc>
        <w:tc>
          <w:tcPr>
            <w:tcW w:w="1054" w:type="dxa"/>
            <w:vAlign w:val="center"/>
          </w:tcPr>
          <w:p w14:paraId="28667CC1">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b/>
                <w:color w:val="auto"/>
                <w:sz w:val="24"/>
                <w:highlight w:val="none"/>
              </w:rPr>
            </w:pPr>
            <w:r>
              <w:rPr>
                <w:rFonts w:hint="eastAsia" w:ascii="宋体" w:hAnsi="宋体" w:cs="宋体"/>
                <w:b/>
                <w:color w:val="auto"/>
                <w:sz w:val="24"/>
                <w:highlight w:val="none"/>
              </w:rPr>
              <w:t>备注</w:t>
            </w:r>
          </w:p>
        </w:tc>
      </w:tr>
      <w:tr w14:paraId="2ED6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60" w:type="dxa"/>
            <w:vAlign w:val="center"/>
          </w:tcPr>
          <w:p w14:paraId="7998C45B">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3090" w:type="dxa"/>
            <w:vAlign w:val="center"/>
          </w:tcPr>
          <w:p w14:paraId="3F33021F">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lang w:eastAsia="zh-CN"/>
              </w:rPr>
            </w:pPr>
            <w:r>
              <w:rPr>
                <w:rFonts w:hint="eastAsia" w:hAnsi="宋体" w:cs="仿宋_GB2312"/>
                <w:color w:val="auto"/>
                <w:sz w:val="24"/>
                <w:highlight w:val="none"/>
                <w:lang w:eastAsia="zh-CN"/>
              </w:rPr>
              <w:t>2025年智慧城管中心服务项目</w:t>
            </w:r>
          </w:p>
        </w:tc>
        <w:tc>
          <w:tcPr>
            <w:tcW w:w="1725" w:type="dxa"/>
            <w:vAlign w:val="center"/>
          </w:tcPr>
          <w:p w14:paraId="3CA543D0">
            <w:pPr>
              <w:keepNext w:val="0"/>
              <w:keepLines w:val="0"/>
              <w:suppressLineNumbers w:val="0"/>
              <w:shd w:val="clear"/>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详见具体技术需求</w:t>
            </w:r>
          </w:p>
        </w:tc>
        <w:tc>
          <w:tcPr>
            <w:tcW w:w="765" w:type="dxa"/>
            <w:vAlign w:val="center"/>
          </w:tcPr>
          <w:p w14:paraId="492422A7">
            <w:pPr>
              <w:keepNext w:val="0"/>
              <w:keepLines w:val="0"/>
              <w:suppressLineNumbers w:val="0"/>
              <w:shd w:val="clear"/>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020" w:type="dxa"/>
            <w:vAlign w:val="center"/>
          </w:tcPr>
          <w:p w14:paraId="1BF51073">
            <w:pPr>
              <w:keepNext w:val="0"/>
              <w:keepLines w:val="0"/>
              <w:suppressLineNumbers w:val="0"/>
              <w:shd w:val="clear"/>
              <w:spacing w:before="0" w:beforeAutospacing="0" w:after="0" w:afterAutospacing="0"/>
              <w:ind w:left="0" w:right="0"/>
              <w:jc w:val="center"/>
              <w:rPr>
                <w:rFonts w:hint="default" w:ascii="宋体" w:hAnsi="宋体" w:cs="宋体"/>
                <w:color w:val="auto"/>
                <w:sz w:val="24"/>
                <w:highlight w:val="none"/>
              </w:rPr>
            </w:pPr>
            <w:r>
              <w:rPr>
                <w:rFonts w:hint="eastAsia" w:ascii="宋体" w:hAnsi="宋体" w:cs="宋体"/>
                <w:color w:val="auto"/>
                <w:sz w:val="24"/>
                <w:highlight w:val="none"/>
              </w:rPr>
              <w:t>项</w:t>
            </w:r>
          </w:p>
        </w:tc>
        <w:tc>
          <w:tcPr>
            <w:tcW w:w="1215" w:type="dxa"/>
            <w:vAlign w:val="center"/>
          </w:tcPr>
          <w:p w14:paraId="45806FC5">
            <w:pPr>
              <w:keepNext w:val="0"/>
              <w:keepLines w:val="0"/>
              <w:suppressLineNumbers w:val="0"/>
              <w:shd w:val="clear"/>
              <w:spacing w:before="0" w:beforeAutospacing="0" w:after="0" w:afterAutospacing="0"/>
              <w:ind w:left="0" w:right="0"/>
              <w:jc w:val="center"/>
              <w:rPr>
                <w:rFonts w:hint="eastAsia" w:ascii="宋体" w:hAnsi="宋体" w:eastAsia="宋体" w:cs="宋体"/>
                <w:color w:val="auto"/>
                <w:sz w:val="24"/>
                <w:highlight w:val="none"/>
                <w:lang w:eastAsia="zh-CN"/>
              </w:rPr>
            </w:pPr>
            <w:r>
              <w:rPr>
                <w:rFonts w:hint="eastAsia" w:ascii="宋体" w:hAnsi="宋体" w:cs="宋体"/>
                <w:b/>
                <w:bCs/>
                <w:color w:val="auto"/>
                <w:sz w:val="24"/>
                <w:highlight w:val="none"/>
                <w:lang w:eastAsia="zh-CN"/>
              </w:rPr>
              <w:t>65</w:t>
            </w:r>
          </w:p>
        </w:tc>
        <w:tc>
          <w:tcPr>
            <w:tcW w:w="1054" w:type="dxa"/>
            <w:vAlign w:val="center"/>
          </w:tcPr>
          <w:p w14:paraId="229E3641">
            <w:pPr>
              <w:keepNext w:val="0"/>
              <w:keepLines w:val="0"/>
              <w:suppressLineNumbers w:val="0"/>
              <w:shd w:val="clear"/>
              <w:spacing w:before="0" w:beforeAutospacing="0" w:after="0" w:afterAutospacing="0"/>
              <w:ind w:left="0" w:right="0"/>
              <w:jc w:val="center"/>
              <w:rPr>
                <w:rFonts w:hint="default" w:ascii="宋体" w:hAnsi="宋体" w:cs="宋体"/>
                <w:color w:val="auto"/>
                <w:sz w:val="24"/>
                <w:highlight w:val="none"/>
              </w:rPr>
            </w:pPr>
          </w:p>
        </w:tc>
      </w:tr>
    </w:tbl>
    <w:p w14:paraId="66A7AD22">
      <w:pPr>
        <w:widowControl/>
        <w:shd w:val="clear"/>
        <w:tabs>
          <w:tab w:val="left" w:pos="0"/>
        </w:tabs>
        <w:spacing w:line="360" w:lineRule="auto"/>
        <w:rPr>
          <w:color w:val="auto"/>
          <w:highlight w:val="none"/>
        </w:rPr>
      </w:pPr>
      <w:r>
        <w:rPr>
          <w:rFonts w:hint="eastAsia" w:ascii="宋体" w:hAnsi="宋体" w:cs="宋体"/>
          <w:b/>
          <w:color w:val="auto"/>
          <w:sz w:val="24"/>
          <w:highlight w:val="none"/>
          <w:u w:val="single"/>
        </w:rPr>
        <w:t>本项目采用“电子交易”的方式提交投标文件，请各供应商按照要求进行。</w:t>
      </w:r>
    </w:p>
    <w:p w14:paraId="56D55348">
      <w:pPr>
        <w:shd w:val="clear"/>
        <w:tabs>
          <w:tab w:val="left" w:pos="180"/>
          <w:tab w:val="left" w:pos="360"/>
          <w:tab w:val="left" w:pos="540"/>
          <w:tab w:val="left" w:pos="8280"/>
        </w:tabs>
        <w:autoSpaceDE w:val="0"/>
        <w:autoSpaceDN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rPr>
        <w:t>三、合格投标人的资格条件：</w:t>
      </w:r>
    </w:p>
    <w:p w14:paraId="06A8757F">
      <w:pPr>
        <w:shd w:val="clea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cs="宋体"/>
          <w:color w:val="auto"/>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270B97A3">
      <w:pPr>
        <w:shd w:val="clear"/>
        <w:spacing w:line="360" w:lineRule="auto"/>
        <w:ind w:firstLine="480" w:firstLineChars="200"/>
        <w:rPr>
          <w:rFonts w:ascii="宋体" w:hAnsi="宋体" w:cs="宋体"/>
          <w:color w:val="auto"/>
          <w:sz w:val="24"/>
          <w:highlight w:val="none"/>
        </w:rPr>
      </w:pPr>
      <w:bookmarkStart w:id="0" w:name="OLE_LINK10"/>
      <w:r>
        <w:rPr>
          <w:rFonts w:hint="eastAsia" w:ascii="宋体" w:hAnsi="宋体" w:cs="宋体"/>
          <w:color w:val="auto"/>
          <w:sz w:val="24"/>
          <w:highlight w:val="none"/>
        </w:rPr>
        <w:t>2、</w:t>
      </w:r>
      <w:r>
        <w:rPr>
          <w:rFonts w:hint="eastAsia" w:ascii="宋体" w:hAnsi="宋体"/>
          <w:bCs/>
          <w:color w:val="auto"/>
          <w:sz w:val="24"/>
          <w:highlight w:val="none"/>
        </w:rPr>
        <w:t>落实政府采购政策需满足的资格要求：/。</w:t>
      </w:r>
    </w:p>
    <w:p w14:paraId="315C8A6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、本项目不接受联合体投标。</w:t>
      </w:r>
      <w:bookmarkEnd w:id="0"/>
    </w:p>
    <w:p w14:paraId="5992AF43">
      <w:pPr>
        <w:shd w:val="clear"/>
        <w:tabs>
          <w:tab w:val="left" w:pos="180"/>
          <w:tab w:val="left" w:pos="360"/>
          <w:tab w:val="left" w:pos="540"/>
          <w:tab w:val="left" w:pos="8280"/>
        </w:tabs>
        <w:autoSpaceDE w:val="0"/>
        <w:autoSpaceDN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四、招标文件获取的方式、时间：</w:t>
      </w:r>
    </w:p>
    <w:p w14:paraId="7D8FCCA7">
      <w:pPr>
        <w:shd w:val="clear"/>
        <w:spacing w:line="360" w:lineRule="auto"/>
        <w:ind w:left="420"/>
        <w:rPr>
          <w:rFonts w:ascii="宋体" w:hAnsi="宋体" w:cs="宋体"/>
          <w:color w:val="auto"/>
          <w:sz w:val="24"/>
          <w:highlight w:val="none"/>
        </w:rPr>
      </w:pPr>
      <w:r>
        <w:rPr>
          <w:rFonts w:hint="eastAsia" w:ascii="宋体" w:hAnsi="宋体" w:cs="宋体"/>
          <w:color w:val="auto"/>
          <w:sz w:val="24"/>
          <w:highlight w:val="none"/>
        </w:rPr>
        <w:t>1、获取时间：</w:t>
      </w: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日至投标截止时间</w:t>
      </w:r>
    </w:p>
    <w:p w14:paraId="56923E58">
      <w:pPr>
        <w:shd w:val="clear"/>
        <w:spacing w:line="360" w:lineRule="auto"/>
        <w:ind w:left="420"/>
        <w:rPr>
          <w:rFonts w:ascii="宋体" w:hAnsi="宋体" w:cs="宋体"/>
          <w:color w:val="auto"/>
          <w:sz w:val="24"/>
          <w:highlight w:val="none"/>
        </w:rPr>
      </w:pPr>
      <w:r>
        <w:rPr>
          <w:rFonts w:hint="eastAsia" w:ascii="宋体" w:hAnsi="宋体" w:cs="宋体"/>
          <w:color w:val="auto"/>
          <w:sz w:val="24"/>
          <w:highlight w:val="none"/>
        </w:rPr>
        <w:t>2、获取地点（网址）：政府采购云平台（www.zcygov.cn）</w:t>
      </w:r>
    </w:p>
    <w:p w14:paraId="0EA3064A">
      <w:pPr>
        <w:shd w:val="clear"/>
        <w:spacing w:line="360" w:lineRule="auto"/>
        <w:ind w:left="420"/>
        <w:rPr>
          <w:rFonts w:ascii="宋体" w:hAnsi="宋体" w:cs="宋体"/>
          <w:b/>
          <w:bCs/>
          <w:color w:val="auto"/>
          <w:sz w:val="24"/>
          <w:highlight w:val="none"/>
        </w:rPr>
      </w:pPr>
      <w:r>
        <w:rPr>
          <w:rFonts w:hint="eastAsia" w:ascii="宋体" w:hAnsi="宋体" w:cs="宋体"/>
          <w:color w:val="auto"/>
          <w:sz w:val="24"/>
          <w:highlight w:val="none"/>
        </w:rPr>
        <w:t>3、获取方式：</w:t>
      </w:r>
      <w:r>
        <w:rPr>
          <w:rFonts w:hint="eastAsia" w:ascii="宋体" w:hAnsi="宋体" w:cs="宋体"/>
          <w:b/>
          <w:bCs/>
          <w:color w:val="auto"/>
          <w:sz w:val="24"/>
          <w:highlight w:val="none"/>
        </w:rPr>
        <w:t>在线获取，</w:t>
      </w:r>
      <w:r>
        <w:rPr>
          <w:rFonts w:hint="eastAsia" w:ascii="宋体" w:hAnsi="宋体" w:cs="宋体"/>
          <w:b/>
          <w:color w:val="auto"/>
          <w:sz w:val="24"/>
          <w:highlight w:val="none"/>
        </w:rPr>
        <w:t>不提供招标文件纸质版。</w:t>
      </w:r>
      <w:r>
        <w:rPr>
          <w:rFonts w:hint="eastAsia" w:ascii="宋体" w:hAnsi="宋体" w:cs="宋体"/>
          <w:b/>
          <w:bCs/>
          <w:color w:val="auto"/>
          <w:sz w:val="24"/>
          <w:highlight w:val="none"/>
        </w:rPr>
        <w:t>供应商获取招标文件前应先完成“浙江政府采购网”的账号注册。</w:t>
      </w:r>
    </w:p>
    <w:p w14:paraId="05B5F807">
      <w:pPr>
        <w:shd w:val="clear"/>
        <w:spacing w:line="360" w:lineRule="auto"/>
        <w:ind w:left="420" w:firstLine="480" w:firstLineChars="200"/>
        <w:rPr>
          <w:rFonts w:ascii="宋体" w:hAnsi="宋体" w:cs="宋体"/>
          <w:color w:val="auto"/>
          <w:sz w:val="24"/>
          <w:highlight w:val="none"/>
        </w:rPr>
      </w:pPr>
      <w:r>
        <w:rPr>
          <w:rFonts w:hint="eastAsia" w:ascii="宋体" w:hAnsi="宋体" w:cs="宋体"/>
          <w:color w:val="auto"/>
          <w:sz w:val="24"/>
          <w:highlight w:val="none"/>
        </w:rPr>
        <w:t>潜在供应商登陆政府采购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6437EE78">
      <w:pPr>
        <w:shd w:val="clear"/>
        <w:spacing w:line="360" w:lineRule="auto"/>
        <w:ind w:left="420"/>
        <w:rPr>
          <w:rFonts w:ascii="宋体" w:hAnsi="宋体" w:cs="宋体"/>
          <w:color w:val="auto"/>
          <w:sz w:val="24"/>
          <w:highlight w:val="none"/>
        </w:rPr>
      </w:pPr>
      <w:r>
        <w:rPr>
          <w:rFonts w:hint="eastAsia" w:ascii="宋体" w:hAnsi="宋体" w:cs="宋体"/>
          <w:color w:val="auto"/>
          <w:sz w:val="24"/>
          <w:highlight w:val="none"/>
        </w:rPr>
        <w:t xml:space="preserve">4、售价（元）：0 </w:t>
      </w:r>
    </w:p>
    <w:p w14:paraId="15402FB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Style w:val="49"/>
          <w:rFonts w:hint="eastAsia" w:ascii="宋体" w:hAnsi="宋体" w:cs="宋体"/>
          <w:b w:val="0"/>
          <w:color w:val="auto"/>
          <w:sz w:val="24"/>
          <w:highlight w:val="none"/>
        </w:rPr>
        <w:t>供应商网上报名操作指南：“浙江政府采购网-办事指南-省采中心-网上报名”（http://zfcg.czt.zj.gov.cn/bs_other/2018-03-30/12002.html）。</w:t>
      </w:r>
    </w:p>
    <w:p w14:paraId="3946E517">
      <w:pPr>
        <w:pStyle w:val="9"/>
        <w:shd w:val="clear"/>
        <w:spacing w:before="0" w:beforeAutospacing="0" w:after="0" w:afterAutospacing="0" w:line="360" w:lineRule="auto"/>
        <w:ind w:firstLine="480" w:firstLineChars="200"/>
        <w:rPr>
          <w:rFonts w:hint="default" w:cs="宋体"/>
          <w:color w:val="auto"/>
          <w:highlight w:val="none"/>
        </w:rPr>
      </w:pPr>
      <w:r>
        <w:rPr>
          <w:rStyle w:val="49"/>
          <w:rFonts w:cs="宋体"/>
          <w:b w:val="0"/>
          <w:color w:val="auto"/>
          <w:highlight w:val="none"/>
        </w:rPr>
        <w:t>6、供应商获取招标文件时须提交的文件资料：无；</w:t>
      </w:r>
    </w:p>
    <w:p w14:paraId="7B7B8145">
      <w:pPr>
        <w:pStyle w:val="9"/>
        <w:shd w:val="clear"/>
        <w:spacing w:before="0" w:beforeAutospacing="0" w:after="0" w:afterAutospacing="0" w:line="360" w:lineRule="auto"/>
        <w:ind w:firstLine="482" w:firstLineChars="200"/>
        <w:rPr>
          <w:rStyle w:val="49"/>
          <w:rFonts w:hint="default" w:cs="宋体"/>
          <w:color w:val="auto"/>
          <w:highlight w:val="none"/>
        </w:rPr>
      </w:pPr>
      <w:r>
        <w:rPr>
          <w:rStyle w:val="49"/>
          <w:rFonts w:cs="宋体"/>
          <w:color w:val="auto"/>
          <w:highlight w:val="none"/>
        </w:rPr>
        <w:t>7、提示：</w:t>
      </w:r>
    </w:p>
    <w:p w14:paraId="5BC331EE">
      <w:pPr>
        <w:pStyle w:val="9"/>
        <w:shd w:val="clear"/>
        <w:spacing w:before="0" w:beforeAutospacing="0" w:after="0" w:afterAutospacing="0" w:line="360" w:lineRule="auto"/>
        <w:ind w:firstLine="482" w:firstLineChars="200"/>
        <w:rPr>
          <w:rFonts w:hint="default" w:cs="宋体"/>
          <w:color w:val="auto"/>
          <w:highlight w:val="none"/>
        </w:rPr>
      </w:pPr>
      <w:r>
        <w:rPr>
          <w:rStyle w:val="49"/>
          <w:rFonts w:cs="宋体"/>
          <w:color w:val="auto"/>
          <w:highlight w:val="none"/>
        </w:rPr>
        <w:t>（1）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229A6B11">
      <w:pPr>
        <w:pStyle w:val="9"/>
        <w:shd w:val="clear"/>
        <w:spacing w:before="0" w:beforeAutospacing="0" w:after="0" w:afterAutospacing="0" w:line="360" w:lineRule="auto"/>
        <w:ind w:firstLine="480"/>
        <w:rPr>
          <w:rStyle w:val="49"/>
          <w:rFonts w:hint="default" w:cs="宋体"/>
          <w:color w:val="auto"/>
          <w:highlight w:val="none"/>
        </w:rPr>
      </w:pPr>
      <w:r>
        <w:rPr>
          <w:rStyle w:val="49"/>
          <w:rFonts w:cs="宋体"/>
          <w:color w:val="auto"/>
          <w:highlight w:val="none"/>
        </w:rPr>
        <w:t>（2）采购人、采购机构将依托政采云平台完成本项目的电子交易活动，平台不接受未按上述方式获取招标文件的供应商进行投标活动；</w:t>
      </w:r>
    </w:p>
    <w:p w14:paraId="63175F18">
      <w:pPr>
        <w:pStyle w:val="9"/>
        <w:shd w:val="clear"/>
        <w:spacing w:before="0" w:beforeAutospacing="0" w:after="0" w:afterAutospacing="0" w:line="360" w:lineRule="auto"/>
        <w:ind w:firstLine="480"/>
        <w:rPr>
          <w:rStyle w:val="49"/>
          <w:rFonts w:hint="default" w:cs="宋体"/>
          <w:color w:val="auto"/>
          <w:highlight w:val="none"/>
        </w:rPr>
      </w:pPr>
      <w:r>
        <w:rPr>
          <w:rStyle w:val="49"/>
          <w:rFonts w:cs="宋体"/>
          <w:color w:val="auto"/>
          <w:highlight w:val="none"/>
        </w:rPr>
        <w:t>（3）对未按上述方式获取招标文件的供应商对该文件提出的质疑，采购人或采购代理机构将不予处理；</w:t>
      </w:r>
    </w:p>
    <w:p w14:paraId="6B7EBEB0">
      <w:pPr>
        <w:pStyle w:val="9"/>
        <w:shd w:val="clear"/>
        <w:spacing w:before="0" w:beforeAutospacing="0" w:after="0" w:afterAutospacing="0" w:line="360" w:lineRule="auto"/>
        <w:ind w:firstLine="480"/>
        <w:rPr>
          <w:rStyle w:val="49"/>
          <w:rFonts w:hint="default" w:cs="宋体"/>
          <w:color w:val="auto"/>
          <w:highlight w:val="none"/>
        </w:rPr>
      </w:pPr>
      <w:r>
        <w:rPr>
          <w:rStyle w:val="49"/>
          <w:rFonts w:cs="宋体"/>
          <w:color w:val="auto"/>
          <w:highlight w:val="none"/>
        </w:rPr>
        <w:t>（4）请供应商按上述要求获取招标文件，如未在“政府采购云平台”系统内完成相关流程，引起的投标无效责任自负。</w:t>
      </w:r>
    </w:p>
    <w:p w14:paraId="0895F446">
      <w:pPr>
        <w:shd w:val="clear"/>
        <w:spacing w:line="360" w:lineRule="auto"/>
        <w:ind w:firstLine="482" w:firstLineChars="200"/>
        <w:rPr>
          <w:rStyle w:val="49"/>
          <w:rFonts w:ascii="宋体" w:hAnsi="宋体" w:cs="宋体"/>
          <w:color w:val="auto"/>
          <w:kern w:val="0"/>
          <w:sz w:val="24"/>
          <w:highlight w:val="none"/>
        </w:rPr>
      </w:pPr>
      <w:r>
        <w:rPr>
          <w:rStyle w:val="49"/>
          <w:rFonts w:hint="eastAsia" w:ascii="宋体" w:hAnsi="宋体" w:cs="宋体"/>
          <w:color w:val="auto"/>
          <w:kern w:val="0"/>
          <w:sz w:val="24"/>
          <w:highlight w:val="none"/>
        </w:rPr>
        <w:t>注：在网上报名过程中如有任何疑问，请及时联系“政采云”平台客服：400-881-7190</w:t>
      </w:r>
    </w:p>
    <w:p w14:paraId="36745A37">
      <w:pPr>
        <w:shd w:val="clear"/>
        <w:tabs>
          <w:tab w:val="left" w:pos="180"/>
          <w:tab w:val="left" w:pos="360"/>
          <w:tab w:val="left" w:pos="540"/>
          <w:tab w:val="left" w:pos="8280"/>
        </w:tabs>
        <w:autoSpaceDE w:val="0"/>
        <w:autoSpaceDN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五、招标答疑会</w:t>
      </w:r>
    </w:p>
    <w:p w14:paraId="00CBBEC6">
      <w:pPr>
        <w:shd w:val="clear"/>
        <w:tabs>
          <w:tab w:val="left" w:pos="180"/>
          <w:tab w:val="left" w:pos="360"/>
          <w:tab w:val="left" w:pos="540"/>
          <w:tab w:val="left" w:pos="8280"/>
        </w:tabs>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不组织。</w:t>
      </w:r>
    </w:p>
    <w:p w14:paraId="2E8D6AD7">
      <w:pPr>
        <w:shd w:val="clea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rPr>
        <w:t>六、</w:t>
      </w:r>
      <w:r>
        <w:rPr>
          <w:rFonts w:hint="eastAsia" w:ascii="宋体" w:hAnsi="宋体" w:cs="宋体"/>
          <w:b/>
          <w:color w:val="auto"/>
          <w:kern w:val="0"/>
          <w:sz w:val="24"/>
          <w:highlight w:val="none"/>
        </w:rPr>
        <w:t>投标截止及开标时间、地点：</w:t>
      </w:r>
    </w:p>
    <w:p w14:paraId="478B7A9B">
      <w:pPr>
        <w:shd w:val="clea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
          <w:bCs/>
          <w:color w:val="auto"/>
          <w:sz w:val="24"/>
          <w:highlight w:val="none"/>
        </w:rPr>
        <w:t>提交投标文件截止时间及地点</w:t>
      </w:r>
      <w:r>
        <w:rPr>
          <w:rFonts w:hint="eastAsia" w:ascii="宋体" w:hAnsi="宋体" w:cs="宋体"/>
          <w:color w:val="auto"/>
          <w:sz w:val="24"/>
          <w:highlight w:val="none"/>
        </w:rPr>
        <w:t>：</w:t>
      </w:r>
      <w:r>
        <w:rPr>
          <w:rFonts w:hint="eastAsia" w:cs="宋体"/>
          <w:color w:val="auto"/>
          <w:sz w:val="24"/>
          <w:highlight w:val="none"/>
          <w:lang w:eastAsia="zh-CN"/>
        </w:rPr>
        <w:t>2025</w:t>
      </w:r>
      <w:r>
        <w:rPr>
          <w:rFonts w:hint="eastAsia" w:cs="宋体"/>
          <w:color w:val="auto"/>
          <w:sz w:val="24"/>
          <w:highlight w:val="none"/>
        </w:rPr>
        <w:t>年</w:t>
      </w:r>
      <w:r>
        <w:rPr>
          <w:rFonts w:hint="eastAsia" w:cs="宋体"/>
          <w:color w:val="auto"/>
          <w:sz w:val="24"/>
          <w:highlight w:val="none"/>
          <w:lang w:val="en-US" w:eastAsia="zh-CN"/>
        </w:rPr>
        <w:t>7</w:t>
      </w:r>
      <w:r>
        <w:rPr>
          <w:rFonts w:hint="eastAsia" w:cs="宋体"/>
          <w:color w:val="auto"/>
          <w:sz w:val="24"/>
          <w:highlight w:val="none"/>
        </w:rPr>
        <w:t>月</w:t>
      </w:r>
      <w:r>
        <w:rPr>
          <w:rFonts w:hint="eastAsia" w:cs="宋体"/>
          <w:color w:val="auto"/>
          <w:sz w:val="24"/>
          <w:highlight w:val="none"/>
          <w:lang w:val="en-US" w:eastAsia="zh-CN"/>
        </w:rPr>
        <w:t>22</w:t>
      </w:r>
      <w:r>
        <w:rPr>
          <w:rFonts w:hint="eastAsia" w:cs="宋体"/>
          <w:color w:val="auto"/>
          <w:sz w:val="24"/>
          <w:highlight w:val="none"/>
        </w:rPr>
        <w:t>日 09:00</w:t>
      </w:r>
      <w:r>
        <w:rPr>
          <w:rFonts w:hint="eastAsia" w:ascii="宋体" w:hAnsi="宋体" w:cs="宋体"/>
          <w:color w:val="auto"/>
          <w:sz w:val="24"/>
          <w:highlight w:val="none"/>
        </w:rPr>
        <w:t>（北京时间），地点（网址）：政府采购云平台（www.zcygov.cn） 实行在线投标响应</w:t>
      </w:r>
    </w:p>
    <w:p w14:paraId="39EBFFEE">
      <w:pPr>
        <w:shd w:val="clea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2" w:firstLineChars="200"/>
        <w:rPr>
          <w:rFonts w:ascii="宋体" w:hAnsi="宋体" w:cs="宋体"/>
          <w:color w:val="auto"/>
          <w:sz w:val="24"/>
          <w:highlight w:val="none"/>
        </w:rPr>
      </w:pPr>
      <w:r>
        <w:rPr>
          <w:rFonts w:hint="eastAsia" w:cs="宋体"/>
          <w:b/>
          <w:bCs/>
          <w:color w:val="auto"/>
          <w:sz w:val="24"/>
          <w:highlight w:val="none"/>
        </w:rPr>
        <w:t>2、</w:t>
      </w:r>
      <w:r>
        <w:rPr>
          <w:rFonts w:hint="eastAsia" w:ascii="宋体" w:hAnsi="宋体" w:cs="宋体"/>
          <w:b/>
          <w:bCs/>
          <w:color w:val="auto"/>
          <w:sz w:val="24"/>
          <w:highlight w:val="none"/>
        </w:rPr>
        <w:t>开标时间及地点</w:t>
      </w:r>
      <w:r>
        <w:rPr>
          <w:rFonts w:hint="eastAsia" w:ascii="宋体" w:hAnsi="宋体" w:cs="宋体"/>
          <w:color w:val="auto"/>
          <w:sz w:val="24"/>
          <w:highlight w:val="none"/>
        </w:rPr>
        <w:t>：</w:t>
      </w:r>
      <w:r>
        <w:rPr>
          <w:rFonts w:hint="eastAsia" w:cs="宋体"/>
          <w:color w:val="auto"/>
          <w:sz w:val="24"/>
          <w:highlight w:val="none"/>
          <w:lang w:eastAsia="zh-CN"/>
        </w:rPr>
        <w:t>2025</w:t>
      </w:r>
      <w:r>
        <w:rPr>
          <w:rFonts w:hint="eastAsia" w:cs="宋体"/>
          <w:color w:val="auto"/>
          <w:sz w:val="24"/>
          <w:highlight w:val="none"/>
        </w:rPr>
        <w:t>年</w:t>
      </w:r>
      <w:r>
        <w:rPr>
          <w:rFonts w:hint="eastAsia" w:cs="宋体"/>
          <w:color w:val="auto"/>
          <w:sz w:val="24"/>
          <w:highlight w:val="none"/>
          <w:lang w:val="en-US" w:eastAsia="zh-CN"/>
        </w:rPr>
        <w:t>7</w:t>
      </w:r>
      <w:r>
        <w:rPr>
          <w:rFonts w:hint="eastAsia" w:cs="宋体"/>
          <w:color w:val="auto"/>
          <w:sz w:val="24"/>
          <w:highlight w:val="none"/>
        </w:rPr>
        <w:t>月</w:t>
      </w:r>
      <w:r>
        <w:rPr>
          <w:rFonts w:hint="eastAsia" w:cs="宋体"/>
          <w:color w:val="auto"/>
          <w:sz w:val="24"/>
          <w:highlight w:val="none"/>
          <w:lang w:val="en-US" w:eastAsia="zh-CN"/>
        </w:rPr>
        <w:t>22</w:t>
      </w:r>
      <w:r>
        <w:rPr>
          <w:rFonts w:hint="eastAsia" w:cs="宋体"/>
          <w:color w:val="auto"/>
          <w:sz w:val="24"/>
          <w:highlight w:val="none"/>
        </w:rPr>
        <w:t>日  09:30</w:t>
      </w:r>
      <w:r>
        <w:rPr>
          <w:rFonts w:hint="eastAsia" w:ascii="宋体" w:hAnsi="宋体" w:cs="宋体"/>
          <w:color w:val="auto"/>
          <w:sz w:val="24"/>
          <w:highlight w:val="none"/>
        </w:rPr>
        <w:t>（北京时间），地点（网址）：政府采购云平台（www.zcygov.cn） 实行在线投标响应</w:t>
      </w:r>
    </w:p>
    <w:p w14:paraId="619B1507">
      <w:pPr>
        <w:pStyle w:val="9"/>
        <w:shd w:val="clear"/>
        <w:spacing w:line="360" w:lineRule="auto"/>
        <w:ind w:firstLine="482" w:firstLineChars="200"/>
        <w:rPr>
          <w:rFonts w:hint="default" w:cs="宋体"/>
          <w:color w:val="auto"/>
          <w:highlight w:val="none"/>
        </w:rPr>
      </w:pPr>
      <w:r>
        <w:rPr>
          <w:rFonts w:cs="宋体"/>
          <w:b/>
          <w:bCs/>
          <w:color w:val="auto"/>
          <w:highlight w:val="none"/>
        </w:rPr>
        <w:t>3、解密截止时间</w:t>
      </w:r>
      <w:r>
        <w:rPr>
          <w:rFonts w:cs="宋体"/>
          <w:color w:val="auto"/>
          <w:highlight w:val="none"/>
        </w:rPr>
        <w:t>：</w:t>
      </w:r>
      <w:r>
        <w:rPr>
          <w:rFonts w:cs="宋体"/>
          <w:b/>
          <w:bCs/>
          <w:color w:val="auto"/>
          <w:highlight w:val="none"/>
          <w:u w:val="single"/>
        </w:rPr>
        <w:t>开标时间后30分钟内（即</w:t>
      </w:r>
      <w:r>
        <w:rPr>
          <w:rFonts w:hint="eastAsia" w:cs="宋体"/>
          <w:b/>
          <w:bCs/>
          <w:color w:val="auto"/>
          <w:highlight w:val="none"/>
          <w:u w:val="single"/>
          <w:lang w:eastAsia="zh-CN"/>
        </w:rPr>
        <w:t>2025</w:t>
      </w:r>
      <w:r>
        <w:rPr>
          <w:rFonts w:cs="宋体"/>
          <w:b/>
          <w:bCs/>
          <w:color w:val="auto"/>
          <w:highlight w:val="none"/>
          <w:u w:val="single"/>
        </w:rPr>
        <w:t>年</w:t>
      </w:r>
      <w:r>
        <w:rPr>
          <w:rFonts w:hint="eastAsia" w:cs="宋体"/>
          <w:b/>
          <w:bCs/>
          <w:color w:val="auto"/>
          <w:highlight w:val="none"/>
          <w:u w:val="single"/>
          <w:lang w:val="en-US" w:eastAsia="zh-CN"/>
        </w:rPr>
        <w:t>7</w:t>
      </w:r>
      <w:r>
        <w:rPr>
          <w:rFonts w:cs="宋体"/>
          <w:b/>
          <w:bCs/>
          <w:color w:val="auto"/>
          <w:highlight w:val="none"/>
          <w:u w:val="single"/>
        </w:rPr>
        <w:t>月</w:t>
      </w:r>
      <w:r>
        <w:rPr>
          <w:rFonts w:hint="eastAsia" w:cs="宋体"/>
          <w:b/>
          <w:bCs/>
          <w:color w:val="auto"/>
          <w:highlight w:val="none"/>
          <w:u w:val="single"/>
          <w:lang w:val="en-US" w:eastAsia="zh-CN"/>
        </w:rPr>
        <w:t>22</w:t>
      </w:r>
      <w:r>
        <w:rPr>
          <w:rFonts w:cs="宋体"/>
          <w:b/>
          <w:bCs/>
          <w:color w:val="auto"/>
          <w:highlight w:val="none"/>
          <w:u w:val="single"/>
        </w:rPr>
        <w:t>日 09:30前），供应商须登录“政采云”平台，用“项目采购-开标评标”功能解密投标文件，投标人未按时解密或解密失败的，其投标文件为无效标。</w:t>
      </w:r>
    </w:p>
    <w:p w14:paraId="1E226400">
      <w:pPr>
        <w:pStyle w:val="17"/>
        <w:shd w:val="clear"/>
        <w:spacing w:line="360" w:lineRule="auto"/>
        <w:ind w:firstLine="436" w:firstLineChars="181"/>
        <w:rPr>
          <w:rFonts w:ascii="宋体" w:hAnsi="宋体" w:cs="宋体"/>
          <w:b/>
          <w:color w:val="auto"/>
          <w:sz w:val="24"/>
          <w:szCs w:val="24"/>
          <w:highlight w:val="none"/>
        </w:rPr>
      </w:pPr>
      <w:r>
        <w:rPr>
          <w:rFonts w:hint="eastAsia" w:ascii="宋体" w:hAnsi="宋体" w:cs="宋体"/>
          <w:b/>
          <w:color w:val="auto"/>
          <w:sz w:val="24"/>
          <w:szCs w:val="24"/>
          <w:highlight w:val="none"/>
        </w:rPr>
        <w:t>七、投标保证金：</w:t>
      </w:r>
    </w:p>
    <w:p w14:paraId="334D10D9">
      <w:pPr>
        <w:pStyle w:val="17"/>
        <w:shd w:val="clear"/>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本项目不需要交纳投标保证金。</w:t>
      </w:r>
    </w:p>
    <w:p w14:paraId="7C84581B">
      <w:pPr>
        <w:pStyle w:val="22"/>
        <w:shd w:val="clear"/>
        <w:ind w:firstLine="482" w:firstLineChars="200"/>
        <w:rPr>
          <w:rFonts w:ascii="宋体" w:hAnsi="宋体" w:cs="宋体"/>
          <w:color w:val="auto"/>
          <w:highlight w:val="none"/>
        </w:rPr>
      </w:pPr>
      <w:r>
        <w:rPr>
          <w:rFonts w:hint="eastAsia" w:ascii="宋体" w:hAnsi="宋体" w:cs="宋体"/>
          <w:b/>
          <w:snapToGrid w:val="0"/>
          <w:color w:val="auto"/>
          <w:kern w:val="28"/>
          <w:highlight w:val="none"/>
        </w:rPr>
        <w:t>八、电子招投标的说明</w:t>
      </w:r>
    </w:p>
    <w:p w14:paraId="35129CF7">
      <w:pPr>
        <w:shd w:val="clea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项目实行电子招投标，通过“政府采购云平台（www.zcygov.cn）”实行在线投标响应（电子投标），供应商应先安装“政采云电子交易客户端”，并按照本项目招标文件和“政府采购云平台”的相关要求，通过“政采云电子交易客户端”编制并加密投标文件。</w:t>
      </w:r>
      <w:r>
        <w:rPr>
          <w:rFonts w:hint="eastAsia" w:ascii="宋体" w:hAnsi="宋体" w:cs="宋体"/>
          <w:b/>
          <w:bCs/>
          <w:color w:val="auto"/>
          <w:sz w:val="24"/>
          <w:highlight w:val="none"/>
        </w:rPr>
        <w:t>供应商未按规定加密的投标文件，“政府采购云平台”将予以拒收。</w:t>
      </w:r>
      <w:r>
        <w:rPr>
          <w:rFonts w:hint="eastAsia" w:ascii="宋体" w:hAnsi="宋体" w:cs="宋体"/>
          <w:color w:val="auto"/>
          <w:sz w:val="24"/>
          <w:highlight w:val="none"/>
        </w:rPr>
        <w:t>通过“政府采购云平台”参与在线投标时如遇平台技术问题详询400-881-7190。</w:t>
      </w:r>
    </w:p>
    <w:p w14:paraId="4CB33037">
      <w:pPr>
        <w:shd w:val="clea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为确保投标的合法、有效和安全，供应商应当在投标截止时间前完成电子交易所需的CA数字证书办理（制作电子投标文件时需使用CA数字证书，具体办理流程详见“浙江政府采购网”的“下载专区-电子交易客户端-CA驱动和申领流程”， 因未办理CA数字证书等原因造成无法投标或投标失败等后果由供应商自行承担）。</w:t>
      </w:r>
      <w:r>
        <w:rPr>
          <w:rFonts w:hint="eastAsia" w:ascii="宋体" w:hAnsi="宋体" w:cs="宋体"/>
          <w:b/>
          <w:color w:val="auto"/>
          <w:sz w:val="24"/>
          <w:highlight w:val="none"/>
        </w:rPr>
        <w:t>完成CA数字证书办理时间预计一周左右，请各投标人自行把握时间。</w:t>
      </w:r>
    </w:p>
    <w:p w14:paraId="4A89FDD5">
      <w:pPr>
        <w:shd w:val="clea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14:paraId="0A8AD6D0">
      <w:pPr>
        <w:shd w:val="clear"/>
        <w:snapToGrid w:val="0"/>
        <w:spacing w:line="44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4、供应商应当在投标截止时间前完成电子投标文件的上传，投标截止时间前可以补充、修改或者撤回电子投标文件。补充或者修改电子投标文件的，应当先行撤回原文件，补充、修改后重新上传。投标截止时间前未完成上传的，视为撤回投标文件。</w:t>
      </w:r>
      <w:r>
        <w:rPr>
          <w:rFonts w:hint="eastAsia" w:ascii="宋体" w:hAnsi="宋体" w:cs="宋体"/>
          <w:b/>
          <w:bCs/>
          <w:color w:val="auto"/>
          <w:sz w:val="24"/>
          <w:highlight w:val="none"/>
        </w:rPr>
        <w:t>投标截止时间后传输、递交的投标文件，将被拒收。</w:t>
      </w:r>
    </w:p>
    <w:p w14:paraId="132C1C30">
      <w:pPr>
        <w:shd w:val="clear"/>
        <w:snapToGrid w:val="0"/>
        <w:spacing w:line="44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5、现阶段为电子交易试运行阶段，为保证项目顺利开展，</w:t>
      </w:r>
      <w:r>
        <w:rPr>
          <w:rFonts w:hint="eastAsia" w:ascii="宋体" w:hAnsi="宋体" w:cs="宋体"/>
          <w:b/>
          <w:bCs/>
          <w:color w:val="auto"/>
          <w:sz w:val="24"/>
          <w:highlight w:val="none"/>
        </w:rPr>
        <w:t>本项目需要投标人同时提供电子备份标书（后缀名为“.bfbs”，以U盘或光盘等形式提供）和纸质投标文件</w:t>
      </w:r>
      <w:r>
        <w:rPr>
          <w:rStyle w:val="53"/>
          <w:rFonts w:hint="eastAsia" w:cs="Arial" w:asciiTheme="minorEastAsia" w:hAnsiTheme="minorEastAsia" w:eastAsiaTheme="minorEastAsia"/>
          <w:b/>
          <w:bCs/>
          <w:color w:val="auto"/>
          <w:sz w:val="24"/>
          <w:highlight w:val="none"/>
        </w:rPr>
        <w:t>（自愿提供，非实质性要求，因无法读取的后果由投标人自行承担）</w:t>
      </w:r>
      <w:r>
        <w:rPr>
          <w:rFonts w:hint="eastAsia" w:ascii="宋体" w:hAnsi="宋体" w:cs="宋体"/>
          <w:b/>
          <w:bCs/>
          <w:color w:val="auto"/>
          <w:sz w:val="24"/>
          <w:highlight w:val="none"/>
        </w:rPr>
        <w:t>，</w:t>
      </w:r>
      <w:r>
        <w:rPr>
          <w:rFonts w:hint="eastAsia" w:ascii="宋体" w:hAnsi="宋体" w:cs="宋体"/>
          <w:color w:val="auto"/>
          <w:sz w:val="24"/>
          <w:highlight w:val="none"/>
        </w:rPr>
        <w:t>按要求各自装袋密封并在投标截止时间前通过邮寄方式送至</w:t>
      </w:r>
      <w:r>
        <w:rPr>
          <w:rFonts w:hint="eastAsia" w:ascii="宋体" w:hAnsi="宋体" w:cs="宋体"/>
          <w:color w:val="auto"/>
          <w:sz w:val="24"/>
          <w:highlight w:val="none"/>
          <w:lang w:eastAsia="zh-CN"/>
        </w:rPr>
        <w:t>台州市建航工程管理有限公司</w:t>
      </w:r>
      <w:r>
        <w:rPr>
          <w:rFonts w:hint="eastAsia" w:ascii="宋体" w:hAnsi="宋体" w:cs="宋体"/>
          <w:color w:val="auto"/>
          <w:sz w:val="24"/>
          <w:highlight w:val="none"/>
        </w:rPr>
        <w:t>（地址：</w:t>
      </w:r>
      <w:r>
        <w:rPr>
          <w:rFonts w:hint="eastAsia" w:ascii="宋体" w:hAnsi="宋体" w:cs="宋体"/>
          <w:color w:val="auto"/>
          <w:szCs w:val="21"/>
          <w:highlight w:val="none"/>
        </w:rPr>
        <w:t>浙江省台州市经济开发区天和路</w:t>
      </w:r>
      <w:r>
        <w:rPr>
          <w:rFonts w:hint="eastAsia" w:ascii="宋体" w:hAnsi="宋体" w:cs="宋体"/>
          <w:color w:val="auto"/>
          <w:szCs w:val="21"/>
          <w:highlight w:val="none"/>
          <w:lang w:eastAsia="zh-CN"/>
        </w:rPr>
        <w:t>65</w:t>
      </w:r>
      <w:r>
        <w:rPr>
          <w:rFonts w:hint="eastAsia" w:ascii="宋体" w:hAnsi="宋体" w:cs="宋体"/>
          <w:color w:val="auto"/>
          <w:szCs w:val="21"/>
          <w:highlight w:val="none"/>
        </w:rPr>
        <w:t>号天和大厦B幢1104</w:t>
      </w:r>
      <w:r>
        <w:rPr>
          <w:rFonts w:hint="eastAsia" w:ascii="宋体" w:hAnsi="宋体" w:cs="宋体"/>
          <w:color w:val="auto"/>
          <w:sz w:val="24"/>
          <w:highlight w:val="none"/>
        </w:rPr>
        <w:t>），</w:t>
      </w:r>
      <w:r>
        <w:rPr>
          <w:rFonts w:hint="eastAsia" w:ascii="宋体" w:hAnsi="宋体" w:cs="宋体"/>
          <w:b/>
          <w:bCs/>
          <w:color w:val="auto"/>
          <w:sz w:val="24"/>
          <w:highlight w:val="none"/>
        </w:rPr>
        <w:t>请充分考虑快递运输所需的时间，确保在投标截止时间前送达，逾期寄达或未按要求密封将被拒收。</w:t>
      </w:r>
    </w:p>
    <w:p w14:paraId="5CF34E1C">
      <w:pPr>
        <w:pStyle w:val="22"/>
        <w:shd w:val="clear"/>
        <w:spacing w:line="360" w:lineRule="auto"/>
        <w:ind w:firstLine="480" w:firstLineChars="200"/>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6、投标文件启用顺序和效力：</w:t>
      </w:r>
      <w:r>
        <w:rPr>
          <w:rFonts w:hint="eastAsia" w:ascii="宋体" w:hAnsi="宋体" w:cs="宋体"/>
          <w:b/>
          <w:bCs/>
          <w:color w:val="auto"/>
          <w:highlight w:val="none"/>
        </w:rPr>
        <w:t>投标文件的启用，按先后顺位分别为电子投标文件、备份投标文件。</w:t>
      </w:r>
      <w:r>
        <w:rPr>
          <w:rFonts w:hint="eastAsia" w:ascii="宋体" w:hAnsi="宋体" w:cs="宋体"/>
          <w:color w:val="auto"/>
          <w:highlight w:val="none"/>
        </w:rPr>
        <w:t>全部投标人的电子投标文件均已按时解密的，电子备份文件和纸质投标文件自动失效，若有供应商发生解密异常时，可以申请由采购代理机构使用电子备份标书上传处理，供应商的电子标书解密和备份标书解密均失败或逾期解密的，投标文件将作无效标处理。</w:t>
      </w:r>
      <w:r>
        <w:rPr>
          <w:rFonts w:hint="eastAsia" w:ascii="宋体" w:hAnsi="宋体" w:cs="宋体"/>
          <w:b/>
          <w:bCs/>
          <w:color w:val="auto"/>
          <w:highlight w:val="none"/>
          <w:u w:val="single"/>
        </w:rPr>
        <w:t>投标人仅提交备份投标文件，没有在电子交易平台传输递交“电子加密投标文件”的，投标无效。</w:t>
      </w:r>
    </w:p>
    <w:p w14:paraId="02C03A5C">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九、投标人信用信息查询渠道及截止时点、信用信息查询记录和证据留存的具体方式、信用信息的使用规则：</w:t>
      </w:r>
    </w:p>
    <w:p w14:paraId="09DB3B52">
      <w:pPr>
        <w:numPr>
          <w:ilvl w:val="0"/>
          <w:numId w:val="11"/>
        </w:num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查询渠道：信用中国（www.creditchina.gov.cn）、中国政府采购网（www.ccgp.gov.cn）。</w:t>
      </w:r>
    </w:p>
    <w:p w14:paraId="7B83DEFE">
      <w:pPr>
        <w:numPr>
          <w:ilvl w:val="0"/>
          <w:numId w:val="11"/>
        </w:num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截止时点：开标后评标前。</w:t>
      </w:r>
    </w:p>
    <w:p w14:paraId="03FCA313">
      <w:pPr>
        <w:numPr>
          <w:ilvl w:val="0"/>
          <w:numId w:val="11"/>
        </w:num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信用信息查询记录和证据留存的具体方式：由采购组织机构在规定查询时间内查询信用信息记录并归入项目档案。</w:t>
      </w:r>
    </w:p>
    <w:p w14:paraId="45823954">
      <w:pPr>
        <w:numPr>
          <w:ilvl w:val="0"/>
          <w:numId w:val="11"/>
        </w:num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使用规则：对列入失信被执行人、重大税收违法案件当事人名单、政府采购严重违法失信行为记录名单及其他不符合《中华人民共和国政府采购法》第二十二条规定条件的供应商，将被拒绝其参与采购活动。</w:t>
      </w:r>
    </w:p>
    <w:p w14:paraId="04B467EA">
      <w:pPr>
        <w:shd w:val="clea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十、</w:t>
      </w:r>
      <w:r>
        <w:rPr>
          <w:rFonts w:hint="eastAsia" w:ascii="宋体" w:hAnsi="宋体" w:cs="宋体"/>
          <w:b/>
          <w:color w:val="auto"/>
          <w:sz w:val="24"/>
          <w:highlight w:val="none"/>
        </w:rPr>
        <w:t>相关注意事项</w:t>
      </w:r>
      <w:r>
        <w:rPr>
          <w:rFonts w:hint="eastAsia" w:ascii="宋体" w:hAnsi="宋体" w:cs="宋体"/>
          <w:color w:val="auto"/>
          <w:sz w:val="24"/>
          <w:highlight w:val="none"/>
        </w:rPr>
        <w:t>：</w:t>
      </w:r>
    </w:p>
    <w:p w14:paraId="1960530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1、本项目公告期限为5个工作日，</w:t>
      </w:r>
      <w:r>
        <w:rPr>
          <w:rFonts w:hint="eastAsia" w:ascii="宋体" w:hAnsi="宋体" w:cs="宋体"/>
          <w:color w:val="auto"/>
          <w:sz w:val="24"/>
          <w:highlight w:val="none"/>
        </w:rPr>
        <w:t>供应商认为采购文件使自己的权益受到损害的，</w:t>
      </w:r>
      <w:r>
        <w:rPr>
          <w:rFonts w:hint="eastAsia" w:ascii="宋体" w:hAnsi="宋体" w:cs="宋体"/>
          <w:color w:val="auto"/>
          <w:kern w:val="0"/>
          <w:sz w:val="24"/>
          <w:highlight w:val="none"/>
        </w:rPr>
        <w:t>可以自获取采购文件之日或者采购文件公告期限届满之日（公告期限届满后获取采购文件的，以公告期限届满之日为准）起7个工作日内</w:t>
      </w:r>
      <w:r>
        <w:rPr>
          <w:rFonts w:hint="eastAsia" w:ascii="宋体" w:hAnsi="宋体" w:cs="宋体"/>
          <w:color w:val="auto"/>
          <w:sz w:val="24"/>
          <w:highlight w:val="none"/>
        </w:rPr>
        <w:t>，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14:paraId="1BBE955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2、本项目对符合财政扶持政策的中小企业（小型、微型）、监狱企业、残疾人福利性单位给予价格优惠扶持，执行节能产品政府强制采购和优先采购政策，执行环境标志产品政府优先采购政策。</w:t>
      </w:r>
    </w:p>
    <w:p w14:paraId="2A510C9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获取招标文件截止时间之后有潜在供应商提出获取招标文件的，采购机构将允许其报名获取，但该供应商如对招标文件有异议的，应于自采购文件公告期限届满之日起七个工作日内且在投标截止时间之前以书面形式向采购机构提出，逾期提出的，采购组织机构可不予受理、答复。</w:t>
      </w:r>
    </w:p>
    <w:p w14:paraId="7F05E84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根据《浙江省政府采购供应商注册及诚信管理暂行办法》浙财采监【2009】28号文件，请各投标供应商及时办理浙江政府采购网“政府采购供应商注册”手续。中标供应商必须在浙江政府采购网上进行正式注册入库，否则由此造成的后果由该供应商承担。</w:t>
      </w:r>
    </w:p>
    <w:p w14:paraId="6F185B3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5、本项目所有公告发布网站：“浙江政府采购网”（http://www.zjzfcg.gov.cn）。项目如有更正或澄清公告，请各供应商自行及时登陆上述网站查看，采购代理机构不再作出书面通知。</w:t>
      </w:r>
    </w:p>
    <w:p w14:paraId="319BFA3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6、本项目资格审查方式：资格后审。</w:t>
      </w:r>
    </w:p>
    <w:p w14:paraId="4EE1F9F3">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十一、联系方式：</w:t>
      </w:r>
    </w:p>
    <w:p w14:paraId="57E2AF98">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台州市建航工程管理有限公司</w:t>
      </w:r>
    </w:p>
    <w:p w14:paraId="49C7BD5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人：小施</w:t>
      </w:r>
    </w:p>
    <w:p w14:paraId="4528DC7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联系电话：13750630032</w:t>
      </w:r>
    </w:p>
    <w:p w14:paraId="31C51B5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人：：王女士（受理质疑）　</w:t>
      </w:r>
    </w:p>
    <w:p w14:paraId="3F0AD89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联系电话：0576-88810077</w:t>
      </w:r>
    </w:p>
    <w:p w14:paraId="5DF2903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址：浙江省台州市经济开发区天和路</w:t>
      </w:r>
      <w:r>
        <w:rPr>
          <w:rFonts w:hint="eastAsia" w:ascii="宋体" w:hAnsi="宋体" w:cs="宋体"/>
          <w:color w:val="auto"/>
          <w:sz w:val="24"/>
          <w:highlight w:val="none"/>
          <w:lang w:eastAsia="zh-CN"/>
        </w:rPr>
        <w:t>65</w:t>
      </w:r>
      <w:r>
        <w:rPr>
          <w:rFonts w:hint="eastAsia" w:ascii="宋体" w:hAnsi="宋体" w:cs="宋体"/>
          <w:color w:val="auto"/>
          <w:sz w:val="24"/>
          <w:highlight w:val="none"/>
        </w:rPr>
        <w:t>号天和大厦B幢1104</w:t>
      </w:r>
    </w:p>
    <w:p w14:paraId="2C8E6C4B">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（二）采购人</w:t>
      </w:r>
    </w:p>
    <w:p w14:paraId="6D60D032">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台州湾新区管理委员会</w:t>
      </w:r>
    </w:p>
    <w:p w14:paraId="67ABC00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 xml:space="preserve">陈顺英 </w:t>
      </w:r>
      <w:r>
        <w:rPr>
          <w:rFonts w:hint="eastAsia" w:ascii="宋体" w:hAnsi="宋体" w:cs="宋体"/>
          <w:color w:val="auto"/>
          <w:sz w:val="24"/>
          <w:highlight w:val="none"/>
        </w:rPr>
        <w:t xml:space="preserve">   </w:t>
      </w:r>
    </w:p>
    <w:p w14:paraId="36653004">
      <w:pPr>
        <w:shd w:val="clea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 xml:space="preserve">0576-88511860 </w:t>
      </w:r>
    </w:p>
    <w:p w14:paraId="3E923BC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sz w:val="24"/>
          <w:highlight w:val="none"/>
          <w:lang w:val="en-US" w:eastAsia="zh-CN"/>
        </w:rPr>
        <w:t xml:space="preserve"> 陈顺英 </w:t>
      </w:r>
      <w:r>
        <w:rPr>
          <w:rFonts w:hint="eastAsia" w:ascii="宋体" w:hAnsi="宋体" w:cs="宋体"/>
          <w:color w:val="auto"/>
          <w:sz w:val="24"/>
          <w:highlight w:val="none"/>
        </w:rPr>
        <w:t>（受理质疑）　</w:t>
      </w:r>
    </w:p>
    <w:p w14:paraId="77447186">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联系电话： </w:t>
      </w:r>
      <w:r>
        <w:rPr>
          <w:rFonts w:hint="eastAsia" w:ascii="宋体" w:hAnsi="宋体" w:cs="宋体"/>
          <w:color w:val="auto"/>
          <w:sz w:val="24"/>
          <w:highlight w:val="none"/>
          <w:lang w:val="en-US" w:eastAsia="zh-CN"/>
        </w:rPr>
        <w:t xml:space="preserve">0576-88511860  </w:t>
      </w:r>
    </w:p>
    <w:p w14:paraId="325DBDD5">
      <w:pPr>
        <w:shd w:val="clea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 xml:space="preserve"> 台州市甲南大道东段9号</w:t>
      </w:r>
    </w:p>
    <w:p w14:paraId="116F9F9B">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（三）同级政府采购监督管理部门</w:t>
      </w:r>
    </w:p>
    <w:p w14:paraId="10596BCB">
      <w:pPr>
        <w:widowControl/>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称：台州市财政局</w:t>
      </w:r>
    </w:p>
    <w:p w14:paraId="3E84F6E3">
      <w:pPr>
        <w:widowControl/>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 系 人：陈老师/李女士                   </w:t>
      </w:r>
    </w:p>
    <w:p w14:paraId="10387CF5">
      <w:pPr>
        <w:widowControl/>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监督电话：</w:t>
      </w:r>
      <w:r>
        <w:rPr>
          <w:rFonts w:hint="eastAsia" w:asciiTheme="minorEastAsia" w:hAnsiTheme="minorEastAsia" w:eastAsiaTheme="minorEastAsia" w:cstheme="minorEastAsia"/>
          <w:color w:val="auto"/>
          <w:sz w:val="24"/>
          <w:highlight w:val="none"/>
        </w:rPr>
        <w:t>0576-88206705/0576-88206731</w:t>
      </w:r>
      <w:r>
        <w:rPr>
          <w:rFonts w:hint="eastAsia" w:ascii="宋体" w:hAnsi="宋体" w:cs="宋体"/>
          <w:color w:val="auto"/>
          <w:sz w:val="24"/>
          <w:highlight w:val="none"/>
        </w:rPr>
        <w:t xml:space="preserve">      </w:t>
      </w:r>
    </w:p>
    <w:p w14:paraId="4C17675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址：浙江省台州市高新区纬一路66号</w:t>
      </w:r>
    </w:p>
    <w:p w14:paraId="217CC870">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（四）银行（中标项目贷款咨询）</w:t>
      </w:r>
      <w:r>
        <w:rPr>
          <w:rFonts w:hint="eastAsia" w:ascii="宋体" w:hAnsi="宋体" w:cs="宋体"/>
          <w:b/>
          <w:color w:val="auto"/>
          <w:sz w:val="24"/>
          <w:highlight w:val="none"/>
        </w:rPr>
        <w:br w:type="textWrapping"/>
      </w:r>
      <w:r>
        <w:rPr>
          <w:rFonts w:hint="eastAsia" w:ascii="宋体" w:hAnsi="宋体" w:cs="宋体"/>
          <w:color w:val="auto"/>
          <w:sz w:val="24"/>
          <w:highlight w:val="none"/>
        </w:rPr>
        <w:t>中标供应商如有融资需求，可使用以下银行的政采贷服务。</w:t>
      </w:r>
    </w:p>
    <w:tbl>
      <w:tblPr>
        <w:tblStyle w:val="4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9"/>
        <w:gridCol w:w="1514"/>
        <w:gridCol w:w="1688"/>
        <w:gridCol w:w="2131"/>
      </w:tblGrid>
      <w:tr w14:paraId="4AB7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4C1CC8B6">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银行</w:t>
            </w:r>
          </w:p>
        </w:tc>
        <w:tc>
          <w:tcPr>
            <w:tcW w:w="1514" w:type="dxa"/>
            <w:vAlign w:val="center"/>
          </w:tcPr>
          <w:p w14:paraId="5BD18CD5">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贷款年利率</w:t>
            </w:r>
          </w:p>
        </w:tc>
        <w:tc>
          <w:tcPr>
            <w:tcW w:w="1688" w:type="dxa"/>
            <w:vAlign w:val="center"/>
          </w:tcPr>
          <w:p w14:paraId="2687257F">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联系人</w:t>
            </w:r>
          </w:p>
        </w:tc>
        <w:tc>
          <w:tcPr>
            <w:tcW w:w="2131" w:type="dxa"/>
            <w:vAlign w:val="center"/>
          </w:tcPr>
          <w:p w14:paraId="7D6124CB">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联系电话</w:t>
            </w:r>
          </w:p>
        </w:tc>
      </w:tr>
      <w:tr w14:paraId="1497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28B47112">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中国工商银行</w:t>
            </w:r>
          </w:p>
        </w:tc>
        <w:tc>
          <w:tcPr>
            <w:tcW w:w="1514" w:type="dxa"/>
            <w:vAlign w:val="center"/>
          </w:tcPr>
          <w:p w14:paraId="364A09E5">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3.8%起</w:t>
            </w:r>
          </w:p>
        </w:tc>
        <w:tc>
          <w:tcPr>
            <w:tcW w:w="1688" w:type="dxa"/>
            <w:vAlign w:val="center"/>
          </w:tcPr>
          <w:p w14:paraId="42F9F08A">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王霖</w:t>
            </w:r>
          </w:p>
        </w:tc>
        <w:tc>
          <w:tcPr>
            <w:tcW w:w="2131" w:type="dxa"/>
            <w:vAlign w:val="center"/>
          </w:tcPr>
          <w:p w14:paraId="4AA39AAF">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88588246  13857654562</w:t>
            </w:r>
          </w:p>
        </w:tc>
      </w:tr>
      <w:tr w14:paraId="6A3E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7070F7E3">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中国农业银行</w:t>
            </w:r>
          </w:p>
        </w:tc>
        <w:tc>
          <w:tcPr>
            <w:tcW w:w="1514" w:type="dxa"/>
            <w:vAlign w:val="center"/>
          </w:tcPr>
          <w:p w14:paraId="4C89E248">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3.8%起</w:t>
            </w:r>
          </w:p>
        </w:tc>
        <w:tc>
          <w:tcPr>
            <w:tcW w:w="1688" w:type="dxa"/>
            <w:vAlign w:val="center"/>
          </w:tcPr>
          <w:p w14:paraId="07E6CA3A">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龚盛</w:t>
            </w:r>
          </w:p>
        </w:tc>
        <w:tc>
          <w:tcPr>
            <w:tcW w:w="2131" w:type="dxa"/>
            <w:vAlign w:val="center"/>
          </w:tcPr>
          <w:p w14:paraId="5A9913CA">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15858682216</w:t>
            </w:r>
          </w:p>
        </w:tc>
      </w:tr>
      <w:tr w14:paraId="3BA4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3E285875">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中国建设银行</w:t>
            </w:r>
          </w:p>
        </w:tc>
        <w:tc>
          <w:tcPr>
            <w:tcW w:w="1514" w:type="dxa"/>
            <w:vAlign w:val="center"/>
          </w:tcPr>
          <w:p w14:paraId="57CFD165">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3.8%起</w:t>
            </w:r>
          </w:p>
        </w:tc>
        <w:tc>
          <w:tcPr>
            <w:tcW w:w="1688" w:type="dxa"/>
            <w:vAlign w:val="center"/>
          </w:tcPr>
          <w:p w14:paraId="6A29BFF8">
            <w:pPr>
              <w:keepNext w:val="0"/>
              <w:keepLines w:val="0"/>
              <w:suppressLineNumbers w:val="0"/>
              <w:shd w:val="clear"/>
              <w:spacing w:before="0" w:beforeAutospacing="0" w:after="0" w:afterAutospacing="0"/>
              <w:ind w:left="0" w:right="0"/>
              <w:jc w:val="center"/>
              <w:rPr>
                <w:rFonts w:hint="default" w:eastAsiaTheme="minorEastAsia"/>
                <w:color w:val="auto"/>
                <w:sz w:val="24"/>
                <w:highlight w:val="none"/>
              </w:rPr>
            </w:pPr>
            <w:r>
              <w:rPr>
                <w:rFonts w:hint="eastAsia"/>
                <w:color w:val="auto"/>
                <w:sz w:val="24"/>
                <w:highlight w:val="none"/>
              </w:rPr>
              <w:t>梅晶晶</w:t>
            </w:r>
          </w:p>
        </w:tc>
        <w:tc>
          <w:tcPr>
            <w:tcW w:w="2131" w:type="dxa"/>
            <w:vAlign w:val="center"/>
          </w:tcPr>
          <w:p w14:paraId="6CEDD7A3">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88525339</w:t>
            </w:r>
          </w:p>
          <w:p w14:paraId="0571F825">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13736585303</w:t>
            </w:r>
          </w:p>
        </w:tc>
      </w:tr>
      <w:tr w14:paraId="0123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0AD9A448">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中国银行</w:t>
            </w:r>
          </w:p>
        </w:tc>
        <w:tc>
          <w:tcPr>
            <w:tcW w:w="1514" w:type="dxa"/>
            <w:vAlign w:val="center"/>
          </w:tcPr>
          <w:p w14:paraId="4BC7235C">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3.75%起</w:t>
            </w:r>
          </w:p>
        </w:tc>
        <w:tc>
          <w:tcPr>
            <w:tcW w:w="1688" w:type="dxa"/>
            <w:vAlign w:val="center"/>
          </w:tcPr>
          <w:p w14:paraId="0A790316">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王海</w:t>
            </w:r>
          </w:p>
        </w:tc>
        <w:tc>
          <w:tcPr>
            <w:tcW w:w="2131" w:type="dxa"/>
            <w:vAlign w:val="center"/>
          </w:tcPr>
          <w:p w14:paraId="249F9713">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13857677798</w:t>
            </w:r>
          </w:p>
        </w:tc>
      </w:tr>
      <w:tr w14:paraId="56FA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30ECB8A5">
            <w:pPr>
              <w:keepNext w:val="0"/>
              <w:keepLines w:val="0"/>
              <w:suppressLineNumbers w:val="0"/>
              <w:shd w:val="clear"/>
              <w:spacing w:before="0" w:beforeAutospacing="0" w:after="0" w:afterAutospacing="0"/>
              <w:ind w:left="0" w:right="0"/>
              <w:jc w:val="center"/>
              <w:rPr>
                <w:rFonts w:hint="default" w:eastAsiaTheme="minorEastAsia"/>
                <w:color w:val="auto"/>
                <w:sz w:val="24"/>
                <w:highlight w:val="none"/>
              </w:rPr>
            </w:pPr>
            <w:r>
              <w:rPr>
                <w:rFonts w:hint="eastAsia"/>
                <w:color w:val="auto"/>
                <w:sz w:val="24"/>
                <w:highlight w:val="none"/>
              </w:rPr>
              <w:t>浦发银行台州分行</w:t>
            </w:r>
          </w:p>
        </w:tc>
        <w:tc>
          <w:tcPr>
            <w:tcW w:w="1514" w:type="dxa"/>
            <w:vAlign w:val="center"/>
          </w:tcPr>
          <w:p w14:paraId="47C8127B">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4.05%起</w:t>
            </w:r>
          </w:p>
        </w:tc>
        <w:tc>
          <w:tcPr>
            <w:tcW w:w="1688" w:type="dxa"/>
            <w:vAlign w:val="center"/>
          </w:tcPr>
          <w:p w14:paraId="56F34613">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王渊</w:t>
            </w:r>
          </w:p>
        </w:tc>
        <w:tc>
          <w:tcPr>
            <w:tcW w:w="2131" w:type="dxa"/>
            <w:vAlign w:val="center"/>
          </w:tcPr>
          <w:p w14:paraId="00F4F842">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13616676319</w:t>
            </w:r>
          </w:p>
        </w:tc>
      </w:tr>
      <w:tr w14:paraId="24DC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0616580B">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浦发银行椒江分行</w:t>
            </w:r>
          </w:p>
        </w:tc>
        <w:tc>
          <w:tcPr>
            <w:tcW w:w="1514" w:type="dxa"/>
            <w:vAlign w:val="center"/>
          </w:tcPr>
          <w:p w14:paraId="28E9E160">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4.05%起</w:t>
            </w:r>
          </w:p>
        </w:tc>
        <w:tc>
          <w:tcPr>
            <w:tcW w:w="1688" w:type="dxa"/>
            <w:vAlign w:val="center"/>
          </w:tcPr>
          <w:p w14:paraId="54A720A0">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孙瑞华</w:t>
            </w:r>
          </w:p>
        </w:tc>
        <w:tc>
          <w:tcPr>
            <w:tcW w:w="2131" w:type="dxa"/>
            <w:vAlign w:val="center"/>
          </w:tcPr>
          <w:p w14:paraId="2896B979">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13857688081</w:t>
            </w:r>
          </w:p>
        </w:tc>
      </w:tr>
      <w:tr w14:paraId="25A2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72781886">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交通银行台州分行</w:t>
            </w:r>
          </w:p>
        </w:tc>
        <w:tc>
          <w:tcPr>
            <w:tcW w:w="1514" w:type="dxa"/>
            <w:vAlign w:val="center"/>
          </w:tcPr>
          <w:p w14:paraId="425FED8D">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3.75%起</w:t>
            </w:r>
          </w:p>
        </w:tc>
        <w:tc>
          <w:tcPr>
            <w:tcW w:w="1688" w:type="dxa"/>
            <w:vAlign w:val="center"/>
          </w:tcPr>
          <w:p w14:paraId="7BCACB8A">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周翔宇</w:t>
            </w:r>
          </w:p>
        </w:tc>
        <w:tc>
          <w:tcPr>
            <w:tcW w:w="2131" w:type="dxa"/>
            <w:vAlign w:val="center"/>
          </w:tcPr>
          <w:p w14:paraId="077B718F">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13867697018</w:t>
            </w:r>
          </w:p>
        </w:tc>
      </w:tr>
      <w:tr w14:paraId="405F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5DB570C0">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招商银行台州分行</w:t>
            </w:r>
          </w:p>
        </w:tc>
        <w:tc>
          <w:tcPr>
            <w:tcW w:w="1514" w:type="dxa"/>
            <w:vAlign w:val="center"/>
          </w:tcPr>
          <w:p w14:paraId="0D8B4AF1">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4.32%起</w:t>
            </w:r>
          </w:p>
        </w:tc>
        <w:tc>
          <w:tcPr>
            <w:tcW w:w="1688" w:type="dxa"/>
            <w:vAlign w:val="center"/>
          </w:tcPr>
          <w:p w14:paraId="39DA102C">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王海玲</w:t>
            </w:r>
          </w:p>
        </w:tc>
        <w:tc>
          <w:tcPr>
            <w:tcW w:w="2131" w:type="dxa"/>
            <w:vAlign w:val="center"/>
          </w:tcPr>
          <w:p w14:paraId="0DD72EAC">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13566413827</w:t>
            </w:r>
          </w:p>
        </w:tc>
      </w:tr>
      <w:tr w14:paraId="5888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04291F0E">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浙商银行台州分行</w:t>
            </w:r>
          </w:p>
        </w:tc>
        <w:tc>
          <w:tcPr>
            <w:tcW w:w="1514" w:type="dxa"/>
            <w:vAlign w:val="center"/>
          </w:tcPr>
          <w:p w14:paraId="6483826F">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5.01%起</w:t>
            </w:r>
          </w:p>
        </w:tc>
        <w:tc>
          <w:tcPr>
            <w:tcW w:w="1688" w:type="dxa"/>
            <w:vAlign w:val="center"/>
          </w:tcPr>
          <w:p w14:paraId="3FA13608">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章涉漪</w:t>
            </w:r>
          </w:p>
        </w:tc>
        <w:tc>
          <w:tcPr>
            <w:tcW w:w="2131" w:type="dxa"/>
            <w:vAlign w:val="center"/>
          </w:tcPr>
          <w:p w14:paraId="0C00592B">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81880185</w:t>
            </w:r>
          </w:p>
          <w:p w14:paraId="513D5E9D">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13606681262</w:t>
            </w:r>
          </w:p>
        </w:tc>
      </w:tr>
      <w:tr w14:paraId="4A8A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1C155CEF">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中信银行台州分行</w:t>
            </w:r>
          </w:p>
        </w:tc>
        <w:tc>
          <w:tcPr>
            <w:tcW w:w="1514" w:type="dxa"/>
            <w:vAlign w:val="center"/>
          </w:tcPr>
          <w:p w14:paraId="2598A354">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4.15%起</w:t>
            </w:r>
          </w:p>
        </w:tc>
        <w:tc>
          <w:tcPr>
            <w:tcW w:w="1688" w:type="dxa"/>
            <w:vAlign w:val="center"/>
          </w:tcPr>
          <w:p w14:paraId="3C306FF7">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陈金园</w:t>
            </w:r>
          </w:p>
        </w:tc>
        <w:tc>
          <w:tcPr>
            <w:tcW w:w="2131" w:type="dxa"/>
            <w:vAlign w:val="center"/>
          </w:tcPr>
          <w:p w14:paraId="25465ED7">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13586052161</w:t>
            </w:r>
          </w:p>
        </w:tc>
      </w:tr>
      <w:tr w14:paraId="4306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6F1FD4BF">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华夏银行台州分行</w:t>
            </w:r>
          </w:p>
        </w:tc>
        <w:tc>
          <w:tcPr>
            <w:tcW w:w="1514" w:type="dxa"/>
            <w:vAlign w:val="center"/>
          </w:tcPr>
          <w:p w14:paraId="6F229794">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4.5%起</w:t>
            </w:r>
          </w:p>
        </w:tc>
        <w:tc>
          <w:tcPr>
            <w:tcW w:w="1688" w:type="dxa"/>
            <w:vAlign w:val="center"/>
          </w:tcPr>
          <w:p w14:paraId="096D0EA0">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邱明达</w:t>
            </w:r>
          </w:p>
        </w:tc>
        <w:tc>
          <w:tcPr>
            <w:tcW w:w="2131" w:type="dxa"/>
            <w:vAlign w:val="center"/>
          </w:tcPr>
          <w:p w14:paraId="4415801F">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81871518</w:t>
            </w:r>
          </w:p>
          <w:p w14:paraId="218D8C39">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13736252233</w:t>
            </w:r>
          </w:p>
        </w:tc>
      </w:tr>
      <w:tr w14:paraId="72C9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79C23491">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泰隆银行开发区支行</w:t>
            </w:r>
          </w:p>
        </w:tc>
        <w:tc>
          <w:tcPr>
            <w:tcW w:w="1514" w:type="dxa"/>
            <w:vAlign w:val="center"/>
          </w:tcPr>
          <w:p w14:paraId="731FEC22">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5.6%起</w:t>
            </w:r>
          </w:p>
        </w:tc>
        <w:tc>
          <w:tcPr>
            <w:tcW w:w="1688" w:type="dxa"/>
            <w:vAlign w:val="center"/>
          </w:tcPr>
          <w:p w14:paraId="7027A720">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梁宛莉</w:t>
            </w:r>
          </w:p>
        </w:tc>
        <w:tc>
          <w:tcPr>
            <w:tcW w:w="2131" w:type="dxa"/>
            <w:vAlign w:val="center"/>
          </w:tcPr>
          <w:p w14:paraId="52C19C7E">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13306869100</w:t>
            </w:r>
          </w:p>
        </w:tc>
      </w:tr>
      <w:tr w14:paraId="340D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6AC4635C">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民泰银行椒江支行</w:t>
            </w:r>
          </w:p>
        </w:tc>
        <w:tc>
          <w:tcPr>
            <w:tcW w:w="1514" w:type="dxa"/>
            <w:vAlign w:val="center"/>
          </w:tcPr>
          <w:p w14:paraId="061AFC8A">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5.8%起</w:t>
            </w:r>
          </w:p>
        </w:tc>
        <w:tc>
          <w:tcPr>
            <w:tcW w:w="1688" w:type="dxa"/>
            <w:vAlign w:val="center"/>
          </w:tcPr>
          <w:p w14:paraId="513B4B44">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陈慧珠</w:t>
            </w:r>
          </w:p>
        </w:tc>
        <w:tc>
          <w:tcPr>
            <w:tcW w:w="2131" w:type="dxa"/>
            <w:vAlign w:val="center"/>
          </w:tcPr>
          <w:p w14:paraId="39B29429">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13857699669</w:t>
            </w:r>
          </w:p>
        </w:tc>
      </w:tr>
      <w:tr w14:paraId="0A07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11CDD8EC">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绍兴银行台州分行</w:t>
            </w:r>
          </w:p>
        </w:tc>
        <w:tc>
          <w:tcPr>
            <w:tcW w:w="1514" w:type="dxa"/>
            <w:vAlign w:val="center"/>
          </w:tcPr>
          <w:p w14:paraId="012FB9C9">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5.1%起</w:t>
            </w:r>
          </w:p>
        </w:tc>
        <w:tc>
          <w:tcPr>
            <w:tcW w:w="1688" w:type="dxa"/>
            <w:vAlign w:val="center"/>
          </w:tcPr>
          <w:p w14:paraId="038F8C94">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郭庭斌</w:t>
            </w:r>
          </w:p>
        </w:tc>
        <w:tc>
          <w:tcPr>
            <w:tcW w:w="2131" w:type="dxa"/>
            <w:vAlign w:val="center"/>
          </w:tcPr>
          <w:p w14:paraId="01AC6FD4">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15</w:t>
            </w:r>
            <w:r>
              <w:rPr>
                <w:rFonts w:hint="eastAsia"/>
                <w:color w:val="auto"/>
                <w:sz w:val="24"/>
                <w:highlight w:val="none"/>
                <w:lang w:eastAsia="zh-CN"/>
              </w:rPr>
              <w:t>65</w:t>
            </w:r>
            <w:r>
              <w:rPr>
                <w:rFonts w:hint="eastAsia"/>
                <w:color w:val="auto"/>
                <w:sz w:val="24"/>
                <w:highlight w:val="none"/>
              </w:rPr>
              <w:t>8633119</w:t>
            </w:r>
          </w:p>
        </w:tc>
      </w:tr>
      <w:tr w14:paraId="4A90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749E1E6F">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温州银行台州分行</w:t>
            </w:r>
          </w:p>
        </w:tc>
        <w:tc>
          <w:tcPr>
            <w:tcW w:w="1514" w:type="dxa"/>
            <w:vAlign w:val="center"/>
          </w:tcPr>
          <w:p w14:paraId="7DFEECA4">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4.55%起</w:t>
            </w:r>
          </w:p>
        </w:tc>
        <w:tc>
          <w:tcPr>
            <w:tcW w:w="1688" w:type="dxa"/>
            <w:vAlign w:val="center"/>
          </w:tcPr>
          <w:p w14:paraId="5F38CA9A">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王晓波</w:t>
            </w:r>
          </w:p>
        </w:tc>
        <w:tc>
          <w:tcPr>
            <w:tcW w:w="2131" w:type="dxa"/>
            <w:vAlign w:val="center"/>
          </w:tcPr>
          <w:p w14:paraId="7C23F3A7">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15824005475</w:t>
            </w:r>
          </w:p>
        </w:tc>
      </w:tr>
      <w:tr w14:paraId="27ED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77B51EAF">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平安银行台州分行</w:t>
            </w:r>
          </w:p>
        </w:tc>
        <w:tc>
          <w:tcPr>
            <w:tcW w:w="1514" w:type="dxa"/>
            <w:vAlign w:val="center"/>
          </w:tcPr>
          <w:p w14:paraId="64B28C9D">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6.53%起</w:t>
            </w:r>
          </w:p>
        </w:tc>
        <w:tc>
          <w:tcPr>
            <w:tcW w:w="1688" w:type="dxa"/>
            <w:vAlign w:val="center"/>
          </w:tcPr>
          <w:p w14:paraId="0B5C3E3F">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李俊丽</w:t>
            </w:r>
          </w:p>
        </w:tc>
        <w:tc>
          <w:tcPr>
            <w:tcW w:w="2131" w:type="dxa"/>
            <w:vAlign w:val="center"/>
          </w:tcPr>
          <w:p w14:paraId="5097B54E">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15906861025</w:t>
            </w:r>
          </w:p>
        </w:tc>
      </w:tr>
      <w:tr w14:paraId="4284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181EDADA">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宁波银行台州分行</w:t>
            </w:r>
          </w:p>
        </w:tc>
        <w:tc>
          <w:tcPr>
            <w:tcW w:w="1514" w:type="dxa"/>
            <w:vAlign w:val="center"/>
          </w:tcPr>
          <w:p w14:paraId="77843AB3">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4.35%起</w:t>
            </w:r>
          </w:p>
        </w:tc>
        <w:tc>
          <w:tcPr>
            <w:tcW w:w="1688" w:type="dxa"/>
            <w:vAlign w:val="center"/>
          </w:tcPr>
          <w:p w14:paraId="194E8084">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戴莉丽</w:t>
            </w:r>
          </w:p>
        </w:tc>
        <w:tc>
          <w:tcPr>
            <w:tcW w:w="2131" w:type="dxa"/>
            <w:vAlign w:val="center"/>
          </w:tcPr>
          <w:p w14:paraId="402AFD12">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13566627207</w:t>
            </w:r>
          </w:p>
        </w:tc>
      </w:tr>
      <w:tr w14:paraId="086B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2583C95E">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金华银行台州分行</w:t>
            </w:r>
          </w:p>
        </w:tc>
        <w:tc>
          <w:tcPr>
            <w:tcW w:w="1514" w:type="dxa"/>
            <w:vAlign w:val="center"/>
          </w:tcPr>
          <w:p w14:paraId="6C042350">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4.05%起</w:t>
            </w:r>
          </w:p>
        </w:tc>
        <w:tc>
          <w:tcPr>
            <w:tcW w:w="1688" w:type="dxa"/>
            <w:vAlign w:val="center"/>
          </w:tcPr>
          <w:p w14:paraId="2345CD41">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金雪婷</w:t>
            </w:r>
          </w:p>
        </w:tc>
        <w:tc>
          <w:tcPr>
            <w:tcW w:w="2131" w:type="dxa"/>
            <w:vAlign w:val="center"/>
          </w:tcPr>
          <w:p w14:paraId="10CB4CC0">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81886670</w:t>
            </w:r>
          </w:p>
          <w:p w14:paraId="3B663621">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15968661569</w:t>
            </w:r>
          </w:p>
        </w:tc>
      </w:tr>
      <w:tr w14:paraId="305A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27AE3E37">
            <w:pPr>
              <w:keepNext w:val="0"/>
              <w:keepLines w:val="0"/>
              <w:suppressLineNumbers w:val="0"/>
              <w:shd w:val="clear"/>
              <w:spacing w:before="0" w:beforeAutospacing="0" w:after="0" w:afterAutospacing="0"/>
              <w:ind w:left="0" w:right="0"/>
              <w:jc w:val="center"/>
              <w:rPr>
                <w:rFonts w:hint="default" w:eastAsiaTheme="minorEastAsia"/>
                <w:color w:val="auto"/>
                <w:sz w:val="24"/>
                <w:highlight w:val="none"/>
              </w:rPr>
            </w:pPr>
            <w:r>
              <w:rPr>
                <w:rFonts w:hint="eastAsia"/>
                <w:color w:val="auto"/>
                <w:sz w:val="24"/>
                <w:highlight w:val="none"/>
              </w:rPr>
              <w:t>台州银行</w:t>
            </w:r>
          </w:p>
        </w:tc>
        <w:tc>
          <w:tcPr>
            <w:tcW w:w="1514" w:type="dxa"/>
            <w:vAlign w:val="center"/>
          </w:tcPr>
          <w:p w14:paraId="473DBF25">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5.6%起</w:t>
            </w:r>
          </w:p>
        </w:tc>
        <w:tc>
          <w:tcPr>
            <w:tcW w:w="1688" w:type="dxa"/>
            <w:vAlign w:val="center"/>
          </w:tcPr>
          <w:p w14:paraId="72277DB5">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洪婷</w:t>
            </w:r>
          </w:p>
        </w:tc>
        <w:tc>
          <w:tcPr>
            <w:tcW w:w="2131" w:type="dxa"/>
            <w:vAlign w:val="center"/>
          </w:tcPr>
          <w:p w14:paraId="061A4F4F">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15858624999</w:t>
            </w:r>
          </w:p>
        </w:tc>
      </w:tr>
      <w:tr w14:paraId="467E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14:paraId="32528A05">
            <w:pPr>
              <w:keepNext w:val="0"/>
              <w:keepLines w:val="0"/>
              <w:suppressLineNumbers w:val="0"/>
              <w:shd w:val="clear"/>
              <w:spacing w:before="0" w:beforeAutospacing="0" w:after="0" w:afterAutospacing="0"/>
              <w:ind w:left="0" w:right="0"/>
              <w:jc w:val="center"/>
              <w:rPr>
                <w:rFonts w:hint="default" w:eastAsiaTheme="minorEastAsia"/>
                <w:color w:val="auto"/>
                <w:sz w:val="24"/>
                <w:highlight w:val="none"/>
              </w:rPr>
            </w:pPr>
            <w:r>
              <w:rPr>
                <w:rFonts w:hint="eastAsia"/>
                <w:color w:val="auto"/>
                <w:sz w:val="24"/>
                <w:highlight w:val="none"/>
              </w:rPr>
              <w:t>邮储银行台州分行</w:t>
            </w:r>
          </w:p>
        </w:tc>
        <w:tc>
          <w:tcPr>
            <w:tcW w:w="1514" w:type="dxa"/>
            <w:vAlign w:val="center"/>
          </w:tcPr>
          <w:p w14:paraId="31C5A72F">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3.85%起</w:t>
            </w:r>
          </w:p>
        </w:tc>
        <w:tc>
          <w:tcPr>
            <w:tcW w:w="1688" w:type="dxa"/>
            <w:vAlign w:val="center"/>
          </w:tcPr>
          <w:p w14:paraId="0C8F87E7">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董庆</w:t>
            </w:r>
          </w:p>
        </w:tc>
        <w:tc>
          <w:tcPr>
            <w:tcW w:w="2131" w:type="dxa"/>
            <w:vAlign w:val="center"/>
          </w:tcPr>
          <w:p w14:paraId="2FDF97BC">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81888982</w:t>
            </w:r>
          </w:p>
          <w:p w14:paraId="78EC4DD3">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18</w:t>
            </w:r>
            <w:r>
              <w:rPr>
                <w:rFonts w:hint="eastAsia"/>
                <w:color w:val="auto"/>
                <w:sz w:val="24"/>
                <w:highlight w:val="none"/>
                <w:lang w:eastAsia="zh-CN"/>
              </w:rPr>
              <w:t>65</w:t>
            </w:r>
            <w:r>
              <w:rPr>
                <w:rFonts w:hint="eastAsia"/>
                <w:color w:val="auto"/>
                <w:sz w:val="24"/>
                <w:highlight w:val="none"/>
              </w:rPr>
              <w:t>7683735</w:t>
            </w:r>
          </w:p>
        </w:tc>
      </w:tr>
    </w:tbl>
    <w:p w14:paraId="0857E98A">
      <w:pPr>
        <w:pStyle w:val="56"/>
        <w:shd w:val="clear"/>
        <w:rPr>
          <w:rFonts w:cs="宋体"/>
          <w:color w:val="auto"/>
          <w:szCs w:val="24"/>
          <w:highlight w:val="none"/>
        </w:rPr>
      </w:pPr>
    </w:p>
    <w:p w14:paraId="20A296C0">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（五）合同履约保函联系方式</w:t>
      </w:r>
    </w:p>
    <w:tbl>
      <w:tblPr>
        <w:tblStyle w:val="4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074"/>
        <w:gridCol w:w="1988"/>
        <w:gridCol w:w="992"/>
        <w:gridCol w:w="1468"/>
      </w:tblGrid>
      <w:tr w14:paraId="3A5A25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4074" w:type="dxa"/>
            <w:vAlign w:val="center"/>
          </w:tcPr>
          <w:p w14:paraId="4AA5AAB1">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保险公司名称</w:t>
            </w:r>
          </w:p>
        </w:tc>
        <w:tc>
          <w:tcPr>
            <w:tcW w:w="1988" w:type="dxa"/>
            <w:vAlign w:val="center"/>
          </w:tcPr>
          <w:p w14:paraId="5287A702">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保费率</w:t>
            </w:r>
          </w:p>
        </w:tc>
        <w:tc>
          <w:tcPr>
            <w:tcW w:w="992" w:type="dxa"/>
            <w:vAlign w:val="center"/>
          </w:tcPr>
          <w:p w14:paraId="358FA4EF">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联系人</w:t>
            </w:r>
          </w:p>
        </w:tc>
        <w:tc>
          <w:tcPr>
            <w:tcW w:w="1468" w:type="dxa"/>
            <w:vAlign w:val="center"/>
          </w:tcPr>
          <w:p w14:paraId="3625EFF6">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联系电话</w:t>
            </w:r>
          </w:p>
        </w:tc>
      </w:tr>
      <w:tr w14:paraId="31A3BF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14:paraId="51CCA2DD">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中国人寿财产保险股份有限公司台州中心支公司</w:t>
            </w:r>
          </w:p>
        </w:tc>
        <w:tc>
          <w:tcPr>
            <w:tcW w:w="1988" w:type="dxa"/>
          </w:tcPr>
          <w:p w14:paraId="1C6E3A1F">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年费率1%，最低保费500元</w:t>
            </w:r>
          </w:p>
        </w:tc>
        <w:tc>
          <w:tcPr>
            <w:tcW w:w="992" w:type="dxa"/>
          </w:tcPr>
          <w:p w14:paraId="618EF27C">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徐凌</w:t>
            </w:r>
          </w:p>
        </w:tc>
        <w:tc>
          <w:tcPr>
            <w:tcW w:w="1468" w:type="dxa"/>
          </w:tcPr>
          <w:p w14:paraId="6FE20EC2">
            <w:pPr>
              <w:keepNext w:val="0"/>
              <w:keepLines w:val="0"/>
              <w:suppressLineNumbers w:val="0"/>
              <w:shd w:val="clear"/>
              <w:spacing w:before="0" w:beforeAutospacing="0" w:after="0" w:afterAutospacing="0"/>
              <w:ind w:left="0" w:right="0"/>
              <w:jc w:val="center"/>
              <w:rPr>
                <w:rFonts w:hint="default"/>
                <w:color w:val="auto"/>
                <w:highlight w:val="none"/>
              </w:rPr>
            </w:pPr>
            <w:r>
              <w:rPr>
                <w:rFonts w:hint="default"/>
                <w:color w:val="auto"/>
                <w:highlight w:val="none"/>
              </w:rPr>
              <w:t>13905168070</w:t>
            </w:r>
          </w:p>
        </w:tc>
      </w:tr>
      <w:tr w14:paraId="2659D8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14:paraId="62475C3D">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永诚财产保险股份有限公司台州分公司</w:t>
            </w:r>
          </w:p>
        </w:tc>
        <w:tc>
          <w:tcPr>
            <w:tcW w:w="1988" w:type="dxa"/>
          </w:tcPr>
          <w:p w14:paraId="376F70CE">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年费率1%，最低保费1000元</w:t>
            </w:r>
          </w:p>
        </w:tc>
        <w:tc>
          <w:tcPr>
            <w:tcW w:w="992" w:type="dxa"/>
          </w:tcPr>
          <w:p w14:paraId="13429E9C">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尹刚强</w:t>
            </w:r>
          </w:p>
        </w:tc>
        <w:tc>
          <w:tcPr>
            <w:tcW w:w="1468" w:type="dxa"/>
          </w:tcPr>
          <w:p w14:paraId="45B47B24">
            <w:pPr>
              <w:keepNext w:val="0"/>
              <w:keepLines w:val="0"/>
              <w:suppressLineNumbers w:val="0"/>
              <w:shd w:val="clear"/>
              <w:spacing w:before="0" w:beforeAutospacing="0" w:after="0" w:afterAutospacing="0"/>
              <w:ind w:left="0" w:right="0"/>
              <w:jc w:val="center"/>
              <w:rPr>
                <w:rFonts w:hint="default"/>
                <w:color w:val="auto"/>
                <w:highlight w:val="none"/>
              </w:rPr>
            </w:pPr>
            <w:r>
              <w:rPr>
                <w:rFonts w:hint="default"/>
                <w:color w:val="auto"/>
                <w:highlight w:val="none"/>
              </w:rPr>
              <w:t>13750668184</w:t>
            </w:r>
          </w:p>
        </w:tc>
      </w:tr>
      <w:tr w14:paraId="7C83AC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14:paraId="40A0D25E">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华泰财产保险有限公司台州中心支公司</w:t>
            </w:r>
          </w:p>
        </w:tc>
        <w:tc>
          <w:tcPr>
            <w:tcW w:w="1988" w:type="dxa"/>
          </w:tcPr>
          <w:p w14:paraId="33F9AD7C">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年费率0.5%，最低保费1000元</w:t>
            </w:r>
          </w:p>
        </w:tc>
        <w:tc>
          <w:tcPr>
            <w:tcW w:w="992" w:type="dxa"/>
          </w:tcPr>
          <w:p w14:paraId="4420825B">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王灵芳</w:t>
            </w:r>
          </w:p>
        </w:tc>
        <w:tc>
          <w:tcPr>
            <w:tcW w:w="1468" w:type="dxa"/>
          </w:tcPr>
          <w:p w14:paraId="714D706D">
            <w:pPr>
              <w:keepNext w:val="0"/>
              <w:keepLines w:val="0"/>
              <w:suppressLineNumbers w:val="0"/>
              <w:shd w:val="clear"/>
              <w:spacing w:before="0" w:beforeAutospacing="0" w:after="0" w:afterAutospacing="0"/>
              <w:ind w:left="0" w:right="0"/>
              <w:jc w:val="center"/>
              <w:rPr>
                <w:rFonts w:hint="default"/>
                <w:color w:val="auto"/>
                <w:highlight w:val="none"/>
              </w:rPr>
            </w:pPr>
            <w:r>
              <w:rPr>
                <w:rFonts w:hint="default"/>
                <w:color w:val="auto"/>
                <w:highlight w:val="none"/>
              </w:rPr>
              <w:t>88869818 13586123199</w:t>
            </w:r>
          </w:p>
        </w:tc>
      </w:tr>
      <w:tr w14:paraId="3EDB36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14:paraId="3AB7833B">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中国大地财产保险股份有限公司台州中心支公司</w:t>
            </w:r>
          </w:p>
        </w:tc>
        <w:tc>
          <w:tcPr>
            <w:tcW w:w="1988" w:type="dxa"/>
          </w:tcPr>
          <w:p w14:paraId="34A986F2">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年费率1.5%，最低保费1000元</w:t>
            </w:r>
          </w:p>
        </w:tc>
        <w:tc>
          <w:tcPr>
            <w:tcW w:w="992" w:type="dxa"/>
          </w:tcPr>
          <w:p w14:paraId="50BD72C0">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徐小明</w:t>
            </w:r>
          </w:p>
        </w:tc>
        <w:tc>
          <w:tcPr>
            <w:tcW w:w="1468" w:type="dxa"/>
          </w:tcPr>
          <w:p w14:paraId="3603BD95">
            <w:pPr>
              <w:keepNext w:val="0"/>
              <w:keepLines w:val="0"/>
              <w:suppressLineNumbers w:val="0"/>
              <w:shd w:val="clear"/>
              <w:spacing w:before="0" w:beforeAutospacing="0" w:after="0" w:afterAutospacing="0"/>
              <w:ind w:left="0" w:right="0"/>
              <w:jc w:val="center"/>
              <w:rPr>
                <w:rFonts w:hint="default"/>
                <w:color w:val="auto"/>
                <w:highlight w:val="none"/>
              </w:rPr>
            </w:pPr>
            <w:r>
              <w:rPr>
                <w:rFonts w:hint="default"/>
                <w:color w:val="auto"/>
                <w:highlight w:val="none"/>
              </w:rPr>
              <w:t>88552788      13968603112</w:t>
            </w:r>
          </w:p>
        </w:tc>
      </w:tr>
      <w:tr w14:paraId="05322A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14:paraId="56E857BD">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阳光保险台州中心支公司</w:t>
            </w:r>
          </w:p>
        </w:tc>
        <w:tc>
          <w:tcPr>
            <w:tcW w:w="1988" w:type="dxa"/>
          </w:tcPr>
          <w:p w14:paraId="6220CF1A">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年费率1%，最低保费500元</w:t>
            </w:r>
          </w:p>
        </w:tc>
        <w:tc>
          <w:tcPr>
            <w:tcW w:w="992" w:type="dxa"/>
          </w:tcPr>
          <w:p w14:paraId="213A3013">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林高明</w:t>
            </w:r>
          </w:p>
        </w:tc>
        <w:tc>
          <w:tcPr>
            <w:tcW w:w="1468" w:type="dxa"/>
          </w:tcPr>
          <w:p w14:paraId="5FD17F2A">
            <w:pPr>
              <w:keepNext w:val="0"/>
              <w:keepLines w:val="0"/>
              <w:suppressLineNumbers w:val="0"/>
              <w:shd w:val="clear"/>
              <w:spacing w:before="0" w:beforeAutospacing="0" w:after="0" w:afterAutospacing="0"/>
              <w:ind w:left="0" w:right="0"/>
              <w:jc w:val="center"/>
              <w:rPr>
                <w:rFonts w:hint="default"/>
                <w:color w:val="auto"/>
                <w:highlight w:val="none"/>
              </w:rPr>
            </w:pPr>
            <w:r>
              <w:rPr>
                <w:rFonts w:hint="default"/>
                <w:color w:val="auto"/>
                <w:highlight w:val="none"/>
              </w:rPr>
              <w:t>15888682693</w:t>
            </w:r>
          </w:p>
        </w:tc>
      </w:tr>
      <w:tr w14:paraId="53A4D6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14:paraId="6D9F7C34">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中华联合财产保险股份有限公司台州中心支公司</w:t>
            </w:r>
          </w:p>
        </w:tc>
        <w:tc>
          <w:tcPr>
            <w:tcW w:w="1988" w:type="dxa"/>
          </w:tcPr>
          <w:p w14:paraId="3A3D8D6C">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年费率2%，最低保费500元</w:t>
            </w:r>
          </w:p>
        </w:tc>
        <w:tc>
          <w:tcPr>
            <w:tcW w:w="992" w:type="dxa"/>
          </w:tcPr>
          <w:p w14:paraId="73058BF8">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王仙高</w:t>
            </w:r>
          </w:p>
        </w:tc>
        <w:tc>
          <w:tcPr>
            <w:tcW w:w="1468" w:type="dxa"/>
          </w:tcPr>
          <w:p w14:paraId="2F69DAF4">
            <w:pPr>
              <w:keepNext w:val="0"/>
              <w:keepLines w:val="0"/>
              <w:suppressLineNumbers w:val="0"/>
              <w:shd w:val="clear"/>
              <w:spacing w:before="0" w:beforeAutospacing="0" w:after="0" w:afterAutospacing="0"/>
              <w:ind w:left="0" w:right="0"/>
              <w:jc w:val="center"/>
              <w:rPr>
                <w:rFonts w:hint="default"/>
                <w:color w:val="auto"/>
                <w:highlight w:val="none"/>
              </w:rPr>
            </w:pPr>
            <w:r>
              <w:rPr>
                <w:rFonts w:hint="default"/>
                <w:color w:val="auto"/>
                <w:highlight w:val="none"/>
              </w:rPr>
              <w:t>13858600221</w:t>
            </w:r>
          </w:p>
        </w:tc>
      </w:tr>
      <w:tr w14:paraId="7B4432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14:paraId="340C42F8">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中国人民财产保险股份有限公司台州中心支公司</w:t>
            </w:r>
          </w:p>
        </w:tc>
        <w:tc>
          <w:tcPr>
            <w:tcW w:w="1988" w:type="dxa"/>
          </w:tcPr>
          <w:p w14:paraId="12DFE1F5">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年费率0.3%，最低保费1000元</w:t>
            </w:r>
          </w:p>
        </w:tc>
        <w:tc>
          <w:tcPr>
            <w:tcW w:w="992" w:type="dxa"/>
          </w:tcPr>
          <w:p w14:paraId="1B3144AE">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王仙春</w:t>
            </w:r>
          </w:p>
        </w:tc>
        <w:tc>
          <w:tcPr>
            <w:tcW w:w="1468" w:type="dxa"/>
          </w:tcPr>
          <w:p w14:paraId="5352E878">
            <w:pPr>
              <w:keepNext w:val="0"/>
              <w:keepLines w:val="0"/>
              <w:suppressLineNumbers w:val="0"/>
              <w:shd w:val="clear"/>
              <w:spacing w:before="0" w:beforeAutospacing="0" w:after="0" w:afterAutospacing="0"/>
              <w:ind w:left="0" w:right="0"/>
              <w:jc w:val="center"/>
              <w:rPr>
                <w:rFonts w:hint="default"/>
                <w:color w:val="auto"/>
                <w:highlight w:val="none"/>
              </w:rPr>
            </w:pPr>
            <w:r>
              <w:rPr>
                <w:rFonts w:hint="default"/>
                <w:color w:val="auto"/>
                <w:highlight w:val="none"/>
              </w:rPr>
              <w:t>13515769179</w:t>
            </w:r>
          </w:p>
        </w:tc>
      </w:tr>
      <w:tr w14:paraId="16C60D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14:paraId="07D5A696">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永安财产保险股份有限公司台州中心支公司</w:t>
            </w:r>
          </w:p>
        </w:tc>
        <w:tc>
          <w:tcPr>
            <w:tcW w:w="1988" w:type="dxa"/>
          </w:tcPr>
          <w:p w14:paraId="4ACAA3E6">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年费率0.3%，最低保费1000</w:t>
            </w:r>
          </w:p>
        </w:tc>
        <w:tc>
          <w:tcPr>
            <w:tcW w:w="992" w:type="dxa"/>
          </w:tcPr>
          <w:p w14:paraId="2C0C99CD">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王春宇</w:t>
            </w:r>
          </w:p>
        </w:tc>
        <w:tc>
          <w:tcPr>
            <w:tcW w:w="1468" w:type="dxa"/>
          </w:tcPr>
          <w:p w14:paraId="7BF30F3C">
            <w:pPr>
              <w:keepNext w:val="0"/>
              <w:keepLines w:val="0"/>
              <w:suppressLineNumbers w:val="0"/>
              <w:shd w:val="clear"/>
              <w:spacing w:before="0" w:beforeAutospacing="0" w:after="0" w:afterAutospacing="0"/>
              <w:ind w:left="0" w:right="0"/>
              <w:jc w:val="center"/>
              <w:rPr>
                <w:rFonts w:hint="default"/>
                <w:color w:val="auto"/>
                <w:highlight w:val="none"/>
              </w:rPr>
            </w:pPr>
            <w:r>
              <w:rPr>
                <w:rFonts w:hint="default"/>
                <w:color w:val="auto"/>
                <w:highlight w:val="none"/>
              </w:rPr>
              <w:t>13676675331</w:t>
            </w:r>
          </w:p>
        </w:tc>
      </w:tr>
    </w:tbl>
    <w:p w14:paraId="4BABE773">
      <w:pPr>
        <w:shd w:val="clear"/>
        <w:jc w:val="center"/>
        <w:rPr>
          <w:color w:val="auto"/>
          <w:sz w:val="32"/>
          <w:szCs w:val="32"/>
          <w:highlight w:val="none"/>
        </w:rPr>
      </w:pPr>
    </w:p>
    <w:p w14:paraId="58550E6F">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（六）预付款保函联系方式</w:t>
      </w:r>
    </w:p>
    <w:tbl>
      <w:tblPr>
        <w:tblStyle w:val="4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074"/>
        <w:gridCol w:w="1988"/>
        <w:gridCol w:w="992"/>
        <w:gridCol w:w="1468"/>
      </w:tblGrid>
      <w:tr w14:paraId="0EF42D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4074" w:type="dxa"/>
            <w:vAlign w:val="center"/>
          </w:tcPr>
          <w:p w14:paraId="280098EA">
            <w:pPr>
              <w:keepNext w:val="0"/>
              <w:keepLines w:val="0"/>
              <w:suppressLineNumbers w:val="0"/>
              <w:shd w:val="clear"/>
              <w:spacing w:before="0" w:beforeAutospacing="0" w:after="0" w:afterAutospacing="0"/>
              <w:ind w:left="0" w:right="0"/>
              <w:jc w:val="center"/>
              <w:rPr>
                <w:rFonts w:hint="default"/>
                <w:color w:val="auto"/>
                <w:sz w:val="24"/>
                <w:highlight w:val="none"/>
              </w:rPr>
            </w:pPr>
            <w:r>
              <w:rPr>
                <w:rFonts w:hint="eastAsia"/>
                <w:color w:val="auto"/>
                <w:sz w:val="24"/>
                <w:highlight w:val="none"/>
              </w:rPr>
              <w:t>保险公司名称</w:t>
            </w:r>
          </w:p>
        </w:tc>
        <w:tc>
          <w:tcPr>
            <w:tcW w:w="1988" w:type="dxa"/>
            <w:vAlign w:val="center"/>
          </w:tcPr>
          <w:p w14:paraId="2FC66152">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保费率</w:t>
            </w:r>
          </w:p>
        </w:tc>
        <w:tc>
          <w:tcPr>
            <w:tcW w:w="992" w:type="dxa"/>
            <w:vAlign w:val="center"/>
          </w:tcPr>
          <w:p w14:paraId="59782C3F">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联系人</w:t>
            </w:r>
          </w:p>
        </w:tc>
        <w:tc>
          <w:tcPr>
            <w:tcW w:w="1468" w:type="dxa"/>
            <w:vAlign w:val="center"/>
          </w:tcPr>
          <w:p w14:paraId="3D0EDD8D">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联系电话</w:t>
            </w:r>
          </w:p>
        </w:tc>
      </w:tr>
      <w:tr w14:paraId="226E98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14:paraId="1EE834DE">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中国人寿财产保险股份有限公司台州中心支公司</w:t>
            </w:r>
          </w:p>
        </w:tc>
        <w:tc>
          <w:tcPr>
            <w:tcW w:w="1988" w:type="dxa"/>
          </w:tcPr>
          <w:p w14:paraId="7EB89E94">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年费率3%，最低保费500元</w:t>
            </w:r>
          </w:p>
        </w:tc>
        <w:tc>
          <w:tcPr>
            <w:tcW w:w="992" w:type="dxa"/>
          </w:tcPr>
          <w:p w14:paraId="23367A2A">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徐凌</w:t>
            </w:r>
          </w:p>
        </w:tc>
        <w:tc>
          <w:tcPr>
            <w:tcW w:w="1468" w:type="dxa"/>
          </w:tcPr>
          <w:p w14:paraId="086355F0">
            <w:pPr>
              <w:keepNext w:val="0"/>
              <w:keepLines w:val="0"/>
              <w:suppressLineNumbers w:val="0"/>
              <w:shd w:val="clear"/>
              <w:spacing w:before="0" w:beforeAutospacing="0" w:after="0" w:afterAutospacing="0"/>
              <w:ind w:left="0" w:right="0"/>
              <w:jc w:val="center"/>
              <w:rPr>
                <w:rFonts w:hint="default"/>
                <w:color w:val="auto"/>
                <w:highlight w:val="none"/>
              </w:rPr>
            </w:pPr>
            <w:r>
              <w:rPr>
                <w:rFonts w:hint="default"/>
                <w:color w:val="auto"/>
                <w:highlight w:val="none"/>
              </w:rPr>
              <w:t>13905168070</w:t>
            </w:r>
          </w:p>
        </w:tc>
      </w:tr>
      <w:tr w14:paraId="351BE3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14:paraId="4FADDB1F">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阳光保险台州中心支公司</w:t>
            </w:r>
          </w:p>
        </w:tc>
        <w:tc>
          <w:tcPr>
            <w:tcW w:w="1988" w:type="dxa"/>
          </w:tcPr>
          <w:p w14:paraId="5A58D9CD">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年费率1%，最低保费500元</w:t>
            </w:r>
          </w:p>
        </w:tc>
        <w:tc>
          <w:tcPr>
            <w:tcW w:w="992" w:type="dxa"/>
          </w:tcPr>
          <w:p w14:paraId="7B33C1E8">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林高明</w:t>
            </w:r>
          </w:p>
        </w:tc>
        <w:tc>
          <w:tcPr>
            <w:tcW w:w="1468" w:type="dxa"/>
          </w:tcPr>
          <w:p w14:paraId="49826C88">
            <w:pPr>
              <w:keepNext w:val="0"/>
              <w:keepLines w:val="0"/>
              <w:suppressLineNumbers w:val="0"/>
              <w:shd w:val="clear"/>
              <w:spacing w:before="0" w:beforeAutospacing="0" w:after="0" w:afterAutospacing="0"/>
              <w:ind w:left="0" w:right="0"/>
              <w:jc w:val="center"/>
              <w:rPr>
                <w:rFonts w:hint="default"/>
                <w:color w:val="auto"/>
                <w:highlight w:val="none"/>
              </w:rPr>
            </w:pPr>
            <w:r>
              <w:rPr>
                <w:rFonts w:hint="default"/>
                <w:color w:val="auto"/>
                <w:highlight w:val="none"/>
              </w:rPr>
              <w:t>15888682693</w:t>
            </w:r>
          </w:p>
        </w:tc>
      </w:tr>
      <w:tr w14:paraId="41674E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14:paraId="77087F04">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天安财产保险股份有限公司台州中心支公司</w:t>
            </w:r>
          </w:p>
        </w:tc>
        <w:tc>
          <w:tcPr>
            <w:tcW w:w="1988" w:type="dxa"/>
          </w:tcPr>
          <w:p w14:paraId="437D11D6">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年费率1%-2%，最低保费500元</w:t>
            </w:r>
          </w:p>
        </w:tc>
        <w:tc>
          <w:tcPr>
            <w:tcW w:w="992" w:type="dxa"/>
          </w:tcPr>
          <w:p w14:paraId="0F0D4666">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罗赛</w:t>
            </w:r>
          </w:p>
        </w:tc>
        <w:tc>
          <w:tcPr>
            <w:tcW w:w="1468" w:type="dxa"/>
          </w:tcPr>
          <w:p w14:paraId="6A087338">
            <w:pPr>
              <w:keepNext w:val="0"/>
              <w:keepLines w:val="0"/>
              <w:suppressLineNumbers w:val="0"/>
              <w:shd w:val="clear"/>
              <w:spacing w:before="0" w:beforeAutospacing="0" w:after="0" w:afterAutospacing="0"/>
              <w:ind w:left="0" w:right="0"/>
              <w:jc w:val="center"/>
              <w:rPr>
                <w:rFonts w:hint="default"/>
                <w:color w:val="auto"/>
                <w:highlight w:val="none"/>
              </w:rPr>
            </w:pPr>
            <w:r>
              <w:rPr>
                <w:rFonts w:hint="eastAsia"/>
                <w:color w:val="auto"/>
                <w:highlight w:val="none"/>
              </w:rPr>
              <w:t>13736605643</w:t>
            </w:r>
          </w:p>
        </w:tc>
      </w:tr>
    </w:tbl>
    <w:p w14:paraId="12B2BEA7">
      <w:pPr>
        <w:pStyle w:val="56"/>
        <w:shd w:val="clear"/>
        <w:rPr>
          <w:rFonts w:cs="宋体"/>
          <w:color w:val="auto"/>
          <w:szCs w:val="24"/>
          <w:highlight w:val="none"/>
        </w:rPr>
      </w:pPr>
    </w:p>
    <w:p w14:paraId="01058772">
      <w:pPr>
        <w:pStyle w:val="56"/>
        <w:shd w:val="clear"/>
        <w:rPr>
          <w:rFonts w:cs="宋体"/>
          <w:color w:val="auto"/>
          <w:szCs w:val="24"/>
          <w:highlight w:val="none"/>
        </w:rPr>
      </w:pPr>
    </w:p>
    <w:p w14:paraId="5DAF1D85">
      <w:pPr>
        <w:pStyle w:val="56"/>
        <w:shd w:val="clear"/>
        <w:rPr>
          <w:rFonts w:cs="宋体"/>
          <w:color w:val="auto"/>
          <w:szCs w:val="24"/>
          <w:highlight w:val="none"/>
        </w:rPr>
      </w:pPr>
    </w:p>
    <w:p w14:paraId="202FDF00">
      <w:pPr>
        <w:pStyle w:val="56"/>
        <w:shd w:val="clear"/>
        <w:rPr>
          <w:rFonts w:cs="宋体"/>
          <w:color w:val="auto"/>
          <w:szCs w:val="24"/>
          <w:highlight w:val="none"/>
        </w:rPr>
      </w:pPr>
    </w:p>
    <w:p w14:paraId="0D8410AE">
      <w:pPr>
        <w:pStyle w:val="56"/>
        <w:shd w:val="clear"/>
        <w:rPr>
          <w:rFonts w:cs="宋体"/>
          <w:color w:val="auto"/>
          <w:szCs w:val="24"/>
          <w:highlight w:val="none"/>
        </w:rPr>
      </w:pPr>
    </w:p>
    <w:p w14:paraId="7C377465">
      <w:pPr>
        <w:pStyle w:val="56"/>
        <w:shd w:val="clear"/>
        <w:rPr>
          <w:rFonts w:cs="宋体"/>
          <w:color w:val="auto"/>
          <w:szCs w:val="24"/>
          <w:highlight w:val="none"/>
        </w:rPr>
      </w:pPr>
    </w:p>
    <w:p w14:paraId="7D7C751E">
      <w:pPr>
        <w:pStyle w:val="56"/>
        <w:shd w:val="clear"/>
        <w:rPr>
          <w:rFonts w:cs="宋体"/>
          <w:color w:val="auto"/>
          <w:szCs w:val="24"/>
          <w:highlight w:val="none"/>
        </w:rPr>
      </w:pPr>
    </w:p>
    <w:p w14:paraId="2B45BAB9">
      <w:pPr>
        <w:pStyle w:val="56"/>
        <w:shd w:val="clear"/>
        <w:rPr>
          <w:rFonts w:cs="宋体"/>
          <w:color w:val="auto"/>
          <w:szCs w:val="24"/>
          <w:highlight w:val="none"/>
        </w:rPr>
      </w:pPr>
    </w:p>
    <w:p w14:paraId="1FAB4A2D">
      <w:pPr>
        <w:pStyle w:val="56"/>
        <w:shd w:val="clear"/>
        <w:rPr>
          <w:rFonts w:cs="宋体"/>
          <w:color w:val="auto"/>
          <w:szCs w:val="24"/>
          <w:highlight w:val="none"/>
        </w:rPr>
      </w:pPr>
    </w:p>
    <w:p w14:paraId="5DB27921">
      <w:pPr>
        <w:pStyle w:val="56"/>
        <w:shd w:val="clear"/>
        <w:rPr>
          <w:rFonts w:cs="宋体"/>
          <w:color w:val="auto"/>
          <w:szCs w:val="24"/>
          <w:highlight w:val="none"/>
        </w:rPr>
      </w:pPr>
    </w:p>
    <w:p w14:paraId="70B9E294">
      <w:pPr>
        <w:pStyle w:val="56"/>
        <w:shd w:val="clear"/>
        <w:rPr>
          <w:rFonts w:cs="宋体"/>
          <w:color w:val="auto"/>
          <w:szCs w:val="24"/>
          <w:highlight w:val="none"/>
        </w:rPr>
      </w:pPr>
    </w:p>
    <w:p w14:paraId="70C482C3">
      <w:pPr>
        <w:pStyle w:val="56"/>
        <w:shd w:val="clear"/>
        <w:rPr>
          <w:rFonts w:cs="宋体"/>
          <w:color w:val="auto"/>
          <w:szCs w:val="24"/>
          <w:highlight w:val="none"/>
        </w:rPr>
      </w:pPr>
    </w:p>
    <w:p w14:paraId="159F8C05">
      <w:pPr>
        <w:pStyle w:val="56"/>
        <w:shd w:val="clear"/>
        <w:rPr>
          <w:rFonts w:cs="宋体"/>
          <w:color w:val="auto"/>
          <w:szCs w:val="24"/>
          <w:highlight w:val="none"/>
        </w:rPr>
      </w:pPr>
    </w:p>
    <w:p w14:paraId="2B58D9CE">
      <w:pPr>
        <w:pStyle w:val="56"/>
        <w:shd w:val="clear"/>
        <w:rPr>
          <w:rFonts w:cs="宋体"/>
          <w:color w:val="auto"/>
          <w:szCs w:val="24"/>
          <w:highlight w:val="none"/>
        </w:rPr>
      </w:pPr>
    </w:p>
    <w:p w14:paraId="36437C62">
      <w:pPr>
        <w:pStyle w:val="56"/>
        <w:shd w:val="clear"/>
        <w:rPr>
          <w:rFonts w:cs="宋体"/>
          <w:color w:val="auto"/>
          <w:szCs w:val="24"/>
          <w:highlight w:val="none"/>
        </w:rPr>
      </w:pPr>
    </w:p>
    <w:p w14:paraId="7C3521DD">
      <w:pPr>
        <w:pStyle w:val="56"/>
        <w:shd w:val="clear"/>
        <w:rPr>
          <w:rFonts w:cs="宋体"/>
          <w:color w:val="auto"/>
          <w:szCs w:val="24"/>
          <w:highlight w:val="none"/>
        </w:rPr>
      </w:pPr>
    </w:p>
    <w:p w14:paraId="054B4877">
      <w:pPr>
        <w:pStyle w:val="56"/>
        <w:shd w:val="clear"/>
        <w:rPr>
          <w:rFonts w:cs="宋体"/>
          <w:color w:val="auto"/>
          <w:szCs w:val="24"/>
          <w:highlight w:val="none"/>
        </w:rPr>
      </w:pPr>
    </w:p>
    <w:p w14:paraId="64A6F378">
      <w:pPr>
        <w:pStyle w:val="56"/>
        <w:shd w:val="clear"/>
        <w:rPr>
          <w:rFonts w:cs="宋体"/>
          <w:color w:val="auto"/>
          <w:szCs w:val="24"/>
          <w:highlight w:val="none"/>
        </w:rPr>
      </w:pPr>
    </w:p>
    <w:p w14:paraId="7A5D7CD9">
      <w:pPr>
        <w:pStyle w:val="56"/>
        <w:shd w:val="clear"/>
        <w:rPr>
          <w:rFonts w:cs="宋体"/>
          <w:color w:val="auto"/>
          <w:szCs w:val="24"/>
          <w:highlight w:val="none"/>
        </w:rPr>
      </w:pPr>
    </w:p>
    <w:p w14:paraId="09C20E18">
      <w:pPr>
        <w:pStyle w:val="56"/>
        <w:shd w:val="clear"/>
        <w:rPr>
          <w:rFonts w:cs="宋体"/>
          <w:color w:val="auto"/>
          <w:szCs w:val="24"/>
          <w:highlight w:val="none"/>
        </w:rPr>
      </w:pPr>
    </w:p>
    <w:p w14:paraId="49B73D53">
      <w:pPr>
        <w:pStyle w:val="56"/>
        <w:shd w:val="clear"/>
        <w:rPr>
          <w:rFonts w:cs="宋体"/>
          <w:color w:val="auto"/>
          <w:szCs w:val="24"/>
          <w:highlight w:val="none"/>
        </w:rPr>
      </w:pPr>
    </w:p>
    <w:p w14:paraId="10A96AEF">
      <w:pPr>
        <w:pStyle w:val="56"/>
        <w:shd w:val="clear"/>
        <w:rPr>
          <w:rFonts w:cs="宋体"/>
          <w:color w:val="auto"/>
          <w:szCs w:val="24"/>
          <w:highlight w:val="none"/>
        </w:rPr>
      </w:pPr>
    </w:p>
    <w:p w14:paraId="3EAFFC36">
      <w:pPr>
        <w:numPr>
          <w:ilvl w:val="0"/>
          <w:numId w:val="12"/>
        </w:numPr>
        <w:shd w:val="clea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投标人须知</w:t>
      </w:r>
    </w:p>
    <w:p w14:paraId="28789A00">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前  附  表</w:t>
      </w:r>
    </w:p>
    <w:tbl>
      <w:tblPr>
        <w:tblStyle w:val="46"/>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210"/>
        <w:gridCol w:w="6467"/>
      </w:tblGrid>
      <w:tr w14:paraId="666D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32445AD7">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2210" w:type="dxa"/>
            <w:tcBorders>
              <w:top w:val="single" w:color="auto" w:sz="4" w:space="0"/>
              <w:left w:val="single" w:color="auto" w:sz="4" w:space="0"/>
              <w:bottom w:val="single" w:color="auto" w:sz="4" w:space="0"/>
              <w:right w:val="single" w:color="auto" w:sz="4" w:space="0"/>
            </w:tcBorders>
            <w:vAlign w:val="center"/>
          </w:tcPr>
          <w:p w14:paraId="091F1DF8">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    目</w:t>
            </w:r>
          </w:p>
        </w:tc>
        <w:tc>
          <w:tcPr>
            <w:tcW w:w="6467" w:type="dxa"/>
            <w:tcBorders>
              <w:top w:val="single" w:color="auto" w:sz="4" w:space="0"/>
              <w:left w:val="single" w:color="auto" w:sz="4" w:space="0"/>
              <w:bottom w:val="single" w:color="auto" w:sz="4" w:space="0"/>
              <w:right w:val="single" w:color="auto" w:sz="4" w:space="0"/>
            </w:tcBorders>
            <w:vAlign w:val="center"/>
          </w:tcPr>
          <w:p w14:paraId="020350A4">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内                 容</w:t>
            </w:r>
          </w:p>
        </w:tc>
      </w:tr>
      <w:tr w14:paraId="75B5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185C93E1">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2210" w:type="dxa"/>
            <w:tcBorders>
              <w:top w:val="single" w:color="auto" w:sz="4" w:space="0"/>
              <w:left w:val="single" w:color="auto" w:sz="4" w:space="0"/>
              <w:bottom w:val="single" w:color="auto" w:sz="4" w:space="0"/>
              <w:right w:val="single" w:color="auto" w:sz="4" w:space="0"/>
            </w:tcBorders>
            <w:vAlign w:val="center"/>
          </w:tcPr>
          <w:p w14:paraId="04075D7F">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供应商特定资格要求</w:t>
            </w:r>
          </w:p>
        </w:tc>
        <w:tc>
          <w:tcPr>
            <w:tcW w:w="6467" w:type="dxa"/>
            <w:tcBorders>
              <w:top w:val="single" w:color="auto" w:sz="4" w:space="0"/>
              <w:left w:val="single" w:color="auto" w:sz="4" w:space="0"/>
              <w:bottom w:val="single" w:color="auto" w:sz="4" w:space="0"/>
              <w:right w:val="single" w:color="auto" w:sz="4" w:space="0"/>
            </w:tcBorders>
            <w:vAlign w:val="center"/>
          </w:tcPr>
          <w:p w14:paraId="0DA569B0">
            <w:pPr>
              <w:keepNext w:val="0"/>
              <w:keepLines w:val="0"/>
              <w:suppressLineNumbers w:val="0"/>
              <w:shd w:val="clear"/>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符合招标公告资格要求的供应商</w:t>
            </w:r>
          </w:p>
        </w:tc>
      </w:tr>
      <w:tr w14:paraId="178F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7A333643">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w:t>
            </w:r>
          </w:p>
        </w:tc>
        <w:tc>
          <w:tcPr>
            <w:tcW w:w="2210" w:type="dxa"/>
            <w:tcBorders>
              <w:top w:val="single" w:color="auto" w:sz="4" w:space="0"/>
              <w:left w:val="single" w:color="auto" w:sz="4" w:space="0"/>
              <w:bottom w:val="single" w:color="auto" w:sz="4" w:space="0"/>
              <w:right w:val="single" w:color="auto" w:sz="4" w:space="0"/>
            </w:tcBorders>
            <w:vAlign w:val="center"/>
          </w:tcPr>
          <w:p w14:paraId="79F475F8">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rPr>
              <w:t>答疑会或</w:t>
            </w:r>
            <w:r>
              <w:rPr>
                <w:rFonts w:hint="eastAsia" w:ascii="宋体" w:hAnsi="宋体" w:cs="宋体"/>
                <w:color w:val="auto"/>
                <w:szCs w:val="21"/>
                <w:highlight w:val="none"/>
              </w:rPr>
              <w:t>现场踏勘</w:t>
            </w:r>
          </w:p>
        </w:tc>
        <w:tc>
          <w:tcPr>
            <w:tcW w:w="6467" w:type="dxa"/>
            <w:tcBorders>
              <w:top w:val="single" w:color="auto" w:sz="4" w:space="0"/>
              <w:left w:val="single" w:color="auto" w:sz="4" w:space="0"/>
              <w:bottom w:val="single" w:color="auto" w:sz="4" w:space="0"/>
              <w:right w:val="single" w:color="auto" w:sz="4" w:space="0"/>
            </w:tcBorders>
            <w:vAlign w:val="center"/>
          </w:tcPr>
          <w:p w14:paraId="762B34BE">
            <w:pPr>
              <w:keepNext w:val="0"/>
              <w:keepLines w:val="0"/>
              <w:suppressLineNumbers w:val="0"/>
              <w:shd w:val="clear"/>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不组织。</w:t>
            </w:r>
          </w:p>
        </w:tc>
      </w:tr>
      <w:tr w14:paraId="06F8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2436489B">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w:t>
            </w:r>
          </w:p>
        </w:tc>
        <w:tc>
          <w:tcPr>
            <w:tcW w:w="2210" w:type="dxa"/>
            <w:tcBorders>
              <w:top w:val="single" w:color="auto" w:sz="4" w:space="0"/>
              <w:left w:val="single" w:color="auto" w:sz="4" w:space="0"/>
              <w:bottom w:val="single" w:color="auto" w:sz="4" w:space="0"/>
              <w:right w:val="single" w:color="auto" w:sz="4" w:space="0"/>
            </w:tcBorders>
            <w:vAlign w:val="center"/>
          </w:tcPr>
          <w:p w14:paraId="5523FBFA">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电子投标要求</w:t>
            </w:r>
          </w:p>
        </w:tc>
        <w:tc>
          <w:tcPr>
            <w:tcW w:w="6467" w:type="dxa"/>
            <w:tcBorders>
              <w:top w:val="single" w:color="auto" w:sz="4" w:space="0"/>
              <w:left w:val="single" w:color="auto" w:sz="4" w:space="0"/>
              <w:bottom w:val="single" w:color="auto" w:sz="4" w:space="0"/>
              <w:right w:val="single" w:color="auto" w:sz="4" w:space="0"/>
            </w:tcBorders>
            <w:vAlign w:val="center"/>
          </w:tcPr>
          <w:p w14:paraId="69453474">
            <w:pPr>
              <w:keepNext w:val="0"/>
              <w:keepLines w:val="0"/>
              <w:suppressLineNumbers w:val="0"/>
              <w:shd w:val="clear"/>
              <w:spacing w:before="0" w:beforeAutospacing="0" w:after="0" w:afterAutospacing="0" w:line="360" w:lineRule="auto"/>
              <w:ind w:left="0" w:right="0"/>
              <w:rPr>
                <w:rFonts w:hint="default"/>
                <w:color w:val="auto"/>
                <w:szCs w:val="21"/>
                <w:highlight w:val="none"/>
              </w:rPr>
            </w:pPr>
            <w:r>
              <w:rPr>
                <w:rFonts w:hint="eastAsia"/>
                <w:color w:val="auto"/>
                <w:szCs w:val="21"/>
                <w:highlight w:val="none"/>
              </w:rPr>
              <w:t>投标人须按照招标文件和电子交易平台的要求</w:t>
            </w:r>
            <w:r>
              <w:rPr>
                <w:rFonts w:hint="eastAsia" w:ascii="宋体" w:hAnsi="宋体" w:cs="宋体"/>
                <w:color w:val="auto"/>
                <w:szCs w:val="21"/>
                <w:highlight w:val="none"/>
              </w:rPr>
              <w:t>编制、加密并提交</w:t>
            </w:r>
            <w:r>
              <w:rPr>
                <w:rFonts w:hint="eastAsia"/>
                <w:color w:val="auto"/>
                <w:szCs w:val="21"/>
                <w:highlight w:val="none"/>
              </w:rPr>
              <w:t>投标文件。未按规定加密的投标文件，将被拒收。</w:t>
            </w:r>
          </w:p>
          <w:p w14:paraId="60EB1644">
            <w:pPr>
              <w:keepNext w:val="0"/>
              <w:keepLines w:val="0"/>
              <w:suppressLineNumbers w:val="0"/>
              <w:shd w:val="clear"/>
              <w:spacing w:before="0" w:beforeAutospacing="0" w:after="0" w:afterAutospacing="0" w:line="360" w:lineRule="auto"/>
              <w:ind w:left="0" w:right="0"/>
              <w:rPr>
                <w:rFonts w:hint="default"/>
                <w:b/>
                <w:bCs/>
                <w:color w:val="auto"/>
                <w:szCs w:val="21"/>
                <w:highlight w:val="none"/>
                <w:u w:val="single"/>
              </w:rPr>
            </w:pPr>
            <w:r>
              <w:rPr>
                <w:rFonts w:hint="eastAsia"/>
                <w:b/>
                <w:bCs/>
                <w:color w:val="auto"/>
                <w:szCs w:val="21"/>
                <w:highlight w:val="none"/>
                <w:u w:val="single"/>
              </w:rPr>
              <w:t>截止时间：北京时间</w:t>
            </w:r>
            <w:r>
              <w:rPr>
                <w:rFonts w:hint="eastAsia"/>
                <w:b/>
                <w:bCs/>
                <w:color w:val="auto"/>
                <w:szCs w:val="21"/>
                <w:highlight w:val="none"/>
                <w:u w:val="single"/>
                <w:lang w:eastAsia="zh-CN"/>
              </w:rPr>
              <w:t>2025</w:t>
            </w:r>
            <w:r>
              <w:rPr>
                <w:rFonts w:hint="eastAsia"/>
                <w:b/>
                <w:bCs/>
                <w:color w:val="auto"/>
                <w:szCs w:val="21"/>
                <w:highlight w:val="none"/>
                <w:u w:val="single"/>
              </w:rPr>
              <w:t>年</w:t>
            </w:r>
            <w:r>
              <w:rPr>
                <w:rFonts w:hint="eastAsia"/>
                <w:b/>
                <w:bCs/>
                <w:color w:val="auto"/>
                <w:szCs w:val="21"/>
                <w:highlight w:val="none"/>
                <w:u w:val="single"/>
                <w:lang w:val="en-US" w:eastAsia="zh-CN"/>
              </w:rPr>
              <w:t>7</w:t>
            </w:r>
            <w:r>
              <w:rPr>
                <w:rFonts w:hint="eastAsia"/>
                <w:b/>
                <w:bCs/>
                <w:color w:val="auto"/>
                <w:szCs w:val="21"/>
                <w:highlight w:val="none"/>
                <w:u w:val="single"/>
              </w:rPr>
              <w:t>月</w:t>
            </w:r>
            <w:r>
              <w:rPr>
                <w:rFonts w:hint="eastAsia"/>
                <w:b/>
                <w:bCs/>
                <w:color w:val="auto"/>
                <w:szCs w:val="21"/>
                <w:highlight w:val="none"/>
                <w:u w:val="single"/>
                <w:lang w:val="en-US" w:eastAsia="zh-CN"/>
              </w:rPr>
              <w:t>22</w:t>
            </w:r>
            <w:r>
              <w:rPr>
                <w:rFonts w:hint="eastAsia"/>
                <w:b/>
                <w:bCs/>
                <w:color w:val="auto"/>
                <w:szCs w:val="21"/>
                <w:highlight w:val="none"/>
                <w:u w:val="single"/>
              </w:rPr>
              <w:t>日09:00</w:t>
            </w:r>
          </w:p>
          <w:p w14:paraId="708EC145">
            <w:pPr>
              <w:keepNext w:val="0"/>
              <w:keepLines w:val="0"/>
              <w:suppressLineNumbers w:val="0"/>
              <w:shd w:val="clear"/>
              <w:spacing w:before="0" w:beforeAutospacing="0" w:after="0" w:afterAutospacing="0" w:line="360" w:lineRule="auto"/>
              <w:ind w:left="0" w:right="0"/>
              <w:rPr>
                <w:rFonts w:hint="default"/>
                <w:color w:val="auto"/>
                <w:szCs w:val="21"/>
                <w:highlight w:val="none"/>
              </w:rPr>
            </w:pPr>
            <w:r>
              <w:rPr>
                <w:rFonts w:hint="eastAsia"/>
                <w:color w:val="auto"/>
                <w:szCs w:val="21"/>
                <w:highlight w:val="none"/>
              </w:rPr>
              <w:t>投标人应当在投标截止时间前完成投标文件的传输递交，</w:t>
            </w:r>
            <w:r>
              <w:rPr>
                <w:rFonts w:hint="eastAsia" w:ascii="宋体" w:hAnsi="宋体" w:cs="宋体"/>
                <w:color w:val="auto"/>
                <w:szCs w:val="21"/>
                <w:highlight w:val="none"/>
              </w:rPr>
              <w:t>投标截止时间前可以补充、修改或者撤回电子投标文件。补充或者修改电子投标文件的，应当先行撤回原文件，补充、修改后重新传输递交。投标截止时间前未完成传输的，视为撤回投标文件</w:t>
            </w:r>
            <w:r>
              <w:rPr>
                <w:rFonts w:hint="eastAsia"/>
                <w:color w:val="auto"/>
                <w:szCs w:val="21"/>
                <w:highlight w:val="none"/>
              </w:rPr>
              <w:t>。逾期上传的投标文件恕不接受。</w:t>
            </w:r>
          </w:p>
          <w:p w14:paraId="361A6C72">
            <w:pPr>
              <w:pStyle w:val="22"/>
              <w:keepNext w:val="0"/>
              <w:keepLines w:val="0"/>
              <w:suppressLineNumbers w:val="0"/>
              <w:shd w:val="clear"/>
              <w:spacing w:before="0" w:beforeAutospacing="0" w:after="0" w:afterAutospacing="0" w:line="360" w:lineRule="auto"/>
              <w:ind w:left="0" w:right="0"/>
              <w:rPr>
                <w:rFonts w:hint="default"/>
                <w:color w:val="auto"/>
                <w:sz w:val="21"/>
                <w:szCs w:val="21"/>
                <w:highlight w:val="none"/>
              </w:rPr>
            </w:pPr>
            <w:r>
              <w:rPr>
                <w:rFonts w:hint="eastAsia"/>
                <w:b/>
                <w:bCs/>
                <w:color w:val="auto"/>
                <w:sz w:val="21"/>
                <w:szCs w:val="21"/>
                <w:highlight w:val="none"/>
              </w:rPr>
              <w:t>温馨提醒：供应商应提前上传，以便在上传时遇到技术问题，有充足的时间请教平台的技术人员。</w:t>
            </w:r>
          </w:p>
        </w:tc>
      </w:tr>
      <w:tr w14:paraId="0BF3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342916BC">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w:t>
            </w:r>
          </w:p>
        </w:tc>
        <w:tc>
          <w:tcPr>
            <w:tcW w:w="2210" w:type="dxa"/>
            <w:tcBorders>
              <w:top w:val="single" w:color="auto" w:sz="4" w:space="0"/>
              <w:left w:val="single" w:color="auto" w:sz="4" w:space="0"/>
              <w:bottom w:val="single" w:color="auto" w:sz="4" w:space="0"/>
              <w:right w:val="single" w:color="auto" w:sz="4" w:space="0"/>
            </w:tcBorders>
            <w:vAlign w:val="center"/>
          </w:tcPr>
          <w:p w14:paraId="370E39A3">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cs="Arial" w:asciiTheme="minorEastAsia" w:hAnsiTheme="minorEastAsia" w:eastAsiaTheme="minorEastAsia"/>
                <w:b/>
                <w:bCs/>
                <w:color w:val="auto"/>
                <w:szCs w:val="21"/>
                <w:highlight w:val="none"/>
              </w:rPr>
              <w:t>备份电子投标文件</w:t>
            </w:r>
          </w:p>
        </w:tc>
        <w:tc>
          <w:tcPr>
            <w:tcW w:w="6467" w:type="dxa"/>
            <w:tcBorders>
              <w:top w:val="single" w:color="auto" w:sz="4" w:space="0"/>
              <w:left w:val="single" w:color="auto" w:sz="4" w:space="0"/>
              <w:bottom w:val="single" w:color="auto" w:sz="4" w:space="0"/>
              <w:right w:val="single" w:color="auto" w:sz="4" w:space="0"/>
            </w:tcBorders>
            <w:vAlign w:val="center"/>
          </w:tcPr>
          <w:p w14:paraId="4F0C4C0F">
            <w:pPr>
              <w:pStyle w:val="59"/>
              <w:keepNext w:val="0"/>
              <w:keepLines w:val="0"/>
              <w:suppressLineNumbers w:val="0"/>
              <w:shd w:val="clear"/>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投标人在投标截止时间前将备份电子投标文件</w:t>
            </w:r>
            <w:r>
              <w:rPr>
                <w:rFonts w:hint="eastAsia" w:ascii="宋体" w:hAnsi="宋体" w:cs="宋体"/>
                <w:b/>
                <w:bCs/>
                <w:color w:val="auto"/>
                <w:szCs w:val="21"/>
                <w:highlight w:val="none"/>
              </w:rPr>
              <w:t>（自愿提供，非实质性要求，因无法读取的后果由投标人自行承担）</w:t>
            </w:r>
            <w:r>
              <w:rPr>
                <w:rFonts w:hint="eastAsia"/>
                <w:color w:val="auto"/>
                <w:szCs w:val="21"/>
                <w:highlight w:val="none"/>
              </w:rPr>
              <w:t>以介质（U盘）存储形式按要求密封邮寄到指定地点或</w:t>
            </w:r>
            <w:r>
              <w:rPr>
                <w:rFonts w:hint="eastAsia" w:ascii="宋体" w:hAnsi="宋体" w:cs="宋体"/>
                <w:color w:val="auto"/>
                <w:szCs w:val="21"/>
                <w:highlight w:val="none"/>
              </w:rPr>
              <w:t>以电子邮件的方式发送至项目负责人邮箱451350540@qq.com，以收到时间为准，逾期或不符合规定的投标文件恕不接受。</w:t>
            </w:r>
          </w:p>
          <w:p w14:paraId="1DBECFFD">
            <w:pPr>
              <w:pStyle w:val="59"/>
              <w:keepNext w:val="0"/>
              <w:keepLines w:val="0"/>
              <w:suppressLineNumbers w:val="0"/>
              <w:shd w:val="clear"/>
              <w:spacing w:before="0" w:beforeAutospacing="0" w:after="0" w:afterAutospacing="0" w:line="360" w:lineRule="auto"/>
              <w:ind w:left="0" w:right="0" w:firstLine="422" w:firstLineChars="200"/>
              <w:rPr>
                <w:rFonts w:hint="default" w:ascii="宋体" w:hAnsi="宋体" w:cs="宋体"/>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备份电子投标文件：通过“政采云”平台电子投标工具制作电子投标文件产生的备份文件（后缀名为“.bfbs”），投标人自行确定是否提交；若提交请将备份投标文件以U盘、光盘或电子邮件（发送至451350540@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14:paraId="5754B953">
            <w:pPr>
              <w:keepNext w:val="0"/>
              <w:keepLines w:val="0"/>
              <w:suppressLineNumbers w:val="0"/>
              <w:shd w:val="clear"/>
              <w:spacing w:before="0" w:beforeAutospacing="0" w:after="0" w:afterAutospacing="0" w:line="360" w:lineRule="auto"/>
              <w:ind w:left="0" w:right="0" w:firstLine="422" w:firstLineChars="200"/>
              <w:rPr>
                <w:rFonts w:hint="default" w:ascii="宋体" w:hAnsi="宋体" w:cs="宋体"/>
                <w:b/>
                <w:bCs/>
                <w:color w:val="auto"/>
                <w:szCs w:val="21"/>
                <w:highlight w:val="none"/>
              </w:rPr>
            </w:pPr>
            <w:r>
              <w:rPr>
                <w:rFonts w:hint="eastAsia" w:ascii="宋体" w:hAnsi="宋体" w:cs="宋体"/>
                <w:b/>
                <w:bCs/>
                <w:color w:val="auto"/>
                <w:szCs w:val="21"/>
                <w:highlight w:val="none"/>
              </w:rPr>
              <w:t>提示：</w:t>
            </w:r>
          </w:p>
          <w:p w14:paraId="4DAC7F3A">
            <w:pPr>
              <w:keepNext w:val="0"/>
              <w:keepLines w:val="0"/>
              <w:suppressLineNumbers w:val="0"/>
              <w:shd w:val="clear"/>
              <w:spacing w:before="0" w:beforeAutospacing="0" w:after="0" w:afterAutospacing="0" w:line="360" w:lineRule="auto"/>
              <w:ind w:left="0" w:right="0" w:firstLine="422" w:firstLineChars="200"/>
              <w:rPr>
                <w:rFonts w:hint="default" w:ascii="宋体" w:hAnsi="宋体" w:cs="宋体"/>
                <w:b/>
                <w:bCs/>
                <w:color w:val="auto"/>
                <w:szCs w:val="21"/>
                <w:highlight w:val="none"/>
              </w:rPr>
            </w:pPr>
            <w:r>
              <w:rPr>
                <w:rFonts w:hint="eastAsia" w:ascii="宋体" w:hAnsi="宋体" w:cs="宋体"/>
                <w:b/>
                <w:bCs/>
                <w:color w:val="auto"/>
                <w:szCs w:val="21"/>
                <w:highlight w:val="none"/>
              </w:rPr>
              <w:t>1.投标文件已按时解密的，备份投标文件自动失效。</w:t>
            </w:r>
          </w:p>
          <w:p w14:paraId="262E211A">
            <w:pPr>
              <w:keepNext w:val="0"/>
              <w:keepLines w:val="0"/>
              <w:suppressLineNumbers w:val="0"/>
              <w:shd w:val="clear"/>
              <w:spacing w:before="0" w:beforeAutospacing="0" w:after="0" w:afterAutospacing="0" w:line="360" w:lineRule="auto"/>
              <w:ind w:left="0" w:right="0" w:firstLine="422" w:firstLineChars="200"/>
              <w:rPr>
                <w:rFonts w:hint="default" w:ascii="宋体" w:hAnsi="宋体" w:cs="宋体"/>
                <w:b/>
                <w:bCs/>
                <w:color w:val="auto"/>
                <w:szCs w:val="21"/>
                <w:highlight w:val="none"/>
              </w:rPr>
            </w:pPr>
            <w:r>
              <w:rPr>
                <w:rFonts w:hint="eastAsia" w:ascii="宋体" w:hAnsi="宋体" w:cs="宋体"/>
                <w:b/>
                <w:bCs/>
                <w:color w:val="auto"/>
                <w:szCs w:val="21"/>
                <w:highlight w:val="none"/>
              </w:rPr>
              <w:t>2.投标文件未按时解密，供应商提供了备份投标文件的，以备份投标文件作为依据，否则视为投标文件撤回。</w:t>
            </w:r>
          </w:p>
          <w:p w14:paraId="2429CB86">
            <w:pPr>
              <w:keepNext w:val="0"/>
              <w:keepLines w:val="0"/>
              <w:suppressLineNumbers w:val="0"/>
              <w:shd w:val="clear"/>
              <w:spacing w:before="0" w:beforeAutospacing="0" w:after="0" w:afterAutospacing="0" w:line="360" w:lineRule="auto"/>
              <w:ind w:left="0" w:right="0" w:firstLine="422" w:firstLineChars="200"/>
              <w:rPr>
                <w:rFonts w:hint="default" w:ascii="宋体" w:hAnsi="宋体" w:cs="宋体"/>
                <w:b/>
                <w:bCs/>
                <w:color w:val="auto"/>
                <w:szCs w:val="21"/>
                <w:highlight w:val="none"/>
              </w:rPr>
            </w:pPr>
            <w:r>
              <w:rPr>
                <w:rFonts w:hint="eastAsia" w:ascii="宋体" w:hAnsi="宋体" w:cs="宋体"/>
                <w:b/>
                <w:bCs/>
                <w:color w:val="auto"/>
                <w:szCs w:val="21"/>
                <w:highlight w:val="none"/>
              </w:rPr>
              <w:t>3.投标文件未按时解密，又未提供备份投标文件的，视为放弃投标。</w:t>
            </w:r>
          </w:p>
          <w:p w14:paraId="54E00FB0">
            <w:pPr>
              <w:keepNext w:val="0"/>
              <w:keepLines w:val="0"/>
              <w:suppressLineNumbers w:val="0"/>
              <w:shd w:val="clear"/>
              <w:spacing w:before="0" w:beforeAutospacing="0" w:after="0" w:afterAutospacing="0" w:line="360" w:lineRule="auto"/>
              <w:ind w:left="0" w:right="0" w:firstLine="422" w:firstLineChars="200"/>
              <w:rPr>
                <w:rFonts w:hint="default" w:ascii="宋体" w:hAnsi="宋体" w:cs="宋体"/>
                <w:color w:val="auto"/>
                <w:szCs w:val="21"/>
                <w:highlight w:val="none"/>
              </w:rPr>
            </w:pPr>
            <w:r>
              <w:rPr>
                <w:rFonts w:hint="eastAsia" w:ascii="宋体" w:hAnsi="宋体" w:cs="宋体"/>
                <w:b/>
                <w:bCs/>
                <w:color w:val="auto"/>
                <w:szCs w:val="21"/>
                <w:highlight w:val="none"/>
              </w:rPr>
              <w:t>4.供应商仅提交备份投标文件的，投标无效。</w:t>
            </w:r>
          </w:p>
        </w:tc>
      </w:tr>
      <w:tr w14:paraId="356E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346A43F4">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5</w:t>
            </w:r>
          </w:p>
        </w:tc>
        <w:tc>
          <w:tcPr>
            <w:tcW w:w="2210" w:type="dxa"/>
            <w:tcBorders>
              <w:top w:val="single" w:color="auto" w:sz="4" w:space="0"/>
              <w:left w:val="single" w:color="auto" w:sz="4" w:space="0"/>
              <w:bottom w:val="single" w:color="auto" w:sz="4" w:space="0"/>
              <w:right w:val="single" w:color="auto" w:sz="4" w:space="0"/>
            </w:tcBorders>
            <w:vAlign w:val="center"/>
          </w:tcPr>
          <w:p w14:paraId="4E36F4DF">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开标说明</w:t>
            </w:r>
          </w:p>
        </w:tc>
        <w:tc>
          <w:tcPr>
            <w:tcW w:w="6467" w:type="dxa"/>
            <w:tcBorders>
              <w:top w:val="single" w:color="auto" w:sz="4" w:space="0"/>
              <w:left w:val="single" w:color="auto" w:sz="4" w:space="0"/>
              <w:bottom w:val="single" w:color="auto" w:sz="4" w:space="0"/>
              <w:right w:val="single" w:color="auto" w:sz="4" w:space="0"/>
            </w:tcBorders>
            <w:vAlign w:val="center"/>
          </w:tcPr>
          <w:p w14:paraId="6D1D521E">
            <w:pPr>
              <w:keepNext w:val="0"/>
              <w:keepLines w:val="0"/>
              <w:suppressLineNumbers w:val="0"/>
              <w:shd w:val="clear"/>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本项目为电子投标项目，授权代表不需要参加现场投标和开标。</w:t>
            </w:r>
          </w:p>
        </w:tc>
      </w:tr>
      <w:tr w14:paraId="2273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059F3DAF">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6</w:t>
            </w:r>
          </w:p>
        </w:tc>
        <w:tc>
          <w:tcPr>
            <w:tcW w:w="2210" w:type="dxa"/>
            <w:tcBorders>
              <w:top w:val="single" w:color="auto" w:sz="4" w:space="0"/>
              <w:left w:val="single" w:color="auto" w:sz="4" w:space="0"/>
              <w:bottom w:val="single" w:color="auto" w:sz="4" w:space="0"/>
              <w:right w:val="single" w:color="auto" w:sz="4" w:space="0"/>
            </w:tcBorders>
            <w:vAlign w:val="center"/>
          </w:tcPr>
          <w:p w14:paraId="0B1D27C5">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投标有效期</w:t>
            </w:r>
          </w:p>
        </w:tc>
        <w:tc>
          <w:tcPr>
            <w:tcW w:w="6467" w:type="dxa"/>
            <w:tcBorders>
              <w:top w:val="single" w:color="auto" w:sz="4" w:space="0"/>
              <w:left w:val="single" w:color="auto" w:sz="4" w:space="0"/>
              <w:bottom w:val="single" w:color="auto" w:sz="4" w:space="0"/>
              <w:right w:val="single" w:color="auto" w:sz="4" w:space="0"/>
            </w:tcBorders>
            <w:vAlign w:val="center"/>
          </w:tcPr>
          <w:p w14:paraId="17E9E701">
            <w:pPr>
              <w:keepNext w:val="0"/>
              <w:keepLines w:val="0"/>
              <w:suppressLineNumbers w:val="0"/>
              <w:shd w:val="clear"/>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投标有效期为开标后90天，</w:t>
            </w:r>
            <w:r>
              <w:rPr>
                <w:rFonts w:hint="eastAsia" w:ascii="宋体" w:hAnsi="宋体" w:cs="宋体"/>
                <w:color w:val="auto"/>
                <w:kern w:val="0"/>
                <w:szCs w:val="21"/>
                <w:highlight w:val="none"/>
              </w:rPr>
              <w:t>投标有效期从提交电子投标文件的截止之日起算。</w:t>
            </w:r>
          </w:p>
        </w:tc>
      </w:tr>
      <w:tr w14:paraId="6096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395D72D5">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7</w:t>
            </w:r>
          </w:p>
        </w:tc>
        <w:tc>
          <w:tcPr>
            <w:tcW w:w="2210" w:type="dxa"/>
            <w:tcBorders>
              <w:top w:val="single" w:color="auto" w:sz="4" w:space="0"/>
              <w:left w:val="single" w:color="auto" w:sz="4" w:space="0"/>
              <w:bottom w:val="single" w:color="auto" w:sz="4" w:space="0"/>
              <w:right w:val="single" w:color="auto" w:sz="4" w:space="0"/>
            </w:tcBorders>
            <w:vAlign w:val="center"/>
          </w:tcPr>
          <w:p w14:paraId="0F0634E9">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开标时间及地点</w:t>
            </w:r>
          </w:p>
        </w:tc>
        <w:tc>
          <w:tcPr>
            <w:tcW w:w="6467" w:type="dxa"/>
            <w:tcBorders>
              <w:top w:val="single" w:color="auto" w:sz="4" w:space="0"/>
              <w:left w:val="single" w:color="auto" w:sz="4" w:space="0"/>
              <w:bottom w:val="single" w:color="auto" w:sz="4" w:space="0"/>
              <w:right w:val="single" w:color="auto" w:sz="4" w:space="0"/>
            </w:tcBorders>
            <w:vAlign w:val="center"/>
          </w:tcPr>
          <w:p w14:paraId="6AEDB9C0">
            <w:pPr>
              <w:keepNext w:val="0"/>
              <w:keepLines w:val="0"/>
              <w:suppressLineNumbers w:val="0"/>
              <w:shd w:val="clear"/>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时间：北京时间</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日  09:00</w:t>
            </w:r>
          </w:p>
          <w:p w14:paraId="63EEC8B7">
            <w:pPr>
              <w:keepNext w:val="0"/>
              <w:keepLines w:val="0"/>
              <w:suppressLineNumbers w:val="0"/>
              <w:shd w:val="clear"/>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地点：政府采购云平台（www.zcygov.cn）</w:t>
            </w:r>
          </w:p>
        </w:tc>
      </w:tr>
      <w:tr w14:paraId="5D7A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36D3C297">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8</w:t>
            </w:r>
          </w:p>
        </w:tc>
        <w:tc>
          <w:tcPr>
            <w:tcW w:w="2210" w:type="dxa"/>
            <w:tcBorders>
              <w:top w:val="single" w:color="auto" w:sz="4" w:space="0"/>
              <w:left w:val="single" w:color="auto" w:sz="4" w:space="0"/>
              <w:bottom w:val="single" w:color="auto" w:sz="4" w:space="0"/>
              <w:right w:val="single" w:color="auto" w:sz="4" w:space="0"/>
            </w:tcBorders>
            <w:vAlign w:val="center"/>
          </w:tcPr>
          <w:p w14:paraId="550176A0">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投标保证金</w:t>
            </w:r>
          </w:p>
        </w:tc>
        <w:tc>
          <w:tcPr>
            <w:tcW w:w="6467" w:type="dxa"/>
            <w:tcBorders>
              <w:top w:val="single" w:color="auto" w:sz="4" w:space="0"/>
              <w:left w:val="single" w:color="auto" w:sz="4" w:space="0"/>
              <w:bottom w:val="single" w:color="auto" w:sz="4" w:space="0"/>
              <w:right w:val="single" w:color="auto" w:sz="4" w:space="0"/>
            </w:tcBorders>
            <w:vAlign w:val="center"/>
          </w:tcPr>
          <w:p w14:paraId="7914B85F">
            <w:pPr>
              <w:keepNext w:val="0"/>
              <w:keepLines w:val="0"/>
              <w:suppressLineNumbers w:val="0"/>
              <w:shd w:val="clear"/>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15AB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7D69BEBC">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9</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14:paraId="6C852B73">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履约保证金</w:t>
            </w:r>
          </w:p>
        </w:tc>
        <w:tc>
          <w:tcPr>
            <w:tcW w:w="6467" w:type="dxa"/>
            <w:tcBorders>
              <w:top w:val="single" w:color="auto" w:sz="4" w:space="0"/>
              <w:left w:val="single" w:color="auto" w:sz="4" w:space="0"/>
              <w:bottom w:val="single" w:color="auto" w:sz="4" w:space="0"/>
              <w:right w:val="single" w:color="auto" w:sz="4" w:space="0"/>
            </w:tcBorders>
            <w:shd w:val="clear" w:color="auto" w:fill="auto"/>
            <w:vAlign w:val="center"/>
          </w:tcPr>
          <w:p w14:paraId="2416B376">
            <w:pPr>
              <w:pStyle w:val="29"/>
              <w:keepNext w:val="0"/>
              <w:keepLines w:val="0"/>
              <w:suppressLineNumbers w:val="0"/>
              <w:shd w:val="clear"/>
              <w:spacing w:before="0" w:beforeAutospacing="0" w:after="0" w:afterAutospacing="0" w:line="360" w:lineRule="auto"/>
              <w:ind w:left="0" w:leftChars="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无</w:t>
            </w:r>
          </w:p>
        </w:tc>
      </w:tr>
      <w:tr w14:paraId="13D1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27C9F5B5">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10</w:t>
            </w:r>
          </w:p>
        </w:tc>
        <w:tc>
          <w:tcPr>
            <w:tcW w:w="2210" w:type="dxa"/>
            <w:tcBorders>
              <w:top w:val="single" w:color="auto" w:sz="4" w:space="0"/>
              <w:left w:val="single" w:color="auto" w:sz="4" w:space="0"/>
              <w:bottom w:val="single" w:color="auto" w:sz="4" w:space="0"/>
              <w:right w:val="single" w:color="auto" w:sz="4" w:space="0"/>
            </w:tcBorders>
            <w:vAlign w:val="center"/>
          </w:tcPr>
          <w:p w14:paraId="3F5177BE">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电子投标文件签章</w:t>
            </w:r>
          </w:p>
        </w:tc>
        <w:tc>
          <w:tcPr>
            <w:tcW w:w="6467" w:type="dxa"/>
            <w:tcBorders>
              <w:top w:val="single" w:color="auto" w:sz="4" w:space="0"/>
              <w:left w:val="single" w:color="auto" w:sz="4" w:space="0"/>
              <w:bottom w:val="single" w:color="auto" w:sz="4" w:space="0"/>
              <w:right w:val="single" w:color="auto" w:sz="4" w:space="0"/>
            </w:tcBorders>
            <w:vAlign w:val="center"/>
          </w:tcPr>
          <w:p w14:paraId="300BDCE3">
            <w:pPr>
              <w:keepNext w:val="0"/>
              <w:keepLines w:val="0"/>
              <w:suppressLineNumbers w:val="0"/>
              <w:shd w:val="clear"/>
              <w:spacing w:before="0" w:beforeAutospacing="0" w:after="0" w:afterAutospacing="0" w:line="360" w:lineRule="auto"/>
              <w:ind w:left="0" w:right="0"/>
              <w:rPr>
                <w:rFonts w:hint="default" w:ascii="宋体" w:hAnsi="宋体" w:cs="宋体"/>
                <w:color w:val="auto"/>
                <w:kern w:val="0"/>
                <w:szCs w:val="21"/>
                <w:highlight w:val="none"/>
                <w:lang w:val="zh-CN"/>
              </w:rPr>
            </w:pPr>
            <w:r>
              <w:rPr>
                <w:rFonts w:hint="eastAsia" w:ascii="宋体" w:hAnsi="宋体" w:cs="宋体"/>
                <w:b/>
                <w:color w:val="auto"/>
                <w:szCs w:val="21"/>
                <w:highlight w:val="none"/>
              </w:rPr>
              <w:t>电子投标文件中所须加盖公章部分均采用CA签章</w:t>
            </w:r>
          </w:p>
        </w:tc>
      </w:tr>
      <w:tr w14:paraId="5D66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65F7A107">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11</w:t>
            </w:r>
          </w:p>
        </w:tc>
        <w:tc>
          <w:tcPr>
            <w:tcW w:w="2210" w:type="dxa"/>
            <w:tcBorders>
              <w:top w:val="single" w:color="auto" w:sz="4" w:space="0"/>
              <w:left w:val="single" w:color="auto" w:sz="4" w:space="0"/>
              <w:bottom w:val="single" w:color="auto" w:sz="4" w:space="0"/>
              <w:right w:val="single" w:color="auto" w:sz="4" w:space="0"/>
            </w:tcBorders>
            <w:vAlign w:val="center"/>
          </w:tcPr>
          <w:p w14:paraId="211E40A9">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hAnsi="宋体" w:cs="宋体"/>
                <w:color w:val="auto"/>
                <w:szCs w:val="21"/>
                <w:highlight w:val="none"/>
                <w:lang w:val="zh-CN"/>
              </w:rPr>
            </w:pPr>
            <w:r>
              <w:rPr>
                <w:rFonts w:hint="eastAsia" w:ascii="宋体" w:hAnsi="宋体" w:cs="宋体"/>
                <w:b/>
                <w:bCs/>
                <w:color w:val="auto"/>
                <w:kern w:val="0"/>
                <w:szCs w:val="21"/>
                <w:highlight w:val="none"/>
              </w:rPr>
              <w:t>纸质投标文件</w:t>
            </w:r>
          </w:p>
        </w:tc>
        <w:tc>
          <w:tcPr>
            <w:tcW w:w="6467" w:type="dxa"/>
            <w:tcBorders>
              <w:top w:val="single" w:color="auto" w:sz="4" w:space="0"/>
              <w:left w:val="single" w:color="auto" w:sz="4" w:space="0"/>
              <w:bottom w:val="single" w:color="auto" w:sz="4" w:space="0"/>
              <w:right w:val="single" w:color="auto" w:sz="4" w:space="0"/>
            </w:tcBorders>
            <w:vAlign w:val="center"/>
          </w:tcPr>
          <w:p w14:paraId="2A7430D2">
            <w:pPr>
              <w:keepNext w:val="0"/>
              <w:keepLines w:val="0"/>
              <w:suppressLineNumbers w:val="0"/>
              <w:shd w:val="clear"/>
              <w:spacing w:before="0" w:beforeAutospacing="0" w:after="0" w:afterAutospacing="0" w:line="360" w:lineRule="auto"/>
              <w:ind w:left="0" w:right="0"/>
              <w:rPr>
                <w:rFonts w:hint="default"/>
                <w:color w:val="auto"/>
                <w:szCs w:val="21"/>
                <w:highlight w:val="none"/>
              </w:rPr>
            </w:pPr>
            <w:r>
              <w:rPr>
                <w:rFonts w:hint="eastAsia"/>
                <w:color w:val="auto"/>
                <w:szCs w:val="21"/>
                <w:highlight w:val="none"/>
              </w:rPr>
              <w:t>（1）为方便评审委员会评审，请供应商提供纸质投标文件（指商务与技术文件）一份给招标代理机构，纸质投标文件系电子投标文件纸质版，两者内容应一致。本项非实质性要求，供应商自愿提供。</w:t>
            </w:r>
          </w:p>
          <w:p w14:paraId="3AC17A90">
            <w:pPr>
              <w:keepNext w:val="0"/>
              <w:keepLines w:val="0"/>
              <w:suppressLineNumbers w:val="0"/>
              <w:shd w:val="clear"/>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在投标截止时间之前邮寄（送达）至以下地点，以签收时间为准，逾期或不符合规定的投标文件恕不接受。</w:t>
            </w:r>
          </w:p>
          <w:p w14:paraId="0F9E724A">
            <w:pPr>
              <w:keepNext w:val="0"/>
              <w:keepLines w:val="0"/>
              <w:suppressLineNumbers w:val="0"/>
              <w:shd w:val="clear"/>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收 件 人：小施（</w:t>
            </w:r>
            <w:r>
              <w:rPr>
                <w:rFonts w:hint="eastAsia" w:ascii="宋体" w:hAnsi="宋体" w:cs="宋体"/>
                <w:color w:val="auto"/>
                <w:szCs w:val="21"/>
                <w:highlight w:val="none"/>
                <w:lang w:eastAsia="zh-CN"/>
              </w:rPr>
              <w:t>台州市建航工程管理有限公司</w:t>
            </w:r>
            <w:r>
              <w:rPr>
                <w:rFonts w:hint="eastAsia" w:ascii="宋体" w:hAnsi="宋体" w:cs="宋体"/>
                <w:color w:val="auto"/>
                <w:szCs w:val="21"/>
                <w:highlight w:val="none"/>
              </w:rPr>
              <w:t>）</w:t>
            </w:r>
          </w:p>
          <w:p w14:paraId="64081FDE">
            <w:pPr>
              <w:keepNext w:val="0"/>
              <w:keepLines w:val="0"/>
              <w:suppressLineNumbers w:val="0"/>
              <w:shd w:val="clear"/>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联系电话：0576-88810077</w:t>
            </w:r>
          </w:p>
          <w:p w14:paraId="5D15A248">
            <w:pPr>
              <w:pStyle w:val="22"/>
              <w:keepNext w:val="0"/>
              <w:keepLines w:val="0"/>
              <w:suppressLineNumbers w:val="0"/>
              <w:shd w:val="clear"/>
              <w:spacing w:before="0" w:beforeAutospacing="0" w:after="0" w:afterAutospacing="0" w:line="360" w:lineRule="auto"/>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地    址：浙江省台州市经济开发区天和路</w:t>
            </w:r>
            <w:r>
              <w:rPr>
                <w:rFonts w:hint="eastAsia" w:ascii="宋体" w:hAnsi="宋体" w:cs="宋体"/>
                <w:color w:val="auto"/>
                <w:sz w:val="21"/>
                <w:szCs w:val="21"/>
                <w:highlight w:val="none"/>
                <w:lang w:eastAsia="zh-CN"/>
              </w:rPr>
              <w:t>65</w:t>
            </w:r>
            <w:r>
              <w:rPr>
                <w:rFonts w:hint="eastAsia" w:ascii="宋体" w:hAnsi="宋体" w:cs="宋体"/>
                <w:color w:val="auto"/>
                <w:sz w:val="21"/>
                <w:szCs w:val="21"/>
                <w:highlight w:val="none"/>
              </w:rPr>
              <w:t>号天和大厦B幢1104。</w:t>
            </w:r>
          </w:p>
          <w:p w14:paraId="50C9D428">
            <w:pPr>
              <w:pStyle w:val="22"/>
              <w:keepNext w:val="0"/>
              <w:keepLines w:val="0"/>
              <w:suppressLineNumbers w:val="0"/>
              <w:shd w:val="clear"/>
              <w:spacing w:before="0" w:beforeAutospacing="0" w:after="0" w:afterAutospacing="0" w:line="360" w:lineRule="auto"/>
              <w:ind w:left="0" w:right="0"/>
              <w:rPr>
                <w:rFonts w:hint="default"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（2）中标供应商中标后需提供纸质投标文件给招标代理机构作为备案存档，纸质投标文件系电子投标文件纸质版，两者内容应一致；数量为：资格证明文件2份；商务与技术文件2份；报价文件2份。</w:t>
            </w:r>
          </w:p>
        </w:tc>
      </w:tr>
      <w:tr w14:paraId="1526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3A0D53C6">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12</w:t>
            </w:r>
          </w:p>
        </w:tc>
        <w:tc>
          <w:tcPr>
            <w:tcW w:w="2210" w:type="dxa"/>
            <w:tcBorders>
              <w:top w:val="single" w:color="auto" w:sz="4" w:space="0"/>
              <w:left w:val="single" w:color="auto" w:sz="4" w:space="0"/>
              <w:bottom w:val="single" w:color="auto" w:sz="4" w:space="0"/>
              <w:right w:val="single" w:color="auto" w:sz="4" w:space="0"/>
            </w:tcBorders>
            <w:vAlign w:val="center"/>
          </w:tcPr>
          <w:p w14:paraId="5ABABE50">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hAnsi="宋体" w:cs="宋体"/>
                <w:color w:val="auto"/>
                <w:szCs w:val="21"/>
                <w:highlight w:val="none"/>
                <w:lang w:val="zh-CN"/>
              </w:rPr>
            </w:pPr>
            <w:r>
              <w:rPr>
                <w:rFonts w:hint="eastAsia" w:ascii="宋体" w:hAnsi="宋体" w:cs="宋体"/>
                <w:color w:val="auto"/>
                <w:szCs w:val="21"/>
                <w:highlight w:val="none"/>
                <w:lang w:val="zh-CN"/>
              </w:rPr>
              <w:t>实质性条款</w:t>
            </w:r>
          </w:p>
        </w:tc>
        <w:tc>
          <w:tcPr>
            <w:tcW w:w="6467" w:type="dxa"/>
            <w:tcBorders>
              <w:top w:val="single" w:color="auto" w:sz="4" w:space="0"/>
              <w:left w:val="single" w:color="auto" w:sz="4" w:space="0"/>
              <w:bottom w:val="single" w:color="auto" w:sz="4" w:space="0"/>
              <w:right w:val="single" w:color="auto" w:sz="4" w:space="0"/>
            </w:tcBorders>
            <w:vAlign w:val="center"/>
          </w:tcPr>
          <w:p w14:paraId="331AFCC6">
            <w:pPr>
              <w:keepNext w:val="0"/>
              <w:keepLines w:val="0"/>
              <w:suppressLineNumbers w:val="0"/>
              <w:shd w:val="clear"/>
              <w:spacing w:before="0" w:beforeAutospacing="0" w:after="0" w:afterAutospacing="0" w:line="360" w:lineRule="auto"/>
              <w:ind w:left="0" w:right="0"/>
              <w:rPr>
                <w:rFonts w:hint="default" w:ascii="宋体" w:hAnsi="宋体" w:cs="宋体"/>
                <w:color w:val="auto"/>
                <w:kern w:val="0"/>
                <w:szCs w:val="21"/>
                <w:highlight w:val="none"/>
                <w:lang w:val="zh-CN"/>
              </w:rPr>
            </w:pPr>
            <w:r>
              <w:rPr>
                <w:rFonts w:hint="eastAsia" w:ascii="宋体" w:hAnsi="宋体" w:cs="宋体"/>
                <w:color w:val="auto"/>
                <w:kern w:val="0"/>
                <w:szCs w:val="21"/>
                <w:highlight w:val="none"/>
                <w:lang w:val="zh-CN"/>
              </w:rPr>
              <w:t>带“</w:t>
            </w:r>
            <w:r>
              <w:rPr>
                <w:rFonts w:hint="eastAsia" w:ascii="宋体" w:hAnsi="宋体" w:cs="宋体"/>
                <w:bCs/>
                <w:color w:val="auto"/>
                <w:szCs w:val="21"/>
                <w:highlight w:val="none"/>
              </w:rPr>
              <w:t>▲”的条款是实质性条款，投标文件须作出实质性响应，否则作无效投标处理。</w:t>
            </w:r>
          </w:p>
        </w:tc>
      </w:tr>
      <w:tr w14:paraId="2A80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25B5B374">
            <w:pPr>
              <w:keepNext w:val="0"/>
              <w:keepLines w:val="0"/>
              <w:suppressLineNumbers w:val="0"/>
              <w:shd w:val="clear"/>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13</w:t>
            </w:r>
          </w:p>
        </w:tc>
        <w:tc>
          <w:tcPr>
            <w:tcW w:w="2210" w:type="dxa"/>
            <w:tcBorders>
              <w:top w:val="single" w:color="auto" w:sz="4" w:space="0"/>
              <w:left w:val="single" w:color="auto" w:sz="4" w:space="0"/>
              <w:bottom w:val="single" w:color="auto" w:sz="4" w:space="0"/>
              <w:right w:val="single" w:color="auto" w:sz="4" w:space="0"/>
            </w:tcBorders>
            <w:vAlign w:val="center"/>
          </w:tcPr>
          <w:p w14:paraId="42537BE5">
            <w:pPr>
              <w:keepNext w:val="0"/>
              <w:keepLines w:val="0"/>
              <w:suppressLineNumbers w:val="0"/>
              <w:shd w:val="clear"/>
              <w:autoSpaceDE w:val="0"/>
              <w:autoSpaceDN w:val="0"/>
              <w:adjustRightInd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解释权</w:t>
            </w:r>
          </w:p>
        </w:tc>
        <w:tc>
          <w:tcPr>
            <w:tcW w:w="6467" w:type="dxa"/>
            <w:tcBorders>
              <w:top w:val="single" w:color="auto" w:sz="4" w:space="0"/>
              <w:left w:val="single" w:color="auto" w:sz="4" w:space="0"/>
              <w:bottom w:val="single" w:color="auto" w:sz="4" w:space="0"/>
              <w:right w:val="single" w:color="auto" w:sz="4" w:space="0"/>
            </w:tcBorders>
            <w:vAlign w:val="center"/>
          </w:tcPr>
          <w:p w14:paraId="45A9E483">
            <w:pPr>
              <w:keepNext w:val="0"/>
              <w:keepLines w:val="0"/>
              <w:suppressLineNumbers w:val="0"/>
              <w:shd w:val="clear"/>
              <w:autoSpaceDE w:val="0"/>
              <w:autoSpaceDN w:val="0"/>
              <w:adjustRightInd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本采购文件解释权属于采购人和采购代理机构</w:t>
            </w:r>
          </w:p>
        </w:tc>
      </w:tr>
    </w:tbl>
    <w:p w14:paraId="217A3D64">
      <w:pPr>
        <w:pStyle w:val="28"/>
        <w:shd w:val="clear"/>
        <w:snapToGrid w:val="0"/>
        <w:spacing w:before="120" w:after="120" w:line="360" w:lineRule="auto"/>
        <w:rPr>
          <w:rFonts w:asciiTheme="minorEastAsia" w:hAnsiTheme="minorEastAsia" w:eastAsiaTheme="minorEastAsia" w:cstheme="minorEastAsia"/>
          <w:b/>
          <w:color w:val="auto"/>
          <w:szCs w:val="21"/>
          <w:highlight w:val="none"/>
        </w:rPr>
      </w:pPr>
    </w:p>
    <w:p w14:paraId="50CCB75D">
      <w:pPr>
        <w:pStyle w:val="28"/>
        <w:shd w:val="clear"/>
        <w:snapToGrid w:val="0"/>
        <w:spacing w:before="120" w:after="120" w:line="360" w:lineRule="auto"/>
        <w:rPr>
          <w:rFonts w:asciiTheme="minorEastAsia" w:hAnsiTheme="minorEastAsia" w:eastAsiaTheme="minorEastAsia" w:cstheme="minorEastAsia"/>
          <w:b/>
          <w:color w:val="auto"/>
          <w:szCs w:val="21"/>
          <w:highlight w:val="none"/>
        </w:rPr>
      </w:pPr>
    </w:p>
    <w:p w14:paraId="79D4A327">
      <w:pPr>
        <w:pStyle w:val="40"/>
        <w:shd w:val="clear"/>
        <w:ind w:firstLine="480"/>
        <w:rPr>
          <w:color w:val="auto"/>
          <w:highlight w:val="none"/>
        </w:rPr>
      </w:pPr>
    </w:p>
    <w:p w14:paraId="232916ED">
      <w:pPr>
        <w:pStyle w:val="28"/>
        <w:shd w:val="clear"/>
        <w:snapToGrid w:val="0"/>
        <w:spacing w:before="120" w:after="120" w:line="360" w:lineRule="auto"/>
        <w:rPr>
          <w:rFonts w:asciiTheme="minorEastAsia" w:hAnsiTheme="minorEastAsia" w:eastAsiaTheme="minorEastAsia" w:cstheme="minorEastAsia"/>
          <w:b/>
          <w:color w:val="auto"/>
          <w:szCs w:val="21"/>
          <w:highlight w:val="none"/>
        </w:rPr>
      </w:pPr>
    </w:p>
    <w:p w14:paraId="2BE2AABC">
      <w:pPr>
        <w:pStyle w:val="40"/>
        <w:shd w:val="clear"/>
        <w:ind w:firstLine="480"/>
        <w:rPr>
          <w:color w:val="auto"/>
          <w:highlight w:val="none"/>
        </w:rPr>
      </w:pPr>
    </w:p>
    <w:p w14:paraId="7D87CCBF">
      <w:pPr>
        <w:pStyle w:val="28"/>
        <w:shd w:val="clear"/>
        <w:snapToGrid w:val="0"/>
        <w:spacing w:before="120" w:after="120"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 、总  则</w:t>
      </w:r>
    </w:p>
    <w:p w14:paraId="66159FEA">
      <w:pPr>
        <w:shd w:val="clear"/>
        <w:snapToGrid w:val="0"/>
        <w:spacing w:line="360" w:lineRule="auto"/>
        <w:ind w:firstLine="413" w:firstLineChars="196"/>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 适用范围</w:t>
      </w:r>
    </w:p>
    <w:p w14:paraId="1EF076B2">
      <w:pPr>
        <w:shd w:val="clea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本采购文件适用于</w:t>
      </w:r>
      <w:r>
        <w:rPr>
          <w:rFonts w:hint="eastAsia" w:asciiTheme="minorEastAsia" w:hAnsiTheme="minorEastAsia" w:eastAsiaTheme="minorEastAsia" w:cstheme="minorEastAsia"/>
          <w:bCs/>
          <w:color w:val="auto"/>
          <w:szCs w:val="21"/>
          <w:highlight w:val="none"/>
        </w:rPr>
        <w:t>本次</w:t>
      </w:r>
      <w:r>
        <w:rPr>
          <w:rFonts w:hint="eastAsia" w:asciiTheme="minorEastAsia" w:hAnsiTheme="minorEastAsia" w:eastAsiaTheme="minorEastAsia" w:cstheme="minorEastAsia"/>
          <w:color w:val="auto"/>
          <w:szCs w:val="21"/>
          <w:highlight w:val="none"/>
        </w:rPr>
        <w:t>项目的招标、投标、评标、定标、验收、合同履约、付款等行为（法律、法规另有规定的，从其规定）。</w:t>
      </w:r>
    </w:p>
    <w:p w14:paraId="16404A37">
      <w:pPr>
        <w:shd w:val="clear"/>
        <w:snapToGrid w:val="0"/>
        <w:spacing w:beforeLines="50" w:line="360" w:lineRule="auto"/>
        <w:ind w:firstLine="310" w:firstLineChars="147"/>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（二）定义</w:t>
      </w:r>
    </w:p>
    <w:p w14:paraId="5B7632B4">
      <w:pPr>
        <w:pStyle w:val="5"/>
        <w:keepNext w:val="0"/>
        <w:keepLines w:val="0"/>
        <w:numPr>
          <w:ilvl w:val="0"/>
          <w:numId w:val="13"/>
        </w:numPr>
        <w:shd w:val="clear"/>
        <w:tabs>
          <w:tab w:val="left" w:pos="0"/>
          <w:tab w:val="left" w:pos="851"/>
        </w:tabs>
        <w:autoSpaceDE w:val="0"/>
        <w:autoSpaceDN w:val="0"/>
        <w:adjustRightInd w:val="0"/>
        <w:snapToGrid w:val="0"/>
        <w:spacing w:before="0" w:after="0" w:line="360" w:lineRule="auto"/>
        <w:ind w:left="0" w:firstLine="420" w:firstLineChars="200"/>
        <w:jc w:val="left"/>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zh-CN"/>
        </w:rPr>
        <w:t>“采购组织机构”指采购人委托组织招标的采购代理机构。</w:t>
      </w:r>
    </w:p>
    <w:p w14:paraId="57108425">
      <w:pPr>
        <w:pStyle w:val="5"/>
        <w:keepNext w:val="0"/>
        <w:keepLines w:val="0"/>
        <w:numPr>
          <w:ilvl w:val="0"/>
          <w:numId w:val="13"/>
        </w:numPr>
        <w:shd w:val="clear"/>
        <w:tabs>
          <w:tab w:val="left" w:pos="0"/>
          <w:tab w:val="left" w:pos="851"/>
        </w:tabs>
        <w:autoSpaceDE w:val="0"/>
        <w:autoSpaceDN w:val="0"/>
        <w:adjustRightInd w:val="0"/>
        <w:snapToGrid w:val="0"/>
        <w:spacing w:before="0" w:after="0" w:line="360" w:lineRule="auto"/>
        <w:ind w:left="0" w:firstLine="420" w:firstLineChars="200"/>
        <w:jc w:val="left"/>
        <w:rPr>
          <w:rFonts w:asciiTheme="minorEastAsia" w:hAnsiTheme="minorEastAsia" w:eastAsiaTheme="minorEastAsia" w:cstheme="minorEastAsia"/>
          <w:b w:val="0"/>
          <w:bCs w:val="0"/>
          <w:color w:val="auto"/>
          <w:sz w:val="21"/>
          <w:szCs w:val="21"/>
          <w:highlight w:val="none"/>
          <w:lang w:val="zh-CN"/>
        </w:rPr>
      </w:pPr>
      <w:r>
        <w:rPr>
          <w:rFonts w:hint="eastAsia" w:asciiTheme="minorEastAsia" w:hAnsiTheme="minorEastAsia" w:eastAsiaTheme="minorEastAsia" w:cstheme="minorEastAsia"/>
          <w:b w:val="0"/>
          <w:bCs w:val="0"/>
          <w:color w:val="auto"/>
          <w:sz w:val="21"/>
          <w:szCs w:val="21"/>
          <w:highlight w:val="none"/>
          <w:lang w:val="zh-CN"/>
        </w:rPr>
        <w:t>采购人：是指委托采购代理机构采购本次项目的国家机关、事业单位和团体组织。</w:t>
      </w:r>
    </w:p>
    <w:p w14:paraId="7D84FCCC">
      <w:pPr>
        <w:numPr>
          <w:ilvl w:val="0"/>
          <w:numId w:val="13"/>
        </w:numPr>
        <w:shd w:val="clea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投标人：是指向采购</w:t>
      </w:r>
      <w:r>
        <w:rPr>
          <w:rFonts w:hint="eastAsia" w:asciiTheme="minorEastAsia" w:hAnsiTheme="minorEastAsia" w:eastAsiaTheme="minorEastAsia" w:cstheme="minorEastAsia"/>
          <w:color w:val="auto"/>
          <w:szCs w:val="21"/>
          <w:highlight w:val="none"/>
          <w:lang w:val="zh-CN"/>
        </w:rPr>
        <w:t>组织</w:t>
      </w:r>
      <w:r>
        <w:rPr>
          <w:rFonts w:hint="eastAsia" w:asciiTheme="minorEastAsia" w:hAnsiTheme="minorEastAsia" w:eastAsiaTheme="minorEastAsia" w:cstheme="minorEastAsia"/>
          <w:color w:val="auto"/>
          <w:szCs w:val="21"/>
          <w:highlight w:val="none"/>
        </w:rPr>
        <w:t>机构提交投标文件的单位或个人。</w:t>
      </w:r>
    </w:p>
    <w:p w14:paraId="211FEE8A">
      <w:pPr>
        <w:numPr>
          <w:ilvl w:val="0"/>
          <w:numId w:val="13"/>
        </w:numPr>
        <w:shd w:val="clea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货物：是指各种形态和种类的物品，包括原材料、燃料、设备、产品等。</w:t>
      </w:r>
    </w:p>
    <w:p w14:paraId="04D4637A">
      <w:pPr>
        <w:numPr>
          <w:ilvl w:val="0"/>
          <w:numId w:val="13"/>
        </w:numPr>
        <w:shd w:val="clear"/>
        <w:snapToGrid w:val="0"/>
        <w:spacing w:line="360" w:lineRule="auto"/>
        <w:ind w:left="0" w:firstLine="420" w:firstLineChars="200"/>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服务：是指除货物和工程以外的政府采购对象，包括各类专业服务、信息网络开发服务、金融保险服务、运输服务，以及维修与维护服务等。</w:t>
      </w:r>
    </w:p>
    <w:p w14:paraId="63A002F0">
      <w:pPr>
        <w:numPr>
          <w:ilvl w:val="0"/>
          <w:numId w:val="13"/>
        </w:numPr>
        <w:shd w:val="clea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“书面形式”包括信函、传真等。</w:t>
      </w:r>
    </w:p>
    <w:p w14:paraId="221CF6E9">
      <w:pPr>
        <w:numPr>
          <w:ilvl w:val="0"/>
          <w:numId w:val="13"/>
        </w:numPr>
        <w:shd w:val="clea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本采购文件所称公章是指单位法定名称章或者CA签章。</w:t>
      </w:r>
    </w:p>
    <w:p w14:paraId="002FF365">
      <w:pPr>
        <w:numPr>
          <w:ilvl w:val="0"/>
          <w:numId w:val="13"/>
        </w:numPr>
        <w:shd w:val="clea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“▲”系指实质性要求条款。</w:t>
      </w:r>
    </w:p>
    <w:p w14:paraId="056E167E">
      <w:pPr>
        <w:shd w:val="clear"/>
        <w:snapToGrid w:val="0"/>
        <w:spacing w:beforeLines="50" w:line="360" w:lineRule="auto"/>
        <w:ind w:firstLine="413" w:firstLineChars="196"/>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（三）投标费用</w:t>
      </w:r>
    </w:p>
    <w:p w14:paraId="5AB7DFA8">
      <w:pPr>
        <w:numPr>
          <w:ilvl w:val="0"/>
          <w:numId w:val="14"/>
        </w:numPr>
        <w:shd w:val="clear"/>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不论投标结果如何，投标人均应自行承担所有与投标有关的全部费用（采购文件有相关规定除外）。</w:t>
      </w:r>
    </w:p>
    <w:p w14:paraId="6AE8FF01">
      <w:pPr>
        <w:shd w:val="clea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2.招标代理服务费：</w:t>
      </w:r>
      <w:r>
        <w:rPr>
          <w:rFonts w:hint="eastAsia" w:hAnsi="宋体" w:cs="宋体"/>
          <w:color w:val="auto"/>
          <w:szCs w:val="21"/>
          <w:highlight w:val="none"/>
        </w:rPr>
        <w:t>按照中标通知书确定的中标金额，</w:t>
      </w:r>
      <w:r>
        <w:rPr>
          <w:rFonts w:hint="eastAsia" w:hAnsi="宋体" w:cs="宋体"/>
          <w:color w:val="auto"/>
          <w:szCs w:val="21"/>
          <w:highlight w:val="none"/>
          <w:lang w:val="en-US" w:eastAsia="zh-CN"/>
        </w:rPr>
        <w:t>按下附表收费标准，采用差额累进算法</w:t>
      </w:r>
      <w:r>
        <w:rPr>
          <w:rFonts w:hint="eastAsia" w:hAnsi="宋体" w:cs="宋体"/>
          <w:color w:val="auto"/>
          <w:szCs w:val="21"/>
          <w:highlight w:val="none"/>
        </w:rPr>
        <w:t>向中标单位收取代理服务费。</w:t>
      </w:r>
      <w:r>
        <w:rPr>
          <w:rFonts w:hint="eastAsia" w:asciiTheme="minorEastAsia" w:hAnsiTheme="minorEastAsia" w:eastAsiaTheme="minorEastAsia" w:cstheme="minorEastAsia"/>
          <w:color w:val="auto"/>
          <w:sz w:val="21"/>
          <w:szCs w:val="21"/>
          <w:highlight w:val="none"/>
        </w:rPr>
        <w:t>代理服务费结算不足</w:t>
      </w:r>
      <w:r>
        <w:rPr>
          <w:rFonts w:hint="eastAsia" w:asciiTheme="minorEastAsia" w:hAnsiTheme="minorEastAsia" w:eastAsiaTheme="minorEastAsia" w:cstheme="minorEastAsia"/>
          <w:color w:val="auto"/>
          <w:sz w:val="21"/>
          <w:szCs w:val="21"/>
          <w:highlight w:val="none"/>
          <w:lang w:val="en-US" w:eastAsia="zh-CN"/>
        </w:rPr>
        <w:t>陆仟元</w:t>
      </w:r>
      <w:r>
        <w:rPr>
          <w:rFonts w:hint="eastAsia" w:asciiTheme="minorEastAsia" w:hAnsiTheme="minorEastAsia" w:eastAsiaTheme="minorEastAsia" w:cstheme="minorEastAsia"/>
          <w:color w:val="auto"/>
          <w:sz w:val="21"/>
          <w:szCs w:val="21"/>
          <w:highlight w:val="none"/>
        </w:rPr>
        <w:t>的，按定额</w:t>
      </w:r>
      <w:r>
        <w:rPr>
          <w:rFonts w:hint="eastAsia" w:asciiTheme="minorEastAsia" w:hAnsiTheme="minorEastAsia" w:eastAsiaTheme="minorEastAsia" w:cstheme="minorEastAsia"/>
          <w:color w:val="auto"/>
          <w:sz w:val="21"/>
          <w:szCs w:val="21"/>
          <w:highlight w:val="none"/>
          <w:lang w:val="en-US" w:eastAsia="zh-CN"/>
        </w:rPr>
        <w:t>陆仟元</w:t>
      </w:r>
      <w:r>
        <w:rPr>
          <w:rFonts w:hint="eastAsia" w:asciiTheme="minorEastAsia" w:hAnsiTheme="minorEastAsia" w:eastAsiaTheme="minorEastAsia" w:cstheme="minorEastAsia"/>
          <w:color w:val="auto"/>
          <w:sz w:val="21"/>
          <w:szCs w:val="21"/>
          <w:highlight w:val="none"/>
        </w:rPr>
        <w:t>收取。该费用中标方须在领取中标通知书时一次性付清。</w:t>
      </w:r>
    </w:p>
    <w:p w14:paraId="72B5DBAE">
      <w:pPr>
        <w:shd w:val="clea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附表：招标代理服务收费标准</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14:paraId="36A5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14:paraId="00658B92">
            <w:pPr>
              <w:keepNext w:val="0"/>
              <w:keepLines w:val="0"/>
              <w:suppressLineNumbers w:val="0"/>
              <w:shd w:val="clear"/>
              <w:spacing w:before="0" w:beforeAutospacing="0" w:after="0" w:afterAutospacing="0"/>
              <w:ind w:left="0" w:right="0" w:firstLine="1470" w:firstLineChars="700"/>
              <w:rPr>
                <w:rFonts w:hint="default" w:asciiTheme="minorEastAsia" w:hAnsiTheme="minorEastAsia" w:eastAsiaTheme="minorEastAsia" w:cstheme="minorEastAsia"/>
                <w:b/>
                <w:color w:val="auto"/>
                <w:szCs w:val="21"/>
                <w:highlight w:val="none"/>
              </w:rPr>
            </w:pPr>
            <w:r>
              <w:rPr>
                <w:rFonts w:hint="default"/>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4384;mso-width-relative:page;mso-height-relative:page;" filled="f" stroked="t" coordsize="21600,21600" o:gfxdata="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iVp7fYAAAACAEAAA8AAAAAAAAAAQAgAAAAIgAAAGRycy9kb3du&#10;cmV2LnhtbFBLAQIUABQAAAAIAIdO4kBNKVML/wEAANQDAAAOAAAAAAAAAAEAIAAAACcBAABkcnMv&#10;ZTJvRG9jLnhtbFBLBQYAAAAABgAGAFkBAACYBQAAAAA=&#10;">
                      <v:fill on="f" focussize="0,0"/>
                      <v:stroke weight="0.5pt" color="#000000 [3200]" miterlimit="8" joinstyle="miter"/>
                      <v:imagedata o:title=""/>
                      <o:lock v:ext="edit" aspectratio="f"/>
                    </v:line>
                  </w:pict>
                </mc:Fallback>
              </mc:AlternateContent>
            </w:r>
            <w:r>
              <w:rPr>
                <w:rFonts w:hint="default"/>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3360;mso-width-relative:page;mso-height-relative:page;" filled="f" stroked="t" coordsize="21600,21600" o:gfxdata="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xnLOXVAAAACAEAAA8AAAAAAAAAAQAgAAAAIgAAAGRycy9kb3ducmV2LnhtbFBLAQIU&#10;ABQAAAAIAIdO4kA4MV+S9gEAAMADAAAOAAAAAAAAAAEAIAAAACQBAABkcnMvZTJvRG9jLnhtbFBL&#10;BQYAAAAABgAGAFkBAACMBQAAAAA=&#10;">
                      <v:fill on="f" focussize="0,0"/>
                      <v:stroke weight="0.5pt" color="#000000 [3200]" miterlimit="8" joinstyle="miter"/>
                      <v:imagedata o:title=""/>
                      <o:lock v:ext="edit" aspectratio="f"/>
                    </v:line>
                  </w:pict>
                </mc:Fallback>
              </mc:AlternateContent>
            </w:r>
            <w:r>
              <w:rPr>
                <w:rFonts w:hint="eastAsia" w:asciiTheme="minorEastAsia" w:hAnsiTheme="minorEastAsia" w:eastAsiaTheme="minorEastAsia" w:cstheme="minorEastAsia"/>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color w:val="auto"/>
                <w:szCs w:val="21"/>
                <w:highlight w:val="none"/>
              </w:rPr>
              <w:t>服务</w:t>
            </w:r>
          </w:p>
          <w:p w14:paraId="04F569D8">
            <w:pPr>
              <w:keepNext w:val="0"/>
              <w:keepLines w:val="0"/>
              <w:suppressLineNumbers w:val="0"/>
              <w:shd w:val="clear"/>
              <w:spacing w:before="0" w:beforeAutospacing="0" w:after="0" w:afterAutospacing="0"/>
              <w:ind w:left="0" w:right="0" w:firstLine="1054" w:firstLineChars="500"/>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费　　类型</w:t>
            </w:r>
          </w:p>
          <w:p w14:paraId="22DD88D2">
            <w:pPr>
              <w:keepNext w:val="0"/>
              <w:keepLines w:val="0"/>
              <w:suppressLineNumbers w:val="0"/>
              <w:shd w:val="clear"/>
              <w:spacing w:before="0" w:beforeAutospacing="0" w:after="0" w:afterAutospacing="0"/>
              <w:ind w:left="0" w:right="0" w:firstLine="1476" w:firstLineChars="700"/>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率</w:t>
            </w:r>
          </w:p>
          <w:p w14:paraId="2F7E935A">
            <w:pPr>
              <w:keepNext w:val="0"/>
              <w:keepLines w:val="0"/>
              <w:suppressLineNumbers w:val="0"/>
              <w:shd w:val="clear"/>
              <w:spacing w:before="0" w:beforeAutospacing="0" w:after="0" w:afterAutospacing="0"/>
              <w:ind w:left="0" w:right="0"/>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中标金额（万元）</w:t>
            </w:r>
          </w:p>
        </w:tc>
        <w:tc>
          <w:tcPr>
            <w:tcW w:w="2067" w:type="dxa"/>
            <w:vAlign w:val="center"/>
          </w:tcPr>
          <w:p w14:paraId="2A1599AC">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货物招标</w:t>
            </w:r>
          </w:p>
        </w:tc>
        <w:tc>
          <w:tcPr>
            <w:tcW w:w="2067" w:type="dxa"/>
            <w:vAlign w:val="center"/>
          </w:tcPr>
          <w:p w14:paraId="04D57600">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服务招标</w:t>
            </w:r>
          </w:p>
        </w:tc>
        <w:tc>
          <w:tcPr>
            <w:tcW w:w="2067" w:type="dxa"/>
            <w:vAlign w:val="center"/>
          </w:tcPr>
          <w:p w14:paraId="3BD8DEE0">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工程招标</w:t>
            </w:r>
          </w:p>
        </w:tc>
      </w:tr>
      <w:tr w14:paraId="3C31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6ADEA300">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100以下</w:t>
            </w:r>
          </w:p>
        </w:tc>
        <w:tc>
          <w:tcPr>
            <w:tcW w:w="2067" w:type="dxa"/>
          </w:tcPr>
          <w:p w14:paraId="51FFC06D">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2067" w:type="dxa"/>
          </w:tcPr>
          <w:p w14:paraId="6B94CDE3">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2067" w:type="dxa"/>
          </w:tcPr>
          <w:p w14:paraId="15C80587">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14:paraId="54FC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3BA94D57">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100-500</w:t>
            </w:r>
          </w:p>
        </w:tc>
        <w:tc>
          <w:tcPr>
            <w:tcW w:w="2067" w:type="dxa"/>
          </w:tcPr>
          <w:p w14:paraId="2736F6EC">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2067" w:type="dxa"/>
          </w:tcPr>
          <w:p w14:paraId="60545B41">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0.8%</w:t>
            </w:r>
          </w:p>
        </w:tc>
        <w:tc>
          <w:tcPr>
            <w:tcW w:w="2067" w:type="dxa"/>
          </w:tcPr>
          <w:p w14:paraId="000E392E">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0.7%</w:t>
            </w:r>
          </w:p>
        </w:tc>
      </w:tr>
      <w:tr w14:paraId="2D19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0A26249D">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500-1000</w:t>
            </w:r>
          </w:p>
        </w:tc>
        <w:tc>
          <w:tcPr>
            <w:tcW w:w="2067" w:type="dxa"/>
          </w:tcPr>
          <w:p w14:paraId="7AA472F7">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0.8%</w:t>
            </w:r>
          </w:p>
        </w:tc>
        <w:tc>
          <w:tcPr>
            <w:tcW w:w="2067" w:type="dxa"/>
          </w:tcPr>
          <w:p w14:paraId="4FB40A74">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0.45%</w:t>
            </w:r>
          </w:p>
        </w:tc>
        <w:tc>
          <w:tcPr>
            <w:tcW w:w="2067" w:type="dxa"/>
          </w:tcPr>
          <w:p w14:paraId="2FCE2ADA">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0.55%</w:t>
            </w:r>
          </w:p>
        </w:tc>
      </w:tr>
      <w:tr w14:paraId="5B6D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12150C48">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1000-5000</w:t>
            </w:r>
          </w:p>
        </w:tc>
        <w:tc>
          <w:tcPr>
            <w:tcW w:w="2067" w:type="dxa"/>
          </w:tcPr>
          <w:p w14:paraId="3428C560">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w:t>
            </w:r>
          </w:p>
        </w:tc>
        <w:tc>
          <w:tcPr>
            <w:tcW w:w="2067" w:type="dxa"/>
          </w:tcPr>
          <w:p w14:paraId="57E3DEBD">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0.25%</w:t>
            </w:r>
          </w:p>
        </w:tc>
        <w:tc>
          <w:tcPr>
            <w:tcW w:w="2067" w:type="dxa"/>
          </w:tcPr>
          <w:p w14:paraId="0EF1A94F">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0.35%</w:t>
            </w:r>
          </w:p>
        </w:tc>
      </w:tr>
      <w:tr w14:paraId="3420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2B64DAF4">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5000-10000</w:t>
            </w:r>
          </w:p>
        </w:tc>
        <w:tc>
          <w:tcPr>
            <w:tcW w:w="2067" w:type="dxa"/>
          </w:tcPr>
          <w:p w14:paraId="56D3C9F0">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0.25%</w:t>
            </w:r>
          </w:p>
        </w:tc>
        <w:tc>
          <w:tcPr>
            <w:tcW w:w="2067" w:type="dxa"/>
          </w:tcPr>
          <w:p w14:paraId="00F814F2">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0.1%</w:t>
            </w:r>
          </w:p>
        </w:tc>
        <w:tc>
          <w:tcPr>
            <w:tcW w:w="2067" w:type="dxa"/>
          </w:tcPr>
          <w:p w14:paraId="50BA9CF2">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w:t>
            </w:r>
          </w:p>
        </w:tc>
      </w:tr>
      <w:tr w14:paraId="41C5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2F26AD4C">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10000-100000</w:t>
            </w:r>
          </w:p>
        </w:tc>
        <w:tc>
          <w:tcPr>
            <w:tcW w:w="2067" w:type="dxa"/>
          </w:tcPr>
          <w:p w14:paraId="1604AD07">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2067" w:type="dxa"/>
          </w:tcPr>
          <w:p w14:paraId="4D896CB6">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2067" w:type="dxa"/>
          </w:tcPr>
          <w:p w14:paraId="701EEABD">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r>
      <w:tr w14:paraId="6835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14:paraId="6AD5E553">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100000以上</w:t>
            </w:r>
          </w:p>
        </w:tc>
        <w:tc>
          <w:tcPr>
            <w:tcW w:w="2067" w:type="dxa"/>
          </w:tcPr>
          <w:p w14:paraId="7B54D28B">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c>
          <w:tcPr>
            <w:tcW w:w="2067" w:type="dxa"/>
          </w:tcPr>
          <w:p w14:paraId="03EE9BCE">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c>
          <w:tcPr>
            <w:tcW w:w="2067" w:type="dxa"/>
          </w:tcPr>
          <w:p w14:paraId="541A9EEA">
            <w:pPr>
              <w:keepNext w:val="0"/>
              <w:keepLines w:val="0"/>
              <w:suppressLineNumbers w:val="0"/>
              <w:shd w:val="clear"/>
              <w:spacing w:before="0" w:beforeAutospacing="0" w:after="0" w:afterAutospacing="0"/>
              <w:ind w:left="0" w:right="0"/>
              <w:jc w:val="center"/>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r>
    </w:tbl>
    <w:p w14:paraId="05A2AD2C">
      <w:pPr>
        <w:shd w:val="clear"/>
        <w:snapToGrid w:val="0"/>
        <w:spacing w:line="360" w:lineRule="auto"/>
        <w:ind w:firstLine="420" w:firstLineChars="200"/>
        <w:rPr>
          <w:rFonts w:hAnsi="宋体" w:cs="宋体"/>
          <w:color w:val="auto"/>
          <w:szCs w:val="21"/>
          <w:highlight w:val="none"/>
        </w:rPr>
      </w:pPr>
    </w:p>
    <w:p w14:paraId="0E36299F">
      <w:pPr>
        <w:pStyle w:val="28"/>
        <w:shd w:val="clear"/>
        <w:snapToGrid w:val="0"/>
        <w:spacing w:line="360" w:lineRule="auto"/>
        <w:ind w:left="2" w:leftChars="1"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（四）特别说明</w:t>
      </w:r>
    </w:p>
    <w:p w14:paraId="644BEDE4">
      <w:pPr>
        <w:pStyle w:val="28"/>
        <w:numPr>
          <w:ilvl w:val="0"/>
          <w:numId w:val="15"/>
        </w:numPr>
        <w:shd w:val="clear"/>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投标人投标所使用的资格、信誉、荣誉、业绩与企业认证必须为本法人所拥有。投标人投标所使用的采购项目实施人员必须为本法人员工（指本法人或控股公司正式员工）。</w:t>
      </w:r>
    </w:p>
    <w:p w14:paraId="55D8FFAA">
      <w:pPr>
        <w:numPr>
          <w:ilvl w:val="0"/>
          <w:numId w:val="15"/>
        </w:numPr>
        <w:shd w:val="clear"/>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EastAsia"/>
          <w:color w:val="auto"/>
          <w:szCs w:val="21"/>
          <w:highlight w:val="none"/>
        </w:rPr>
        <w:tab/>
      </w:r>
    </w:p>
    <w:p w14:paraId="7823F0CE">
      <w:pPr>
        <w:pStyle w:val="62"/>
        <w:numPr>
          <w:ilvl w:val="0"/>
          <w:numId w:val="15"/>
        </w:numPr>
        <w:shd w:val="clear"/>
        <w:snapToGrid w:val="0"/>
        <w:spacing w:line="360" w:lineRule="auto"/>
        <w:ind w:left="0"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139A5E4">
      <w:pPr>
        <w:pStyle w:val="5"/>
        <w:keepNext w:val="0"/>
        <w:keepLines w:val="0"/>
        <w:numPr>
          <w:ilvl w:val="0"/>
          <w:numId w:val="15"/>
        </w:numPr>
        <w:shd w:val="clea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1586B06D">
      <w:pPr>
        <w:pStyle w:val="5"/>
        <w:keepNext w:val="0"/>
        <w:keepLines w:val="0"/>
        <w:numPr>
          <w:ilvl w:val="0"/>
          <w:numId w:val="15"/>
        </w:numPr>
        <w:shd w:val="clea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为采购项目提供整体设计、规范编制或者项目管理、监理、检测等服务的供应商，不得再参加该采购项目的其他采购活动。</w:t>
      </w:r>
    </w:p>
    <w:p w14:paraId="7CDB0550">
      <w:pPr>
        <w:pStyle w:val="5"/>
        <w:keepNext w:val="0"/>
        <w:keepLines w:val="0"/>
        <w:numPr>
          <w:ilvl w:val="0"/>
          <w:numId w:val="15"/>
        </w:numPr>
        <w:shd w:val="clea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投标文件格式中的表格式样可以根据项目差别做适当调整,但应当保持表格样式基本形态不变。</w:t>
      </w:r>
    </w:p>
    <w:p w14:paraId="4F678DD8">
      <w:pPr>
        <w:pStyle w:val="5"/>
        <w:keepNext w:val="0"/>
        <w:keepLines w:val="0"/>
        <w:numPr>
          <w:ilvl w:val="0"/>
          <w:numId w:val="15"/>
        </w:numPr>
        <w:shd w:val="clear"/>
        <w:tabs>
          <w:tab w:val="left" w:pos="851"/>
        </w:tabs>
        <w:autoSpaceDE w:val="0"/>
        <w:autoSpaceDN w:val="0"/>
        <w:adjustRightInd w:val="0"/>
        <w:snapToGrid w:val="0"/>
        <w:spacing w:before="0" w:after="0" w:line="360" w:lineRule="auto"/>
        <w:ind w:left="0"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▲单位负责人为同一人或者存在直接控股、管理关系的不同供应商，不得参加同一合同项下的政府采购活动，否则，相关供应商均按无效标处理。</w:t>
      </w:r>
    </w:p>
    <w:p w14:paraId="2EA488AC">
      <w:pPr>
        <w:pStyle w:val="5"/>
        <w:keepNext w:val="0"/>
        <w:keepLines w:val="0"/>
        <w:numPr>
          <w:ilvl w:val="0"/>
          <w:numId w:val="15"/>
        </w:numPr>
        <w:shd w:val="clear"/>
        <w:tabs>
          <w:tab w:val="left" w:pos="851"/>
        </w:tabs>
        <w:autoSpaceDE w:val="0"/>
        <w:autoSpaceDN w:val="0"/>
        <w:adjustRightInd w:val="0"/>
        <w:snapToGrid w:val="0"/>
        <w:spacing w:before="0" w:after="0" w:line="360" w:lineRule="auto"/>
        <w:ind w:left="0"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▲法定代表人或者负责人有夫妻、直系血亲、三代以内旁系血亲或者近姻亲关系的不同供应商，不得参加同一合同项下的政府采购活动，否则，相关供应商均按无效标处理。</w:t>
      </w:r>
    </w:p>
    <w:p w14:paraId="64D8B516">
      <w:pPr>
        <w:pStyle w:val="5"/>
        <w:keepNext w:val="0"/>
        <w:keepLines w:val="0"/>
        <w:numPr>
          <w:ilvl w:val="0"/>
          <w:numId w:val="15"/>
        </w:numPr>
        <w:shd w:val="clea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公益一类事业单位不属于政府购买服务的承接主体，不得参与承接政府购买服务。</w:t>
      </w:r>
    </w:p>
    <w:p w14:paraId="494E2B68">
      <w:pPr>
        <w:pStyle w:val="59"/>
        <w:numPr>
          <w:ilvl w:val="0"/>
          <w:numId w:val="15"/>
        </w:numPr>
        <w:shd w:val="clear"/>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本项目不允许分包。</w:t>
      </w:r>
    </w:p>
    <w:p w14:paraId="55355414">
      <w:pPr>
        <w:shd w:val="clea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二、招标文件</w:t>
      </w:r>
    </w:p>
    <w:p w14:paraId="0712E048">
      <w:pPr>
        <w:shd w:val="clea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（一）招标文件由招标文件总目录所列内容组成。</w:t>
      </w:r>
    </w:p>
    <w:p w14:paraId="2B7A471E">
      <w:pPr>
        <w:shd w:val="clea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（二）招标文件的澄清或修改</w:t>
      </w:r>
    </w:p>
    <w:p w14:paraId="1A9EE2BA">
      <w:pPr>
        <w:shd w:val="clea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6DBC7212">
      <w:pPr>
        <w:shd w:val="clea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30BF6AF3">
      <w:pPr>
        <w:pStyle w:val="22"/>
        <w:shd w:val="clea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3、当招标文件与招标文件的澄清、修改、补充等在同一内容的表述上不一致时，以最后发出的书面文件为准。</w:t>
      </w:r>
    </w:p>
    <w:p w14:paraId="1EF9E833">
      <w:pPr>
        <w:shd w:val="clear"/>
        <w:tabs>
          <w:tab w:val="left" w:pos="1418"/>
        </w:tabs>
        <w:autoSpaceDE w:val="0"/>
        <w:autoSpaceDN w:val="0"/>
        <w:adjustRightInd w:val="0"/>
        <w:spacing w:line="360" w:lineRule="auto"/>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 xml:space="preserve"> 三、投标文件</w:t>
      </w:r>
    </w:p>
    <w:p w14:paraId="7FF6A9BB">
      <w:pPr>
        <w:shd w:val="clear"/>
        <w:autoSpaceDE w:val="0"/>
        <w:autoSpaceDN w:val="0"/>
        <w:adjustRightInd w:val="0"/>
        <w:spacing w:line="440" w:lineRule="exact"/>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szCs w:val="21"/>
          <w:highlight w:val="none"/>
          <w:lang w:val="zh-CN"/>
        </w:rPr>
        <w:t>（一）</w:t>
      </w:r>
      <w:r>
        <w:rPr>
          <w:rFonts w:hint="eastAsia" w:asciiTheme="minorEastAsia" w:hAnsiTheme="minorEastAsia" w:eastAsiaTheme="minorEastAsia" w:cstheme="minorEastAsia"/>
          <w:b/>
          <w:bCs/>
          <w:color w:val="auto"/>
          <w:kern w:val="0"/>
          <w:szCs w:val="21"/>
          <w:highlight w:val="none"/>
        </w:rPr>
        <w:t>投标文件的形式</w:t>
      </w:r>
      <w:r>
        <w:rPr>
          <w:rFonts w:hint="eastAsia" w:asciiTheme="minorEastAsia" w:hAnsiTheme="minorEastAsia" w:eastAsiaTheme="minorEastAsia" w:cstheme="minorEastAsia"/>
          <w:b/>
          <w:color w:val="auto"/>
          <w:szCs w:val="21"/>
          <w:highlight w:val="none"/>
        </w:rPr>
        <w:t>和使用规则</w:t>
      </w:r>
    </w:p>
    <w:p w14:paraId="3AB2C417">
      <w:pPr>
        <w:shd w:val="clear"/>
        <w:autoSpaceDE w:val="0"/>
        <w:autoSpaceDN w:val="0"/>
        <w:adjustRightInd w:val="0"/>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本项目实行电子招投标，各供应商应按照本项目招标文件和政采云平台的相关要求编制、加密并提交投标文件，因现阶段为电子交易试运行阶段，为保证项目顺利开展，各供应商应同时制作以下内容：</w:t>
      </w:r>
    </w:p>
    <w:p w14:paraId="1EA52012">
      <w:pPr>
        <w:shd w:val="clear"/>
        <w:autoSpaceDE w:val="0"/>
        <w:autoSpaceDN w:val="0"/>
        <w:adjustRightInd w:val="0"/>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1、电子加密标书（</w:t>
      </w:r>
      <w:r>
        <w:rPr>
          <w:rFonts w:hint="eastAsia" w:asciiTheme="minorEastAsia" w:hAnsiTheme="minorEastAsia" w:eastAsiaTheme="minorEastAsia" w:cstheme="minorEastAsia"/>
          <w:color w:val="auto"/>
          <w:szCs w:val="21"/>
          <w:highlight w:val="none"/>
        </w:rPr>
        <w:t>供应商须通过政采云平台的政采云电子交易客户端制作投标文件，电子投标相关操作详见</w:t>
      </w:r>
      <w:r>
        <w:rPr>
          <w:color w:val="auto"/>
          <w:highlight w:val="none"/>
        </w:rPr>
        <w:fldChar w:fldCharType="begin"/>
      </w:r>
      <w:r>
        <w:rPr>
          <w:color w:val="auto"/>
          <w:highlight w:val="none"/>
        </w:rPr>
        <w:instrText xml:space="preserve"> HYPERLINK "https://service.zcygov.cn/" \l "/help/superior" </w:instrText>
      </w:r>
      <w:r>
        <w:rPr>
          <w:color w:val="auto"/>
          <w:highlight w:val="none"/>
        </w:rPr>
        <w:fldChar w:fldCharType="separate"/>
      </w:r>
      <w:r>
        <w:rPr>
          <w:rStyle w:val="53"/>
          <w:rFonts w:hint="eastAsia" w:asciiTheme="minorEastAsia" w:hAnsiTheme="minorEastAsia" w:eastAsiaTheme="minorEastAsia" w:cstheme="minorEastAsia"/>
          <w:color w:val="auto"/>
          <w:szCs w:val="21"/>
          <w:highlight w:val="none"/>
        </w:rPr>
        <w:t>https://service.zcygov.cn/#/help/superior</w:t>
      </w:r>
      <w:r>
        <w:rPr>
          <w:rStyle w:val="53"/>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zh-CN"/>
        </w:rPr>
        <w:t>在政采云系统平台上传）。</w:t>
      </w:r>
    </w:p>
    <w:p w14:paraId="03AB82E2">
      <w:pPr>
        <w:shd w:val="clear"/>
        <w:autoSpaceDE w:val="0"/>
        <w:autoSpaceDN w:val="0"/>
        <w:adjustRightInd w:val="0"/>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2、电子备份标书一份（后缀名为“.bfbs”，以U盘或光盘等形式提供），单独密封包装。</w:t>
      </w:r>
    </w:p>
    <w:p w14:paraId="0AE9B68A">
      <w:pPr>
        <w:shd w:val="clear"/>
        <w:autoSpaceDE w:val="0"/>
        <w:autoSpaceDN w:val="0"/>
        <w:adjustRightInd w:val="0"/>
        <w:spacing w:line="440" w:lineRule="exact"/>
        <w:ind w:firstLine="420"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lang w:val="zh-CN"/>
        </w:rPr>
        <w:t>3、纸质投标文件（商务与技术文件）一份，密封包装。</w:t>
      </w:r>
    </w:p>
    <w:p w14:paraId="2C55B780">
      <w:pPr>
        <w:pStyle w:val="22"/>
        <w:shd w:val="clear"/>
        <w:ind w:firstLine="422" w:firstLineChars="200"/>
        <w:rPr>
          <w:rFonts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rPr>
        <w:t>注：</w:t>
      </w:r>
      <w:r>
        <w:rPr>
          <w:rFonts w:hint="eastAsia" w:asciiTheme="minorEastAsia" w:hAnsiTheme="minorEastAsia" w:eastAsiaTheme="minorEastAsia" w:cstheme="minorEastAsia"/>
          <w:b/>
          <w:color w:val="auto"/>
          <w:sz w:val="21"/>
          <w:szCs w:val="21"/>
          <w:highlight w:val="none"/>
          <w:lang w:val="zh-CN"/>
        </w:rPr>
        <w:t>投标文件启用顺序和效力：投标文件的启用，按先后顺位分别为电子投标文件、备份投标文件。</w:t>
      </w:r>
    </w:p>
    <w:p w14:paraId="1BF88359">
      <w:pPr>
        <w:pStyle w:val="22"/>
        <w:shd w:val="clear"/>
        <w:ind w:firstLine="422" w:firstLineChars="200"/>
        <w:rPr>
          <w:rFonts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全部投标人的电子投标文件均已按时解密的，电子备份文件和纸质投标文件自动失效，若有供应商发生解密异常时，可以申请由采购代理机构使用电子备份标书上传处理，供应商的电子标书解密和备份标书解密均失败或逾期解密的，投标文件将作无效标处理。投标人仅提交备份投标文件，没有在电子交易平台传输递交“电子加密投标文件”的，投标无效。</w:t>
      </w:r>
    </w:p>
    <w:p w14:paraId="31653FD0">
      <w:pPr>
        <w:shd w:val="clear"/>
        <w:autoSpaceDE w:val="0"/>
        <w:autoSpaceDN w:val="0"/>
        <w:adjustRightIn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szCs w:val="21"/>
          <w:highlight w:val="none"/>
          <w:lang w:val="zh-CN"/>
        </w:rPr>
        <w:t>（</w:t>
      </w:r>
      <w:r>
        <w:rPr>
          <w:rFonts w:hint="eastAsia" w:asciiTheme="minorEastAsia" w:hAnsiTheme="minorEastAsia" w:eastAsiaTheme="minorEastAsia" w:cstheme="minorEastAsia"/>
          <w:b/>
          <w:color w:val="auto"/>
          <w:szCs w:val="21"/>
          <w:highlight w:val="none"/>
        </w:rPr>
        <w:t>二</w:t>
      </w:r>
      <w:r>
        <w:rPr>
          <w:rFonts w:hint="eastAsia" w:asciiTheme="minorEastAsia" w:hAnsiTheme="minorEastAsia" w:eastAsiaTheme="minorEastAsia" w:cstheme="minorEastAsia"/>
          <w:b/>
          <w:color w:val="auto"/>
          <w:szCs w:val="21"/>
          <w:highlight w:val="none"/>
          <w:lang w:val="zh-CN"/>
        </w:rPr>
        <w:t>）</w:t>
      </w:r>
      <w:r>
        <w:rPr>
          <w:rFonts w:hint="eastAsia" w:asciiTheme="minorEastAsia" w:hAnsiTheme="minorEastAsia" w:eastAsiaTheme="minorEastAsia" w:cstheme="minorEastAsia"/>
          <w:b/>
          <w:bCs/>
          <w:color w:val="auto"/>
          <w:kern w:val="0"/>
          <w:szCs w:val="21"/>
          <w:highlight w:val="none"/>
        </w:rPr>
        <w:t>投标文件的组成</w:t>
      </w:r>
    </w:p>
    <w:p w14:paraId="5B254429">
      <w:pPr>
        <w:shd w:val="clear"/>
        <w:snapToGrid w:val="0"/>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kern w:val="0"/>
          <w:szCs w:val="21"/>
          <w:highlight w:val="none"/>
        </w:rPr>
        <w:t xml:space="preserve">  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p>
    <w:p w14:paraId="63C7A809">
      <w:pPr>
        <w:shd w:val="clear"/>
        <w:snapToGrid w:val="0"/>
        <w:spacing w:line="360" w:lineRule="auto"/>
        <w:ind w:left="420" w:left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▲1、资格证明文件的组成：</w:t>
      </w:r>
    </w:p>
    <w:p w14:paraId="77F45F69">
      <w:pPr>
        <w:shd w:val="clear"/>
        <w:snapToGrid w:val="0"/>
        <w:spacing w:line="360" w:lineRule="auto"/>
        <w:ind w:left="420" w:left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（1）投标声明书（附件2）；</w:t>
      </w:r>
    </w:p>
    <w:p w14:paraId="62CBA317">
      <w:pPr>
        <w:shd w:val="clear"/>
        <w:snapToGrid w:val="0"/>
        <w:spacing w:line="360" w:lineRule="auto"/>
        <w:ind w:left="420" w:left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（2）授权委托书（附件3）；</w:t>
      </w:r>
    </w:p>
    <w:p w14:paraId="30F3CDB4">
      <w:pPr>
        <w:shd w:val="clear"/>
        <w:snapToGrid w:val="0"/>
        <w:spacing w:line="360" w:lineRule="auto"/>
        <w:ind w:left="420" w:left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（3）法人或者其他组织的营业执照等证明文件，自然人的身份证明；</w:t>
      </w:r>
    </w:p>
    <w:p w14:paraId="726BB70E">
      <w:pPr>
        <w:shd w:val="clear"/>
        <w:snapToGrid w:val="0"/>
        <w:spacing w:line="360" w:lineRule="auto"/>
        <w:ind w:left="420" w:left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（4）具有良好的商业信誉和健全的财务会计制度的承诺（附件4）；</w:t>
      </w:r>
    </w:p>
    <w:p w14:paraId="3E4ACB31">
      <w:pPr>
        <w:shd w:val="clear"/>
        <w:snapToGrid w:val="0"/>
        <w:spacing w:line="360" w:lineRule="auto"/>
        <w:ind w:left="420" w:left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（5）依法缴纳税收和社会保障资金的承诺（附件5）；</w:t>
      </w:r>
    </w:p>
    <w:p w14:paraId="63618B59">
      <w:pPr>
        <w:shd w:val="clear"/>
        <w:snapToGrid w:val="0"/>
        <w:spacing w:line="360" w:lineRule="auto"/>
        <w:ind w:left="420" w:left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（6）参加政府采购活动前三年内，在经营活动中没有重大违法记录（附件6）；</w:t>
      </w:r>
    </w:p>
    <w:p w14:paraId="5B2CF649">
      <w:pPr>
        <w:shd w:val="clear"/>
        <w:snapToGrid w:val="0"/>
        <w:spacing w:line="360" w:lineRule="auto"/>
        <w:ind w:left="420" w:left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（7）</w:t>
      </w:r>
      <w:r>
        <w:rPr>
          <w:rFonts w:hint="eastAsia" w:ascii="宋体" w:hAnsi="宋体" w:cs="宋体"/>
          <w:color w:val="auto"/>
          <w:szCs w:val="21"/>
          <w:highlight w:val="none"/>
        </w:rPr>
        <w:t>招标公告中符合供应商特定条件的有效证书或证明资料扫描件（投标供应商特定条件中有要求的必须提供）；</w:t>
      </w:r>
    </w:p>
    <w:p w14:paraId="6FF19DF8">
      <w:pPr>
        <w:shd w:val="clear"/>
        <w:snapToGrid w:val="0"/>
        <w:spacing w:line="360" w:lineRule="auto"/>
        <w:ind w:left="420" w:left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（8）需要说明的其他资料。</w:t>
      </w:r>
    </w:p>
    <w:p w14:paraId="75B37B86">
      <w:pPr>
        <w:shd w:val="clear"/>
        <w:tabs>
          <w:tab w:val="left" w:pos="840"/>
        </w:tabs>
        <w:snapToGrid w:val="0"/>
        <w:spacing w:line="360" w:lineRule="auto"/>
        <w:ind w:left="420" w:leftChars="200"/>
        <w:rPr>
          <w:rFonts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rPr>
        <w:t>2、商务与技术文件的组成：</w:t>
      </w:r>
    </w:p>
    <w:p w14:paraId="2DC25618">
      <w:pPr>
        <w:pStyle w:val="17"/>
        <w:widowControl/>
        <w:shd w:val="clear"/>
        <w:adjustRightInd w:val="0"/>
        <w:snapToGrid w:val="0"/>
        <w:spacing w:line="360" w:lineRule="auto"/>
        <w:ind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（1）供应商基本情况表；</w:t>
      </w:r>
    </w:p>
    <w:p w14:paraId="5E439991">
      <w:pPr>
        <w:pStyle w:val="17"/>
        <w:widowControl/>
        <w:shd w:val="clear"/>
        <w:adjustRightInd w:val="0"/>
        <w:snapToGrid w:val="0"/>
        <w:spacing w:line="360" w:lineRule="auto"/>
        <w:ind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（2）项目实施人员一览表；</w:t>
      </w:r>
    </w:p>
    <w:p w14:paraId="1DA445BF">
      <w:pPr>
        <w:pStyle w:val="17"/>
        <w:widowControl/>
        <w:shd w:val="clear"/>
        <w:adjustRightInd w:val="0"/>
        <w:snapToGrid w:val="0"/>
        <w:spacing w:line="360" w:lineRule="auto"/>
        <w:ind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（3）证书一览表；</w:t>
      </w:r>
    </w:p>
    <w:p w14:paraId="725450A7">
      <w:pPr>
        <w:pStyle w:val="17"/>
        <w:widowControl/>
        <w:shd w:val="clear"/>
        <w:adjustRightInd w:val="0"/>
        <w:snapToGrid w:val="0"/>
        <w:spacing w:line="360" w:lineRule="auto"/>
        <w:ind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（4）供应商类似项目实施情况一览表；</w:t>
      </w:r>
    </w:p>
    <w:p w14:paraId="6C866469">
      <w:pPr>
        <w:pStyle w:val="17"/>
        <w:widowControl/>
        <w:shd w:val="clear"/>
        <w:adjustRightInd w:val="0"/>
        <w:snapToGrid w:val="0"/>
        <w:spacing w:line="360" w:lineRule="auto"/>
        <w:ind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（5）投标方案描述；</w:t>
      </w:r>
    </w:p>
    <w:p w14:paraId="4FEA696C">
      <w:pPr>
        <w:pStyle w:val="17"/>
        <w:widowControl/>
        <w:shd w:val="clear"/>
        <w:adjustRightInd w:val="0"/>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（6）技术需求响应表；</w:t>
      </w:r>
    </w:p>
    <w:p w14:paraId="68558CF8">
      <w:pPr>
        <w:pStyle w:val="17"/>
        <w:widowControl/>
        <w:shd w:val="clear"/>
        <w:adjustRightInd w:val="0"/>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（7）商务及技术响应表；</w:t>
      </w:r>
    </w:p>
    <w:p w14:paraId="0AAEDEC9">
      <w:pPr>
        <w:pStyle w:val="17"/>
        <w:widowControl/>
        <w:shd w:val="clear"/>
        <w:adjustRightInd w:val="0"/>
        <w:snapToGrid w:val="0"/>
        <w:spacing w:line="360" w:lineRule="auto"/>
        <w:ind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（8）近年来类似项目的成功案例；</w:t>
      </w:r>
    </w:p>
    <w:p w14:paraId="62DEF8E7">
      <w:pPr>
        <w:pStyle w:val="17"/>
        <w:widowControl/>
        <w:shd w:val="clear"/>
        <w:adjustRightInd w:val="0"/>
        <w:snapToGrid w:val="0"/>
        <w:spacing w:line="360" w:lineRule="auto"/>
        <w:ind w:firstLineChars="200"/>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rPr>
        <w:t>（9）投标人认为需要提供的其他资料（包括可能影响投标人商务与技术文件评分的各类证明材料）。</w:t>
      </w:r>
    </w:p>
    <w:p w14:paraId="54D0898D">
      <w:pPr>
        <w:shd w:val="clear"/>
        <w:spacing w:line="41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7B7876B6">
      <w:pPr>
        <w:shd w:val="clear"/>
        <w:autoSpaceDE w:val="0"/>
        <w:autoSpaceDN w:val="0"/>
        <w:adjustRightInd w:val="0"/>
        <w:spacing w:line="360" w:lineRule="auto"/>
        <w:ind w:left="426" w:firstLine="57" w:firstLineChars="27"/>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3、报价文件的组成</w:t>
      </w:r>
    </w:p>
    <w:p w14:paraId="2E5A06A9">
      <w:pPr>
        <w:shd w:val="clea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（1）开标一览表；</w:t>
      </w:r>
    </w:p>
    <w:p w14:paraId="2A24978C">
      <w:pPr>
        <w:shd w:val="clea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（2）报价明细表；</w:t>
      </w:r>
    </w:p>
    <w:p w14:paraId="77952FCA">
      <w:pPr>
        <w:shd w:val="clea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olor w:val="auto"/>
          <w:kern w:val="0"/>
          <w:szCs w:val="21"/>
          <w:highlight w:val="none"/>
        </w:rPr>
        <w:t>（3）政府采购优惠政策相关资料（如有）</w:t>
      </w:r>
      <w:r>
        <w:rPr>
          <w:rFonts w:hint="eastAsia" w:ascii="宋体" w:hAnsi="宋体" w:cs="宋体"/>
          <w:color w:val="auto"/>
          <w:szCs w:val="21"/>
          <w:highlight w:val="none"/>
        </w:rPr>
        <w:t>；</w:t>
      </w:r>
    </w:p>
    <w:p w14:paraId="35B63310">
      <w:pPr>
        <w:shd w:val="clear"/>
        <w:autoSpaceDE w:val="0"/>
        <w:autoSpaceDN w:val="0"/>
        <w:adjustRightIn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（4）针对报价投标供应商认为其他需要说明的内容（如有）。</w:t>
      </w:r>
    </w:p>
    <w:p w14:paraId="10B58210">
      <w:pPr>
        <w:shd w:val="clear"/>
        <w:autoSpaceDE w:val="0"/>
        <w:autoSpaceDN w:val="0"/>
        <w:adjustRightIn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4、投标报价</w:t>
      </w:r>
    </w:p>
    <w:p w14:paraId="357A3E77">
      <w:pPr>
        <w:shd w:val="clea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（1）此报价为投标人一次性报出唯一的最终价格，包含其它一切所要涉及到的费用，有选择的报价将被拒绝。</w:t>
      </w:r>
    </w:p>
    <w:p w14:paraId="05CEA2C4">
      <w:pPr>
        <w:shd w:val="clear"/>
        <w:autoSpaceDE w:val="0"/>
        <w:autoSpaceDN w:val="0"/>
        <w:adjustRightInd w:val="0"/>
        <w:spacing w:line="360" w:lineRule="auto"/>
        <w:ind w:firstLine="420" w:firstLineChars="200"/>
        <w:rPr>
          <w:rFonts w:ascii="宋体" w:cs="宋体"/>
          <w:color w:val="auto"/>
          <w:kern w:val="0"/>
          <w:szCs w:val="21"/>
          <w:highlight w:val="none"/>
        </w:rPr>
      </w:pPr>
      <w:r>
        <w:rPr>
          <w:rFonts w:hint="eastAsia" w:asciiTheme="minorEastAsia" w:hAnsiTheme="minorEastAsia" w:eastAsiaTheme="minorEastAsia" w:cstheme="minorEastAsia"/>
          <w:color w:val="auto"/>
          <w:kern w:val="0"/>
          <w:szCs w:val="21"/>
          <w:highlight w:val="none"/>
          <w:lang w:val="zh-CN"/>
        </w:rPr>
        <w:t>（</w:t>
      </w: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zh-CN"/>
        </w:rPr>
        <w:t>）</w:t>
      </w:r>
      <w:r>
        <w:rPr>
          <w:rFonts w:hint="eastAsia" w:ascii="宋体" w:cs="宋体"/>
          <w:color w:val="auto"/>
          <w:kern w:val="0"/>
          <w:szCs w:val="21"/>
          <w:highlight w:val="none"/>
        </w:rPr>
        <w:t>投标总报价</w:t>
      </w:r>
      <w:r>
        <w:rPr>
          <w:rFonts w:hint="eastAsia" w:ascii="宋体" w:cs="宋体"/>
          <w:color w:val="auto"/>
          <w:kern w:val="0"/>
          <w:szCs w:val="21"/>
          <w:highlight w:val="none"/>
          <w:lang w:val="en-US" w:eastAsia="zh-CN"/>
        </w:rPr>
        <w:t>包扣</w:t>
      </w:r>
      <w:r>
        <w:rPr>
          <w:rFonts w:hint="eastAsia" w:ascii="宋体" w:cs="宋体"/>
          <w:color w:val="auto"/>
          <w:kern w:val="0"/>
          <w:szCs w:val="21"/>
          <w:highlight w:val="none"/>
        </w:rPr>
        <w:t>但不仅限于项目相关的人员、设备、调试集成费用、培训费、验收费等。供应商应充分考虑安装、培训、对接、验收等工作时各环节所发生的费用，以及合同包含的所有风险责任等各项费用及不可预见费等所需的全部费用已包含在投标报价中。</w:t>
      </w:r>
    </w:p>
    <w:p w14:paraId="28F9D1C9">
      <w:pPr>
        <w:shd w:val="clea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（3）相关报价单需打印或用不退色的墨水填写， 投标报价单不得涂改和增删，如有错漏必须修改，修改处须由同一签署人签字或盖章。由于字迹模糊或表达不清引起的后果由投标人负责。</w:t>
      </w:r>
    </w:p>
    <w:p w14:paraId="57927A81">
      <w:pPr>
        <w:shd w:val="clear"/>
        <w:autoSpaceDE w:val="0"/>
        <w:autoSpaceDN w:val="0"/>
        <w:adjustRightInd w:val="0"/>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szCs w:val="21"/>
          <w:highlight w:val="none"/>
        </w:rPr>
        <w:t>）投标报价应按招标文件中相关附表格式填写。</w:t>
      </w:r>
    </w:p>
    <w:p w14:paraId="7EC86711">
      <w:pPr>
        <w:numPr>
          <w:ilvl w:val="0"/>
          <w:numId w:val="16"/>
        </w:numPr>
        <w:shd w:val="clear"/>
        <w:spacing w:line="360" w:lineRule="auto"/>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投标文件的制作及递交要求</w:t>
      </w:r>
    </w:p>
    <w:p w14:paraId="0E75C8FD">
      <w:pPr>
        <w:shd w:val="clear"/>
        <w:snapToGrid w:val="0"/>
        <w:spacing w:beforeLines="50" w:line="360" w:lineRule="auto"/>
        <w:ind w:firstLine="413" w:firstLineChars="196"/>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1、投标文件的签署和份数</w:t>
      </w:r>
    </w:p>
    <w:p w14:paraId="1EE77829">
      <w:pPr>
        <w:shd w:val="clea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电子投标文件：按本项目招标文件和“政府采购云平台”相关要求编制。电子投标文件中须加盖投标人公章部分均采用CA签章，并根据“政府采购云平台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36B89995">
      <w:pPr>
        <w:shd w:val="clea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电子投标文件如内容不完整、编排混乱导致投标文件被误读、漏读，或者在按采购文件规定的部位查找不到相关内容的，由投标人自行承担。</w:t>
      </w:r>
    </w:p>
    <w:p w14:paraId="417436F1">
      <w:pPr>
        <w:numPr>
          <w:ilvl w:val="0"/>
          <w:numId w:val="17"/>
        </w:numPr>
        <w:shd w:val="clear"/>
        <w:snapToGrid w:val="0"/>
        <w:spacing w:line="360" w:lineRule="auto"/>
        <w:ind w:firstLine="411" w:firstLineChars="196"/>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温馨提醒：</w:t>
      </w:r>
      <w:r>
        <w:rPr>
          <w:rFonts w:hint="eastAsia" w:asciiTheme="minorEastAsia" w:hAnsiTheme="minorEastAsia" w:eastAsiaTheme="minorEastAsia" w:cstheme="minorEastAsia"/>
          <w:color w:val="auto"/>
          <w:szCs w:val="21"/>
          <w:highlight w:val="none"/>
          <w:u w:val="single"/>
        </w:rPr>
        <w:t>CA签章上目前没有法定代表人或授权代表签字信息，需要投标人联系浙江杭州汇信科技有限公司等相应公司进行办理，或在投标文件中涉及到签字的位置线下签好字然后扫描或者拍照做成PDF的格式亦可。</w:t>
      </w:r>
    </w:p>
    <w:p w14:paraId="656CCEE8">
      <w:pPr>
        <w:pStyle w:val="22"/>
        <w:shd w:val="clear"/>
        <w:spacing w:line="360" w:lineRule="auto"/>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（3）现阶段为电子交易试运行阶段，为保证项目顺利开展，本项目需要投标人提供“电子加密投标文件”同时生成的数据电文形式的电子备份标书，（电子备份标书后缀名为“.bfbs”，以U盘、光盘或邮件</w:t>
      </w:r>
      <w:r>
        <w:rPr>
          <w:rFonts w:hint="eastAsia" w:ascii="宋体" w:hAnsi="宋体" w:cs="宋体"/>
          <w:color w:val="auto"/>
          <w:sz w:val="21"/>
          <w:szCs w:val="21"/>
          <w:highlight w:val="none"/>
        </w:rPr>
        <w:t>（发送至451350540@qq.com）</w:t>
      </w:r>
      <w:r>
        <w:rPr>
          <w:rFonts w:hint="eastAsia" w:asciiTheme="minorEastAsia" w:hAnsiTheme="minorEastAsia" w:eastAsiaTheme="minorEastAsia" w:cstheme="minorEastAsia"/>
          <w:color w:val="auto"/>
          <w:sz w:val="21"/>
          <w:szCs w:val="21"/>
          <w:highlight w:val="none"/>
        </w:rPr>
        <w:t>等形式提供），并按要求装袋密封并在投标截止时间前通过邮寄方式送至</w:t>
      </w:r>
      <w:r>
        <w:rPr>
          <w:rFonts w:hint="eastAsia" w:asciiTheme="minorEastAsia" w:hAnsiTheme="minorEastAsia" w:eastAsiaTheme="minorEastAsia" w:cstheme="minorEastAsia"/>
          <w:color w:val="auto"/>
          <w:sz w:val="21"/>
          <w:szCs w:val="21"/>
          <w:highlight w:val="none"/>
          <w:lang w:eastAsia="zh-CN"/>
        </w:rPr>
        <w:t>台州市建航工程管理有限公司</w:t>
      </w:r>
      <w:r>
        <w:rPr>
          <w:rFonts w:hint="eastAsia" w:asciiTheme="minorEastAsia" w:hAnsiTheme="minorEastAsia" w:eastAsiaTheme="minorEastAsia" w:cstheme="minorEastAsia"/>
          <w:color w:val="auto"/>
          <w:sz w:val="21"/>
          <w:szCs w:val="21"/>
          <w:highlight w:val="none"/>
        </w:rPr>
        <w:t>（地址：浙江省台州市经济开发区天和路</w:t>
      </w:r>
      <w:r>
        <w:rPr>
          <w:rFonts w:hint="eastAsia" w:asciiTheme="minorEastAsia" w:hAnsiTheme="minorEastAsia" w:eastAsiaTheme="minorEastAsia" w:cstheme="minorEastAsia"/>
          <w:color w:val="auto"/>
          <w:sz w:val="21"/>
          <w:szCs w:val="21"/>
          <w:highlight w:val="none"/>
          <w:lang w:eastAsia="zh-CN"/>
        </w:rPr>
        <w:t>65</w:t>
      </w:r>
      <w:r>
        <w:rPr>
          <w:rFonts w:hint="eastAsia" w:asciiTheme="minorEastAsia" w:hAnsiTheme="minorEastAsia" w:eastAsiaTheme="minorEastAsia" w:cstheme="minorEastAsia"/>
          <w:color w:val="auto"/>
          <w:sz w:val="21"/>
          <w:szCs w:val="21"/>
          <w:highlight w:val="none"/>
        </w:rPr>
        <w:t>号天和大厦B幢1104），逾期寄达或未按要求密封将被拒收。</w:t>
      </w:r>
    </w:p>
    <w:p w14:paraId="6C1AAC9E">
      <w:pPr>
        <w:shd w:val="clea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（4）</w:t>
      </w:r>
      <w:r>
        <w:rPr>
          <w:rFonts w:hint="eastAsia"/>
          <w:color w:val="auto"/>
          <w:szCs w:val="21"/>
          <w:highlight w:val="none"/>
        </w:rPr>
        <w:t>为方便评审委员会评审，请供应商提供纸质投标文件（指商务与技术文件）一份给招标代理机构，纸质投标文件系电子投标文件纸质版，两者内容应一致。</w:t>
      </w:r>
      <w:r>
        <w:rPr>
          <w:rFonts w:hint="eastAsia"/>
          <w:b/>
          <w:bCs/>
          <w:color w:val="auto"/>
          <w:szCs w:val="21"/>
          <w:highlight w:val="none"/>
        </w:rPr>
        <w:t>本项非实质性要求，供应商自愿提供</w:t>
      </w:r>
      <w:r>
        <w:rPr>
          <w:rFonts w:hint="eastAsia"/>
          <w:color w:val="auto"/>
          <w:szCs w:val="21"/>
          <w:highlight w:val="none"/>
        </w:rPr>
        <w:t>。</w:t>
      </w:r>
      <w:r>
        <w:rPr>
          <w:rFonts w:hint="eastAsia" w:asciiTheme="minorEastAsia" w:hAnsiTheme="minorEastAsia" w:eastAsiaTheme="minorEastAsia" w:cstheme="minorEastAsia"/>
          <w:bCs/>
          <w:color w:val="auto"/>
          <w:szCs w:val="21"/>
          <w:highlight w:val="none"/>
        </w:rPr>
        <w:t>在投标截止时间前送达（以邮寄形式）到指定地点，</w:t>
      </w:r>
      <w:r>
        <w:rPr>
          <w:rFonts w:hint="eastAsia" w:asciiTheme="minorEastAsia" w:hAnsiTheme="minorEastAsia" w:eastAsiaTheme="minorEastAsia" w:cstheme="minorEastAsia"/>
          <w:color w:val="auto"/>
          <w:szCs w:val="21"/>
          <w:highlight w:val="none"/>
        </w:rPr>
        <w:t>逾期寄达或未按要求密封将被拒收。</w:t>
      </w:r>
    </w:p>
    <w:p w14:paraId="50B72BA3">
      <w:pPr>
        <w:shd w:val="clea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（5）纸质投标文件须由投标人在规定位置盖章并由法定代表人或授权委托代理人签署或盖章，投标人应写全称。纸质</w:t>
      </w:r>
      <w:r>
        <w:rPr>
          <w:rFonts w:hint="eastAsia" w:asciiTheme="minorEastAsia" w:hAnsiTheme="minorEastAsia" w:eastAsiaTheme="minorEastAsia" w:cstheme="minorEastAsia"/>
          <w:bCs/>
          <w:color w:val="auto"/>
          <w:szCs w:val="21"/>
          <w:highlight w:val="none"/>
        </w:rPr>
        <w:t>投标文件未按照招标文件要求签署、盖章的，其投标无效；</w:t>
      </w:r>
    </w:p>
    <w:p w14:paraId="1CD18245">
      <w:pPr>
        <w:shd w:val="clea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（6）投标文件不得涂改，若有修改错漏处，须加盖单位公章或者法定代表人或授权委托人签字或盖章。投标文件因字迹潦草或表达不清所引起的后果由投标人负责。</w:t>
      </w:r>
    </w:p>
    <w:p w14:paraId="76F65A42">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bCs/>
          <w:color w:val="auto"/>
          <w:szCs w:val="21"/>
          <w:highlight w:val="none"/>
        </w:rPr>
        <w:t>投标文件的制作要求</w:t>
      </w:r>
    </w:p>
    <w:p w14:paraId="11B2698F">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（1）投标人应按照投标文件组成内容及项目招标需求和政采云平台制作投标文件，不按招标文件要求制作投标文件的将视情处理（拒收、扣分等），由此产生的责任由投标人自行承担。</w:t>
      </w:r>
    </w:p>
    <w:p w14:paraId="0BB4F6C0">
      <w:pPr>
        <w:shd w:val="clear"/>
        <w:autoSpaceDE w:val="0"/>
        <w:autoSpaceDN w:val="0"/>
        <w:adjustRightIn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color w:val="auto"/>
          <w:szCs w:val="21"/>
          <w:highlight w:val="none"/>
        </w:rPr>
        <w:t>投标人应对所提供的全部资料的真实性承担法律责任，</w:t>
      </w:r>
      <w:r>
        <w:rPr>
          <w:rFonts w:hint="eastAsia" w:asciiTheme="minorEastAsia" w:hAnsiTheme="minorEastAsia" w:eastAsiaTheme="minorEastAsia" w:cstheme="minorEastAsia"/>
          <w:b/>
          <w:bCs/>
          <w:color w:val="auto"/>
          <w:szCs w:val="21"/>
          <w:highlight w:val="none"/>
        </w:rPr>
        <w:t>投标文件内容中有要求盖章或签字的地方，必须加盖投标人的公章以及法定代表人或授权委托代理人盖章或签字</w:t>
      </w:r>
      <w:r>
        <w:rPr>
          <w:rFonts w:hint="eastAsia" w:asciiTheme="minorEastAsia" w:hAnsiTheme="minorEastAsia" w:eastAsiaTheme="minorEastAsia" w:cstheme="minorEastAsia"/>
          <w:b/>
          <w:bCs/>
          <w:color w:val="auto"/>
          <w:szCs w:val="21"/>
          <w:highlight w:val="none"/>
          <w:lang w:val="zh-CN"/>
        </w:rPr>
        <w:t>，</w:t>
      </w:r>
      <w:r>
        <w:rPr>
          <w:rFonts w:hint="eastAsia" w:asciiTheme="minorEastAsia" w:hAnsiTheme="minorEastAsia" w:eastAsiaTheme="minorEastAsia" w:cstheme="minorEastAsia"/>
          <w:b/>
          <w:bCs/>
          <w:color w:val="auto"/>
          <w:szCs w:val="21"/>
          <w:highlight w:val="none"/>
        </w:rPr>
        <w:t>其中电子投标文件中所须加盖公章部分均采用CA签章（此为实质性条款）</w:t>
      </w:r>
      <w:r>
        <w:rPr>
          <w:rFonts w:hint="eastAsia" w:asciiTheme="minorEastAsia" w:hAnsiTheme="minorEastAsia" w:eastAsiaTheme="minorEastAsia" w:cstheme="minorEastAsia"/>
          <w:b/>
          <w:bCs/>
          <w:color w:val="auto"/>
          <w:szCs w:val="21"/>
          <w:highlight w:val="none"/>
          <w:lang w:val="zh-CN"/>
        </w:rPr>
        <w:t>。</w:t>
      </w:r>
    </w:p>
    <w:p w14:paraId="58BAC66C">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（3）投标文件以及投标人与采购组织机构就有关投标事宜的所有来往函电，均应以中文汉语书写。除签字、盖章、专用名称等特殊情形外，以中文汉语以外的文字表述的投标文件视同未提供。</w:t>
      </w:r>
    </w:p>
    <w:p w14:paraId="76B35BA5">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（4）投标计量单位，招标文件已有明确规定的，使用招标文件规定的计量单位；招标文件没有规定的，应采用中华人民共和国法定计量单位（货币单位：人民币元）。</w:t>
      </w:r>
    </w:p>
    <w:p w14:paraId="5FC037C4">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（5）若投标人不按招标文件的要求提供资格审查材料，其风险由投标人自行承担。</w:t>
      </w:r>
    </w:p>
    <w:p w14:paraId="12423C75">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（6）与本次投标无关的内容请不要制作在内，确保投标文件有针对性、简洁明了，同时节约纸张；投标文件建议以A4纸大小双面打印并装订。</w:t>
      </w:r>
    </w:p>
    <w:p w14:paraId="56445F7C">
      <w:pPr>
        <w:shd w:val="clea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3、投标文件的封装要求</w:t>
      </w:r>
    </w:p>
    <w:p w14:paraId="7CF35FDC">
      <w:pPr>
        <w:pStyle w:val="123"/>
        <w:shd w:val="clea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（1）投标文件份数：①电子加密标书（在政采云系统平台上传）。②电子备份标书 1 份（后缀名为“.bfbs”，以U盘或光盘等形式提供），单独密封包装。③纸质投标文件（</w:t>
      </w:r>
      <w:r>
        <w:rPr>
          <w:rFonts w:hint="eastAsia" w:asciiTheme="minorEastAsia" w:hAnsiTheme="minorEastAsia" w:eastAsiaTheme="minorEastAsia" w:cstheme="minorEastAsia"/>
          <w:color w:val="auto"/>
          <w:highlight w:val="none"/>
          <w:lang w:val="zh-CN"/>
        </w:rPr>
        <w:t>商务与技术文件）以纸质形式编制，装订成册：商务与技术文件共一份，封装成一袋</w:t>
      </w:r>
      <w:r>
        <w:rPr>
          <w:rFonts w:hint="eastAsia" w:asciiTheme="minorEastAsia" w:hAnsiTheme="minorEastAsia" w:eastAsiaTheme="minorEastAsia" w:cstheme="minorEastAsia"/>
          <w:color w:val="auto"/>
          <w:highlight w:val="none"/>
        </w:rPr>
        <w:t>。</w:t>
      </w:r>
      <w:r>
        <w:rPr>
          <w:rFonts w:hint="eastAsia"/>
          <w:color w:val="auto"/>
          <w:highlight w:val="none"/>
        </w:rPr>
        <w:t>纸质投标文件系电子投标文件纸质版，两者内容应一致。</w:t>
      </w:r>
      <w:r>
        <w:rPr>
          <w:rFonts w:hint="eastAsia"/>
          <w:b/>
          <w:bCs/>
          <w:color w:val="auto"/>
          <w:highlight w:val="none"/>
        </w:rPr>
        <w:t>本项非实质性要求，供应商自愿提供。</w:t>
      </w:r>
      <w:r>
        <w:rPr>
          <w:rFonts w:hint="eastAsia" w:asciiTheme="minorEastAsia" w:hAnsiTheme="minorEastAsia" w:eastAsiaTheme="minorEastAsia" w:cstheme="minorEastAsia"/>
          <w:color w:val="auto"/>
          <w:highlight w:val="none"/>
        </w:rPr>
        <w:t>如有不同标项，请按标项号分别装订，密封要求同上。</w:t>
      </w:r>
    </w:p>
    <w:p w14:paraId="66823945">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bCs/>
          <w:color w:val="auto"/>
          <w:szCs w:val="21"/>
          <w:highlight w:val="none"/>
        </w:rPr>
        <w:t>中标供应商</w:t>
      </w:r>
      <w:r>
        <w:rPr>
          <w:rFonts w:hint="eastAsia" w:asciiTheme="minorEastAsia" w:hAnsiTheme="minorEastAsia" w:eastAsiaTheme="minorEastAsia" w:cstheme="minorEastAsia"/>
          <w:color w:val="auto"/>
          <w:szCs w:val="21"/>
          <w:highlight w:val="none"/>
        </w:rPr>
        <w:t>中标后需提供纸质投标文件给招标代理机构作为备案存档，纸质投标文件系电子投标文件纸质版，两者内容应一致；资格证明文件、商务与技术文件、报价文件必须分别编制并分开单独装订成册：资格证明文件共两份（一份正本，一份副本，封装成一袋），商务与技术文件共两份（一份正本，一份副本，封装成一袋），报价文件共两份（一份正本，一份副本，封装成一袋）。投标文件的正本封面必须注明“正本”字样，副本可以采用正本的复印件。除报价文件外其余一律不准出现数字报价。如有不同标段，请按标段号分别装订。</w:t>
      </w:r>
    </w:p>
    <w:p w14:paraId="06AA7FC6">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（3）所有投标资料按投标文件的组成所列内容及顺序装订成册，</w:t>
      </w:r>
      <w:r>
        <w:rPr>
          <w:rFonts w:hint="eastAsia" w:asciiTheme="minorEastAsia" w:hAnsiTheme="minorEastAsia" w:eastAsiaTheme="minorEastAsia" w:cstheme="minorEastAsia"/>
          <w:color w:val="auto"/>
          <w:szCs w:val="21"/>
          <w:highlight w:val="none"/>
          <w:lang w:val="zh-CN"/>
        </w:rPr>
        <w:t>并逐页连续标注页码。因投标文件内容不完整、编排混乱导致投标文件被误读、漏读或者查找不到相关内容的责任由投标人自行承担。</w:t>
      </w:r>
    </w:p>
    <w:p w14:paraId="0AC56BA6">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（4）电子备份标书和纸质投标文件在密封袋的封口处加盖投标人公章、法定代表人代表或授权委托代理人印章或签字。封皮上写明项目编号、标项、招标项目名称、投标人名称，并注明“投标文件名称（</w:t>
      </w:r>
      <w:r>
        <w:rPr>
          <w:rFonts w:hint="eastAsia" w:asciiTheme="minorEastAsia" w:hAnsiTheme="minorEastAsia" w:eastAsiaTheme="minorEastAsia" w:cstheme="minorEastAsia"/>
          <w:color w:val="auto"/>
          <w:szCs w:val="21"/>
          <w:highlight w:val="none"/>
          <w:lang w:val="zh-CN"/>
        </w:rPr>
        <w:t>资格及商务技术文件</w:t>
      </w:r>
      <w:r>
        <w:rPr>
          <w:rFonts w:hint="eastAsia" w:asciiTheme="minorEastAsia" w:hAnsiTheme="minorEastAsia" w:eastAsiaTheme="minorEastAsia" w:cstheme="minorEastAsia"/>
          <w:color w:val="auto"/>
          <w:szCs w:val="21"/>
          <w:highlight w:val="none"/>
        </w:rPr>
        <w:t>、报价文件）”、“开标时启封”字样，未按上述要求密封及加写标记，采购代理机构对投标文件的误投和提前启封不负责任。</w:t>
      </w:r>
    </w:p>
    <w:p w14:paraId="1B1D86B2">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（5）项目如分标项，各标项投标文件必须分开编制，并按上述份数要求单独密封包装。</w:t>
      </w:r>
    </w:p>
    <w:p w14:paraId="5874F927">
      <w:pPr>
        <w:shd w:val="clea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lang w:val="zh-CN"/>
        </w:rPr>
        <w:t>因密封不严、标记不明而造成失密、拒收、过早启封等情况，采购代理机构概不负责。</w:t>
      </w:r>
    </w:p>
    <w:p w14:paraId="5025B508">
      <w:pPr>
        <w:shd w:val="clea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4、投标文件的递交要求</w:t>
      </w:r>
    </w:p>
    <w:p w14:paraId="5DF6445A">
      <w:pPr>
        <w:shd w:val="clea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（1）投标人须按照招标文件和政采云平台的要求编制并加密投标文件，未按规定加密的投标文件，电子交易平台将被拒收，并在投标文件递交截止时间以前完成电子投标文件的传输递交，</w:t>
      </w:r>
      <w:r>
        <w:rPr>
          <w:rFonts w:hint="eastAsia" w:asciiTheme="minorEastAsia" w:hAnsiTheme="minorEastAsia" w:eastAsiaTheme="minorEastAsia" w:cstheme="minorEastAsia"/>
          <w:color w:val="auto"/>
          <w:kern w:val="0"/>
          <w:szCs w:val="21"/>
          <w:highlight w:val="none"/>
        </w:rPr>
        <w:t>同时应在投标截止时间前提供电子备份标书（后缀名为“.bfbs”，以U盘或光盘等形式提供）和纸质投标文件，按要求各自装袋密封后邮寄到指定地点，超过投标截止时间送达的将不予接收</w:t>
      </w:r>
      <w:r>
        <w:rPr>
          <w:rFonts w:hint="eastAsia" w:asciiTheme="minorEastAsia" w:hAnsiTheme="minorEastAsia" w:eastAsiaTheme="minorEastAsia" w:cstheme="minorEastAsia"/>
          <w:b/>
          <w:color w:val="auto"/>
          <w:kern w:val="0"/>
          <w:szCs w:val="21"/>
          <w:highlight w:val="none"/>
        </w:rPr>
        <w:t>。</w:t>
      </w:r>
    </w:p>
    <w:p w14:paraId="4D654543">
      <w:pPr>
        <w:shd w:val="clea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（2）若供应商未提交备份投标文件，其后果由供应商自行承担。投标人仅提交备份投标文件，未在投标截止时间前在电子交易系统中完成电子投标文件上传的，其电子备份标书和纸质备份投标文件也将无效。</w:t>
      </w:r>
    </w:p>
    <w:p w14:paraId="2E2F7A89">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（3）如有特殊情况，采购代理机构延长截止时间和开标时间，采购代理机构和投标人的权利和义务将受到新的截止时间和开标时间的约束。</w:t>
      </w:r>
    </w:p>
    <w:p w14:paraId="19C2B48C">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5、投标文件的补充、修改和撤回。</w:t>
      </w:r>
    </w:p>
    <w:p w14:paraId="650ED3D0">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（1）投标人如需对已上传的电子投标文件进行补充或者修改的，应当在政采云平台上先行撤回原文件，补充、修改后重新传输递交。投标截止时间前未完成传输的，视为撤回投标文件。</w:t>
      </w:r>
    </w:p>
    <w:p w14:paraId="1BEE0BA5">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（2）投标人如需对上交的纸质投标文件进行补充、修改或撤回的，必须在投标截止时间前将书面的修改文件或撤消通知送达采购代理机构。</w:t>
      </w:r>
    </w:p>
    <w:p w14:paraId="371CC2C6">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（3）投标修改文件必须密封，在密封袋上写明项目编号、标段、招标项目名称、投标人名称、并注明“修改文件”、“开标时启封”字样，其作为投标文件的组成部份。</w:t>
      </w:r>
    </w:p>
    <w:p w14:paraId="5A26A64D">
      <w:pPr>
        <w:shd w:val="clea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（三）投标文件的有效期</w:t>
      </w:r>
    </w:p>
    <w:p w14:paraId="12F9B19B">
      <w:pPr>
        <w:shd w:val="clear"/>
        <w:spacing w:line="360" w:lineRule="auto"/>
        <w:ind w:firstLine="420" w:firstLineChars="200"/>
        <w:rPr>
          <w:rFonts w:asciiTheme="minorEastAsia" w:hAnsiTheme="minorEastAsia" w:eastAsiaTheme="minorEastAsia" w:cstheme="minorEastAsia"/>
          <w:color w:val="auto"/>
          <w:szCs w:val="21"/>
          <w:highlight w:val="none"/>
          <w:lang w:val="en-GB"/>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GB"/>
        </w:rPr>
        <w:t>自投标截止日起90天投标文件应保持有效。有效期不足的投标文件将被拒绝。</w:t>
      </w:r>
    </w:p>
    <w:p w14:paraId="249F97A0">
      <w:pPr>
        <w:shd w:val="clear"/>
        <w:spacing w:line="360" w:lineRule="auto"/>
        <w:ind w:firstLine="420" w:firstLineChars="200"/>
        <w:rPr>
          <w:rFonts w:asciiTheme="minorEastAsia" w:hAnsiTheme="minorEastAsia" w:eastAsiaTheme="minorEastAsia" w:cstheme="minorEastAsia"/>
          <w:color w:val="auto"/>
          <w:szCs w:val="21"/>
          <w:highlight w:val="none"/>
          <w:lang w:val="en-GB"/>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GB"/>
        </w:rPr>
        <w:t>在特殊情况下，采购人可与投标人协商延长投标文件的有效期，这种要求和答复均以书面形式进行。</w:t>
      </w:r>
    </w:p>
    <w:p w14:paraId="3AB3E613">
      <w:pPr>
        <w:shd w:val="clear"/>
        <w:tabs>
          <w:tab w:val="left" w:pos="1898"/>
        </w:tabs>
        <w:autoSpaceDE w:val="0"/>
        <w:autoSpaceDN w:val="0"/>
        <w:adjustRightIn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GB"/>
        </w:rPr>
        <w:t>投标人可拒绝接受延期要求。同意延长有效期的投标人</w:t>
      </w:r>
      <w:r>
        <w:rPr>
          <w:rFonts w:hint="eastAsia" w:asciiTheme="minorEastAsia" w:hAnsiTheme="minorEastAsia" w:eastAsiaTheme="minorEastAsia" w:cstheme="minorEastAsia"/>
          <w:color w:val="auto"/>
          <w:szCs w:val="21"/>
          <w:highlight w:val="none"/>
        </w:rPr>
        <w:t>不能修改投标文件。</w:t>
      </w:r>
    </w:p>
    <w:p w14:paraId="45CFE298">
      <w:pPr>
        <w:shd w:val="clea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4、中标人的投标文件自开标之日起至合同履行完毕均应保持有效。</w:t>
      </w:r>
    </w:p>
    <w:p w14:paraId="063B0E36">
      <w:pPr>
        <w:shd w:val="clear"/>
        <w:tabs>
          <w:tab w:val="left" w:pos="1418"/>
        </w:tabs>
        <w:autoSpaceDE w:val="0"/>
        <w:autoSpaceDN w:val="0"/>
        <w:adjustRightInd w:val="0"/>
        <w:spacing w:line="360" w:lineRule="auto"/>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四、投标保证金</w:t>
      </w:r>
    </w:p>
    <w:p w14:paraId="17942555">
      <w:pPr>
        <w:shd w:val="clear"/>
        <w:snapToGrid w:val="0"/>
        <w:spacing w:line="44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kern w:val="0"/>
          <w:szCs w:val="21"/>
          <w:highlight w:val="none"/>
        </w:rPr>
        <w:t>本项目不收取投标保证金。</w:t>
      </w:r>
    </w:p>
    <w:p w14:paraId="621E4A12">
      <w:pPr>
        <w:shd w:val="clear"/>
        <w:snapToGrid w:val="0"/>
        <w:spacing w:line="360" w:lineRule="auto"/>
        <w:jc w:val="left"/>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五、开标</w:t>
      </w:r>
    </w:p>
    <w:p w14:paraId="4E7EF24A">
      <w:pPr>
        <w:shd w:val="clear"/>
        <w:autoSpaceDE w:val="0"/>
        <w:autoSpaceDN w:val="0"/>
        <w:adjustRightIn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（一）开标事项</w:t>
      </w:r>
    </w:p>
    <w:p w14:paraId="3D0316B2">
      <w:pPr>
        <w:shd w:val="clear"/>
        <w:autoSpaceDE w:val="0"/>
        <w:autoSpaceDN w:val="0"/>
        <w:adjustRightInd w:val="0"/>
        <w:spacing w:line="44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kern w:val="0"/>
          <w:szCs w:val="21"/>
          <w:highlight w:val="none"/>
        </w:rPr>
        <w:t>采购组织机构在“招标公告”规定的时间和地点公开开标，</w:t>
      </w:r>
      <w:r>
        <w:rPr>
          <w:rFonts w:hint="eastAsia" w:asciiTheme="minorEastAsia" w:hAnsiTheme="minorEastAsia" w:eastAsiaTheme="minorEastAsia" w:cstheme="minorEastAsia"/>
          <w:color w:val="auto"/>
          <w:szCs w:val="21"/>
          <w:highlight w:val="none"/>
        </w:rPr>
        <w:t>本项目采用政采云平台线上开标，</w:t>
      </w:r>
      <w:r>
        <w:rPr>
          <w:rFonts w:hint="eastAsia" w:asciiTheme="minorEastAsia" w:hAnsiTheme="minorEastAsia" w:eastAsiaTheme="minorEastAsia" w:cstheme="minorEastAsia"/>
          <w:b/>
          <w:bCs/>
          <w:color w:val="auto"/>
          <w:szCs w:val="21"/>
          <w:highlight w:val="none"/>
          <w:u w:val="single"/>
        </w:rPr>
        <w:t>所有投标人均应当准时在线参加</w:t>
      </w:r>
      <w:r>
        <w:rPr>
          <w:rFonts w:hint="eastAsia" w:asciiTheme="minorEastAsia" w:hAnsiTheme="minorEastAsia" w:eastAsiaTheme="minorEastAsia" w:cstheme="minorEastAsia"/>
          <w:color w:val="auto"/>
          <w:szCs w:val="21"/>
          <w:highlight w:val="none"/>
        </w:rPr>
        <w:t>。（根据新冠肺炎疫情防控需要，投标人的法定代表人或其授权代表无需现场参加开标活动</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）未准时参加线上开标的供应商视同放弃开标监督权利、认可开标结果，事后不得对采购相关人员、项目开标过程和评标结果提出异议。</w:t>
      </w:r>
      <w:r>
        <w:rPr>
          <w:rFonts w:hint="eastAsia" w:asciiTheme="minorEastAsia" w:hAnsiTheme="minorEastAsia" w:eastAsiaTheme="minorEastAsia" w:cstheme="minorEastAsia"/>
          <w:bCs/>
          <w:color w:val="auto"/>
          <w:szCs w:val="21"/>
          <w:highlight w:val="none"/>
        </w:rPr>
        <w:t>评标委员会成员不得参加开标活动。</w:t>
      </w:r>
      <w:r>
        <w:rPr>
          <w:rFonts w:hint="eastAsia" w:asciiTheme="minorEastAsia" w:hAnsiTheme="minorEastAsia" w:eastAsiaTheme="minorEastAsia" w:cstheme="minorEastAsia"/>
          <w:color w:val="auto"/>
          <w:szCs w:val="21"/>
          <w:highlight w:val="none"/>
        </w:rPr>
        <w:t>（本次招标采用先评审商务资格和技术服务方案，后公开并评审商务报价的办法实施）。</w:t>
      </w:r>
    </w:p>
    <w:p w14:paraId="1C96F64D">
      <w:pPr>
        <w:shd w:val="clear"/>
        <w:autoSpaceDE w:val="0"/>
        <w:autoSpaceDN w:val="0"/>
        <w:adjustRightInd w:val="0"/>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（二） 开标程序：</w:t>
      </w:r>
    </w:p>
    <w:p w14:paraId="69C63B18">
      <w:pPr>
        <w:pStyle w:val="28"/>
        <w:shd w:val="clear"/>
        <w:snapToGrid w:val="0"/>
        <w:spacing w:line="360" w:lineRule="auto"/>
        <w:ind w:left="420" w:left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1、开标会由招标项目负责人主持，主持人宣布开标会议开始；</w:t>
      </w:r>
    </w:p>
    <w:p w14:paraId="5337A425">
      <w:pPr>
        <w:shd w:val="clea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项目到达开标时间，在采购代理机构开启解密标书的指令后，各供应商须在30分钟内自行在政采云平台上完成在线解密加密标书，若有供应商发生解密异常时，可以申请由采购代理机构使用电子备份标书上传处理，供应商的电子标书解密和备份标书解密均失败或逾期解密的，投标文件将作无效标处理。投标人仅提交备份投标文件，没有在电子交易平台传输递交“电子加密投标文件”的，投标无效。</w:t>
      </w:r>
    </w:p>
    <w:p w14:paraId="3132648A">
      <w:pPr>
        <w:shd w:val="clea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3、采购人和采购代理机构依法对投标人的资格进行审查，未通过资格审查的不进入下阶段评审。</w:t>
      </w:r>
    </w:p>
    <w:p w14:paraId="134ACFE7">
      <w:pPr>
        <w:shd w:val="clea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4、商务与技术文件评审结束后，公布商务与技术文件评审无效投标人名称及理由，同时公布经商务与技术文件评审符合采购需求的投标人名单以及商务与技术文件得分情况。</w:t>
      </w:r>
    </w:p>
    <w:p w14:paraId="43631AF1">
      <w:pPr>
        <w:shd w:val="clea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5、开启报价文件，由评标委员会对报价的合理性、准确性等进行审查核实。</w:t>
      </w:r>
    </w:p>
    <w:p w14:paraId="5A4226A9">
      <w:pPr>
        <w:shd w:val="clea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6、评审结束后，公布报价文件得分、综合得分以及中标候选人排序名单。</w:t>
      </w:r>
    </w:p>
    <w:p w14:paraId="4C0AD1AB">
      <w:pPr>
        <w:shd w:val="clea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7、开标会议结束。</w:t>
      </w:r>
    </w:p>
    <w:p w14:paraId="53EC123C">
      <w:pPr>
        <w:shd w:val="clear"/>
        <w:snapToGrid w:val="0"/>
        <w:spacing w:line="440" w:lineRule="exact"/>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六、评标</w:t>
      </w:r>
    </w:p>
    <w:p w14:paraId="717D1AC9">
      <w:pPr>
        <w:pStyle w:val="28"/>
        <w:shd w:val="clear"/>
        <w:snapToGrid w:val="0"/>
        <w:spacing w:line="360" w:lineRule="auto"/>
        <w:ind w:left="690" w:leftChars="228" w:hanging="211" w:hangingChars="1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（一）组建评标委员会</w:t>
      </w:r>
    </w:p>
    <w:p w14:paraId="016D1109">
      <w:pPr>
        <w:pStyle w:val="28"/>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本项目评标委员会由政府采购评审专家和采购单位评审代表组成。</w:t>
      </w:r>
    </w:p>
    <w:p w14:paraId="41133387">
      <w:pPr>
        <w:pStyle w:val="28"/>
        <w:shd w:val="clear"/>
        <w:snapToGrid w:val="0"/>
        <w:spacing w:line="360" w:lineRule="auto"/>
        <w:ind w:left="690" w:leftChars="228" w:hanging="211" w:hangingChars="1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w:t>
      </w:r>
      <w:r>
        <w:rPr>
          <w:rFonts w:hint="eastAsia" w:asciiTheme="minorEastAsia" w:hAnsiTheme="minorEastAsia" w:eastAsiaTheme="minorEastAsia" w:cstheme="minorEastAsia"/>
          <w:b/>
          <w:bCs/>
          <w:color w:val="auto"/>
          <w:szCs w:val="21"/>
          <w:highlight w:val="none"/>
        </w:rPr>
        <w:t>评标程序</w:t>
      </w:r>
    </w:p>
    <w:p w14:paraId="3762EDCD">
      <w:pPr>
        <w:numPr>
          <w:ilvl w:val="0"/>
          <w:numId w:val="18"/>
        </w:numPr>
        <w:shd w:val="clear"/>
        <w:snapToGrid w:val="0"/>
        <w:spacing w:line="360" w:lineRule="auto"/>
        <w:ind w:left="0"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资格审查</w:t>
      </w:r>
    </w:p>
    <w:p w14:paraId="5E281082">
      <w:pPr>
        <w:pStyle w:val="9"/>
        <w:shd w:val="clear"/>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66F7FB4C">
      <w:pPr>
        <w:pStyle w:val="9"/>
        <w:numPr>
          <w:ilvl w:val="0"/>
          <w:numId w:val="18"/>
        </w:numPr>
        <w:shd w:val="clear"/>
        <w:spacing w:before="0" w:beforeAutospacing="0" w:after="0" w:afterAutospacing="0" w:line="360" w:lineRule="auto"/>
        <w:ind w:left="0" w:firstLine="422" w:firstLineChars="200"/>
        <w:jc w:val="both"/>
        <w:rPr>
          <w:rFonts w:hint="default" w:asciiTheme="minorEastAsia" w:hAnsiTheme="minorEastAsia" w:eastAsiaTheme="minorEastAsia" w:cstheme="minorEastAsia"/>
          <w:b/>
          <w:bCs/>
          <w:color w:val="auto"/>
          <w:sz w:val="21"/>
          <w:szCs w:val="21"/>
          <w:highlight w:val="none"/>
        </w:rPr>
      </w:pPr>
      <w:r>
        <w:rPr>
          <w:rFonts w:asciiTheme="minorEastAsia" w:hAnsiTheme="minorEastAsia" w:eastAsiaTheme="minorEastAsia" w:cstheme="minorEastAsia"/>
          <w:b/>
          <w:bCs/>
          <w:color w:val="auto"/>
          <w:sz w:val="21"/>
          <w:szCs w:val="21"/>
          <w:highlight w:val="none"/>
        </w:rPr>
        <w:t>符合性审查</w:t>
      </w:r>
    </w:p>
    <w:p w14:paraId="00D38F10">
      <w:pPr>
        <w:pStyle w:val="9"/>
        <w:shd w:val="clear"/>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评标委员会应当对符合资格的投标人的投标文件进行符合性审查，以确定其是否满足采购文件的实质性要求，对审查发现无效的进行必要的询标，结束后公布无效投标的投标人名单、投标无效的原因。</w:t>
      </w:r>
    </w:p>
    <w:p w14:paraId="79344622">
      <w:pPr>
        <w:pStyle w:val="9"/>
        <w:numPr>
          <w:ilvl w:val="0"/>
          <w:numId w:val="18"/>
        </w:numPr>
        <w:shd w:val="clear"/>
        <w:spacing w:before="0" w:beforeAutospacing="0" w:after="0" w:afterAutospacing="0" w:line="360" w:lineRule="auto"/>
        <w:ind w:left="0" w:firstLine="422"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b/>
          <w:bCs/>
          <w:color w:val="auto"/>
          <w:sz w:val="21"/>
          <w:szCs w:val="21"/>
          <w:highlight w:val="none"/>
        </w:rPr>
        <w:t>综合比较与评价</w:t>
      </w:r>
    </w:p>
    <w:p w14:paraId="7BCF6508">
      <w:pPr>
        <w:pStyle w:val="9"/>
        <w:shd w:val="clear"/>
        <w:spacing w:before="0" w:beforeAutospacing="0" w:after="0" w:afterAutospacing="0" w:line="360" w:lineRule="auto"/>
        <w:ind w:firstLine="315" w:firstLineChars="15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（1）对于投标文件中含义不明确、同类问题表述不一致或者有明显文字和计算错误的内容，评标委员会应当以书面形式要求投标人作出必要的澄清、说明或者补正（</w:t>
      </w:r>
      <w:r>
        <w:rPr>
          <w:rFonts w:asciiTheme="minorEastAsia" w:hAnsiTheme="minorEastAsia" w:eastAsiaTheme="minorEastAsia" w:cstheme="minorEastAsia"/>
          <w:b/>
          <w:bCs/>
          <w:color w:val="auto"/>
          <w:sz w:val="21"/>
          <w:szCs w:val="21"/>
          <w:highlight w:val="none"/>
        </w:rPr>
        <w:t>给予供应商提交澄清说明或补正的时间不得少于半小时，供应商已经明确表示澄清说明或补正完毕的除外</w:t>
      </w:r>
      <w:r>
        <w:rPr>
          <w:rFonts w:asciiTheme="minorEastAsia" w:hAnsiTheme="minorEastAsia" w:eastAsiaTheme="minorEastAsia" w:cstheme="minorEastAsia"/>
          <w:color w:val="auto"/>
          <w:sz w:val="21"/>
          <w:szCs w:val="21"/>
          <w:highlight w:val="none"/>
        </w:rPr>
        <w:t>）。</w:t>
      </w:r>
    </w:p>
    <w:p w14:paraId="1C23C70B">
      <w:pPr>
        <w:pStyle w:val="9"/>
        <w:shd w:val="clear"/>
        <w:spacing w:before="0" w:beforeAutospacing="0" w:after="0" w:afterAutospacing="0" w:line="360" w:lineRule="auto"/>
        <w:ind w:firstLine="315" w:firstLineChars="15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（2）评标委员会应当按照采购文件中规定的评标方法和标准，对符合性审查合格的投标文件进行商务和技术评估，综合比较与评价。</w:t>
      </w:r>
    </w:p>
    <w:p w14:paraId="72A6BC6D">
      <w:pPr>
        <w:shd w:val="clear"/>
        <w:snapToGrid w:val="0"/>
        <w:spacing w:line="360" w:lineRule="auto"/>
        <w:ind w:firstLine="315" w:firstLineChars="15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（3）评标时，评标委员会各成员应当独立对每个投标人的投标文件进行评价，并汇总每个投标人的得分。</w:t>
      </w:r>
    </w:p>
    <w:p w14:paraId="2D63908B">
      <w:pPr>
        <w:numPr>
          <w:ilvl w:val="0"/>
          <w:numId w:val="18"/>
        </w:numPr>
        <w:shd w:val="clear"/>
        <w:snapToGrid w:val="0"/>
        <w:spacing w:line="360" w:lineRule="auto"/>
        <w:ind w:left="0"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得分确认及评审报告编写</w:t>
      </w:r>
    </w:p>
    <w:p w14:paraId="3E853680">
      <w:pPr>
        <w:pStyle w:val="28"/>
        <w:shd w:val="clear"/>
        <w:snapToGrid w:val="0"/>
        <w:spacing w:line="360" w:lineRule="auto"/>
        <w:ind w:firstLine="367" w:firstLineChars="17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（1）评标委员会对报价文件进行复核，对于系统计算出的价格分及总得分进行确认；</w:t>
      </w:r>
    </w:p>
    <w:p w14:paraId="42F18AB6">
      <w:pPr>
        <w:pStyle w:val="28"/>
        <w:shd w:val="clear"/>
        <w:snapToGrid w:val="0"/>
        <w:spacing w:line="360" w:lineRule="auto"/>
        <w:ind w:firstLine="367" w:firstLineChars="17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（2）评标委员会应当按照招标文件中规定的评标方法和标准，对符合性审查合格的投标文件进行商务和技术评估，综合比较与评价。</w:t>
      </w:r>
    </w:p>
    <w:p w14:paraId="5A85C3C4">
      <w:pPr>
        <w:shd w:val="clear"/>
        <w:snapToGrid w:val="0"/>
        <w:spacing w:line="360" w:lineRule="auto"/>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（3）评标委员会按评标原则及得分情况编写评审报告。</w:t>
      </w:r>
    </w:p>
    <w:p w14:paraId="15752F41">
      <w:pPr>
        <w:numPr>
          <w:ilvl w:val="0"/>
          <w:numId w:val="18"/>
        </w:numPr>
        <w:shd w:val="clear"/>
        <w:snapToGrid w:val="0"/>
        <w:spacing w:line="360" w:lineRule="auto"/>
        <w:ind w:left="0" w:firstLine="422"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评价</w:t>
      </w:r>
    </w:p>
    <w:p w14:paraId="48C5B2FC">
      <w:pPr>
        <w:shd w:val="clear"/>
        <w:snapToGrid w:val="0"/>
        <w:spacing w:line="360" w:lineRule="auto"/>
        <w:ind w:firstLine="420"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szCs w:val="21"/>
          <w:highlight w:val="none"/>
        </w:rPr>
        <w:t>采购组织机构对评标委员会评审专家进行评价。</w:t>
      </w:r>
    </w:p>
    <w:p w14:paraId="5F41483B">
      <w:pPr>
        <w:shd w:val="clea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（三）澄清问题的形式</w:t>
      </w:r>
    </w:p>
    <w:p w14:paraId="6946D443">
      <w:pPr>
        <w:shd w:val="clea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审过程中若需要供应商对投标文件作出澄清、说明或者补正的，评审小组可要求供应商在合理期限内通过电子邮件等书面形式或线上询标澄清方式作出，并不得超出投标文件的范围或者改变投标文件的实质性内容。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14:paraId="364BFB18">
      <w:pPr>
        <w:pStyle w:val="28"/>
        <w:shd w:val="clear"/>
        <w:snapToGrid w:val="0"/>
        <w:spacing w:line="360" w:lineRule="auto"/>
        <w:ind w:left="690" w:leftChars="228" w:hanging="211" w:hangingChars="1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（四）错误修正</w:t>
      </w:r>
    </w:p>
    <w:p w14:paraId="62A51B6F">
      <w:pPr>
        <w:pStyle w:val="9"/>
        <w:shd w:val="clear"/>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投标文件报价出现前后不一致的，除采购文件另有规定外，按照下列规定修正：</w:t>
      </w:r>
    </w:p>
    <w:p w14:paraId="10D642A1">
      <w:pPr>
        <w:pStyle w:val="9"/>
        <w:numPr>
          <w:ilvl w:val="0"/>
          <w:numId w:val="19"/>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投标文件中开标一览表（报价表）内容与投标文件中相应内容不一致的，以开标一览表（报价表）为准；</w:t>
      </w:r>
    </w:p>
    <w:p w14:paraId="2F4608CF">
      <w:pPr>
        <w:pStyle w:val="9"/>
        <w:numPr>
          <w:ilvl w:val="0"/>
          <w:numId w:val="19"/>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大写金额和小写金额不一致的，以大写金额为准；</w:t>
      </w:r>
    </w:p>
    <w:p w14:paraId="0C1D70D0">
      <w:pPr>
        <w:pStyle w:val="9"/>
        <w:numPr>
          <w:ilvl w:val="0"/>
          <w:numId w:val="19"/>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单价金额小数点或者百分比有明显错位的，以开标一览表的总价为准，并修改单价；</w:t>
      </w:r>
    </w:p>
    <w:p w14:paraId="1E2FDE51">
      <w:pPr>
        <w:pStyle w:val="9"/>
        <w:numPr>
          <w:ilvl w:val="0"/>
          <w:numId w:val="19"/>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总价金额与按单价汇总金额不一致的，以单价金额计算结果为准。</w:t>
      </w:r>
    </w:p>
    <w:p w14:paraId="6894E46B">
      <w:pPr>
        <w:pStyle w:val="9"/>
        <w:shd w:val="clear"/>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同时出现两种以上不一致的，按照前款规定的顺序修正。修正应当采用书面形式，并加盖公章（电子签章），或者由法定代表人或其授权的代表签字。修正后的报价经投标人确认后产生约束力，投标人不确认的，其投标无效。</w:t>
      </w:r>
    </w:p>
    <w:p w14:paraId="0EC60B1E">
      <w:pPr>
        <w:shd w:val="clear"/>
        <w:snapToGrid w:val="0"/>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（五）采购过程中出现以下情形，导致电子交易平台无法正常运行，或者无法保证电子交易的公平、公正和安全时，采购组织机构可中止电子交易活动：</w:t>
      </w:r>
    </w:p>
    <w:p w14:paraId="634CCC31">
      <w:pPr>
        <w:shd w:val="clea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1.电子交易平台发生故障而无法登录访问的； </w:t>
      </w:r>
    </w:p>
    <w:p w14:paraId="1F9FF0F9">
      <w:pPr>
        <w:shd w:val="clea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2.电子交易平台应用或数据库出现错误，不能进行正常操作的；</w:t>
      </w:r>
    </w:p>
    <w:p w14:paraId="075C959F">
      <w:pPr>
        <w:shd w:val="clea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3.电子交易平台发现严重安全漏洞，有潜在泄密危险的；</w:t>
      </w:r>
    </w:p>
    <w:p w14:paraId="49278825">
      <w:pPr>
        <w:shd w:val="clea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4.病毒发作导致不能进行正常操作的； </w:t>
      </w:r>
    </w:p>
    <w:p w14:paraId="012AB409">
      <w:pPr>
        <w:shd w:val="clea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5.其他无法保证电子交易的公平、公正和安全的情况。</w:t>
      </w:r>
    </w:p>
    <w:p w14:paraId="4FFE4B63">
      <w:pPr>
        <w:shd w:val="clea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出现上述情形，在不影响采购公平、公正性的前提下，采购组织机构可以待上述情形消除后继续组织电子交易活动，也可以决定某些环节以纸质形式进行；影响或可能影响采购公平、公正性的，应当重新采购。</w:t>
      </w:r>
    </w:p>
    <w:p w14:paraId="640B8474">
      <w:pPr>
        <w:pStyle w:val="9"/>
        <w:shd w:val="clear"/>
        <w:spacing w:before="0" w:beforeAutospacing="0" w:after="0" w:afterAutospacing="0" w:line="360" w:lineRule="auto"/>
        <w:ind w:firstLine="316" w:firstLineChars="150"/>
        <w:jc w:val="both"/>
        <w:rPr>
          <w:rFonts w:hint="default" w:asciiTheme="minorEastAsia" w:hAnsiTheme="minorEastAsia" w:eastAsiaTheme="minorEastAsia" w:cstheme="minorEastAsia"/>
          <w:b/>
          <w:color w:val="auto"/>
          <w:sz w:val="21"/>
          <w:szCs w:val="21"/>
          <w:highlight w:val="none"/>
        </w:rPr>
      </w:pPr>
      <w:r>
        <w:rPr>
          <w:rFonts w:asciiTheme="minorEastAsia" w:hAnsiTheme="minorEastAsia" w:eastAsiaTheme="minorEastAsia" w:cstheme="minorEastAsia"/>
          <w:b/>
          <w:bCs/>
          <w:color w:val="auto"/>
          <w:sz w:val="21"/>
          <w:szCs w:val="21"/>
          <w:highlight w:val="none"/>
        </w:rPr>
        <w:t>（六）</w:t>
      </w:r>
      <w:r>
        <w:rPr>
          <w:rFonts w:asciiTheme="minorEastAsia" w:hAnsiTheme="minorEastAsia" w:eastAsiaTheme="minorEastAsia" w:cstheme="minorEastAsia"/>
          <w:b/>
          <w:color w:val="auto"/>
          <w:sz w:val="21"/>
          <w:szCs w:val="21"/>
          <w:highlight w:val="none"/>
        </w:rPr>
        <w:t>投标人存在下列情况之一的，投标无效</w:t>
      </w:r>
    </w:p>
    <w:p w14:paraId="27292C55">
      <w:pPr>
        <w:numPr>
          <w:ilvl w:val="0"/>
          <w:numId w:val="20"/>
        </w:numPr>
        <w:shd w:val="clear"/>
        <w:adjustRightInd w:val="0"/>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资格证明文件或商务与技术文件跟报价文件出现混装或在资格证明文件或商务与技术文件中出现投标报价的，或者报价文件中报价的货物跟商务与技术文件中的投标货物出现重大偏差的；</w:t>
      </w:r>
    </w:p>
    <w:p w14:paraId="6DAC1936">
      <w:pPr>
        <w:numPr>
          <w:ilvl w:val="0"/>
          <w:numId w:val="20"/>
        </w:numPr>
        <w:shd w:val="clear"/>
        <w:adjustRightInd w:val="0"/>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不具备采购文件中规定的资格要求的；</w:t>
      </w:r>
      <w:r>
        <w:rPr>
          <w:rFonts w:hint="eastAsia" w:asciiTheme="minorEastAsia" w:hAnsiTheme="minorEastAsia" w:eastAsiaTheme="minorEastAsia" w:cstheme="minorEastAsia"/>
          <w:color w:val="auto"/>
          <w:szCs w:val="21"/>
          <w:highlight w:val="none"/>
        </w:rPr>
        <w:tab/>
      </w:r>
    </w:p>
    <w:p w14:paraId="527AF16A">
      <w:pPr>
        <w:pStyle w:val="9"/>
        <w:numPr>
          <w:ilvl w:val="0"/>
          <w:numId w:val="20"/>
        </w:numPr>
        <w:shd w:val="clea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投标文件含有采购人不能接受的附加条件的；</w:t>
      </w:r>
    </w:p>
    <w:p w14:paraId="565ED645">
      <w:pPr>
        <w:numPr>
          <w:ilvl w:val="0"/>
          <w:numId w:val="20"/>
        </w:numPr>
        <w:shd w:val="clear"/>
        <w:adjustRightInd w:val="0"/>
        <w:snapToGrid w:val="0"/>
        <w:spacing w:line="360" w:lineRule="auto"/>
        <w:ind w:left="0" w:firstLine="420" w:firstLineChars="200"/>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投标代表人未能出具身份证明或与法定代表人授权委托人身份不符的；</w:t>
      </w:r>
    </w:p>
    <w:p w14:paraId="655C6243">
      <w:pPr>
        <w:pStyle w:val="9"/>
        <w:numPr>
          <w:ilvl w:val="0"/>
          <w:numId w:val="20"/>
        </w:numPr>
        <w:shd w:val="clea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9197511">
      <w:pPr>
        <w:pStyle w:val="9"/>
        <w:numPr>
          <w:ilvl w:val="0"/>
          <w:numId w:val="20"/>
        </w:numPr>
        <w:shd w:val="clea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报价超过采购文件中规定的预算金额或最高限价；</w:t>
      </w:r>
    </w:p>
    <w:p w14:paraId="4200D96A">
      <w:pPr>
        <w:pStyle w:val="9"/>
        <w:shd w:val="clear"/>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7.主要性能参数指标（打“▲”的）存在负偏离的。</w:t>
      </w:r>
    </w:p>
    <w:p w14:paraId="223DF5E2">
      <w:pPr>
        <w:pStyle w:val="9"/>
        <w:shd w:val="clear"/>
        <w:adjustRightInd w:val="0"/>
        <w:snapToGrid w:val="0"/>
        <w:spacing w:before="0" w:beforeAutospacing="0" w:after="0" w:afterAutospacing="0" w:line="360" w:lineRule="auto"/>
        <w:ind w:left="420" w:left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8.投标文件提供虚假材料的；</w:t>
      </w:r>
    </w:p>
    <w:p w14:paraId="75ECD266">
      <w:pPr>
        <w:shd w:val="clear"/>
        <w:tabs>
          <w:tab w:val="left" w:pos="1898"/>
        </w:tabs>
        <w:autoSpaceDE w:val="0"/>
        <w:autoSpaceDN w:val="0"/>
        <w:adjustRightInd w:val="0"/>
        <w:snapToGri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9.未上传</w:t>
      </w:r>
      <w:r>
        <w:rPr>
          <w:rFonts w:hint="eastAsia" w:asciiTheme="minorEastAsia" w:hAnsiTheme="minorEastAsia" w:eastAsiaTheme="minorEastAsia" w:cstheme="minorEastAsia"/>
          <w:color w:val="auto"/>
          <w:szCs w:val="21"/>
          <w:highlight w:val="none"/>
        </w:rPr>
        <w:t>电子加密标书，或者非系统平台自身解密异常情况下电子加密标书和电子备份标书均解密失败或未按时解密的；</w:t>
      </w:r>
    </w:p>
    <w:p w14:paraId="28D4AB2E">
      <w:pPr>
        <w:pStyle w:val="9"/>
        <w:shd w:val="clear"/>
        <w:adjustRightInd w:val="0"/>
        <w:snapToGrid w:val="0"/>
        <w:spacing w:before="0" w:beforeAutospacing="0" w:after="0" w:afterAutospacing="0" w:line="360" w:lineRule="auto"/>
        <w:ind w:left="420" w:left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10.不符合中华人民共和国财政部令第87号《政府采购货物和服务招标投标管理办法》第三十七条情形之一的，视为投标人串通投标，其投标无效，并移送采购监管部门：</w:t>
      </w:r>
    </w:p>
    <w:p w14:paraId="197F3260">
      <w:pPr>
        <w:pStyle w:val="9"/>
        <w:shd w:val="clear"/>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（1）不同投标人的投标文件由同一单位或者个人编制；</w:t>
      </w:r>
    </w:p>
    <w:p w14:paraId="32CF4F48">
      <w:pPr>
        <w:pStyle w:val="9"/>
        <w:shd w:val="clear"/>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（2）不同投标人委托同一单位或者个人办理投标事宜；</w:t>
      </w:r>
    </w:p>
    <w:p w14:paraId="0D9CF4F1">
      <w:pPr>
        <w:pStyle w:val="9"/>
        <w:shd w:val="clear"/>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（3）不同投标人的投标文件载明的项目管理成员或者联系人员为同一人；</w:t>
      </w:r>
    </w:p>
    <w:p w14:paraId="4F7F228C">
      <w:pPr>
        <w:pStyle w:val="9"/>
        <w:shd w:val="clear"/>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（4）不同投标人的投标文件异常一致或者投标报价呈规律性差异；</w:t>
      </w:r>
    </w:p>
    <w:p w14:paraId="2169B8B2">
      <w:pPr>
        <w:pStyle w:val="9"/>
        <w:shd w:val="clear"/>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（5）不同投标人的投标文件相互混装。</w:t>
      </w:r>
    </w:p>
    <w:p w14:paraId="35670006">
      <w:pPr>
        <w:shd w:val="clear"/>
        <w:autoSpaceDE w:val="0"/>
        <w:autoSpaceDN w:val="0"/>
        <w:adjustRightInd w:val="0"/>
        <w:spacing w:line="360" w:lineRule="auto"/>
        <w:ind w:left="420" w:left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11.投标文件制作机器码一致的；</w:t>
      </w:r>
    </w:p>
    <w:p w14:paraId="4FE4C689">
      <w:pPr>
        <w:shd w:val="clear"/>
        <w:autoSpaceDE w:val="0"/>
        <w:autoSpaceDN w:val="0"/>
        <w:adjustRightInd w:val="0"/>
        <w:spacing w:line="360" w:lineRule="auto"/>
        <w:ind w:left="420" w:left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12.不符合法律、法规和采购文件中规定的其他实质性要求的（采购文件中打“▲”内容及被拒绝的条款）。</w:t>
      </w:r>
    </w:p>
    <w:p w14:paraId="4A0BAD88">
      <w:pPr>
        <w:shd w:val="clear"/>
        <w:autoSpaceDE w:val="0"/>
        <w:autoSpaceDN w:val="0"/>
        <w:adjustRightInd w:val="0"/>
        <w:spacing w:line="360" w:lineRule="auto"/>
        <w:ind w:left="48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kern w:val="0"/>
          <w:szCs w:val="21"/>
          <w:highlight w:val="none"/>
        </w:rPr>
        <w:t>（七）有下列情况之一的，本次招标作为废标处理</w:t>
      </w:r>
    </w:p>
    <w:p w14:paraId="2AF4BA6B">
      <w:pPr>
        <w:pStyle w:val="9"/>
        <w:numPr>
          <w:ilvl w:val="0"/>
          <w:numId w:val="21"/>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出现影响采购公正的违法、违规行为的；</w:t>
      </w:r>
    </w:p>
    <w:p w14:paraId="60BAF91B">
      <w:pPr>
        <w:pStyle w:val="9"/>
        <w:numPr>
          <w:ilvl w:val="0"/>
          <w:numId w:val="21"/>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b/>
          <w:bCs/>
          <w:color w:val="auto"/>
          <w:sz w:val="21"/>
          <w:szCs w:val="21"/>
          <w:highlight w:val="none"/>
        </w:rPr>
      </w:pPr>
      <w:r>
        <w:rPr>
          <w:rFonts w:asciiTheme="minorEastAsia" w:hAnsiTheme="minorEastAsia" w:eastAsiaTheme="minorEastAsia" w:cstheme="minorEastAsia"/>
          <w:color w:val="auto"/>
          <w:sz w:val="21"/>
          <w:szCs w:val="21"/>
          <w:highlight w:val="none"/>
        </w:rPr>
        <w:t xml:space="preserve">评标委员会发现采购文件存在歧义、重大缺陷导致评标工作无法进行，或者采购文件内容违反国家有关强制性规定的； </w:t>
      </w:r>
    </w:p>
    <w:p w14:paraId="74DD7F30">
      <w:pPr>
        <w:pStyle w:val="9"/>
        <w:numPr>
          <w:ilvl w:val="0"/>
          <w:numId w:val="21"/>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因重大变故，采购任务取消的；</w:t>
      </w:r>
    </w:p>
    <w:p w14:paraId="75978AA6">
      <w:pPr>
        <w:pStyle w:val="9"/>
        <w:numPr>
          <w:ilvl w:val="0"/>
          <w:numId w:val="21"/>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法律、法规和采购文件规定的其他导致评标结果无效的。</w:t>
      </w:r>
    </w:p>
    <w:p w14:paraId="3E583EDB">
      <w:pPr>
        <w:pStyle w:val="28"/>
        <w:shd w:val="clear"/>
        <w:tabs>
          <w:tab w:val="left" w:pos="630"/>
        </w:tabs>
        <w:snapToGrid w:val="0"/>
        <w:spacing w:line="360" w:lineRule="auto"/>
        <w:ind w:firstLine="413" w:firstLineChars="196"/>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（八）评标原则和评标办法</w:t>
      </w:r>
    </w:p>
    <w:p w14:paraId="03D0002E">
      <w:pPr>
        <w:pStyle w:val="28"/>
        <w:numPr>
          <w:ilvl w:val="0"/>
          <w:numId w:val="22"/>
        </w:numPr>
        <w:shd w:val="clear"/>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52B8366">
      <w:pPr>
        <w:pStyle w:val="28"/>
        <w:numPr>
          <w:ilvl w:val="0"/>
          <w:numId w:val="22"/>
        </w:numPr>
        <w:shd w:val="clear"/>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评标办法。具体评标内容及评分标准等详见《第三章：评标方法及评分标准》。</w:t>
      </w:r>
    </w:p>
    <w:p w14:paraId="061B12CF">
      <w:pPr>
        <w:pStyle w:val="28"/>
        <w:shd w:val="clear"/>
        <w:snapToGrid w:val="0"/>
        <w:spacing w:line="360" w:lineRule="auto"/>
        <w:ind w:firstLine="413" w:firstLineChars="196"/>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（九）评标过程的监控</w:t>
      </w:r>
    </w:p>
    <w:p w14:paraId="527FDCBE">
      <w:pPr>
        <w:pStyle w:val="9"/>
        <w:shd w:val="clear"/>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4C1F0492">
      <w:pPr>
        <w:pStyle w:val="9"/>
        <w:shd w:val="clear"/>
        <w:spacing w:before="0" w:beforeAutospacing="0" w:after="0" w:afterAutospacing="0" w:line="360" w:lineRule="auto"/>
        <w:ind w:firstLine="316" w:firstLineChars="150"/>
        <w:jc w:val="both"/>
        <w:rPr>
          <w:rFonts w:hint="default" w:asciiTheme="minorEastAsia" w:hAnsiTheme="minorEastAsia" w:eastAsiaTheme="minorEastAsia" w:cstheme="minorEastAsia"/>
          <w:b/>
          <w:color w:val="auto"/>
          <w:sz w:val="21"/>
          <w:szCs w:val="21"/>
          <w:highlight w:val="none"/>
        </w:rPr>
      </w:pPr>
      <w:r>
        <w:rPr>
          <w:rFonts w:asciiTheme="minorEastAsia" w:hAnsiTheme="minorEastAsia" w:eastAsiaTheme="minorEastAsia" w:cstheme="minorEastAsia"/>
          <w:b/>
          <w:color w:val="auto"/>
          <w:sz w:val="21"/>
          <w:szCs w:val="21"/>
          <w:highlight w:val="none"/>
        </w:rPr>
        <w:t>七、定标</w:t>
      </w:r>
    </w:p>
    <w:p w14:paraId="64D480DE">
      <w:pPr>
        <w:pStyle w:val="9"/>
        <w:numPr>
          <w:ilvl w:val="0"/>
          <w:numId w:val="23"/>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3A7BB8D2">
      <w:pPr>
        <w:numPr>
          <w:ilvl w:val="0"/>
          <w:numId w:val="23"/>
        </w:numPr>
        <w:shd w:val="clear"/>
        <w:spacing w:line="360" w:lineRule="auto"/>
        <w:ind w:left="0"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发布</w:t>
      </w:r>
      <w:r>
        <w:rPr>
          <w:rFonts w:hint="eastAsia" w:asciiTheme="minorEastAsia" w:hAnsiTheme="minorEastAsia" w:eastAsiaTheme="minorEastAsia" w:cstheme="minorEastAsia"/>
          <w:color w:val="auto"/>
          <w:szCs w:val="21"/>
          <w:highlight w:val="none"/>
        </w:rPr>
        <w:t>中标</w:t>
      </w:r>
      <w:r>
        <w:rPr>
          <w:rFonts w:hint="eastAsia" w:asciiTheme="minorEastAsia" w:hAnsiTheme="minorEastAsia" w:eastAsiaTheme="minorEastAsia" w:cstheme="minorEastAsia"/>
          <w:color w:val="auto"/>
          <w:kern w:val="0"/>
          <w:szCs w:val="21"/>
          <w:highlight w:val="none"/>
        </w:rPr>
        <w:t>结果公告。采购组织机构应当自中标人确定之日起2个工作日内，在省级以上财政部门指定的媒体及相关网站上公告中标结果。</w:t>
      </w:r>
    </w:p>
    <w:p w14:paraId="4648A550">
      <w:pPr>
        <w:numPr>
          <w:ilvl w:val="0"/>
          <w:numId w:val="23"/>
        </w:numPr>
        <w:shd w:val="clear"/>
        <w:spacing w:line="360" w:lineRule="auto"/>
        <w:ind w:left="0"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发出中标通知书。采购组织机构在发布中标结果的同时，向中标人发出中标通知书。</w:t>
      </w:r>
    </w:p>
    <w:p w14:paraId="0AFD0DF7">
      <w:pPr>
        <w:shd w:val="clear"/>
        <w:spacing w:line="360" w:lineRule="auto"/>
        <w:ind w:firstLine="422"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rPr>
        <w:t>八、</w:t>
      </w:r>
      <w:r>
        <w:rPr>
          <w:rFonts w:hint="eastAsia" w:asciiTheme="minorEastAsia" w:hAnsiTheme="minorEastAsia" w:eastAsiaTheme="minorEastAsia" w:cstheme="minorEastAsia"/>
          <w:b/>
          <w:color w:val="auto"/>
          <w:kern w:val="0"/>
          <w:szCs w:val="21"/>
          <w:highlight w:val="none"/>
        </w:rPr>
        <w:t>合同签订及公告</w:t>
      </w:r>
    </w:p>
    <w:p w14:paraId="3357570C">
      <w:pPr>
        <w:shd w:val="clear"/>
        <w:spacing w:line="360" w:lineRule="auto"/>
        <w:ind w:firstLine="422"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szCs w:val="21"/>
          <w:highlight w:val="none"/>
        </w:rPr>
        <w:t>（一）签订合同</w:t>
      </w:r>
    </w:p>
    <w:p w14:paraId="69D3676B">
      <w:pPr>
        <w:pStyle w:val="9"/>
        <w:numPr>
          <w:ilvl w:val="0"/>
          <w:numId w:val="24"/>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采购人应当自中标通知书发出之日起30日内，按照采购文件和中标人投标文件的规定，与中标人签订书面合同。所签订的合同不得对采购文件确定的事项和中标人投标文件作实质性修改。</w:t>
      </w:r>
    </w:p>
    <w:p w14:paraId="4DD3E72B">
      <w:pPr>
        <w:pStyle w:val="9"/>
        <w:numPr>
          <w:ilvl w:val="0"/>
          <w:numId w:val="24"/>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采购人不得向中标人提出任何不合理的要求作为签订合同的条件。</w:t>
      </w:r>
    </w:p>
    <w:p w14:paraId="466CB750">
      <w:pPr>
        <w:pStyle w:val="9"/>
        <w:numPr>
          <w:ilvl w:val="0"/>
          <w:numId w:val="24"/>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中标供应商无故拖延、拒签合同的,取消中标资格。</w:t>
      </w:r>
    </w:p>
    <w:p w14:paraId="57309B2B">
      <w:pPr>
        <w:pStyle w:val="9"/>
        <w:numPr>
          <w:ilvl w:val="0"/>
          <w:numId w:val="24"/>
        </w:numPr>
        <w:shd w:val="clea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37D3B91F">
      <w:pPr>
        <w:pStyle w:val="9"/>
        <w:numPr>
          <w:ilvl w:val="0"/>
          <w:numId w:val="24"/>
        </w:numPr>
        <w:shd w:val="clear"/>
        <w:spacing w:line="360" w:lineRule="auto"/>
        <w:ind w:left="0" w:firstLine="420"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询问或者质疑事项可能影响中标结果的，采购人应当暂停签订合同，已经签订合同的，应当中止履行合同（中标结果的质疑期为中标结果公告期限届满之日起七个工作日）。</w:t>
      </w:r>
    </w:p>
    <w:p w14:paraId="76D96DB6">
      <w:pPr>
        <w:pStyle w:val="9"/>
        <w:shd w:val="clear"/>
        <w:spacing w:line="360" w:lineRule="auto"/>
        <w:ind w:firstLine="371" w:firstLineChars="176"/>
        <w:rPr>
          <w:rFonts w:hint="default" w:asciiTheme="minorEastAsia" w:hAnsiTheme="minorEastAsia" w:eastAsiaTheme="minorEastAsia" w:cstheme="minorEastAsia"/>
          <w:b/>
          <w:color w:val="auto"/>
          <w:sz w:val="21"/>
          <w:szCs w:val="21"/>
          <w:highlight w:val="none"/>
        </w:rPr>
      </w:pPr>
      <w:r>
        <w:rPr>
          <w:rFonts w:asciiTheme="minorEastAsia" w:hAnsiTheme="minorEastAsia" w:eastAsiaTheme="minorEastAsia" w:cstheme="minorEastAsia"/>
          <w:b/>
          <w:color w:val="auto"/>
          <w:sz w:val="21"/>
          <w:szCs w:val="21"/>
          <w:highlight w:val="none"/>
        </w:rPr>
        <w:t>（二）合同公告及备案</w:t>
      </w:r>
    </w:p>
    <w:p w14:paraId="5FAA6F26">
      <w:pPr>
        <w:pStyle w:val="25"/>
        <w:numPr>
          <w:ilvl w:val="0"/>
          <w:numId w:val="25"/>
        </w:numPr>
        <w:shd w:val="clear"/>
        <w:spacing w:line="360" w:lineRule="auto"/>
        <w:ind w:left="0" w:leftChars="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采购人应当自政府采购合同签订之日起2个工作日内，</w:t>
      </w:r>
      <w:r>
        <w:rPr>
          <w:rFonts w:hint="eastAsia" w:asciiTheme="minorEastAsia" w:hAnsiTheme="minorEastAsia" w:eastAsiaTheme="minorEastAsia" w:cstheme="minorEastAsia"/>
          <w:color w:val="auto"/>
          <w:kern w:val="0"/>
          <w:szCs w:val="21"/>
          <w:highlight w:val="none"/>
        </w:rPr>
        <w:t>在省级以上财政部门指定的政府采购信息发布媒体及相关网站上公告</w:t>
      </w:r>
      <w:r>
        <w:rPr>
          <w:rFonts w:hint="eastAsia" w:asciiTheme="minorEastAsia" w:hAnsiTheme="minorEastAsia" w:eastAsiaTheme="minorEastAsia" w:cstheme="minorEastAsia"/>
          <w:color w:val="auto"/>
          <w:szCs w:val="21"/>
          <w:highlight w:val="none"/>
        </w:rPr>
        <w:t>。</w:t>
      </w:r>
    </w:p>
    <w:p w14:paraId="54845537">
      <w:pPr>
        <w:pStyle w:val="25"/>
        <w:numPr>
          <w:ilvl w:val="0"/>
          <w:numId w:val="25"/>
        </w:numPr>
        <w:shd w:val="clear"/>
        <w:spacing w:line="360" w:lineRule="auto"/>
        <w:ind w:left="0" w:leftChars="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采购人应当自政府采购合同签订之日起7个工作日内，将政府采购合同副本报同级人民政府财政部门备案以及采购组织机构存档。</w:t>
      </w:r>
    </w:p>
    <w:p w14:paraId="099FBF76">
      <w:pPr>
        <w:pStyle w:val="25"/>
        <w:shd w:val="clear"/>
        <w:spacing w:line="360" w:lineRule="auto"/>
        <w:ind w:left="0" w:leftChars="0"/>
        <w:rPr>
          <w:rFonts w:ascii="宋体" w:hAnsi="宋体" w:cs="宋体"/>
          <w:color w:val="auto"/>
          <w:sz w:val="24"/>
          <w:highlight w:val="none"/>
        </w:rPr>
      </w:pPr>
    </w:p>
    <w:p w14:paraId="302E9F00">
      <w:pPr>
        <w:shd w:val="clear"/>
        <w:rPr>
          <w:rFonts w:ascii="宋体" w:hAnsi="宋体" w:cs="宋体"/>
          <w:color w:val="auto"/>
          <w:sz w:val="24"/>
          <w:highlight w:val="none"/>
        </w:rPr>
      </w:pPr>
    </w:p>
    <w:p w14:paraId="2E9E6843">
      <w:pPr>
        <w:pStyle w:val="22"/>
        <w:shd w:val="clear"/>
        <w:rPr>
          <w:rFonts w:ascii="宋体" w:hAnsi="宋体" w:cs="宋体"/>
          <w:color w:val="auto"/>
          <w:highlight w:val="none"/>
        </w:rPr>
      </w:pPr>
    </w:p>
    <w:p w14:paraId="59A1350F">
      <w:pPr>
        <w:pStyle w:val="23"/>
        <w:shd w:val="clear"/>
        <w:ind w:firstLine="264"/>
        <w:rPr>
          <w:rFonts w:ascii="宋体" w:hAnsi="宋体" w:cs="宋体"/>
          <w:color w:val="auto"/>
          <w:sz w:val="24"/>
          <w:highlight w:val="none"/>
        </w:rPr>
      </w:pPr>
    </w:p>
    <w:p w14:paraId="655974CE">
      <w:pPr>
        <w:shd w:val="clear"/>
        <w:rPr>
          <w:rFonts w:ascii="宋体" w:hAnsi="宋体" w:cs="宋体"/>
          <w:color w:val="auto"/>
          <w:sz w:val="24"/>
          <w:highlight w:val="none"/>
        </w:rPr>
      </w:pPr>
    </w:p>
    <w:p w14:paraId="0F8FFF44">
      <w:pPr>
        <w:pStyle w:val="22"/>
        <w:shd w:val="clear"/>
        <w:rPr>
          <w:rFonts w:ascii="宋体" w:hAnsi="宋体" w:cs="宋体"/>
          <w:color w:val="auto"/>
          <w:highlight w:val="none"/>
        </w:rPr>
      </w:pPr>
    </w:p>
    <w:p w14:paraId="6C32D60A">
      <w:pPr>
        <w:pStyle w:val="23"/>
        <w:shd w:val="clear"/>
        <w:ind w:firstLine="264"/>
        <w:rPr>
          <w:rFonts w:ascii="宋体" w:hAnsi="宋体" w:cs="宋体"/>
          <w:color w:val="auto"/>
          <w:sz w:val="24"/>
          <w:highlight w:val="none"/>
        </w:rPr>
      </w:pPr>
    </w:p>
    <w:p w14:paraId="07341C5D">
      <w:pPr>
        <w:pStyle w:val="28"/>
        <w:shd w:val="clear"/>
        <w:rPr>
          <w:rFonts w:hAnsi="宋体" w:cs="宋体"/>
          <w:color w:val="auto"/>
          <w:sz w:val="24"/>
          <w:highlight w:val="none"/>
        </w:rPr>
      </w:pPr>
    </w:p>
    <w:p w14:paraId="092E14B5">
      <w:pPr>
        <w:numPr>
          <w:ilvl w:val="0"/>
          <w:numId w:val="12"/>
        </w:numPr>
        <w:shd w:val="clea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评标办法及评分标准</w:t>
      </w:r>
    </w:p>
    <w:p w14:paraId="07E19113">
      <w:pPr>
        <w:numPr>
          <w:ilvl w:val="0"/>
          <w:numId w:val="26"/>
        </w:numPr>
        <w:shd w:val="clear"/>
        <w:autoSpaceDE w:val="0"/>
        <w:autoSpaceDN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采购组织机构将组织评标委员会，对投标人提供的投标文件进行综合评审。</w:t>
      </w:r>
    </w:p>
    <w:p w14:paraId="1179EAA0">
      <w:pPr>
        <w:numPr>
          <w:ilvl w:val="0"/>
          <w:numId w:val="26"/>
        </w:numPr>
        <w:shd w:val="clear"/>
        <w:autoSpaceDE w:val="0"/>
        <w:autoSpaceDN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本次招标项目的评标方法为综合评分法，总计100分。评标标准按以下内容及分值进行评审。</w:t>
      </w:r>
    </w:p>
    <w:tbl>
      <w:tblPr>
        <w:tblStyle w:val="46"/>
        <w:tblW w:w="7959"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4808"/>
      </w:tblGrid>
      <w:tr w14:paraId="1505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151" w:type="dxa"/>
            <w:tcBorders>
              <w:tl2br w:val="single" w:color="auto" w:sz="4" w:space="0"/>
            </w:tcBorders>
          </w:tcPr>
          <w:p w14:paraId="28C83FD4">
            <w:pPr>
              <w:keepNext w:val="0"/>
              <w:keepLines w:val="0"/>
              <w:suppressLineNumbers w:val="0"/>
              <w:shd w:val="clear"/>
              <w:autoSpaceDE w:val="0"/>
              <w:autoSpaceDN w:val="0"/>
              <w:adjustRightInd w:val="0"/>
              <w:spacing w:before="0" w:beforeAutospacing="0" w:after="0" w:afterAutospacing="0"/>
              <w:ind w:left="0" w:right="0"/>
              <w:jc w:val="left"/>
              <w:rPr>
                <w:rFonts w:hint="default" w:ascii="宋体" w:hAnsi="宋体" w:cs="宋体"/>
                <w:color w:val="auto"/>
                <w:sz w:val="24"/>
                <w:highlight w:val="none"/>
              </w:rPr>
            </w:pPr>
            <w:r>
              <w:rPr>
                <w:rFonts w:hint="eastAsia" w:ascii="宋体" w:hAnsi="宋体" w:cs="宋体"/>
                <w:color w:val="auto"/>
                <w:sz w:val="24"/>
                <w:highlight w:val="none"/>
              </w:rPr>
              <w:t xml:space="preserve">          标段</w:t>
            </w:r>
          </w:p>
          <w:p w14:paraId="0EC0356E">
            <w:pPr>
              <w:keepNext w:val="0"/>
              <w:keepLines w:val="0"/>
              <w:suppressLineNumbers w:val="0"/>
              <w:shd w:val="clear"/>
              <w:autoSpaceDE w:val="0"/>
              <w:autoSpaceDN w:val="0"/>
              <w:adjustRightInd w:val="0"/>
              <w:spacing w:before="0" w:beforeAutospacing="0" w:after="0" w:afterAutospacing="0"/>
              <w:ind w:left="0" w:right="0"/>
              <w:jc w:val="left"/>
              <w:rPr>
                <w:rFonts w:hint="default" w:ascii="宋体" w:hAnsi="宋体" w:cs="宋体"/>
                <w:color w:val="auto"/>
                <w:sz w:val="24"/>
                <w:highlight w:val="none"/>
              </w:rPr>
            </w:pPr>
            <w:r>
              <w:rPr>
                <w:rFonts w:hint="eastAsia" w:ascii="宋体" w:hAnsi="宋体" w:cs="宋体"/>
                <w:color w:val="auto"/>
                <w:sz w:val="24"/>
                <w:highlight w:val="none"/>
              </w:rPr>
              <w:t>类别</w:t>
            </w:r>
          </w:p>
        </w:tc>
        <w:tc>
          <w:tcPr>
            <w:tcW w:w="4808" w:type="dxa"/>
            <w:vAlign w:val="center"/>
          </w:tcPr>
          <w:p w14:paraId="1BA7A06E">
            <w:pPr>
              <w:keepNext w:val="0"/>
              <w:keepLines w:val="0"/>
              <w:suppressLineNumbers w:val="0"/>
              <w:shd w:val="clear"/>
              <w:autoSpaceDE w:val="0"/>
              <w:autoSpaceDN w:val="0"/>
              <w:adjustRightInd w:val="0"/>
              <w:spacing w:before="0" w:beforeAutospacing="0" w:after="0" w:afterAutospacing="0" w:line="48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1 \* CHINESENUM3</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一</w:t>
            </w:r>
            <w:r>
              <w:rPr>
                <w:rFonts w:hint="eastAsia" w:ascii="宋体" w:hAnsi="宋体" w:cs="宋体"/>
                <w:color w:val="auto"/>
                <w:sz w:val="24"/>
                <w:highlight w:val="none"/>
              </w:rPr>
              <w:fldChar w:fldCharType="end"/>
            </w:r>
          </w:p>
        </w:tc>
      </w:tr>
      <w:tr w14:paraId="55DC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51" w:type="dxa"/>
            <w:vAlign w:val="center"/>
          </w:tcPr>
          <w:p w14:paraId="38077924">
            <w:pPr>
              <w:keepNext w:val="0"/>
              <w:keepLines w:val="0"/>
              <w:suppressLineNumbers w:val="0"/>
              <w:shd w:val="clear"/>
              <w:autoSpaceDE w:val="0"/>
              <w:autoSpaceDN w:val="0"/>
              <w:adjustRightInd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商务与技术</w:t>
            </w:r>
          </w:p>
        </w:tc>
        <w:tc>
          <w:tcPr>
            <w:tcW w:w="4808" w:type="dxa"/>
            <w:vAlign w:val="center"/>
          </w:tcPr>
          <w:p w14:paraId="11E5FA79">
            <w:pPr>
              <w:keepNext w:val="0"/>
              <w:keepLines w:val="0"/>
              <w:suppressLineNumbers w:val="0"/>
              <w:shd w:val="clear"/>
              <w:autoSpaceDE w:val="0"/>
              <w:autoSpaceDN w:val="0"/>
              <w:adjustRightInd w:val="0"/>
              <w:spacing w:before="0" w:beforeAutospacing="0" w:after="0" w:afterAutospacing="0"/>
              <w:ind w:left="0" w:right="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80</w:t>
            </w:r>
          </w:p>
        </w:tc>
      </w:tr>
      <w:tr w14:paraId="5CC1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151" w:type="dxa"/>
            <w:vAlign w:val="center"/>
          </w:tcPr>
          <w:p w14:paraId="48E9E754">
            <w:pPr>
              <w:keepNext w:val="0"/>
              <w:keepLines w:val="0"/>
              <w:suppressLineNumbers w:val="0"/>
              <w:shd w:val="clear"/>
              <w:autoSpaceDE w:val="0"/>
              <w:autoSpaceDN w:val="0"/>
              <w:adjustRightInd w:val="0"/>
              <w:spacing w:before="0" w:beforeAutospacing="0" w:after="0" w:afterAutospacing="0"/>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价格</w:t>
            </w:r>
          </w:p>
        </w:tc>
        <w:tc>
          <w:tcPr>
            <w:tcW w:w="4808" w:type="dxa"/>
            <w:vAlign w:val="center"/>
          </w:tcPr>
          <w:p w14:paraId="006DC368">
            <w:pPr>
              <w:keepNext w:val="0"/>
              <w:keepLines w:val="0"/>
              <w:suppressLineNumbers w:val="0"/>
              <w:shd w:val="clear"/>
              <w:autoSpaceDE w:val="0"/>
              <w:autoSpaceDN w:val="0"/>
              <w:adjustRightInd w:val="0"/>
              <w:spacing w:before="0" w:beforeAutospacing="0" w:after="0" w:afterAutospacing="0"/>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r>
    </w:tbl>
    <w:p w14:paraId="6C374537">
      <w:pPr>
        <w:shd w:val="clear"/>
        <w:autoSpaceDE w:val="0"/>
        <w:autoSpaceDN w:val="0"/>
        <w:adjustRightInd w:val="0"/>
        <w:spacing w:line="360" w:lineRule="auto"/>
        <w:ind w:right="84" w:firstLine="472"/>
        <w:rPr>
          <w:rFonts w:ascii="宋体" w:hAnsi="宋体" w:cs="宋体"/>
          <w:bCs/>
          <w:color w:val="auto"/>
          <w:sz w:val="24"/>
          <w:highlight w:val="none"/>
          <w:lang w:val="zh-CN"/>
        </w:rPr>
      </w:pPr>
    </w:p>
    <w:p w14:paraId="411952BD">
      <w:pPr>
        <w:shd w:val="clear"/>
        <w:autoSpaceDE w:val="0"/>
        <w:autoSpaceDN w:val="0"/>
        <w:adjustRightInd w:val="0"/>
        <w:spacing w:line="360" w:lineRule="auto"/>
        <w:ind w:right="84" w:firstLine="472"/>
        <w:rPr>
          <w:rFonts w:ascii="宋体" w:hAnsi="宋体" w:cs="宋体"/>
          <w:bCs/>
          <w:color w:val="auto"/>
          <w:sz w:val="24"/>
          <w:highlight w:val="none"/>
          <w:lang w:val="zh-CN"/>
        </w:rPr>
      </w:pPr>
      <w:r>
        <w:rPr>
          <w:rFonts w:hint="eastAsia" w:ascii="宋体" w:hAnsi="宋体" w:cs="宋体"/>
          <w:bCs/>
          <w:color w:val="auto"/>
          <w:sz w:val="24"/>
          <w:highlight w:val="none"/>
          <w:lang w:val="zh-CN"/>
        </w:rPr>
        <w:t>（一）商务与技术文件中的客观分由评标委员会讨论后统一打分；其余在规定的分值内单独评定打分。</w:t>
      </w:r>
    </w:p>
    <w:p w14:paraId="1B88A565">
      <w:pPr>
        <w:shd w:val="clear"/>
        <w:autoSpaceDE w:val="0"/>
        <w:autoSpaceDN w:val="0"/>
        <w:adjustRightInd w:val="0"/>
        <w:spacing w:line="360" w:lineRule="auto"/>
        <w:ind w:right="84" w:firstLine="472"/>
        <w:rPr>
          <w:rFonts w:ascii="宋体" w:hAnsi="宋体" w:cs="宋体"/>
          <w:bCs/>
          <w:color w:val="auto"/>
          <w:sz w:val="24"/>
          <w:highlight w:val="none"/>
          <w:shd w:val="clear" w:color="FFFFFF" w:fill="D9D9D9"/>
          <w:lang w:val="zh-CN"/>
        </w:rPr>
      </w:pPr>
      <w:r>
        <w:rPr>
          <w:rFonts w:hint="eastAsia" w:ascii="宋体" w:hAnsi="宋体" w:cs="宋体"/>
          <w:bCs/>
          <w:color w:val="auto"/>
          <w:sz w:val="24"/>
          <w:highlight w:val="none"/>
          <w:lang w:val="zh-CN"/>
        </w:rPr>
        <w:t>（二）各投标人商务与技术文件</w:t>
      </w:r>
      <w:r>
        <w:rPr>
          <w:rFonts w:hint="eastAsia" w:ascii="宋体" w:hAnsi="宋体" w:cs="宋体"/>
          <w:color w:val="auto"/>
          <w:kern w:val="0"/>
          <w:sz w:val="24"/>
          <w:highlight w:val="none"/>
          <w:lang w:val="zh-CN"/>
        </w:rPr>
        <w:t>得分按照评标委员会成</w:t>
      </w:r>
      <w:r>
        <w:rPr>
          <w:rFonts w:hint="eastAsia" w:ascii="宋体" w:hAnsi="宋体" w:cs="宋体"/>
          <w:bCs/>
          <w:color w:val="auto"/>
          <w:sz w:val="24"/>
          <w:highlight w:val="none"/>
          <w:lang w:val="zh-CN"/>
        </w:rPr>
        <w:t>员的独立评分结果汇总后的算术平均分计算，计算公式为：</w:t>
      </w:r>
    </w:p>
    <w:p w14:paraId="0C540F07">
      <w:pPr>
        <w:shd w:val="clear"/>
        <w:autoSpaceDE w:val="0"/>
        <w:autoSpaceDN w:val="0"/>
        <w:adjustRightInd w:val="0"/>
        <w:spacing w:line="360" w:lineRule="auto"/>
        <w:ind w:right="84" w:firstLine="472"/>
        <w:rPr>
          <w:rFonts w:ascii="宋体" w:hAnsi="宋体" w:cs="宋体"/>
          <w:bCs/>
          <w:color w:val="auto"/>
          <w:sz w:val="24"/>
          <w:highlight w:val="none"/>
          <w:shd w:val="clear" w:color="FFFFFF" w:fill="D9D9D9"/>
          <w:lang w:val="zh-CN"/>
        </w:rPr>
      </w:pPr>
      <w:r>
        <w:rPr>
          <w:rFonts w:hint="eastAsia" w:ascii="宋体" w:hAnsi="宋体" w:cs="宋体"/>
          <w:color w:val="auto"/>
          <w:sz w:val="24"/>
          <w:highlight w:val="none"/>
        </w:rPr>
        <w:t>商务与技术文件得分</w:t>
      </w:r>
      <w:r>
        <w:rPr>
          <w:rFonts w:hint="eastAsia" w:ascii="宋体" w:hAnsi="宋体" w:cs="宋体"/>
          <w:bCs/>
          <w:color w:val="auto"/>
          <w:sz w:val="24"/>
          <w:highlight w:val="none"/>
          <w:lang w:val="zh-CN"/>
        </w:rPr>
        <w:t>=评标委员会所有成员评分合计数/评标委员会组成人员数</w:t>
      </w:r>
      <w:r>
        <w:rPr>
          <w:rFonts w:hint="eastAsia" w:ascii="宋体" w:hAnsi="宋体"/>
          <w:color w:val="auto"/>
          <w:sz w:val="24"/>
          <w:highlight w:val="none"/>
        </w:rPr>
        <w:t>（得分保留2位小数,小数点后第三位四舍五入）</w:t>
      </w:r>
      <w:r>
        <w:rPr>
          <w:rFonts w:hint="eastAsia" w:ascii="宋体" w:hAnsi="宋体" w:cs="宋体"/>
          <w:bCs/>
          <w:color w:val="auto"/>
          <w:sz w:val="24"/>
          <w:highlight w:val="none"/>
          <w:lang w:val="zh-CN"/>
        </w:rPr>
        <w:t>。</w:t>
      </w:r>
    </w:p>
    <w:p w14:paraId="751881A0">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bCs/>
          <w:color w:val="auto"/>
          <w:sz w:val="24"/>
          <w:highlight w:val="none"/>
          <w:lang w:val="zh-CN"/>
        </w:rPr>
        <w:t>（三）本项目</w:t>
      </w:r>
      <w:r>
        <w:rPr>
          <w:rFonts w:hint="eastAsia" w:ascii="宋体" w:hAnsi="宋体" w:cs="宋体"/>
          <w:color w:val="auto"/>
          <w:sz w:val="24"/>
          <w:highlight w:val="none"/>
          <w:lang w:val="zh-CN"/>
        </w:rPr>
        <w:t>投标报价得分采用低价优先法计算，即满足采购文件要求且本项目投标报价最低的投标报价为</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的评标基准价，其报价得满分。</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其他投标人的投标报价得分按下列公式计算：</w:t>
      </w:r>
    </w:p>
    <w:p w14:paraId="58DB0EC1">
      <w:pPr>
        <w:shd w:val="clear"/>
        <w:autoSpaceDE w:val="0"/>
        <w:autoSpaceDN w:val="0"/>
        <w:adjustRightInd w:val="0"/>
        <w:spacing w:line="360" w:lineRule="auto"/>
        <w:ind w:right="85"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投标报价得分=(评标基准价／投标报价)×</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%×100</w:t>
      </w:r>
      <w:r>
        <w:rPr>
          <w:rFonts w:hint="eastAsia" w:ascii="宋体" w:hAnsi="宋体"/>
          <w:color w:val="auto"/>
          <w:sz w:val="24"/>
          <w:highlight w:val="none"/>
          <w:u w:val="single"/>
        </w:rPr>
        <w:t>（得分保留2位小数,小数点后第三位四舍五入）</w:t>
      </w:r>
      <w:r>
        <w:rPr>
          <w:rFonts w:hint="eastAsia" w:ascii="宋体" w:hAnsi="宋体" w:cs="宋体"/>
          <w:color w:val="auto"/>
          <w:sz w:val="24"/>
          <w:highlight w:val="none"/>
          <w:u w:val="single"/>
        </w:rPr>
        <w:t xml:space="preserve"> 。</w:t>
      </w:r>
    </w:p>
    <w:p w14:paraId="3207705D">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（四）中小企业政策</w:t>
      </w:r>
    </w:p>
    <w:p w14:paraId="0EDD5329">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）政府采购政策及优惠：</w:t>
      </w:r>
    </w:p>
    <w:p w14:paraId="76DD5B42">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关于小型、微型企业（简称小微企业）投标：小微企业投标是指符合《中小企业划型标准规定》的投标供应商，通过投标提供本企业制造的货物、承担的工程或者服务，或者提供其他小微企业制造的货物。本项所指货物不包括使用大、中型企业注册商标的货物。小微企业投标应提供《中小企业声明函》（见附件），投标供应商未提供以上资料或者经评标委员会核查不符的，将不能享受相应的小微企业优惠政策。</w:t>
      </w:r>
    </w:p>
    <w:p w14:paraId="00E206E2">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2.监狱企业参加政府采购活动时，应当提供由省级以上监狱管理局、戒毒管理局（含新疆生产建设兵团）出具的属于监狱企业的证明文件，视同小型、微型企业，享受小微企业政府采购优惠政策；</w:t>
      </w:r>
    </w:p>
    <w:p w14:paraId="06A871C2">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3.残疾人福利性单位在参加政府采购活动时，应提供《残疾人福利性单位声明函》（见附件），视同小型、微型企业，享受小微企业政府采购优惠政策。</w:t>
      </w:r>
    </w:p>
    <w:p w14:paraId="3EB4B1C7">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）价格扣除相关要求：</w:t>
      </w:r>
    </w:p>
    <w:p w14:paraId="46C87997">
      <w:pPr>
        <w:shd w:val="clear"/>
        <w:autoSpaceDE w:val="0"/>
        <w:autoSpaceDN w:val="0"/>
        <w:adjustRightInd w:val="0"/>
        <w:spacing w:line="360" w:lineRule="auto"/>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对于非联合体投标，小型微型企业产品的价格给予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的扣除，用扣除后的价格计算评标基准价和投标报价。对于联合体投标，小型、微型企业的协议合同金额占到联合体协议合同总金额30%以上的，可给予联合体6%的价格扣除。联合体各方均为小型、微型企业的，联合体视同为小型、微型企业享受扶持政策，对于小型微型企业产品的价格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 xml:space="preserve"> % 的扣除，用扣除后的价格计算评标基准价和响应报价。同一投标供应商（包括联合体），小微企业、监狱企业、残疾人福利性单位价格扣除优惠只享受一次，不得重复享受。</w:t>
      </w:r>
    </w:p>
    <w:p w14:paraId="47F114EE">
      <w:pPr>
        <w:shd w:val="clear"/>
        <w:autoSpaceDE w:val="0"/>
        <w:autoSpaceDN w:val="0"/>
        <w:adjustRightInd w:val="0"/>
        <w:spacing w:line="500" w:lineRule="exact"/>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三、在最大限度地满足采购文件实质性要求前提下，评标委员会按照采购文件中规定的各项因素进行综合评审后，以</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评标总得分最高的投标人为</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第一中标候选人，以</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评标总得分次高的投标人为</w:t>
      </w:r>
      <w:r>
        <w:rPr>
          <w:rFonts w:hint="eastAsia" w:ascii="宋体" w:hAnsi="宋体" w:cs="宋体"/>
          <w:bCs/>
          <w:color w:val="auto"/>
          <w:sz w:val="24"/>
          <w:highlight w:val="none"/>
          <w:lang w:val="zh-CN"/>
        </w:rPr>
        <w:t>本项目</w:t>
      </w:r>
      <w:r>
        <w:rPr>
          <w:rFonts w:hint="eastAsia" w:ascii="宋体" w:hAnsi="宋体" w:cs="宋体"/>
          <w:color w:val="auto"/>
          <w:sz w:val="24"/>
          <w:highlight w:val="none"/>
          <w:lang w:val="zh-CN"/>
        </w:rPr>
        <w:t>第二中标候选人。</w:t>
      </w:r>
    </w:p>
    <w:p w14:paraId="1DB3B372">
      <w:pPr>
        <w:shd w:val="clear"/>
        <w:autoSpaceDE w:val="0"/>
        <w:autoSpaceDN w:val="0"/>
        <w:adjustRightInd w:val="0"/>
        <w:spacing w:line="500" w:lineRule="exact"/>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四、中标候选人放弃中标、因不可抗力提出不能履行合同，或者招标文件规定应当提交履约保证金而在规定的期限内未能提交的，招标人可以确定排名次之的中标候选人为中标人。</w:t>
      </w:r>
    </w:p>
    <w:p w14:paraId="7720EAD3">
      <w:pPr>
        <w:shd w:val="clear"/>
        <w:autoSpaceDE w:val="0"/>
        <w:autoSpaceDN w:val="0"/>
        <w:adjustRightInd w:val="0"/>
        <w:spacing w:line="500" w:lineRule="exact"/>
        <w:ind w:right="8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五、如综合得分相同，投标报价低者为先；如综合得分且投标报价相同的，由评审委员会现场抽签确定。</w:t>
      </w:r>
    </w:p>
    <w:p w14:paraId="30DE3667">
      <w:pPr>
        <w:shd w:val="clear"/>
        <w:autoSpaceDE w:val="0"/>
        <w:autoSpaceDN w:val="0"/>
        <w:adjustRightInd w:val="0"/>
        <w:spacing w:line="500" w:lineRule="exact"/>
        <w:ind w:firstLine="360" w:firstLineChars="150"/>
        <w:jc w:val="left"/>
        <w:rPr>
          <w:rFonts w:ascii="宋体" w:hAnsi="宋体" w:cs="宋体"/>
          <w:color w:val="auto"/>
          <w:kern w:val="0"/>
          <w:sz w:val="24"/>
          <w:highlight w:val="none"/>
        </w:rPr>
      </w:pPr>
      <w:r>
        <w:rPr>
          <w:rFonts w:hint="eastAsia" w:ascii="宋体" w:hAnsi="宋体" w:cs="宋体"/>
          <w:color w:val="auto"/>
          <w:sz w:val="24"/>
          <w:highlight w:val="none"/>
          <w:lang w:val="zh-CN"/>
        </w:rPr>
        <w:t>六、</w:t>
      </w:r>
      <w:r>
        <w:rPr>
          <w:rFonts w:hint="eastAsia" w:ascii="宋体" w:hAnsi="宋体" w:cs="宋体"/>
          <w:color w:val="auto"/>
          <w:kern w:val="0"/>
          <w:sz w:val="24"/>
          <w:highlight w:val="none"/>
        </w:rPr>
        <w:t>本次评分具体分值细化条款如下表：</w:t>
      </w:r>
    </w:p>
    <w:tbl>
      <w:tblPr>
        <w:tblStyle w:val="46"/>
        <w:tblW w:w="0" w:type="auto"/>
        <w:tblInd w:w="-6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040"/>
        <w:gridCol w:w="6703"/>
        <w:gridCol w:w="860"/>
      </w:tblGrid>
      <w:tr w14:paraId="1221E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25" w:type="dxa"/>
            <w:tcBorders>
              <w:top w:val="single" w:color="000000" w:sz="8" w:space="0"/>
              <w:left w:val="single" w:color="000000" w:sz="8" w:space="0"/>
              <w:bottom w:val="single" w:color="000000" w:sz="8" w:space="0"/>
              <w:right w:val="single" w:color="000000" w:sz="8" w:space="0"/>
            </w:tcBorders>
            <w:shd w:val="clear" w:color="auto" w:fill="E7E6E6"/>
            <w:vAlign w:val="center"/>
          </w:tcPr>
          <w:p w14:paraId="206F5AE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040" w:type="dxa"/>
            <w:tcBorders>
              <w:top w:val="single" w:color="000000" w:sz="8" w:space="0"/>
              <w:left w:val="nil"/>
              <w:bottom w:val="single" w:color="000000" w:sz="8" w:space="0"/>
              <w:right w:val="single" w:color="000000" w:sz="8" w:space="0"/>
            </w:tcBorders>
            <w:shd w:val="clear" w:color="auto" w:fill="E7E6E6"/>
            <w:vAlign w:val="center"/>
          </w:tcPr>
          <w:p w14:paraId="7461711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评审项目</w:t>
            </w:r>
          </w:p>
        </w:tc>
        <w:tc>
          <w:tcPr>
            <w:tcW w:w="6703" w:type="dxa"/>
            <w:tcBorders>
              <w:top w:val="single" w:color="000000" w:sz="8" w:space="0"/>
              <w:left w:val="nil"/>
              <w:bottom w:val="single" w:color="000000" w:sz="8" w:space="0"/>
              <w:right w:val="single" w:color="000000" w:sz="8" w:space="0"/>
            </w:tcBorders>
            <w:shd w:val="clear" w:color="auto" w:fill="E7E6E6"/>
            <w:vAlign w:val="center"/>
          </w:tcPr>
          <w:p w14:paraId="009021F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评分细则</w:t>
            </w:r>
          </w:p>
        </w:tc>
        <w:tc>
          <w:tcPr>
            <w:tcW w:w="860" w:type="dxa"/>
            <w:tcBorders>
              <w:top w:val="single" w:color="000000" w:sz="8" w:space="0"/>
              <w:left w:val="nil"/>
              <w:bottom w:val="single" w:color="000000" w:sz="8" w:space="0"/>
              <w:right w:val="single" w:color="000000" w:sz="8" w:space="0"/>
            </w:tcBorders>
            <w:shd w:val="clear" w:color="auto" w:fill="E7E6E6"/>
            <w:vAlign w:val="center"/>
          </w:tcPr>
          <w:p w14:paraId="627FD55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分值</w:t>
            </w:r>
          </w:p>
        </w:tc>
      </w:tr>
      <w:tr w14:paraId="73D3A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5" w:type="dxa"/>
            <w:tcBorders>
              <w:top w:val="nil"/>
              <w:left w:val="single" w:color="000000" w:sz="8" w:space="0"/>
              <w:bottom w:val="single" w:color="000000" w:sz="8" w:space="0"/>
              <w:right w:val="single" w:color="000000" w:sz="8" w:space="0"/>
            </w:tcBorders>
            <w:shd w:val="clear" w:color="auto" w:fill="auto"/>
            <w:vAlign w:val="center"/>
          </w:tcPr>
          <w:p w14:paraId="2635A9A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c>
          <w:tcPr>
            <w:tcW w:w="1040" w:type="dxa"/>
            <w:tcBorders>
              <w:top w:val="nil"/>
              <w:left w:val="nil"/>
              <w:bottom w:val="single" w:color="000000" w:sz="8" w:space="0"/>
              <w:right w:val="single" w:color="000000" w:sz="8" w:space="0"/>
            </w:tcBorders>
            <w:shd w:val="clear" w:color="auto" w:fill="auto"/>
            <w:vAlign w:val="center"/>
          </w:tcPr>
          <w:p w14:paraId="168327A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类似业绩</w:t>
            </w:r>
          </w:p>
        </w:tc>
        <w:tc>
          <w:tcPr>
            <w:tcW w:w="6703" w:type="dxa"/>
            <w:tcBorders>
              <w:top w:val="nil"/>
              <w:left w:val="nil"/>
              <w:bottom w:val="single" w:color="000000" w:sz="8" w:space="0"/>
              <w:right w:val="single" w:color="000000" w:sz="8" w:space="0"/>
            </w:tcBorders>
            <w:shd w:val="clear" w:color="auto" w:fill="auto"/>
            <w:vAlign w:val="center"/>
          </w:tcPr>
          <w:p w14:paraId="2337ADC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根据投标人提供的自2022年1月1日（以合同签订时间为准）至今的同类项目业绩，每提供一个合同得1分，最高得2分。</w:t>
            </w:r>
          </w:p>
        </w:tc>
        <w:tc>
          <w:tcPr>
            <w:tcW w:w="860" w:type="dxa"/>
            <w:tcBorders>
              <w:top w:val="nil"/>
              <w:left w:val="nil"/>
              <w:bottom w:val="single" w:color="000000" w:sz="8" w:space="0"/>
              <w:right w:val="single" w:color="000000" w:sz="8" w:space="0"/>
            </w:tcBorders>
            <w:shd w:val="clear" w:color="auto" w:fill="auto"/>
            <w:vAlign w:val="center"/>
          </w:tcPr>
          <w:p w14:paraId="0DBEE1E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4413A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4" w:hRule="atLeast"/>
        </w:trPr>
        <w:tc>
          <w:tcPr>
            <w:tcW w:w="525" w:type="dxa"/>
            <w:tcBorders>
              <w:top w:val="nil"/>
              <w:left w:val="single" w:color="000000" w:sz="8" w:space="0"/>
              <w:bottom w:val="nil"/>
              <w:right w:val="single" w:color="000000" w:sz="8" w:space="0"/>
            </w:tcBorders>
            <w:shd w:val="clear" w:color="auto" w:fill="auto"/>
            <w:vAlign w:val="center"/>
          </w:tcPr>
          <w:p w14:paraId="53F914A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1040" w:type="dxa"/>
            <w:tcBorders>
              <w:top w:val="nil"/>
              <w:left w:val="nil"/>
              <w:bottom w:val="nil"/>
              <w:right w:val="single" w:color="000000" w:sz="8" w:space="0"/>
            </w:tcBorders>
            <w:shd w:val="clear" w:color="auto" w:fill="auto"/>
            <w:vAlign w:val="center"/>
          </w:tcPr>
          <w:p w14:paraId="2BF8A91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投标人公司资质</w:t>
            </w:r>
          </w:p>
        </w:tc>
        <w:tc>
          <w:tcPr>
            <w:tcW w:w="6703" w:type="dxa"/>
            <w:tcBorders>
              <w:top w:val="nil"/>
              <w:left w:val="nil"/>
              <w:bottom w:val="single" w:color="000000" w:sz="8" w:space="0"/>
              <w:right w:val="single" w:color="000000" w:sz="8" w:space="0"/>
            </w:tcBorders>
            <w:shd w:val="clear" w:color="auto" w:fill="auto"/>
            <w:vAlign w:val="center"/>
          </w:tcPr>
          <w:p w14:paraId="75BA545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color w:val="auto"/>
                <w:highlight w:val="none"/>
                <w:lang w:val="en-US" w:eastAsia="zh-CN"/>
              </w:rPr>
            </w:pPr>
            <w:r>
              <w:rPr>
                <w:rFonts w:hint="eastAsia"/>
                <w:color w:val="auto"/>
                <w:highlight w:val="none"/>
                <w:lang w:val="en-US" w:eastAsia="zh-CN"/>
              </w:rPr>
              <w:t>根据投标人具备质量管理体系认证证书、环境管理体系认证，信息技术服务管理体系认证证书，信息安全隐私框架管理体系认证证书、风险管理体系认证证书每项的1分，最高得3分；</w:t>
            </w:r>
          </w:p>
          <w:p w14:paraId="01D34795">
            <w:pPr>
              <w:pStyle w:val="2"/>
              <w:keepNext w:val="0"/>
              <w:keepLines w:val="0"/>
              <w:suppressLineNumbers w:val="0"/>
              <w:shd w:val="clear"/>
              <w:spacing w:before="0" w:beforeAutospacing="0" w:after="0" w:afterAutospacing="0"/>
              <w:ind w:left="0" w:right="0"/>
              <w:rPr>
                <w:rFonts w:hint="eastAsia"/>
                <w:color w:val="auto"/>
                <w:highlight w:val="none"/>
                <w:lang w:val="en-US" w:eastAsia="zh-CN"/>
              </w:rPr>
            </w:pPr>
            <w:r>
              <w:rPr>
                <w:rFonts w:hint="eastAsia" w:ascii="Times New Roman" w:hAnsi="Times New Roman" w:eastAsia="宋体" w:cs="Times New Roman"/>
                <w:b/>
                <w:bCs/>
                <w:color w:val="auto"/>
                <w:kern w:val="2"/>
                <w:sz w:val="21"/>
                <w:szCs w:val="24"/>
                <w:highlight w:val="none"/>
                <w:lang w:val="en-US" w:eastAsia="zh-CN" w:bidi="ar-SA"/>
              </w:rPr>
              <w:t>备注：</w:t>
            </w:r>
            <w:r>
              <w:rPr>
                <w:rFonts w:hint="eastAsia" w:ascii="Times New Roman" w:hAnsi="Times New Roman" w:eastAsia="宋体" w:cs="Times New Roman"/>
                <w:b/>
                <w:bCs/>
                <w:color w:val="auto"/>
                <w:kern w:val="2"/>
                <w:sz w:val="21"/>
                <w:szCs w:val="24"/>
                <w:highlight w:val="none"/>
                <w:lang w:val="en-US" w:eastAsia="zh-CN" w:bidi="ar-SA"/>
              </w:rPr>
              <w:br w:type="textWrapping"/>
            </w:r>
            <w:r>
              <w:rPr>
                <w:rFonts w:hint="eastAsia" w:ascii="Times New Roman" w:hAnsi="Times New Roman" w:eastAsia="宋体" w:cs="Times New Roman"/>
                <w:b/>
                <w:bCs/>
                <w:color w:val="auto"/>
                <w:kern w:val="2"/>
                <w:sz w:val="21"/>
                <w:szCs w:val="24"/>
                <w:highlight w:val="none"/>
                <w:lang w:val="en-US" w:eastAsia="zh-CN" w:bidi="ar-SA"/>
              </w:rPr>
              <w:t>1、上述所有证书必须真实、合规，在有效期内。</w:t>
            </w:r>
            <w:r>
              <w:rPr>
                <w:rFonts w:hint="eastAsia" w:ascii="Times New Roman" w:hAnsi="Times New Roman" w:eastAsia="宋体" w:cs="Times New Roman"/>
                <w:b/>
                <w:bCs/>
                <w:color w:val="auto"/>
                <w:kern w:val="2"/>
                <w:sz w:val="21"/>
                <w:szCs w:val="24"/>
                <w:highlight w:val="none"/>
                <w:lang w:val="en-US" w:eastAsia="zh-CN" w:bidi="ar-SA"/>
              </w:rPr>
              <w:br w:type="textWrapping"/>
            </w:r>
            <w:r>
              <w:rPr>
                <w:rFonts w:hint="eastAsia" w:ascii="Times New Roman" w:hAnsi="Times New Roman" w:eastAsia="宋体" w:cs="Times New Roman"/>
                <w:b/>
                <w:bCs/>
                <w:color w:val="auto"/>
                <w:kern w:val="2"/>
                <w:sz w:val="21"/>
                <w:szCs w:val="24"/>
                <w:highlight w:val="none"/>
                <w:lang w:val="en-US" w:eastAsia="zh-CN" w:bidi="ar-SA"/>
              </w:rPr>
              <w:t>2、投标文件中须提供清晰可辨的证书扫描件，同时提供全国认证认可信息公共服务平台证书查询截图，否则不得分。</w:t>
            </w:r>
            <w:r>
              <w:rPr>
                <w:rFonts w:hint="eastAsia" w:ascii="Times New Roman" w:hAnsi="Times New Roman" w:eastAsia="宋体" w:cs="Times New Roman"/>
                <w:b/>
                <w:bCs/>
                <w:color w:val="auto"/>
                <w:kern w:val="2"/>
                <w:sz w:val="21"/>
                <w:szCs w:val="24"/>
                <w:highlight w:val="none"/>
                <w:lang w:val="en-US" w:eastAsia="zh-CN" w:bidi="ar-SA"/>
              </w:rPr>
              <w:br w:type="textWrapping"/>
            </w:r>
            <w:r>
              <w:rPr>
                <w:rFonts w:hint="eastAsia" w:ascii="Times New Roman" w:hAnsi="Times New Roman" w:eastAsia="宋体" w:cs="Times New Roman"/>
                <w:b/>
                <w:bCs/>
                <w:color w:val="auto"/>
                <w:kern w:val="2"/>
                <w:sz w:val="21"/>
                <w:szCs w:val="24"/>
                <w:highlight w:val="none"/>
                <w:lang w:val="en-US" w:eastAsia="zh-CN" w:bidi="ar-SA"/>
              </w:rPr>
              <w:t>3、如投标人提供的证书扫描件因模糊不清或一些影响评分的重要内容缺失或不够明确而造成评标委员会在评审时做出对投标人不利的评审由投标人自行承担。</w:t>
            </w:r>
          </w:p>
        </w:tc>
        <w:tc>
          <w:tcPr>
            <w:tcW w:w="860" w:type="dxa"/>
            <w:tcBorders>
              <w:top w:val="nil"/>
              <w:left w:val="nil"/>
              <w:bottom w:val="single" w:color="000000" w:sz="8" w:space="0"/>
              <w:right w:val="single" w:color="000000" w:sz="8" w:space="0"/>
            </w:tcBorders>
            <w:shd w:val="clear" w:color="auto" w:fill="auto"/>
            <w:vAlign w:val="center"/>
          </w:tcPr>
          <w:p w14:paraId="338E8DF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40D89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C2BF4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w:t>
            </w:r>
          </w:p>
        </w:tc>
        <w:tc>
          <w:tcPr>
            <w:tcW w:w="1040" w:type="dxa"/>
            <w:tcBorders>
              <w:top w:val="single" w:color="000000" w:sz="8" w:space="0"/>
              <w:left w:val="nil"/>
              <w:bottom w:val="single" w:color="000000" w:sz="8" w:space="0"/>
              <w:right w:val="single" w:color="000000" w:sz="8" w:space="0"/>
            </w:tcBorders>
            <w:shd w:val="clear" w:color="auto" w:fill="auto"/>
            <w:vAlign w:val="center"/>
          </w:tcPr>
          <w:p w14:paraId="3656E3E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技术性能响应</w:t>
            </w:r>
          </w:p>
        </w:tc>
        <w:tc>
          <w:tcPr>
            <w:tcW w:w="67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9E889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根据投标人提供产品的软硬件配置、功能特点等满足响应情况进行综合评分，全部满足招标文件要求得12分；标注★的重要指标若出现负偏离，每负偏离一项扣 1 分；其他技术指标不满足或负偏离1项扣0.5分，扣完为止。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注：招标文件需要提供证明材料却未提供视为负偏离。</w:t>
            </w:r>
          </w:p>
        </w:tc>
        <w:tc>
          <w:tcPr>
            <w:tcW w:w="860" w:type="dxa"/>
            <w:tcBorders>
              <w:top w:val="nil"/>
              <w:left w:val="nil"/>
              <w:bottom w:val="single" w:color="000000" w:sz="8" w:space="0"/>
              <w:right w:val="single" w:color="000000" w:sz="8" w:space="0"/>
            </w:tcBorders>
            <w:shd w:val="clear" w:color="auto" w:fill="auto"/>
            <w:vAlign w:val="center"/>
          </w:tcPr>
          <w:p w14:paraId="7A10F0B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r>
      <w:tr w14:paraId="43BF8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1ECCD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w:t>
            </w:r>
          </w:p>
        </w:tc>
        <w:tc>
          <w:tcPr>
            <w:tcW w:w="1040" w:type="dxa"/>
            <w:vMerge w:val="restart"/>
            <w:tcBorders>
              <w:top w:val="single" w:color="000000" w:sz="8" w:space="0"/>
              <w:left w:val="nil"/>
              <w:right w:val="single" w:color="000000" w:sz="8" w:space="0"/>
            </w:tcBorders>
            <w:shd w:val="clear" w:color="auto" w:fill="auto"/>
            <w:vAlign w:val="center"/>
          </w:tcPr>
          <w:p w14:paraId="2F68A4A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项目实施方案</w:t>
            </w:r>
          </w:p>
        </w:tc>
        <w:tc>
          <w:tcPr>
            <w:tcW w:w="6703" w:type="dxa"/>
            <w:tcBorders>
              <w:top w:val="nil"/>
              <w:left w:val="nil"/>
              <w:bottom w:val="single" w:color="000000" w:sz="8" w:space="0"/>
              <w:right w:val="single" w:color="000000" w:sz="8" w:space="0"/>
            </w:tcBorders>
            <w:shd w:val="clear" w:color="auto" w:fill="auto"/>
            <w:vAlign w:val="center"/>
          </w:tcPr>
          <w:p w14:paraId="6C70DCD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根据供应商提供的项目运行维护方案，包括但不限于运维、日常巡检、故障修复等，能否满足服务需求进行评分，维护内容完整、措施及时有效、符合采购需求、具有针对性视为符合。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1、智慧城管中心设备维护方案（</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内容完全符合得</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分，比较符合得4分，基本符合得3分，部分符合得2分，基本不符合得1分，未提供不得分。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2、街面摄像设备维护方案（</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内容完全符合得</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分，比较符合得4分，基本符合得3分，部分符合得2分，基本不符合得1分，未提供不得分。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提供移动执法平台及维护方案（2分）、</w:t>
            </w:r>
            <w:r>
              <w:rPr>
                <w:rFonts w:hint="eastAsia" w:ascii="宋体" w:hAnsi="宋体" w:eastAsia="宋体" w:cs="宋体"/>
                <w:i w:val="0"/>
                <w:iCs w:val="0"/>
                <w:color w:val="auto"/>
                <w:kern w:val="0"/>
                <w:sz w:val="21"/>
                <w:szCs w:val="21"/>
                <w:highlight w:val="none"/>
                <w:u w:val="none"/>
                <w:lang w:val="en-US" w:eastAsia="zh-CN" w:bidi="ar"/>
              </w:rPr>
              <w:t>智联网平台联动方案（</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cs="宋体"/>
                <w:i w:val="0"/>
                <w:iCs w:val="0"/>
                <w:color w:val="auto"/>
                <w:kern w:val="0"/>
                <w:sz w:val="21"/>
                <w:szCs w:val="21"/>
                <w:highlight w:val="none"/>
                <w:u w:val="none"/>
                <w:lang w:val="en-US" w:eastAsia="zh-CN" w:bidi="ar"/>
              </w:rPr>
              <w:t>、网络安全保障方案（2分）</w:t>
            </w:r>
          </w:p>
          <w:p w14:paraId="57EB50A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内容完全符合得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分，比较符合得</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分，基本符合得</w:t>
            </w:r>
            <w:r>
              <w:rPr>
                <w:rFonts w:hint="eastAsia" w:ascii="宋体" w:hAnsi="宋体" w:cs="宋体"/>
                <w:i w:val="0"/>
                <w:iCs w:val="0"/>
                <w:color w:val="auto"/>
                <w:kern w:val="0"/>
                <w:sz w:val="21"/>
                <w:szCs w:val="21"/>
                <w:highlight w:val="none"/>
                <w:u w:val="none"/>
                <w:lang w:val="en-US" w:eastAsia="zh-CN" w:bidi="ar"/>
              </w:rPr>
              <w:t>0.5</w:t>
            </w:r>
            <w:r>
              <w:rPr>
                <w:rFonts w:hint="eastAsia" w:ascii="宋体" w:hAnsi="宋体" w:eastAsia="宋体" w:cs="宋体"/>
                <w:i w:val="0"/>
                <w:iCs w:val="0"/>
                <w:color w:val="auto"/>
                <w:kern w:val="0"/>
                <w:sz w:val="21"/>
                <w:szCs w:val="21"/>
                <w:highlight w:val="none"/>
                <w:u w:val="none"/>
                <w:lang w:val="en-US" w:eastAsia="zh-CN" w:bidi="ar"/>
              </w:rPr>
              <w:t>分未提供不得分。</w:t>
            </w:r>
          </w:p>
        </w:tc>
        <w:tc>
          <w:tcPr>
            <w:tcW w:w="860" w:type="dxa"/>
            <w:tcBorders>
              <w:top w:val="nil"/>
              <w:left w:val="nil"/>
              <w:bottom w:val="single" w:color="000000" w:sz="8" w:space="0"/>
              <w:right w:val="single" w:color="000000" w:sz="8" w:space="0"/>
            </w:tcBorders>
            <w:shd w:val="clear" w:color="auto" w:fill="auto"/>
            <w:vAlign w:val="center"/>
          </w:tcPr>
          <w:p w14:paraId="2E5A4D8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16</w:t>
            </w:r>
          </w:p>
        </w:tc>
      </w:tr>
      <w:tr w14:paraId="0B26D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9" w:hRule="atLeast"/>
        </w:trPr>
        <w:tc>
          <w:tcPr>
            <w:tcW w:w="525" w:type="dxa"/>
            <w:tcBorders>
              <w:top w:val="single" w:color="000000" w:sz="8" w:space="0"/>
              <w:left w:val="single" w:color="000000" w:sz="8" w:space="0"/>
              <w:bottom w:val="single" w:color="auto" w:sz="4" w:space="0"/>
              <w:right w:val="single" w:color="000000" w:sz="8" w:space="0"/>
            </w:tcBorders>
            <w:shd w:val="clear" w:color="auto" w:fill="auto"/>
            <w:vAlign w:val="center"/>
          </w:tcPr>
          <w:p w14:paraId="050CA77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w:t>
            </w:r>
          </w:p>
        </w:tc>
        <w:tc>
          <w:tcPr>
            <w:tcW w:w="1040" w:type="dxa"/>
            <w:vMerge w:val="continue"/>
            <w:tcBorders>
              <w:left w:val="nil"/>
              <w:right w:val="single" w:color="000000" w:sz="8" w:space="0"/>
            </w:tcBorders>
            <w:shd w:val="clear" w:color="auto" w:fill="auto"/>
            <w:vAlign w:val="center"/>
          </w:tcPr>
          <w:p w14:paraId="52E346A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703" w:type="dxa"/>
            <w:tcBorders>
              <w:top w:val="nil"/>
              <w:left w:val="nil"/>
              <w:bottom w:val="single" w:color="auto" w:sz="4" w:space="0"/>
              <w:right w:val="single" w:color="000000" w:sz="8" w:space="0"/>
            </w:tcBorders>
            <w:shd w:val="clear" w:color="auto" w:fill="auto"/>
            <w:vAlign w:val="center"/>
          </w:tcPr>
          <w:p w14:paraId="4FAECAC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color w:val="auto"/>
                <w:highlight w:val="none"/>
                <w:lang w:val="en-US" w:eastAsia="zh-CN"/>
              </w:rPr>
            </w:pPr>
            <w:r>
              <w:rPr>
                <w:rFonts w:hint="eastAsia"/>
                <w:color w:val="auto"/>
                <w:highlight w:val="none"/>
                <w:lang w:val="en-US" w:eastAsia="zh-CN"/>
              </w:rPr>
              <w:t>1.根据供应商对本项目重难点的分析情况并提供可行的解决方案进行综合评分：</w:t>
            </w:r>
            <w:r>
              <w:rPr>
                <w:rFonts w:hint="eastAsia"/>
                <w:color w:val="auto"/>
                <w:highlight w:val="none"/>
                <w:lang w:val="en-US" w:eastAsia="zh-CN"/>
              </w:rPr>
              <w:br w:type="textWrapping"/>
            </w:r>
            <w:r>
              <w:rPr>
                <w:rFonts w:hint="eastAsia"/>
                <w:color w:val="auto"/>
                <w:highlight w:val="none"/>
                <w:lang w:val="en-US" w:eastAsia="zh-CN"/>
              </w:rPr>
              <w:t>1)内容详实，科学合理，具有针对性，可实施性强的得3分；</w:t>
            </w:r>
          </w:p>
          <w:p w14:paraId="6414CA5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color w:val="auto"/>
                <w:highlight w:val="none"/>
                <w:lang w:val="en-US" w:eastAsia="zh-CN"/>
              </w:rPr>
            </w:pPr>
            <w:r>
              <w:rPr>
                <w:rFonts w:hint="eastAsia"/>
                <w:color w:val="auto"/>
                <w:highlight w:val="none"/>
                <w:lang w:val="en-US" w:eastAsia="zh-CN"/>
              </w:rPr>
              <w:t>2）内容较详细，具有一定针对性、可实施性的得2分；</w:t>
            </w:r>
          </w:p>
          <w:p w14:paraId="48D5A48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color w:val="auto"/>
                <w:highlight w:val="none"/>
                <w:lang w:val="en-US" w:eastAsia="zh-CN"/>
              </w:rPr>
            </w:pPr>
            <w:r>
              <w:rPr>
                <w:rFonts w:hint="eastAsia"/>
                <w:color w:val="auto"/>
                <w:highlight w:val="none"/>
                <w:lang w:val="en-US" w:eastAsia="zh-CN"/>
              </w:rPr>
              <w:t>3）内容基本合理，针对性、可实施性一般的得1分；</w:t>
            </w:r>
          </w:p>
          <w:p w14:paraId="3E19874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color w:val="auto"/>
                <w:highlight w:val="none"/>
                <w:lang w:val="en-US" w:eastAsia="zh-CN"/>
              </w:rPr>
            </w:pPr>
            <w:r>
              <w:rPr>
                <w:rFonts w:hint="eastAsia"/>
                <w:color w:val="auto"/>
                <w:highlight w:val="none"/>
                <w:lang w:val="en-US" w:eastAsia="zh-CN"/>
              </w:rPr>
              <w:t>4）内容不够科学合理或未提供的不得分。</w:t>
            </w:r>
          </w:p>
          <w:p w14:paraId="4D3A6012">
            <w:pPr>
              <w:pStyle w:val="45"/>
              <w:keepNext w:val="0"/>
              <w:keepLines w:val="0"/>
              <w:suppressLineNumbers w:val="0"/>
              <w:shd w:val="clear"/>
              <w:spacing w:before="0" w:beforeAutospacing="0" w:afterAutospacing="0"/>
              <w:ind w:left="0" w:leftChars="0" w:right="0" w:firstLine="0" w:firstLineChars="0"/>
              <w:rPr>
                <w:rFonts w:hint="eastAsia" w:ascii="宋体" w:hAnsi="宋体" w:eastAsia="宋体" w:cs="宋体"/>
                <w:i w:val="0"/>
                <w:iCs w:val="0"/>
                <w:color w:val="auto"/>
                <w:kern w:val="0"/>
                <w:sz w:val="22"/>
                <w:szCs w:val="22"/>
                <w:highlight w:val="none"/>
                <w:u w:val="none"/>
                <w:lang w:val="en-US" w:eastAsia="zh-CN" w:bidi="ar"/>
              </w:rPr>
            </w:pPr>
            <w:r>
              <w:rPr>
                <w:rFonts w:hint="eastAsia"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承诺原有前端网络切换小于10天得1分，大于10天不得分。新建点位建设工期少于30天的得1分，大于30天不得分。</w:t>
            </w:r>
          </w:p>
        </w:tc>
        <w:tc>
          <w:tcPr>
            <w:tcW w:w="860" w:type="dxa"/>
            <w:tcBorders>
              <w:top w:val="nil"/>
              <w:left w:val="nil"/>
              <w:bottom w:val="single" w:color="auto" w:sz="4" w:space="0"/>
              <w:right w:val="single" w:color="000000" w:sz="8" w:space="0"/>
            </w:tcBorders>
            <w:shd w:val="clear" w:color="auto" w:fill="auto"/>
            <w:vAlign w:val="center"/>
          </w:tcPr>
          <w:p w14:paraId="28E910D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w:t>
            </w:r>
          </w:p>
        </w:tc>
      </w:tr>
      <w:tr w14:paraId="6DCEA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 w:hRule="atLeast"/>
        </w:trPr>
        <w:tc>
          <w:tcPr>
            <w:tcW w:w="525" w:type="dxa"/>
            <w:vMerge w:val="restart"/>
            <w:tcBorders>
              <w:top w:val="single" w:color="auto" w:sz="4" w:space="0"/>
              <w:left w:val="single" w:color="000000" w:sz="8" w:space="0"/>
              <w:right w:val="single" w:color="000000" w:sz="8" w:space="0"/>
            </w:tcBorders>
            <w:shd w:val="clear" w:color="auto" w:fill="auto"/>
            <w:vAlign w:val="center"/>
          </w:tcPr>
          <w:p w14:paraId="5731AD9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6</w:t>
            </w:r>
          </w:p>
        </w:tc>
        <w:tc>
          <w:tcPr>
            <w:tcW w:w="1040" w:type="dxa"/>
            <w:vMerge w:val="continue"/>
            <w:tcBorders>
              <w:left w:val="nil"/>
              <w:right w:val="single" w:color="000000" w:sz="8" w:space="0"/>
            </w:tcBorders>
            <w:shd w:val="clear" w:color="auto" w:fill="auto"/>
            <w:vAlign w:val="center"/>
          </w:tcPr>
          <w:p w14:paraId="28BB7CB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703" w:type="dxa"/>
            <w:vMerge w:val="restart"/>
            <w:tcBorders>
              <w:top w:val="single" w:color="auto" w:sz="4" w:space="0"/>
              <w:left w:val="nil"/>
              <w:right w:val="single" w:color="000000" w:sz="8" w:space="0"/>
            </w:tcBorders>
            <w:shd w:val="clear" w:color="auto" w:fill="auto"/>
            <w:vAlign w:val="center"/>
          </w:tcPr>
          <w:p w14:paraId="672F534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根据供应商对本项目新增点位要求了解的程度，</w:t>
            </w:r>
            <w:r>
              <w:rPr>
                <w:rFonts w:hint="eastAsia" w:ascii="Times New Roman" w:hAnsi="Times New Roman" w:eastAsia="宋体" w:cs="Times New Roman"/>
                <w:color w:val="auto"/>
                <w:highlight w:val="none"/>
                <w:lang w:val="en-US" w:eastAsia="zh-CN"/>
              </w:rPr>
              <w:t>功能实现，</w:t>
            </w:r>
            <w:r>
              <w:rPr>
                <w:rFonts w:hint="eastAsia" w:ascii="宋体" w:hAnsi="宋体" w:eastAsia="宋体" w:cs="宋体"/>
                <w:color w:val="auto"/>
                <w:sz w:val="21"/>
                <w:szCs w:val="21"/>
                <w:highlight w:val="none"/>
                <w:lang w:val="en-US" w:eastAsia="zh-CN"/>
              </w:rPr>
              <w:t>提供可行的解决方案，并且能够直观的展示，进行综合评分：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1)基本情况了解全面，问题分析到位，</w:t>
            </w:r>
            <w:r>
              <w:rPr>
                <w:rFonts w:hint="default"/>
                <w:color w:val="auto"/>
                <w:highlight w:val="none"/>
              </w:rPr>
              <w:t>实现功能</w:t>
            </w:r>
            <w:r>
              <w:rPr>
                <w:rFonts w:hint="eastAsia"/>
                <w:color w:val="auto"/>
                <w:highlight w:val="none"/>
                <w:lang w:eastAsia="zh-CN"/>
              </w:rPr>
              <w:t>，</w:t>
            </w:r>
            <w:r>
              <w:rPr>
                <w:rFonts w:hint="eastAsia" w:ascii="宋体" w:hAnsi="宋体" w:eastAsia="宋体" w:cs="宋体"/>
                <w:color w:val="auto"/>
                <w:sz w:val="21"/>
                <w:szCs w:val="21"/>
                <w:highlight w:val="none"/>
                <w:lang w:val="en-US" w:eastAsia="zh-CN"/>
              </w:rPr>
              <w:t>符合本项目实际要求，方案详细，图纸设计清晰，展示效果直观，专业性强的得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2）基本情况了解比较全面，比较符合本项目实际情况，方案较详细，图纸设计基本符合要求，展示效果较直观、专业性较强的得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3）基本情况了解欠全面，问题分析欠到位，</w:t>
            </w:r>
            <w:r>
              <w:rPr>
                <w:rFonts w:hint="eastAsia" w:ascii="Times New Roman" w:hAnsi="Times New Roman" w:eastAsia="宋体" w:cs="Times New Roman"/>
                <w:color w:val="auto"/>
                <w:highlight w:val="none"/>
                <w:lang w:val="en-US" w:eastAsia="zh-CN"/>
              </w:rPr>
              <w:t>实现功能，</w:t>
            </w:r>
            <w:r>
              <w:rPr>
                <w:rFonts w:hint="eastAsia" w:ascii="宋体" w:hAnsi="宋体" w:eastAsia="宋体" w:cs="宋体"/>
                <w:color w:val="auto"/>
                <w:sz w:val="21"/>
                <w:szCs w:val="21"/>
                <w:highlight w:val="none"/>
                <w:lang w:val="en-US" w:eastAsia="zh-CN"/>
              </w:rPr>
              <w:t>基本符合本项目实际情况，方案不够详细，无直观展示，专业性不强的得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1E04208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未提供不得分。</w:t>
            </w:r>
          </w:p>
        </w:tc>
        <w:tc>
          <w:tcPr>
            <w:tcW w:w="860" w:type="dxa"/>
            <w:tcBorders>
              <w:top w:val="single" w:color="auto" w:sz="4" w:space="0"/>
              <w:left w:val="nil"/>
              <w:right w:val="single" w:color="000000" w:sz="8" w:space="0"/>
            </w:tcBorders>
            <w:shd w:val="clear" w:color="auto" w:fill="auto"/>
            <w:vAlign w:val="center"/>
          </w:tcPr>
          <w:p w14:paraId="562BFC3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cs="宋体"/>
                <w:i w:val="0"/>
                <w:iCs w:val="0"/>
                <w:color w:val="auto"/>
                <w:kern w:val="0"/>
                <w:sz w:val="21"/>
                <w:szCs w:val="21"/>
                <w:highlight w:val="none"/>
                <w:u w:val="none"/>
                <w:lang w:val="en-US" w:eastAsia="zh-CN" w:bidi="ar"/>
              </w:rPr>
            </w:pPr>
          </w:p>
        </w:tc>
      </w:tr>
      <w:tr w14:paraId="2FB8B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25" w:type="dxa"/>
            <w:vMerge w:val="continue"/>
            <w:tcBorders>
              <w:left w:val="single" w:color="000000" w:sz="8" w:space="0"/>
              <w:bottom w:val="single" w:color="000000" w:sz="8" w:space="0"/>
              <w:right w:val="single" w:color="000000" w:sz="8" w:space="0"/>
            </w:tcBorders>
            <w:shd w:val="clear" w:color="auto" w:fill="auto"/>
            <w:vAlign w:val="center"/>
          </w:tcPr>
          <w:p w14:paraId="74F58C5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eastAsia" w:ascii="宋体" w:hAnsi="宋体" w:eastAsia="宋体" w:cs="宋体"/>
                <w:i w:val="0"/>
                <w:iCs w:val="0"/>
                <w:color w:val="auto"/>
                <w:sz w:val="21"/>
                <w:szCs w:val="21"/>
                <w:highlight w:val="none"/>
                <w:u w:val="none"/>
                <w:lang w:val="en-US" w:eastAsia="zh-CN"/>
              </w:rPr>
            </w:pPr>
          </w:p>
        </w:tc>
        <w:tc>
          <w:tcPr>
            <w:tcW w:w="1040" w:type="dxa"/>
            <w:vMerge w:val="continue"/>
            <w:tcBorders>
              <w:left w:val="nil"/>
              <w:bottom w:val="single" w:color="000000" w:sz="8" w:space="0"/>
              <w:right w:val="single" w:color="000000" w:sz="8" w:space="0"/>
            </w:tcBorders>
            <w:shd w:val="clear" w:color="auto" w:fill="auto"/>
            <w:vAlign w:val="center"/>
          </w:tcPr>
          <w:p w14:paraId="6749E16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auto"/>
                <w:sz w:val="21"/>
                <w:szCs w:val="21"/>
                <w:highlight w:val="none"/>
                <w:u w:val="none"/>
              </w:rPr>
            </w:pPr>
          </w:p>
        </w:tc>
        <w:tc>
          <w:tcPr>
            <w:tcW w:w="6703" w:type="dxa"/>
            <w:vMerge w:val="continue"/>
            <w:tcBorders>
              <w:left w:val="nil"/>
              <w:bottom w:val="single" w:color="000000" w:sz="8" w:space="0"/>
              <w:right w:val="single" w:color="000000" w:sz="8" w:space="0"/>
            </w:tcBorders>
            <w:shd w:val="clear" w:color="auto" w:fill="auto"/>
            <w:vAlign w:val="center"/>
          </w:tcPr>
          <w:p w14:paraId="717DEC6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color w:val="auto"/>
                <w:sz w:val="21"/>
                <w:szCs w:val="21"/>
                <w:highlight w:val="none"/>
                <w:lang w:val="en-US"/>
              </w:rPr>
            </w:pPr>
          </w:p>
        </w:tc>
        <w:tc>
          <w:tcPr>
            <w:tcW w:w="860" w:type="dxa"/>
            <w:tcBorders>
              <w:top w:val="nil"/>
              <w:left w:val="nil"/>
              <w:bottom w:val="single" w:color="000000" w:sz="8" w:space="0"/>
              <w:right w:val="single" w:color="000000" w:sz="8" w:space="0"/>
            </w:tcBorders>
            <w:shd w:val="clear" w:color="auto" w:fill="auto"/>
            <w:vAlign w:val="center"/>
          </w:tcPr>
          <w:p w14:paraId="382BE54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5</w:t>
            </w:r>
          </w:p>
        </w:tc>
      </w:tr>
      <w:tr w14:paraId="53CA3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438B8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7</w:t>
            </w:r>
          </w:p>
        </w:tc>
        <w:tc>
          <w:tcPr>
            <w:tcW w:w="1040" w:type="dxa"/>
            <w:tcBorders>
              <w:top w:val="single" w:color="000000" w:sz="8" w:space="0"/>
              <w:left w:val="nil"/>
              <w:bottom w:val="single" w:color="000000" w:sz="8" w:space="0"/>
              <w:right w:val="single" w:color="000000" w:sz="8" w:space="0"/>
            </w:tcBorders>
            <w:shd w:val="clear" w:color="auto" w:fill="auto"/>
            <w:vAlign w:val="center"/>
          </w:tcPr>
          <w:p w14:paraId="4396D76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巡检方案</w:t>
            </w:r>
          </w:p>
        </w:tc>
        <w:tc>
          <w:tcPr>
            <w:tcW w:w="6703" w:type="dxa"/>
            <w:tcBorders>
              <w:top w:val="nil"/>
              <w:left w:val="nil"/>
              <w:bottom w:val="single" w:color="000000" w:sz="8" w:space="0"/>
              <w:right w:val="single" w:color="000000" w:sz="8" w:space="0"/>
            </w:tcBorders>
            <w:shd w:val="clear" w:color="auto" w:fill="auto"/>
            <w:vAlign w:val="center"/>
          </w:tcPr>
          <w:p w14:paraId="2DB18A1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提供的巡检方案进行评审:对需求理解充分，提供方案描述内容完整并能完全满足服务要求的，得5分;需求理解比较充分，提供方案描述内容较完整并且能够基本满足招标要求的,存在少量小瑕疵或缺陷的，得4分;需求理解一般，提供方案描述内容不完整或存在未达到招标要求，存在较多瑕症的，得2分;方案内容有重大缺陷，无法响应服务要求的，得0分。</w:t>
            </w:r>
          </w:p>
        </w:tc>
        <w:tc>
          <w:tcPr>
            <w:tcW w:w="860" w:type="dxa"/>
            <w:tcBorders>
              <w:top w:val="nil"/>
              <w:left w:val="nil"/>
              <w:bottom w:val="single" w:color="000000" w:sz="8" w:space="0"/>
              <w:right w:val="single" w:color="000000" w:sz="8" w:space="0"/>
            </w:tcBorders>
            <w:shd w:val="clear" w:color="auto" w:fill="auto"/>
            <w:vAlign w:val="center"/>
          </w:tcPr>
          <w:p w14:paraId="5B0F5A7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14:paraId="639B7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5" w:type="dxa"/>
            <w:vMerge w:val="restart"/>
            <w:tcBorders>
              <w:top w:val="single" w:color="000000" w:sz="8" w:space="0"/>
              <w:left w:val="single" w:color="000000" w:sz="8" w:space="0"/>
              <w:right w:val="single" w:color="000000" w:sz="8" w:space="0"/>
            </w:tcBorders>
            <w:shd w:val="clear" w:color="auto" w:fill="auto"/>
            <w:vAlign w:val="center"/>
          </w:tcPr>
          <w:p w14:paraId="3AC3793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8</w:t>
            </w:r>
          </w:p>
        </w:tc>
        <w:tc>
          <w:tcPr>
            <w:tcW w:w="1040" w:type="dxa"/>
            <w:vMerge w:val="restart"/>
            <w:tcBorders>
              <w:top w:val="single" w:color="000000" w:sz="8" w:space="0"/>
              <w:left w:val="nil"/>
              <w:right w:val="single" w:color="000000" w:sz="8" w:space="0"/>
            </w:tcBorders>
            <w:shd w:val="clear" w:color="auto" w:fill="auto"/>
            <w:vAlign w:val="center"/>
          </w:tcPr>
          <w:p w14:paraId="3738BA1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项目实施人员保障</w:t>
            </w:r>
          </w:p>
        </w:tc>
        <w:tc>
          <w:tcPr>
            <w:tcW w:w="6703" w:type="dxa"/>
            <w:tcBorders>
              <w:top w:val="nil"/>
              <w:left w:val="nil"/>
              <w:bottom w:val="single" w:color="000000" w:sz="8" w:space="0"/>
              <w:right w:val="single" w:color="000000" w:sz="8" w:space="0"/>
            </w:tcBorders>
            <w:shd w:val="clear" w:color="auto" w:fill="auto"/>
            <w:vAlign w:val="center"/>
          </w:tcPr>
          <w:p w14:paraId="659A2A4F">
            <w:pPr>
              <w:keepNext w:val="0"/>
              <w:keepLines w:val="0"/>
              <w:pageBreakBefore w:val="0"/>
              <w:widowControl/>
              <w:numPr>
                <w:ilvl w:val="0"/>
                <w:numId w:val="27"/>
              </w:numPr>
              <w:suppressLineNumbers w:val="0"/>
              <w:shd w:val="clear"/>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cs="宋体"/>
                <w:i w:val="0"/>
                <w:iCs w:val="0"/>
                <w:color w:val="auto"/>
                <w:sz w:val="22"/>
                <w:szCs w:val="22"/>
                <w:highlight w:val="none"/>
                <w:u w:val="none"/>
                <w:lang w:val="en-US" w:eastAsia="zh-CN"/>
              </w:rPr>
              <w:t>拟派项目负责人具有高级工程师（信息技术）职称，人社部门颁发的信息系统项目管理师、信息安全工程师、网络工程师，每满足一项得1分，最多得3分。</w:t>
            </w:r>
            <w:r>
              <w:rPr>
                <w:rFonts w:hint="eastAsia" w:cs="宋体"/>
                <w:b/>
                <w:bCs/>
                <w:i w:val="0"/>
                <w:iCs w:val="0"/>
                <w:color w:val="auto"/>
                <w:sz w:val="22"/>
                <w:szCs w:val="22"/>
                <w:highlight w:val="none"/>
                <w:u w:val="none"/>
                <w:lang w:val="en-US" w:eastAsia="zh-CN"/>
              </w:rPr>
              <w:t>（注：须同时提供相关证书扫描件和在投标人单位缴纳近3个月的社保证明材料，否则不得分）</w:t>
            </w:r>
          </w:p>
        </w:tc>
        <w:tc>
          <w:tcPr>
            <w:tcW w:w="860" w:type="dxa"/>
            <w:vMerge w:val="restart"/>
            <w:tcBorders>
              <w:top w:val="nil"/>
              <w:left w:val="nil"/>
              <w:right w:val="single" w:color="000000" w:sz="8" w:space="0"/>
            </w:tcBorders>
            <w:shd w:val="clear" w:color="auto" w:fill="auto"/>
            <w:vAlign w:val="center"/>
          </w:tcPr>
          <w:p w14:paraId="260E752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8</w:t>
            </w:r>
          </w:p>
        </w:tc>
      </w:tr>
      <w:tr w14:paraId="6FF92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5" w:type="dxa"/>
            <w:vMerge w:val="continue"/>
            <w:tcBorders>
              <w:left w:val="single" w:color="000000" w:sz="8" w:space="0"/>
              <w:right w:val="single" w:color="000000" w:sz="8" w:space="0"/>
            </w:tcBorders>
            <w:shd w:val="clear" w:color="auto" w:fill="auto"/>
            <w:vAlign w:val="center"/>
          </w:tcPr>
          <w:p w14:paraId="421229E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auto"/>
                <w:sz w:val="21"/>
                <w:szCs w:val="21"/>
                <w:highlight w:val="none"/>
                <w:u w:val="none"/>
              </w:rPr>
            </w:pPr>
          </w:p>
        </w:tc>
        <w:tc>
          <w:tcPr>
            <w:tcW w:w="1040" w:type="dxa"/>
            <w:vMerge w:val="continue"/>
            <w:tcBorders>
              <w:left w:val="nil"/>
              <w:right w:val="single" w:color="000000" w:sz="8" w:space="0"/>
            </w:tcBorders>
            <w:shd w:val="clear" w:color="auto" w:fill="auto"/>
            <w:vAlign w:val="center"/>
          </w:tcPr>
          <w:p w14:paraId="431A27F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auto"/>
                <w:sz w:val="21"/>
                <w:szCs w:val="21"/>
                <w:highlight w:val="none"/>
                <w:u w:val="none"/>
              </w:rPr>
            </w:pPr>
          </w:p>
        </w:tc>
        <w:tc>
          <w:tcPr>
            <w:tcW w:w="6703" w:type="dxa"/>
            <w:tcBorders>
              <w:top w:val="nil"/>
              <w:left w:val="nil"/>
              <w:bottom w:val="single" w:color="000000" w:sz="8" w:space="0"/>
              <w:right w:val="single" w:color="000000" w:sz="8" w:space="0"/>
            </w:tcBorders>
            <w:shd w:val="clear" w:color="auto" w:fill="auto"/>
            <w:vAlign w:val="center"/>
          </w:tcPr>
          <w:p w14:paraId="054D1193">
            <w:pPr>
              <w:pStyle w:val="45"/>
              <w:keepNext w:val="0"/>
              <w:keepLines w:val="0"/>
              <w:numPr>
                <w:ilvl w:val="0"/>
                <w:numId w:val="27"/>
              </w:numPr>
              <w:suppressLineNumbers w:val="0"/>
              <w:shd w:val="clear"/>
              <w:spacing w:before="0" w:beforeAutospacing="0" w:afterAutospacing="0"/>
              <w:ind w:left="0" w:leftChars="0" w:right="0" w:firstLine="0" w:firstLineChars="0"/>
              <w:rPr>
                <w:rFonts w:hint="eastAsia" w:ascii="宋体" w:hAnsi="宋体" w:eastAsia="宋体" w:cs="宋体"/>
                <w:i w:val="0"/>
                <w:iCs w:val="0"/>
                <w:color w:val="auto"/>
                <w:sz w:val="21"/>
                <w:szCs w:val="21"/>
                <w:highlight w:val="none"/>
                <w:u w:val="none"/>
              </w:rPr>
            </w:pPr>
            <w:r>
              <w:rPr>
                <w:rFonts w:hint="eastAsia" w:ascii="Times New Roman" w:hAnsi="Times New Roman" w:eastAsia="宋体" w:cs="宋体"/>
                <w:i w:val="0"/>
                <w:iCs w:val="0"/>
                <w:color w:val="auto"/>
                <w:kern w:val="2"/>
                <w:sz w:val="22"/>
                <w:szCs w:val="22"/>
                <w:highlight w:val="none"/>
                <w:u w:val="none"/>
                <w:lang w:val="en-US" w:eastAsia="zh-CN" w:bidi="ar-SA"/>
              </w:rPr>
              <w:t>拟派技术负责人具有高级工程师（系统集成）职称，人社部门颁发的一级建造师(机电工程)</w:t>
            </w:r>
            <w:r>
              <w:rPr>
                <w:rFonts w:hint="eastAsia" w:ascii="Times New Roman" w:hAnsi="Times New Roman" w:cs="宋体"/>
                <w:i w:val="0"/>
                <w:iCs w:val="0"/>
                <w:color w:val="auto"/>
                <w:kern w:val="2"/>
                <w:sz w:val="22"/>
                <w:szCs w:val="22"/>
                <w:highlight w:val="none"/>
                <w:u w:val="none"/>
                <w:lang w:val="en-US" w:eastAsia="zh-CN" w:bidi="ar-SA"/>
              </w:rPr>
              <w:t>、</w:t>
            </w:r>
            <w:r>
              <w:rPr>
                <w:rFonts w:hint="eastAsia" w:ascii="Times New Roman" w:hAnsi="Times New Roman" w:eastAsia="宋体" w:cs="宋体"/>
                <w:i w:val="0"/>
                <w:iCs w:val="0"/>
                <w:color w:val="auto"/>
                <w:kern w:val="2"/>
                <w:sz w:val="22"/>
                <w:szCs w:val="22"/>
                <w:highlight w:val="none"/>
                <w:u w:val="none"/>
                <w:lang w:val="en-US" w:eastAsia="zh-CN" w:bidi="ar-SA"/>
              </w:rPr>
              <w:t>信息系统项目管理师、系统规划与管理师、</w:t>
            </w:r>
            <w:r>
              <w:rPr>
                <w:rFonts w:hint="eastAsia" w:ascii="Times New Roman" w:hAnsi="Times New Roman" w:cs="宋体"/>
                <w:i w:val="0"/>
                <w:iCs w:val="0"/>
                <w:color w:val="auto"/>
                <w:kern w:val="2"/>
                <w:sz w:val="22"/>
                <w:szCs w:val="22"/>
                <w:highlight w:val="none"/>
                <w:u w:val="none"/>
                <w:lang w:val="en-US" w:eastAsia="zh-CN" w:bidi="ar-SA"/>
              </w:rPr>
              <w:t>系统集成项目管理工程师、</w:t>
            </w:r>
            <w:r>
              <w:rPr>
                <w:rFonts w:hint="eastAsia" w:ascii="Times New Roman" w:hAnsi="Times New Roman" w:eastAsia="宋体" w:cs="宋体"/>
                <w:i w:val="0"/>
                <w:iCs w:val="0"/>
                <w:color w:val="auto"/>
                <w:kern w:val="2"/>
                <w:sz w:val="22"/>
                <w:szCs w:val="22"/>
                <w:highlight w:val="none"/>
                <w:u w:val="none"/>
                <w:lang w:val="en-US" w:eastAsia="zh-CN" w:bidi="ar-SA"/>
              </w:rPr>
              <w:t>网络工程师，每满足一项得1分，最多得3分。</w:t>
            </w:r>
            <w:r>
              <w:rPr>
                <w:rFonts w:hint="eastAsia" w:ascii="Times New Roman" w:hAnsi="Times New Roman" w:eastAsia="宋体" w:cs="宋体"/>
                <w:b/>
                <w:bCs/>
                <w:i w:val="0"/>
                <w:iCs w:val="0"/>
                <w:color w:val="auto"/>
                <w:kern w:val="2"/>
                <w:sz w:val="22"/>
                <w:szCs w:val="22"/>
                <w:highlight w:val="none"/>
                <w:u w:val="none"/>
                <w:lang w:val="en-US" w:eastAsia="zh-CN" w:bidi="ar-SA"/>
              </w:rPr>
              <w:t>（注：须同时提供相关证书扫描件和在投标人单位缴纳近3个月的社保证明材料，否则不得分）</w:t>
            </w:r>
          </w:p>
        </w:tc>
        <w:tc>
          <w:tcPr>
            <w:tcW w:w="860" w:type="dxa"/>
            <w:vMerge w:val="continue"/>
            <w:tcBorders>
              <w:left w:val="nil"/>
              <w:right w:val="single" w:color="000000" w:sz="8" w:space="0"/>
            </w:tcBorders>
            <w:shd w:val="clear" w:color="auto" w:fill="auto"/>
            <w:vAlign w:val="center"/>
          </w:tcPr>
          <w:p w14:paraId="742AC09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auto"/>
                <w:sz w:val="21"/>
                <w:szCs w:val="21"/>
                <w:highlight w:val="none"/>
                <w:u w:val="none"/>
              </w:rPr>
            </w:pPr>
          </w:p>
        </w:tc>
      </w:tr>
      <w:tr w14:paraId="2661B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5" w:type="dxa"/>
            <w:vMerge w:val="continue"/>
            <w:tcBorders>
              <w:left w:val="single" w:color="000000" w:sz="8" w:space="0"/>
              <w:bottom w:val="single" w:color="000000" w:sz="8" w:space="0"/>
              <w:right w:val="single" w:color="000000" w:sz="8" w:space="0"/>
            </w:tcBorders>
            <w:shd w:val="clear" w:color="auto" w:fill="auto"/>
            <w:vAlign w:val="center"/>
          </w:tcPr>
          <w:p w14:paraId="06E8E77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auto"/>
                <w:sz w:val="21"/>
                <w:szCs w:val="21"/>
                <w:highlight w:val="none"/>
                <w:u w:val="none"/>
              </w:rPr>
            </w:pPr>
          </w:p>
        </w:tc>
        <w:tc>
          <w:tcPr>
            <w:tcW w:w="1040" w:type="dxa"/>
            <w:vMerge w:val="continue"/>
            <w:tcBorders>
              <w:left w:val="nil"/>
              <w:bottom w:val="single" w:color="000000" w:sz="8" w:space="0"/>
              <w:right w:val="single" w:color="000000" w:sz="8" w:space="0"/>
            </w:tcBorders>
            <w:shd w:val="clear" w:color="auto" w:fill="auto"/>
            <w:vAlign w:val="center"/>
          </w:tcPr>
          <w:p w14:paraId="23804D2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auto"/>
                <w:sz w:val="21"/>
                <w:szCs w:val="21"/>
                <w:highlight w:val="none"/>
                <w:u w:val="none"/>
              </w:rPr>
            </w:pPr>
          </w:p>
        </w:tc>
        <w:tc>
          <w:tcPr>
            <w:tcW w:w="6703" w:type="dxa"/>
            <w:tcBorders>
              <w:top w:val="nil"/>
              <w:left w:val="nil"/>
              <w:bottom w:val="single" w:color="000000" w:sz="8" w:space="0"/>
              <w:right w:val="single" w:color="000000" w:sz="8" w:space="0"/>
            </w:tcBorders>
            <w:shd w:val="clear" w:color="auto" w:fill="auto"/>
            <w:vAlign w:val="center"/>
          </w:tcPr>
          <w:p w14:paraId="4A60ED16">
            <w:pPr>
              <w:pStyle w:val="45"/>
              <w:keepNext w:val="0"/>
              <w:keepLines w:val="0"/>
              <w:numPr>
                <w:ilvl w:val="0"/>
                <w:numId w:val="0"/>
              </w:numPr>
              <w:suppressLineNumbers w:val="0"/>
              <w:shd w:val="clear"/>
              <w:spacing w:before="0" w:beforeAutospacing="0" w:afterAutospacing="0"/>
              <w:ind w:leftChars="0" w:right="0" w:rightChars="0"/>
              <w:rPr>
                <w:rFonts w:hint="default" w:ascii="宋体" w:hAnsi="宋体" w:eastAsia="宋体" w:cs="宋体"/>
                <w:b/>
                <w:bCs/>
                <w:i w:val="0"/>
                <w:iCs w:val="0"/>
                <w:color w:val="auto"/>
                <w:kern w:val="0"/>
                <w:sz w:val="21"/>
                <w:szCs w:val="21"/>
                <w:highlight w:val="none"/>
                <w:u w:val="none"/>
                <w:lang w:val="en-US" w:eastAsia="zh-CN" w:bidi="ar"/>
              </w:rPr>
            </w:pPr>
            <w:r>
              <w:rPr>
                <w:rFonts w:hint="eastAsia" w:ascii="Times New Roman" w:hAnsi="Times New Roman" w:eastAsia="宋体" w:cs="宋体"/>
                <w:i w:val="0"/>
                <w:iCs w:val="0"/>
                <w:color w:val="auto"/>
                <w:kern w:val="2"/>
                <w:sz w:val="22"/>
                <w:szCs w:val="22"/>
                <w:highlight w:val="none"/>
                <w:u w:val="none"/>
                <w:lang w:val="en-US" w:eastAsia="zh-CN" w:bidi="ar-SA"/>
              </w:rPr>
              <w:t>3.</w:t>
            </w:r>
            <w:r>
              <w:rPr>
                <w:rFonts w:hint="eastAsia" w:ascii="Times New Roman" w:hAnsi="Times New Roman" w:cs="宋体"/>
                <w:i w:val="0"/>
                <w:iCs w:val="0"/>
                <w:color w:val="auto"/>
                <w:kern w:val="2"/>
                <w:sz w:val="22"/>
                <w:szCs w:val="22"/>
                <w:highlight w:val="none"/>
                <w:u w:val="none"/>
                <w:lang w:val="en-US" w:eastAsia="zh-CN" w:bidi="ar-SA"/>
              </w:rPr>
              <w:t xml:space="preserve"> </w:t>
            </w:r>
            <w:r>
              <w:rPr>
                <w:rFonts w:hint="eastAsia" w:ascii="Times New Roman" w:hAnsi="Times New Roman" w:eastAsia="宋体" w:cs="宋体"/>
                <w:i w:val="0"/>
                <w:iCs w:val="0"/>
                <w:color w:val="auto"/>
                <w:kern w:val="2"/>
                <w:sz w:val="22"/>
                <w:szCs w:val="22"/>
                <w:highlight w:val="none"/>
                <w:u w:val="none"/>
                <w:lang w:val="en-US" w:eastAsia="zh-CN" w:bidi="ar-SA"/>
              </w:rPr>
              <w:t>项目实施团队成员（不含项目负责人、技术负责人）具有与本项目实施相适应的资质证书（人社部或工信部颁发的以下各类资质证书：信息系统项目管理类、大数据类、网络工程类、信息安全类、互联网技术类），每覆盖一类得0.5分，最高得2分。</w:t>
            </w:r>
            <w:r>
              <w:rPr>
                <w:rFonts w:hint="eastAsia" w:ascii="Times New Roman" w:hAnsi="Times New Roman" w:eastAsia="宋体" w:cs="宋体"/>
                <w:b/>
                <w:bCs/>
                <w:i w:val="0"/>
                <w:iCs w:val="0"/>
                <w:color w:val="auto"/>
                <w:kern w:val="2"/>
                <w:sz w:val="22"/>
                <w:szCs w:val="22"/>
                <w:highlight w:val="none"/>
                <w:u w:val="none"/>
                <w:lang w:val="en-US" w:eastAsia="zh-CN" w:bidi="ar-SA"/>
              </w:rPr>
              <w:t>（注：须同时提供相关证书扫描件和在投标人单位缴纳近3个月的社保证明材料，否则不得分）</w:t>
            </w:r>
          </w:p>
        </w:tc>
        <w:tc>
          <w:tcPr>
            <w:tcW w:w="860" w:type="dxa"/>
            <w:vMerge w:val="continue"/>
            <w:tcBorders>
              <w:left w:val="nil"/>
              <w:bottom w:val="single" w:color="000000" w:sz="8" w:space="0"/>
              <w:right w:val="single" w:color="000000" w:sz="8" w:space="0"/>
            </w:tcBorders>
            <w:shd w:val="clear" w:color="auto" w:fill="auto"/>
            <w:vAlign w:val="center"/>
          </w:tcPr>
          <w:p w14:paraId="04EAAD4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auto"/>
                <w:sz w:val="21"/>
                <w:szCs w:val="21"/>
                <w:highlight w:val="none"/>
                <w:u w:val="none"/>
              </w:rPr>
            </w:pPr>
          </w:p>
        </w:tc>
      </w:tr>
      <w:tr w14:paraId="66133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5" w:type="dxa"/>
            <w:tcBorders>
              <w:top w:val="nil"/>
              <w:left w:val="single" w:color="000000" w:sz="8" w:space="0"/>
              <w:bottom w:val="single" w:color="000000" w:sz="8" w:space="0"/>
              <w:right w:val="single" w:color="000000" w:sz="8" w:space="0"/>
            </w:tcBorders>
            <w:shd w:val="clear" w:color="auto" w:fill="auto"/>
            <w:vAlign w:val="center"/>
          </w:tcPr>
          <w:p w14:paraId="1B9657D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9</w:t>
            </w:r>
          </w:p>
        </w:tc>
        <w:tc>
          <w:tcPr>
            <w:tcW w:w="1040" w:type="dxa"/>
            <w:tcBorders>
              <w:top w:val="nil"/>
              <w:left w:val="nil"/>
              <w:bottom w:val="single" w:color="000000" w:sz="8" w:space="0"/>
              <w:right w:val="single" w:color="000000" w:sz="8" w:space="0"/>
            </w:tcBorders>
            <w:shd w:val="clear" w:color="auto" w:fill="auto"/>
            <w:vAlign w:val="center"/>
          </w:tcPr>
          <w:p w14:paraId="605EC1A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培训方案</w:t>
            </w:r>
          </w:p>
        </w:tc>
        <w:tc>
          <w:tcPr>
            <w:tcW w:w="6703" w:type="dxa"/>
            <w:tcBorders>
              <w:top w:val="nil"/>
              <w:left w:val="nil"/>
              <w:bottom w:val="single" w:color="000000" w:sz="8" w:space="0"/>
              <w:right w:val="single" w:color="000000" w:sz="8" w:space="0"/>
            </w:tcBorders>
            <w:shd w:val="clear" w:color="auto" w:fill="auto"/>
            <w:vAlign w:val="center"/>
          </w:tcPr>
          <w:p w14:paraId="3ED01B6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根据供应商提供的培训方案能否满足采购需求判定评分，内容完整、措施有效、符合采购需求、具有针对性视为符合。内容完全符合得4分，基本符合得3分，部分符合得2分，不符合得1分，未提供内容得0分。</w:t>
            </w:r>
          </w:p>
        </w:tc>
        <w:tc>
          <w:tcPr>
            <w:tcW w:w="860" w:type="dxa"/>
            <w:tcBorders>
              <w:top w:val="nil"/>
              <w:left w:val="nil"/>
              <w:bottom w:val="single" w:color="000000" w:sz="8" w:space="0"/>
              <w:right w:val="single" w:color="000000" w:sz="8" w:space="0"/>
            </w:tcBorders>
            <w:shd w:val="clear" w:color="auto" w:fill="auto"/>
            <w:vAlign w:val="center"/>
          </w:tcPr>
          <w:p w14:paraId="77555D0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3255B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25" w:type="dxa"/>
            <w:tcBorders>
              <w:top w:val="nil"/>
              <w:left w:val="single" w:color="000000" w:sz="8" w:space="0"/>
              <w:bottom w:val="single" w:color="000000" w:sz="8" w:space="0"/>
              <w:right w:val="single" w:color="000000" w:sz="8" w:space="0"/>
            </w:tcBorders>
            <w:shd w:val="clear" w:color="auto" w:fill="auto"/>
            <w:vAlign w:val="center"/>
          </w:tcPr>
          <w:p w14:paraId="1B35C74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10</w:t>
            </w:r>
          </w:p>
        </w:tc>
        <w:tc>
          <w:tcPr>
            <w:tcW w:w="1040" w:type="dxa"/>
            <w:tcBorders>
              <w:top w:val="nil"/>
              <w:left w:val="nil"/>
              <w:bottom w:val="single" w:color="000000" w:sz="8" w:space="0"/>
              <w:right w:val="single" w:color="000000" w:sz="8" w:space="0"/>
            </w:tcBorders>
            <w:shd w:val="clear" w:color="auto" w:fill="auto"/>
            <w:vAlign w:val="center"/>
          </w:tcPr>
          <w:p w14:paraId="04E199B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应急方案</w:t>
            </w:r>
          </w:p>
        </w:tc>
        <w:tc>
          <w:tcPr>
            <w:tcW w:w="6703" w:type="dxa"/>
            <w:tcBorders>
              <w:top w:val="nil"/>
              <w:left w:val="nil"/>
              <w:bottom w:val="single" w:color="000000" w:sz="8" w:space="0"/>
              <w:right w:val="single" w:color="000000" w:sz="8" w:space="0"/>
            </w:tcBorders>
            <w:shd w:val="clear" w:color="auto" w:fill="auto"/>
            <w:vAlign w:val="center"/>
          </w:tcPr>
          <w:p w14:paraId="1A93CBB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人根据项目实施过程可能出现不可预见的紧急情况,搭配足量的备品备件及快速响应，提供有效可行的应急方案。根据提供的应急方案能否满足采购需求判定评分，内容完整、措施有效、符合采购需求,具有针对性视为符合。内容完全符合得4分，部分符合得2分，基本不符合得1分，未提供内容不得分。</w:t>
            </w:r>
          </w:p>
        </w:tc>
        <w:tc>
          <w:tcPr>
            <w:tcW w:w="860" w:type="dxa"/>
            <w:tcBorders>
              <w:top w:val="nil"/>
              <w:left w:val="nil"/>
              <w:bottom w:val="single" w:color="000000" w:sz="8" w:space="0"/>
              <w:right w:val="single" w:color="000000" w:sz="8" w:space="0"/>
            </w:tcBorders>
            <w:shd w:val="clear" w:color="auto" w:fill="auto"/>
            <w:vAlign w:val="center"/>
          </w:tcPr>
          <w:p w14:paraId="73ADCA3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14:paraId="3FB1E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6" w:hRule="atLeast"/>
        </w:trPr>
        <w:tc>
          <w:tcPr>
            <w:tcW w:w="525" w:type="dxa"/>
            <w:tcBorders>
              <w:top w:val="nil"/>
              <w:left w:val="single" w:color="000000" w:sz="8" w:space="0"/>
              <w:bottom w:val="single" w:color="000000" w:sz="8" w:space="0"/>
              <w:right w:val="single" w:color="000000" w:sz="8" w:space="0"/>
            </w:tcBorders>
            <w:shd w:val="clear" w:color="auto" w:fill="auto"/>
            <w:vAlign w:val="center"/>
          </w:tcPr>
          <w:p w14:paraId="5670FE5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11</w:t>
            </w:r>
          </w:p>
        </w:tc>
        <w:tc>
          <w:tcPr>
            <w:tcW w:w="1040" w:type="dxa"/>
            <w:tcBorders>
              <w:top w:val="nil"/>
              <w:left w:val="nil"/>
              <w:bottom w:val="single" w:color="000000" w:sz="8" w:space="0"/>
              <w:right w:val="single" w:color="000000" w:sz="8" w:space="0"/>
            </w:tcBorders>
            <w:shd w:val="clear" w:color="auto" w:fill="auto"/>
            <w:vAlign w:val="center"/>
          </w:tcPr>
          <w:p w14:paraId="528AF23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新增服务</w:t>
            </w:r>
          </w:p>
        </w:tc>
        <w:tc>
          <w:tcPr>
            <w:tcW w:w="6703" w:type="dxa"/>
            <w:tcBorders>
              <w:top w:val="nil"/>
              <w:left w:val="nil"/>
              <w:bottom w:val="single" w:color="000000" w:sz="8" w:space="0"/>
              <w:right w:val="single" w:color="000000" w:sz="8" w:space="0"/>
            </w:tcBorders>
            <w:shd w:val="clear" w:color="auto" w:fill="auto"/>
            <w:vAlign w:val="center"/>
          </w:tcPr>
          <w:p w14:paraId="425ACD0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default"/>
                <w:color w:val="auto"/>
                <w:highlight w:val="none"/>
                <w:lang w:val="en-US" w:eastAsia="zh-CN"/>
              </w:rPr>
            </w:pPr>
            <w:r>
              <w:rPr>
                <w:rFonts w:hint="default"/>
                <w:color w:val="auto"/>
                <w:highlight w:val="none"/>
              </w:rPr>
              <w:t>根据前段监控建设需求清单进行建设点位选择，选择建设点位总数</w:t>
            </w:r>
            <w:r>
              <w:rPr>
                <w:rFonts w:hint="eastAsia"/>
                <w:color w:val="auto"/>
                <w:highlight w:val="none"/>
                <w:lang w:val="en-US" w:eastAsia="zh-CN"/>
              </w:rPr>
              <w:t>10（含）</w:t>
            </w:r>
            <w:r>
              <w:rPr>
                <w:rFonts w:hint="default"/>
                <w:color w:val="auto"/>
                <w:highlight w:val="none"/>
              </w:rPr>
              <w:t>处</w:t>
            </w:r>
            <w:r>
              <w:rPr>
                <w:rFonts w:hint="eastAsia"/>
                <w:color w:val="auto"/>
                <w:highlight w:val="none"/>
                <w:lang w:val="en-US" w:eastAsia="zh-CN"/>
              </w:rPr>
              <w:t>的</w:t>
            </w:r>
            <w:r>
              <w:rPr>
                <w:rFonts w:hint="default"/>
                <w:color w:val="auto"/>
                <w:highlight w:val="none"/>
              </w:rPr>
              <w:t>，得</w:t>
            </w:r>
            <w:r>
              <w:rPr>
                <w:rFonts w:hint="eastAsia"/>
                <w:color w:val="auto"/>
                <w:highlight w:val="none"/>
                <w:lang w:val="en-US" w:eastAsia="zh-CN"/>
              </w:rPr>
              <w:t>6</w:t>
            </w:r>
            <w:r>
              <w:rPr>
                <w:rFonts w:hint="default"/>
                <w:color w:val="auto"/>
                <w:highlight w:val="none"/>
              </w:rPr>
              <w:t>分</w:t>
            </w:r>
            <w:r>
              <w:rPr>
                <w:rFonts w:hint="eastAsia"/>
                <w:color w:val="auto"/>
                <w:highlight w:val="none"/>
                <w:lang w:eastAsia="zh-CN"/>
              </w:rPr>
              <w:t>，</w:t>
            </w:r>
            <w:r>
              <w:rPr>
                <w:rFonts w:hint="eastAsia"/>
                <w:color w:val="auto"/>
                <w:highlight w:val="none"/>
                <w:lang w:val="en-US" w:eastAsia="zh-CN"/>
              </w:rPr>
              <w:t>10处以下的不得分</w:t>
            </w:r>
            <w:r>
              <w:rPr>
                <w:rFonts w:hint="eastAsia"/>
                <w:color w:val="auto"/>
                <w:highlight w:val="none"/>
                <w:lang w:eastAsia="zh-CN"/>
              </w:rPr>
              <w:t>；</w:t>
            </w:r>
            <w:r>
              <w:rPr>
                <w:rFonts w:hint="eastAsia"/>
                <w:color w:val="auto"/>
                <w:highlight w:val="none"/>
                <w:lang w:val="en-US" w:eastAsia="zh-CN"/>
              </w:rPr>
              <w:t>承诺</w:t>
            </w:r>
            <w:r>
              <w:rPr>
                <w:rFonts w:hint="default"/>
                <w:color w:val="auto"/>
                <w:highlight w:val="none"/>
              </w:rPr>
              <w:t>每多建设一个点位</w:t>
            </w:r>
            <w:r>
              <w:rPr>
                <w:rFonts w:hint="eastAsia"/>
                <w:color w:val="auto"/>
                <w:highlight w:val="none"/>
                <w:lang w:val="en-US" w:eastAsia="zh-CN"/>
              </w:rPr>
              <w:t>加</w:t>
            </w:r>
            <w:r>
              <w:rPr>
                <w:rFonts w:hint="default"/>
                <w:color w:val="auto"/>
                <w:highlight w:val="none"/>
              </w:rPr>
              <w:t>0.5分</w:t>
            </w:r>
            <w:r>
              <w:rPr>
                <w:rFonts w:hint="eastAsia"/>
                <w:color w:val="auto"/>
                <w:highlight w:val="none"/>
                <w:lang w:eastAsia="zh-CN"/>
              </w:rPr>
              <w:t>。</w:t>
            </w:r>
            <w:r>
              <w:rPr>
                <w:rFonts w:hint="default"/>
                <w:color w:val="auto"/>
                <w:highlight w:val="none"/>
              </w:rPr>
              <w:t xml:space="preserve"> 按照清单要求选择的点位</w:t>
            </w:r>
            <w:r>
              <w:rPr>
                <w:rFonts w:hint="eastAsia"/>
                <w:color w:val="auto"/>
                <w:highlight w:val="none"/>
                <w:lang w:eastAsia="zh-CN"/>
              </w:rPr>
              <w:t>为超过</w:t>
            </w:r>
            <w:r>
              <w:rPr>
                <w:rFonts w:hint="eastAsia"/>
                <w:color w:val="auto"/>
                <w:highlight w:val="none"/>
                <w:lang w:val="en-US" w:eastAsia="zh-CN"/>
              </w:rPr>
              <w:t>1个</w:t>
            </w:r>
            <w:r>
              <w:rPr>
                <w:rFonts w:hint="default"/>
                <w:color w:val="auto"/>
                <w:highlight w:val="none"/>
              </w:rPr>
              <w:t>摄像头</w:t>
            </w:r>
            <w:r>
              <w:rPr>
                <w:rFonts w:hint="eastAsia"/>
                <w:color w:val="auto"/>
                <w:highlight w:val="none"/>
                <w:lang w:eastAsia="zh-CN"/>
              </w:rPr>
              <w:t>的每</w:t>
            </w:r>
            <w:r>
              <w:rPr>
                <w:rFonts w:hint="eastAsia"/>
                <w:color w:val="auto"/>
                <w:highlight w:val="none"/>
                <w:lang w:val="en-US" w:eastAsia="zh-CN"/>
              </w:rPr>
              <w:t>增加1个摄像头</w:t>
            </w:r>
            <w:r>
              <w:rPr>
                <w:rFonts w:hint="eastAsia"/>
                <w:color w:val="auto"/>
                <w:highlight w:val="none"/>
                <w:lang w:eastAsia="zh-CN"/>
              </w:rPr>
              <w:t>加</w:t>
            </w:r>
            <w:r>
              <w:rPr>
                <w:rFonts w:hint="default"/>
                <w:color w:val="auto"/>
                <w:highlight w:val="none"/>
              </w:rPr>
              <w:t>0.2分。</w:t>
            </w:r>
            <w:r>
              <w:rPr>
                <w:rFonts w:hint="eastAsia"/>
                <w:color w:val="auto"/>
                <w:highlight w:val="none"/>
                <w:lang w:eastAsia="zh-CN"/>
              </w:rPr>
              <w:t>按照清单承诺建设全部</w:t>
            </w:r>
            <w:r>
              <w:rPr>
                <w:rFonts w:hint="eastAsia"/>
                <w:color w:val="auto"/>
                <w:highlight w:val="none"/>
                <w:lang w:val="en-US" w:eastAsia="zh-CN"/>
              </w:rPr>
              <w:t>21处点位（27个摄像头）得13分，本项最高得13分。</w:t>
            </w:r>
          </w:p>
          <w:p w14:paraId="0A219E3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default"/>
                <w:color w:val="auto"/>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备注：</w:t>
            </w:r>
            <w:r>
              <w:rPr>
                <w:rFonts w:hint="eastAsia" w:cs="Times New Roman"/>
                <w:color w:val="auto"/>
                <w:kern w:val="2"/>
                <w:sz w:val="21"/>
                <w:szCs w:val="24"/>
                <w:highlight w:val="none"/>
                <w:lang w:val="en-US" w:eastAsia="zh-CN" w:bidi="ar-SA"/>
              </w:rPr>
              <w:t>选用</w:t>
            </w:r>
            <w:r>
              <w:rPr>
                <w:rFonts w:hint="eastAsia" w:ascii="Times New Roman" w:hAnsi="Times New Roman" w:eastAsia="宋体" w:cs="Times New Roman"/>
                <w:color w:val="auto"/>
                <w:kern w:val="2"/>
                <w:sz w:val="21"/>
                <w:szCs w:val="24"/>
                <w:highlight w:val="none"/>
                <w:lang w:val="en-US" w:eastAsia="zh-CN" w:bidi="ar-SA"/>
              </w:rPr>
              <w:t>前端新增视频监控参数要求</w:t>
            </w:r>
            <w:r>
              <w:rPr>
                <w:rFonts w:hint="eastAsia" w:cs="Times New Roman"/>
                <w:color w:val="auto"/>
                <w:kern w:val="2"/>
                <w:sz w:val="21"/>
                <w:szCs w:val="24"/>
                <w:highlight w:val="none"/>
                <w:lang w:val="en-US" w:eastAsia="zh-CN" w:bidi="ar-SA"/>
              </w:rPr>
              <w:t>中任意配置皆可，要求</w:t>
            </w:r>
            <w:r>
              <w:rPr>
                <w:rFonts w:hint="eastAsia" w:ascii="Times New Roman" w:hAnsi="Times New Roman" w:eastAsia="宋体" w:cs="Times New Roman"/>
                <w:color w:val="auto"/>
                <w:kern w:val="2"/>
                <w:sz w:val="21"/>
                <w:szCs w:val="24"/>
                <w:highlight w:val="none"/>
                <w:lang w:val="en-US" w:eastAsia="zh-CN" w:bidi="ar-SA"/>
              </w:rPr>
              <w:t>其中高清智</w:t>
            </w:r>
            <w:r>
              <w:rPr>
                <w:rFonts w:hint="eastAsia" w:cs="Times New Roman"/>
                <w:color w:val="auto"/>
                <w:kern w:val="2"/>
                <w:sz w:val="21"/>
                <w:szCs w:val="24"/>
                <w:highlight w:val="none"/>
                <w:lang w:val="en-US" w:eastAsia="zh-CN" w:bidi="ar-SA"/>
              </w:rPr>
              <w:t>能</w:t>
            </w:r>
            <w:r>
              <w:rPr>
                <w:rFonts w:hint="eastAsia" w:ascii="Times New Roman" w:hAnsi="Times New Roman" w:eastAsia="宋体" w:cs="Times New Roman"/>
                <w:color w:val="auto"/>
                <w:kern w:val="2"/>
                <w:sz w:val="21"/>
                <w:szCs w:val="24"/>
                <w:highlight w:val="none"/>
                <w:lang w:val="en-US" w:eastAsia="zh-CN" w:bidi="ar-SA"/>
              </w:rPr>
              <w:t>球机</w:t>
            </w:r>
            <w:r>
              <w:rPr>
                <w:rFonts w:hint="eastAsia" w:cs="Times New Roman"/>
                <w:color w:val="auto"/>
                <w:kern w:val="2"/>
                <w:sz w:val="21"/>
                <w:szCs w:val="24"/>
                <w:highlight w:val="none"/>
                <w:lang w:val="en-US" w:eastAsia="zh-CN" w:bidi="ar-SA"/>
              </w:rPr>
              <w:t>（1或2）</w:t>
            </w:r>
            <w:r>
              <w:rPr>
                <w:rFonts w:hint="eastAsia" w:ascii="Times New Roman" w:hAnsi="Times New Roman" w:eastAsia="宋体" w:cs="Times New Roman"/>
                <w:color w:val="auto"/>
                <w:kern w:val="2"/>
                <w:sz w:val="21"/>
                <w:szCs w:val="24"/>
                <w:highlight w:val="none"/>
                <w:lang w:val="en-US" w:eastAsia="zh-CN" w:bidi="ar-SA"/>
              </w:rPr>
              <w:t>不少于摄像头总数</w:t>
            </w:r>
            <w:r>
              <w:rPr>
                <w:rFonts w:hint="eastAsia" w:cs="Times New Roman"/>
                <w:color w:val="auto"/>
                <w:kern w:val="2"/>
                <w:sz w:val="21"/>
                <w:szCs w:val="24"/>
                <w:highlight w:val="none"/>
                <w:lang w:val="en-US" w:eastAsia="zh-CN" w:bidi="ar-SA"/>
              </w:rPr>
              <w:t>15</w:t>
            </w:r>
            <w:r>
              <w:rPr>
                <w:rFonts w:hint="eastAsia" w:ascii="Times New Roman" w:hAnsi="Times New Roman" w:eastAsia="宋体" w:cs="Times New Roman"/>
                <w:color w:val="auto"/>
                <w:kern w:val="2"/>
                <w:sz w:val="21"/>
                <w:szCs w:val="24"/>
                <w:highlight w:val="none"/>
                <w:lang w:val="en-US" w:eastAsia="zh-CN" w:bidi="ar-SA"/>
              </w:rPr>
              <w:t>%，智</w:t>
            </w:r>
            <w:r>
              <w:rPr>
                <w:rFonts w:hint="eastAsia" w:cs="Times New Roman"/>
                <w:color w:val="auto"/>
                <w:kern w:val="2"/>
                <w:sz w:val="21"/>
                <w:szCs w:val="24"/>
                <w:highlight w:val="none"/>
                <w:lang w:val="en-US" w:eastAsia="zh-CN" w:bidi="ar-SA"/>
              </w:rPr>
              <w:t>能</w:t>
            </w:r>
            <w:r>
              <w:rPr>
                <w:rFonts w:hint="eastAsia" w:ascii="Times New Roman" w:hAnsi="Times New Roman" w:eastAsia="宋体" w:cs="Times New Roman"/>
                <w:color w:val="auto"/>
                <w:kern w:val="2"/>
                <w:sz w:val="21"/>
                <w:szCs w:val="24"/>
                <w:highlight w:val="none"/>
                <w:lang w:val="en-US" w:eastAsia="zh-CN" w:bidi="ar-SA"/>
              </w:rPr>
              <w:t>球机</w:t>
            </w:r>
            <w:r>
              <w:rPr>
                <w:rFonts w:hint="eastAsia" w:cs="Times New Roman"/>
                <w:color w:val="auto"/>
                <w:kern w:val="2"/>
                <w:sz w:val="21"/>
                <w:szCs w:val="24"/>
                <w:highlight w:val="none"/>
                <w:lang w:val="en-US" w:eastAsia="zh-CN" w:bidi="ar-SA"/>
              </w:rPr>
              <w:t>（1或2）</w:t>
            </w:r>
            <w:r>
              <w:rPr>
                <w:rFonts w:hint="eastAsia" w:ascii="Times New Roman" w:hAnsi="Times New Roman" w:eastAsia="宋体" w:cs="Times New Roman"/>
                <w:color w:val="auto"/>
                <w:kern w:val="2"/>
                <w:sz w:val="21"/>
                <w:szCs w:val="24"/>
                <w:highlight w:val="none"/>
                <w:lang w:val="en-US" w:eastAsia="zh-CN" w:bidi="ar-SA"/>
              </w:rPr>
              <w:t>不少于摄像头总数15%。如因场地施工原因，经协商一致，允许使用网络红外球机</w:t>
            </w:r>
            <w:r>
              <w:rPr>
                <w:rFonts w:hint="eastAsia" w:cs="Times New Roman"/>
                <w:color w:val="auto"/>
                <w:kern w:val="2"/>
                <w:sz w:val="21"/>
                <w:szCs w:val="24"/>
                <w:highlight w:val="none"/>
                <w:lang w:val="en-US" w:eastAsia="zh-CN" w:bidi="ar-SA"/>
              </w:rPr>
              <w:t>（1或2）</w:t>
            </w:r>
            <w:r>
              <w:rPr>
                <w:rFonts w:hint="eastAsia" w:ascii="Times New Roman" w:hAnsi="Times New Roman" w:eastAsia="宋体" w:cs="Times New Roman"/>
                <w:color w:val="auto"/>
                <w:kern w:val="2"/>
                <w:sz w:val="21"/>
                <w:szCs w:val="24"/>
                <w:highlight w:val="none"/>
                <w:lang w:val="en-US" w:eastAsia="zh-CN" w:bidi="ar-SA"/>
              </w:rPr>
              <w:t>。</w:t>
            </w:r>
            <w:r>
              <w:rPr>
                <w:rFonts w:hint="eastAsia"/>
                <w:color w:val="auto"/>
                <w:highlight w:val="none"/>
                <w:lang w:val="en-US" w:eastAsia="zh-CN"/>
              </w:rPr>
              <w:t>需提供后期不同类型摄像头配置数量，不符合要求得该项不得分。</w:t>
            </w:r>
          </w:p>
          <w:p w14:paraId="694AF244">
            <w:pPr>
              <w:pStyle w:val="2"/>
              <w:keepNext w:val="0"/>
              <w:keepLines w:val="0"/>
              <w:suppressLineNumbers w:val="0"/>
              <w:shd w:val="clear"/>
              <w:spacing w:before="0" w:beforeAutospacing="0" w:after="0" w:afterAutospacing="0"/>
              <w:ind w:left="0" w:right="0"/>
              <w:rPr>
                <w:rFonts w:hint="default"/>
                <w:color w:val="auto"/>
                <w:highlight w:val="none"/>
                <w:lang w:val="en-US"/>
              </w:rPr>
            </w:pPr>
          </w:p>
        </w:tc>
        <w:tc>
          <w:tcPr>
            <w:tcW w:w="860" w:type="dxa"/>
            <w:tcBorders>
              <w:top w:val="nil"/>
              <w:left w:val="nil"/>
              <w:bottom w:val="single" w:color="000000" w:sz="8" w:space="0"/>
              <w:right w:val="single" w:color="000000" w:sz="8" w:space="0"/>
            </w:tcBorders>
            <w:shd w:val="clear" w:color="auto" w:fill="auto"/>
            <w:vAlign w:val="center"/>
          </w:tcPr>
          <w:p w14:paraId="664DD57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13</w:t>
            </w:r>
          </w:p>
        </w:tc>
      </w:tr>
      <w:tr w14:paraId="5F147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5" w:type="dxa"/>
            <w:tcBorders>
              <w:top w:val="nil"/>
              <w:left w:val="single" w:color="000000" w:sz="8" w:space="0"/>
              <w:bottom w:val="single" w:color="000000" w:sz="8" w:space="0"/>
              <w:right w:val="single" w:color="000000" w:sz="8" w:space="0"/>
            </w:tcBorders>
            <w:shd w:val="clear" w:color="auto" w:fill="auto"/>
            <w:vAlign w:val="center"/>
          </w:tcPr>
          <w:p w14:paraId="5B52645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12</w:t>
            </w:r>
          </w:p>
        </w:tc>
        <w:tc>
          <w:tcPr>
            <w:tcW w:w="1040" w:type="dxa"/>
            <w:tcBorders>
              <w:top w:val="nil"/>
              <w:left w:val="nil"/>
              <w:bottom w:val="single" w:color="000000" w:sz="8" w:space="0"/>
              <w:right w:val="single" w:color="000000" w:sz="8" w:space="0"/>
            </w:tcBorders>
            <w:shd w:val="clear" w:color="auto" w:fill="auto"/>
            <w:vAlign w:val="center"/>
          </w:tcPr>
          <w:p w14:paraId="2BFBFF1A">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后期</w:t>
            </w:r>
            <w:r>
              <w:rPr>
                <w:rFonts w:hint="eastAsia" w:ascii="宋体" w:hAnsi="宋体" w:cs="宋体"/>
                <w:i w:val="0"/>
                <w:iCs w:val="0"/>
                <w:color w:val="auto"/>
                <w:kern w:val="0"/>
                <w:sz w:val="22"/>
                <w:szCs w:val="22"/>
                <w:highlight w:val="none"/>
                <w:u w:val="none"/>
                <w:lang w:val="en-US" w:eastAsia="zh-CN" w:bidi="ar"/>
              </w:rPr>
              <w:t>响应</w:t>
            </w:r>
            <w:r>
              <w:rPr>
                <w:rFonts w:hint="eastAsia" w:ascii="宋体" w:hAnsi="宋体" w:eastAsia="宋体" w:cs="宋体"/>
                <w:i w:val="0"/>
                <w:iCs w:val="0"/>
                <w:color w:val="auto"/>
                <w:kern w:val="0"/>
                <w:sz w:val="22"/>
                <w:szCs w:val="22"/>
                <w:highlight w:val="none"/>
                <w:u w:val="none"/>
                <w:lang w:val="en-US" w:eastAsia="zh-CN" w:bidi="ar"/>
              </w:rPr>
              <w:t>服务及承诺</w:t>
            </w:r>
          </w:p>
        </w:tc>
        <w:tc>
          <w:tcPr>
            <w:tcW w:w="6703" w:type="dxa"/>
            <w:tcBorders>
              <w:top w:val="nil"/>
              <w:left w:val="nil"/>
              <w:bottom w:val="single" w:color="000000" w:sz="8" w:space="0"/>
              <w:right w:val="single" w:color="000000" w:sz="8" w:space="0"/>
            </w:tcBorders>
            <w:shd w:val="clear" w:color="auto" w:fill="auto"/>
            <w:vAlign w:val="center"/>
          </w:tcPr>
          <w:p w14:paraId="708F335E">
            <w:pPr>
              <w:keepNext w:val="0"/>
              <w:keepLines w:val="0"/>
              <w:pageBreakBefore w:val="0"/>
              <w:widowControl w:val="0"/>
              <w:numPr>
                <w:ilvl w:val="1"/>
                <w:numId w:val="0"/>
              </w:numPr>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outlineLvl w:val="1"/>
              <w:rPr>
                <w:rFonts w:hint="default" w:ascii="微软雅黑" w:hAnsi="微软雅黑" w:eastAsia="微软雅黑" w:cs="微软雅黑"/>
                <w:i w:val="0"/>
                <w:iCs w:val="0"/>
                <w:caps w:val="0"/>
                <w:color w:val="auto"/>
                <w:spacing w:val="0"/>
                <w:sz w:val="21"/>
                <w:szCs w:val="21"/>
                <w:highlight w:val="none"/>
                <w:shd w:val="clear" w:fill="C9E7FF"/>
              </w:rPr>
            </w:pPr>
            <w:r>
              <w:rPr>
                <w:rFonts w:hint="eastAsia" w:ascii="宋体" w:hAnsi="宋体" w:eastAsia="宋体" w:cs="宋体"/>
                <w:i w:val="0"/>
                <w:iCs w:val="0"/>
                <w:color w:val="auto"/>
                <w:kern w:val="0"/>
                <w:sz w:val="22"/>
                <w:szCs w:val="22"/>
                <w:highlight w:val="none"/>
                <w:u w:val="none"/>
                <w:lang w:val="en-US" w:eastAsia="zh-CN" w:bidi="ar"/>
              </w:rPr>
              <w:t>根据供应商提供的</w:t>
            </w:r>
            <w:r>
              <w:rPr>
                <w:rFonts w:hint="eastAsia" w:ascii="Times New Roman" w:hAnsi="Times New Roman" w:eastAsia="宋体" w:cs="Times New Roman"/>
                <w:color w:val="auto"/>
                <w:highlight w:val="none"/>
                <w:lang w:val="en-US" w:eastAsia="zh-CN"/>
              </w:rPr>
              <w:t>总体维保服务及承诺方案判定评分，内容完整,措施有效。符合采购需求，具有针对性视为符合，内容完全符合得3分。</w:t>
            </w:r>
          </w:p>
        </w:tc>
        <w:tc>
          <w:tcPr>
            <w:tcW w:w="860" w:type="dxa"/>
            <w:tcBorders>
              <w:top w:val="nil"/>
              <w:left w:val="nil"/>
              <w:bottom w:val="single" w:color="000000" w:sz="8" w:space="0"/>
              <w:right w:val="single" w:color="000000" w:sz="8" w:space="0"/>
            </w:tcBorders>
            <w:shd w:val="clear" w:color="auto" w:fill="auto"/>
            <w:vAlign w:val="center"/>
          </w:tcPr>
          <w:p w14:paraId="51A496F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3分</w:t>
            </w:r>
          </w:p>
        </w:tc>
      </w:tr>
      <w:tr w14:paraId="573D0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565" w:type="dxa"/>
            <w:gridSpan w:val="2"/>
            <w:tcBorders>
              <w:top w:val="nil"/>
              <w:left w:val="single" w:color="000000" w:sz="8" w:space="0"/>
              <w:bottom w:val="single" w:color="000000" w:sz="8" w:space="0"/>
              <w:right w:val="single" w:color="000000" w:sz="8" w:space="0"/>
            </w:tcBorders>
            <w:shd w:val="clear" w:color="auto" w:fill="auto"/>
            <w:vAlign w:val="center"/>
          </w:tcPr>
          <w:p w14:paraId="2E2DE18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价格20分</w:t>
            </w:r>
          </w:p>
        </w:tc>
        <w:tc>
          <w:tcPr>
            <w:tcW w:w="7563" w:type="dxa"/>
            <w:gridSpan w:val="2"/>
            <w:tcBorders>
              <w:top w:val="nil"/>
              <w:left w:val="nil"/>
              <w:bottom w:val="single" w:color="000000" w:sz="8" w:space="0"/>
              <w:right w:val="single" w:color="000000" w:sz="8" w:space="0"/>
            </w:tcBorders>
            <w:shd w:val="clear" w:color="auto" w:fill="auto"/>
            <w:vAlign w:val="center"/>
          </w:tcPr>
          <w:p w14:paraId="123BF40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有效报价的最低价为基准价，其价格分为20分。其它投标人的价格分按照下列公式计算：投标报价得分=（评标基准价/投标报价）×20（小数点后保留2位小数）（注：对于小型和微型企业产品的价格给予10%的扣除，用扣除后的价格参与评审。小型和微型企业需填写《小微企业声明函》。</w:t>
            </w:r>
          </w:p>
        </w:tc>
      </w:tr>
    </w:tbl>
    <w:p w14:paraId="383B1F3F">
      <w:pPr>
        <w:shd w:val="clear"/>
        <w:spacing w:line="360" w:lineRule="auto"/>
        <w:ind w:firstLine="472" w:firstLineChars="196"/>
        <w:jc w:val="center"/>
        <w:rPr>
          <w:rFonts w:hAnsi="宋体" w:cs="仿宋_GB2312"/>
          <w:b/>
          <w:bCs/>
          <w:color w:val="auto"/>
          <w:sz w:val="24"/>
          <w:highlight w:val="none"/>
        </w:rPr>
      </w:pPr>
    </w:p>
    <w:p w14:paraId="3B0A713D">
      <w:pPr>
        <w:shd w:val="clear"/>
        <w:rPr>
          <w:color w:val="auto"/>
          <w:highlight w:val="none"/>
        </w:rPr>
        <w:sectPr>
          <w:footerReference r:id="rId3" w:type="default"/>
          <w:pgSz w:w="11906" w:h="16838"/>
          <w:pgMar w:top="1440" w:right="1800" w:bottom="1440" w:left="1800" w:header="851" w:footer="851" w:gutter="0"/>
          <w:cols w:space="720" w:num="1"/>
          <w:docGrid w:linePitch="312" w:charSpace="0"/>
        </w:sectPr>
      </w:pPr>
    </w:p>
    <w:p w14:paraId="44A2C550">
      <w:pPr>
        <w:numPr>
          <w:ilvl w:val="0"/>
          <w:numId w:val="12"/>
        </w:numPr>
        <w:shd w:val="clea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公开招标需求</w:t>
      </w:r>
    </w:p>
    <w:p w14:paraId="120ACB70">
      <w:pPr>
        <w:shd w:val="clear"/>
        <w:tabs>
          <w:tab w:val="left" w:pos="8280"/>
        </w:tabs>
        <w:autoSpaceDE w:val="0"/>
        <w:autoSpaceDN w:val="0"/>
        <w:adjustRightInd w:val="0"/>
        <w:spacing w:line="360" w:lineRule="auto"/>
        <w:ind w:right="25"/>
        <w:rPr>
          <w:rFonts w:ascii="宋体" w:hAnsi="宋体"/>
          <w:color w:val="auto"/>
          <w:sz w:val="24"/>
          <w:highlight w:val="none"/>
        </w:rPr>
      </w:pPr>
      <w:r>
        <w:rPr>
          <w:rFonts w:hint="eastAsia" w:ascii="宋体" w:hAnsi="宋体"/>
          <w:b/>
          <w:color w:val="auto"/>
          <w:sz w:val="24"/>
          <w:highlight w:val="none"/>
        </w:rPr>
        <w:t>一、采购项目一览表</w:t>
      </w:r>
    </w:p>
    <w:p w14:paraId="0A5563AC">
      <w:pPr>
        <w:shd w:val="clear"/>
        <w:tabs>
          <w:tab w:val="left" w:pos="8280"/>
        </w:tabs>
        <w:autoSpaceDE w:val="0"/>
        <w:autoSpaceDN w:val="0"/>
        <w:adjustRightInd w:val="0"/>
        <w:spacing w:line="360" w:lineRule="auto"/>
        <w:ind w:right="25" w:firstLine="280"/>
        <w:rPr>
          <w:rFonts w:ascii="宋体" w:hAnsi="宋体"/>
          <w:color w:val="auto"/>
          <w:sz w:val="24"/>
          <w:highlight w:val="none"/>
        </w:rPr>
      </w:pPr>
      <w:r>
        <w:rPr>
          <w:rFonts w:hint="eastAsia" w:ascii="宋体" w:hAnsi="宋体"/>
          <w:color w:val="auto"/>
          <w:sz w:val="24"/>
          <w:highlight w:val="none"/>
        </w:rPr>
        <w:t>本次采购共</w:t>
      </w:r>
      <w:r>
        <w:rPr>
          <w:rFonts w:hint="eastAsia" w:ascii="宋体" w:hAnsi="宋体"/>
          <w:color w:val="auto"/>
          <w:sz w:val="24"/>
          <w:highlight w:val="none"/>
          <w:u w:val="single"/>
        </w:rPr>
        <w:t xml:space="preserve">  1 </w:t>
      </w:r>
      <w:r>
        <w:rPr>
          <w:rFonts w:hint="eastAsia" w:ascii="宋体" w:hAnsi="宋体"/>
          <w:color w:val="auto"/>
          <w:sz w:val="24"/>
          <w:highlight w:val="none"/>
        </w:rPr>
        <w:t>个标段，具体内容如下表：</w:t>
      </w:r>
    </w:p>
    <w:tbl>
      <w:tblPr>
        <w:tblStyle w:val="46"/>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2436"/>
        <w:gridCol w:w="1500"/>
        <w:gridCol w:w="795"/>
        <w:gridCol w:w="840"/>
        <w:gridCol w:w="1590"/>
        <w:gridCol w:w="1250"/>
      </w:tblGrid>
      <w:tr w14:paraId="145C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325" w:type="dxa"/>
            <w:noWrap/>
            <w:vAlign w:val="center"/>
          </w:tcPr>
          <w:p w14:paraId="15A150EF">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rightChars="0"/>
              <w:jc w:val="center"/>
              <w:rPr>
                <w:rFonts w:hint="default" w:ascii="宋体" w:hAnsi="宋体"/>
                <w:b/>
                <w:color w:val="auto"/>
                <w:sz w:val="24"/>
                <w:highlight w:val="none"/>
              </w:rPr>
            </w:pPr>
            <w:r>
              <w:rPr>
                <w:rFonts w:hint="eastAsia" w:ascii="仿宋" w:hAnsi="仿宋" w:eastAsia="仿宋" w:cs="Times New Roman"/>
                <w:b/>
                <w:color w:val="auto"/>
                <w:szCs w:val="21"/>
                <w:highlight w:val="none"/>
              </w:rPr>
              <w:t>标段号</w:t>
            </w:r>
          </w:p>
        </w:tc>
        <w:tc>
          <w:tcPr>
            <w:tcW w:w="2436" w:type="dxa"/>
            <w:noWrap/>
            <w:vAlign w:val="center"/>
          </w:tcPr>
          <w:p w14:paraId="0409813F">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rightChars="0" w:firstLine="105" w:firstLineChars="50"/>
              <w:jc w:val="center"/>
              <w:rPr>
                <w:rFonts w:hint="default" w:ascii="宋体" w:hAnsi="宋体"/>
                <w:b/>
                <w:color w:val="auto"/>
                <w:sz w:val="24"/>
                <w:highlight w:val="none"/>
              </w:rPr>
            </w:pPr>
            <w:r>
              <w:rPr>
                <w:rFonts w:hint="eastAsia" w:ascii="仿宋" w:hAnsi="仿宋" w:eastAsia="仿宋" w:cs="Times New Roman"/>
                <w:b/>
                <w:color w:val="auto"/>
                <w:szCs w:val="21"/>
                <w:highlight w:val="none"/>
              </w:rPr>
              <w:t>项目名称</w:t>
            </w:r>
          </w:p>
        </w:tc>
        <w:tc>
          <w:tcPr>
            <w:tcW w:w="1500" w:type="dxa"/>
            <w:noWrap/>
            <w:vAlign w:val="center"/>
          </w:tcPr>
          <w:p w14:paraId="6AA5363C">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rightChars="0" w:firstLine="211" w:firstLineChars="100"/>
              <w:rPr>
                <w:rFonts w:hint="default" w:ascii="宋体" w:hAnsi="宋体"/>
                <w:b/>
                <w:color w:val="auto"/>
                <w:sz w:val="24"/>
                <w:highlight w:val="none"/>
              </w:rPr>
            </w:pPr>
            <w:r>
              <w:rPr>
                <w:rFonts w:hint="eastAsia" w:ascii="仿宋" w:hAnsi="仿宋" w:eastAsia="仿宋" w:cs="Times New Roman"/>
                <w:b/>
                <w:color w:val="auto"/>
                <w:szCs w:val="21"/>
                <w:highlight w:val="none"/>
              </w:rPr>
              <w:t>规格型号</w:t>
            </w:r>
          </w:p>
        </w:tc>
        <w:tc>
          <w:tcPr>
            <w:tcW w:w="795" w:type="dxa"/>
            <w:noWrap/>
            <w:vAlign w:val="center"/>
          </w:tcPr>
          <w:p w14:paraId="2A912050">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rightChars="0"/>
              <w:jc w:val="center"/>
              <w:rPr>
                <w:rFonts w:hint="default" w:ascii="宋体" w:hAnsi="宋体"/>
                <w:b/>
                <w:color w:val="auto"/>
                <w:sz w:val="24"/>
                <w:highlight w:val="none"/>
              </w:rPr>
            </w:pPr>
            <w:r>
              <w:rPr>
                <w:rFonts w:hint="eastAsia" w:ascii="仿宋" w:hAnsi="仿宋" w:eastAsia="仿宋" w:cs="Times New Roman"/>
                <w:b/>
                <w:color w:val="auto"/>
                <w:szCs w:val="21"/>
                <w:highlight w:val="none"/>
              </w:rPr>
              <w:t>数量</w:t>
            </w:r>
          </w:p>
        </w:tc>
        <w:tc>
          <w:tcPr>
            <w:tcW w:w="840" w:type="dxa"/>
            <w:noWrap/>
            <w:vAlign w:val="center"/>
          </w:tcPr>
          <w:p w14:paraId="2ECAE1D9">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rightChars="0"/>
              <w:jc w:val="center"/>
              <w:rPr>
                <w:rFonts w:hint="default" w:ascii="宋体" w:hAnsi="宋体"/>
                <w:b/>
                <w:color w:val="auto"/>
                <w:sz w:val="24"/>
                <w:highlight w:val="none"/>
              </w:rPr>
            </w:pPr>
            <w:r>
              <w:rPr>
                <w:rFonts w:hint="eastAsia" w:ascii="仿宋" w:hAnsi="仿宋" w:eastAsia="仿宋" w:cs="Times New Roman"/>
                <w:b/>
                <w:color w:val="auto"/>
                <w:szCs w:val="21"/>
                <w:highlight w:val="none"/>
              </w:rPr>
              <w:t>单位</w:t>
            </w:r>
          </w:p>
        </w:tc>
        <w:tc>
          <w:tcPr>
            <w:tcW w:w="1590" w:type="dxa"/>
            <w:noWrap/>
            <w:vAlign w:val="center"/>
          </w:tcPr>
          <w:p w14:paraId="134AE358">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jc w:val="center"/>
              <w:rPr>
                <w:rFonts w:hint="default" w:ascii="仿宋" w:hAnsi="仿宋" w:eastAsia="仿宋" w:cs="Times New Roman"/>
                <w:b/>
                <w:color w:val="auto"/>
                <w:szCs w:val="21"/>
                <w:highlight w:val="none"/>
              </w:rPr>
            </w:pPr>
            <w:r>
              <w:rPr>
                <w:rFonts w:hint="eastAsia" w:ascii="仿宋" w:hAnsi="仿宋" w:eastAsia="仿宋" w:cs="Times New Roman"/>
                <w:b/>
                <w:color w:val="auto"/>
                <w:szCs w:val="21"/>
                <w:highlight w:val="none"/>
              </w:rPr>
              <w:t>预算</w:t>
            </w:r>
          </w:p>
          <w:p w14:paraId="32728418">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rightChars="0"/>
              <w:jc w:val="center"/>
              <w:rPr>
                <w:rFonts w:hint="default" w:ascii="宋体" w:hAnsi="宋体"/>
                <w:b/>
                <w:color w:val="auto"/>
                <w:sz w:val="24"/>
                <w:highlight w:val="none"/>
              </w:rPr>
            </w:pPr>
            <w:r>
              <w:rPr>
                <w:rFonts w:hint="eastAsia" w:ascii="仿宋" w:hAnsi="仿宋" w:eastAsia="仿宋" w:cs="Times New Roman"/>
                <w:b/>
                <w:color w:val="auto"/>
                <w:szCs w:val="21"/>
                <w:highlight w:val="none"/>
              </w:rPr>
              <w:t>（万元）</w:t>
            </w:r>
          </w:p>
        </w:tc>
        <w:tc>
          <w:tcPr>
            <w:tcW w:w="1250" w:type="dxa"/>
            <w:noWrap/>
            <w:vAlign w:val="center"/>
          </w:tcPr>
          <w:p w14:paraId="5A1FE575">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rightChars="0"/>
              <w:jc w:val="center"/>
              <w:rPr>
                <w:rFonts w:hint="default" w:ascii="宋体" w:hAnsi="宋体"/>
                <w:b/>
                <w:color w:val="auto"/>
                <w:sz w:val="24"/>
                <w:highlight w:val="none"/>
              </w:rPr>
            </w:pPr>
            <w:r>
              <w:rPr>
                <w:rFonts w:hint="eastAsia" w:ascii="仿宋" w:hAnsi="仿宋" w:eastAsia="仿宋" w:cs="Times New Roman"/>
                <w:b/>
                <w:color w:val="auto"/>
                <w:szCs w:val="21"/>
                <w:highlight w:val="none"/>
              </w:rPr>
              <w:t>服务交付期</w:t>
            </w:r>
          </w:p>
        </w:tc>
      </w:tr>
      <w:tr w14:paraId="47AC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325" w:type="dxa"/>
            <w:noWrap/>
            <w:vAlign w:val="top"/>
          </w:tcPr>
          <w:p w14:paraId="12533163">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rightChars="0" w:firstLine="420" w:firstLineChars="200"/>
              <w:rPr>
                <w:rFonts w:hint="default" w:ascii="宋体" w:hAnsi="宋体"/>
                <w:color w:val="auto"/>
                <w:sz w:val="24"/>
                <w:highlight w:val="none"/>
              </w:rPr>
            </w:pPr>
            <w:r>
              <w:rPr>
                <w:rFonts w:hint="eastAsia" w:ascii="仿宋" w:hAnsi="仿宋" w:eastAsia="仿宋" w:cs="Times New Roman"/>
                <w:color w:val="auto"/>
                <w:szCs w:val="21"/>
                <w:highlight w:val="none"/>
              </w:rPr>
              <w:t>1</w:t>
            </w:r>
          </w:p>
        </w:tc>
        <w:tc>
          <w:tcPr>
            <w:tcW w:w="2436" w:type="dxa"/>
            <w:noWrap/>
            <w:vAlign w:val="center"/>
          </w:tcPr>
          <w:p w14:paraId="778A4297">
            <w:pPr>
              <w:keepNext w:val="0"/>
              <w:keepLines w:val="0"/>
              <w:suppressLineNumbers w:val="0"/>
              <w:shd w:val="clear"/>
              <w:spacing w:before="0" w:beforeAutospacing="0" w:after="0" w:afterAutospacing="0"/>
              <w:ind w:left="0" w:right="0"/>
              <w:jc w:val="center"/>
              <w:rPr>
                <w:rFonts w:hint="eastAsia" w:ascii="宋体" w:hAnsi="宋体" w:eastAsia="宋体"/>
                <w:color w:val="auto"/>
                <w:sz w:val="24"/>
                <w:highlight w:val="none"/>
                <w:lang w:eastAsia="zh-CN"/>
              </w:rPr>
            </w:pPr>
            <w:r>
              <w:rPr>
                <w:rFonts w:hint="eastAsia" w:ascii="仿宋" w:hAnsi="仿宋" w:eastAsia="仿宋" w:cs="Times New Roman"/>
                <w:color w:val="auto"/>
                <w:szCs w:val="21"/>
                <w:highlight w:val="none"/>
              </w:rPr>
              <w:t>2025年智慧城管中心服务项目</w:t>
            </w:r>
          </w:p>
        </w:tc>
        <w:tc>
          <w:tcPr>
            <w:tcW w:w="1500" w:type="dxa"/>
            <w:noWrap/>
            <w:vAlign w:val="center"/>
          </w:tcPr>
          <w:p w14:paraId="1FF973F7">
            <w:pPr>
              <w:keepNext w:val="0"/>
              <w:keepLines w:val="0"/>
              <w:suppressLineNumbers w:val="0"/>
              <w:shd w:val="clear"/>
              <w:spacing w:before="0" w:beforeAutospacing="0" w:after="0" w:afterAutospacing="0"/>
              <w:ind w:left="0" w:right="0"/>
              <w:jc w:val="center"/>
              <w:rPr>
                <w:rFonts w:hint="default" w:ascii="宋体" w:hAnsi="宋体"/>
                <w:color w:val="auto"/>
                <w:sz w:val="24"/>
                <w:highlight w:val="none"/>
              </w:rPr>
            </w:pPr>
            <w:r>
              <w:rPr>
                <w:rFonts w:hint="eastAsia" w:ascii="仿宋" w:hAnsi="仿宋" w:eastAsia="仿宋" w:cs="Times New Roman"/>
                <w:color w:val="auto"/>
                <w:szCs w:val="21"/>
                <w:highlight w:val="none"/>
              </w:rPr>
              <w:t>详见具体技术需求</w:t>
            </w:r>
          </w:p>
        </w:tc>
        <w:tc>
          <w:tcPr>
            <w:tcW w:w="795" w:type="dxa"/>
            <w:noWrap/>
            <w:vAlign w:val="center"/>
          </w:tcPr>
          <w:p w14:paraId="3DBFD188">
            <w:pPr>
              <w:keepNext w:val="0"/>
              <w:keepLines w:val="0"/>
              <w:suppressLineNumbers w:val="0"/>
              <w:shd w:val="clear"/>
              <w:spacing w:before="0" w:beforeAutospacing="0" w:after="0" w:afterAutospacing="0"/>
              <w:ind w:left="0" w:right="0"/>
              <w:jc w:val="center"/>
              <w:rPr>
                <w:rFonts w:hint="default" w:ascii="宋体" w:hAnsi="宋体"/>
                <w:color w:val="auto"/>
                <w:sz w:val="24"/>
                <w:highlight w:val="none"/>
              </w:rPr>
            </w:pPr>
            <w:r>
              <w:rPr>
                <w:rFonts w:hint="eastAsia" w:ascii="仿宋" w:hAnsi="仿宋" w:eastAsia="仿宋" w:cs="Times New Roman"/>
                <w:color w:val="auto"/>
                <w:szCs w:val="21"/>
                <w:highlight w:val="none"/>
              </w:rPr>
              <w:t>1</w:t>
            </w:r>
          </w:p>
        </w:tc>
        <w:tc>
          <w:tcPr>
            <w:tcW w:w="840" w:type="dxa"/>
            <w:noWrap/>
            <w:vAlign w:val="center"/>
          </w:tcPr>
          <w:p w14:paraId="55771BA6">
            <w:pPr>
              <w:keepNext w:val="0"/>
              <w:keepLines w:val="0"/>
              <w:suppressLineNumbers w:val="0"/>
              <w:shd w:val="clear"/>
              <w:spacing w:before="0" w:beforeAutospacing="0" w:after="0" w:afterAutospacing="0"/>
              <w:ind w:left="0" w:right="0"/>
              <w:jc w:val="center"/>
              <w:rPr>
                <w:rFonts w:hint="default" w:ascii="宋体" w:hAnsi="宋体"/>
                <w:color w:val="auto"/>
                <w:sz w:val="24"/>
                <w:highlight w:val="none"/>
              </w:rPr>
            </w:pPr>
            <w:r>
              <w:rPr>
                <w:rFonts w:hint="eastAsia" w:ascii="仿宋" w:hAnsi="仿宋" w:eastAsia="仿宋" w:cs="Times New Roman"/>
                <w:color w:val="auto"/>
                <w:szCs w:val="21"/>
                <w:highlight w:val="none"/>
              </w:rPr>
              <w:t>批</w:t>
            </w:r>
          </w:p>
        </w:tc>
        <w:tc>
          <w:tcPr>
            <w:tcW w:w="1590" w:type="dxa"/>
            <w:noWrap/>
            <w:vAlign w:val="center"/>
          </w:tcPr>
          <w:p w14:paraId="49A57A3D">
            <w:pPr>
              <w:keepNext w:val="0"/>
              <w:keepLines w:val="0"/>
              <w:suppressLineNumbers w:val="0"/>
              <w:shd w:val="clear"/>
              <w:spacing w:before="0" w:beforeAutospacing="0" w:after="0" w:afterAutospacing="0"/>
              <w:ind w:left="0" w:right="0"/>
              <w:jc w:val="center"/>
              <w:rPr>
                <w:rFonts w:hint="default" w:ascii="宋体" w:hAnsi="宋体"/>
                <w:color w:val="auto"/>
                <w:sz w:val="24"/>
                <w:highlight w:val="none"/>
              </w:rPr>
            </w:pPr>
            <w:r>
              <w:rPr>
                <w:rFonts w:hint="default" w:ascii="仿宋" w:hAnsi="仿宋" w:eastAsia="仿宋" w:cs="Times New Roman"/>
                <w:color w:val="auto"/>
                <w:szCs w:val="21"/>
                <w:highlight w:val="none"/>
              </w:rPr>
              <w:t>6</w:t>
            </w:r>
            <w:r>
              <w:rPr>
                <w:rFonts w:hint="eastAsia" w:ascii="仿宋" w:hAnsi="仿宋" w:eastAsia="仿宋" w:cs="Times New Roman"/>
                <w:color w:val="auto"/>
                <w:szCs w:val="21"/>
                <w:highlight w:val="none"/>
              </w:rPr>
              <w:t>5</w:t>
            </w:r>
          </w:p>
        </w:tc>
        <w:tc>
          <w:tcPr>
            <w:tcW w:w="1250" w:type="dxa"/>
            <w:noWrap/>
            <w:vAlign w:val="center"/>
          </w:tcPr>
          <w:p w14:paraId="1B3F6177">
            <w:pPr>
              <w:keepNext w:val="0"/>
              <w:keepLines w:val="0"/>
              <w:suppressLineNumbers w:val="0"/>
              <w:shd w:val="clear"/>
              <w:spacing w:before="0" w:beforeAutospacing="0" w:after="0" w:afterAutospacing="0"/>
              <w:ind w:left="0" w:right="0"/>
              <w:jc w:val="center"/>
              <w:rPr>
                <w:rFonts w:hint="default" w:ascii="宋体" w:hAnsi="宋体"/>
                <w:color w:val="auto"/>
                <w:sz w:val="24"/>
                <w:highlight w:val="none"/>
              </w:rPr>
            </w:pPr>
            <w:r>
              <w:rPr>
                <w:rFonts w:hint="eastAsia" w:ascii="仿宋" w:hAnsi="仿宋" w:eastAsia="仿宋" w:cs="Times New Roman"/>
                <w:color w:val="auto"/>
                <w:szCs w:val="21"/>
                <w:highlight w:val="none"/>
                <w:lang w:val="en-US" w:eastAsia="zh-CN"/>
              </w:rPr>
              <w:t>60</w:t>
            </w:r>
            <w:r>
              <w:rPr>
                <w:rFonts w:hint="eastAsia" w:ascii="仿宋" w:hAnsi="仿宋" w:eastAsia="仿宋" w:cs="Times New Roman"/>
                <w:color w:val="auto"/>
                <w:szCs w:val="21"/>
                <w:highlight w:val="none"/>
              </w:rPr>
              <w:t>天内具备交付运行条件</w:t>
            </w:r>
          </w:p>
        </w:tc>
      </w:tr>
    </w:tbl>
    <w:p w14:paraId="62156649">
      <w:pPr>
        <w:numPr>
          <w:ilvl w:val="0"/>
          <w:numId w:val="28"/>
        </w:numPr>
        <w:shd w:val="clear"/>
        <w:tabs>
          <w:tab w:val="left" w:pos="8280"/>
        </w:tabs>
        <w:autoSpaceDE w:val="0"/>
        <w:autoSpaceDN w:val="0"/>
        <w:adjustRightInd w:val="0"/>
        <w:spacing w:line="360" w:lineRule="auto"/>
        <w:ind w:right="25"/>
        <w:rPr>
          <w:rFonts w:ascii="宋体" w:hAnsi="宋体"/>
          <w:b/>
          <w:color w:val="auto"/>
          <w:sz w:val="24"/>
          <w:highlight w:val="none"/>
        </w:rPr>
      </w:pPr>
      <w:r>
        <w:rPr>
          <w:rFonts w:hint="eastAsia" w:ascii="宋体" w:hAnsi="宋体"/>
          <w:b/>
          <w:color w:val="auto"/>
          <w:sz w:val="24"/>
          <w:highlight w:val="none"/>
        </w:rPr>
        <w:t>技术需求</w:t>
      </w:r>
    </w:p>
    <w:p w14:paraId="0AEA7857">
      <w:pPr>
        <w:keepNext/>
        <w:keepLines/>
        <w:numPr>
          <w:ilvl w:val="1"/>
          <w:numId w:val="0"/>
        </w:numPr>
        <w:shd w:val="clear"/>
        <w:tabs>
          <w:tab w:val="left" w:pos="0"/>
        </w:tabs>
        <w:snapToGrid w:val="0"/>
        <w:spacing w:line="360" w:lineRule="auto"/>
        <w:outlineLvl w:val="1"/>
        <w:rPr>
          <w:rFonts w:ascii="仿宋" w:hAnsi="仿宋" w:eastAsia="仿宋" w:cs="宋体"/>
          <w:bCs/>
          <w:color w:val="auto"/>
          <w:sz w:val="24"/>
          <w:szCs w:val="24"/>
          <w:highlight w:val="none"/>
        </w:rPr>
      </w:pPr>
      <w:r>
        <w:rPr>
          <w:rFonts w:hint="eastAsia" w:ascii="仿宋" w:hAnsi="仿宋" w:eastAsia="仿宋" w:cs="宋体"/>
          <w:bCs/>
          <w:color w:val="auto"/>
          <w:sz w:val="24"/>
          <w:szCs w:val="24"/>
          <w:highlight w:val="none"/>
        </w:rPr>
        <w:t>（一）项目概况</w:t>
      </w:r>
    </w:p>
    <w:p w14:paraId="30AEE81F">
      <w:pPr>
        <w:keepNext/>
        <w:keepLines/>
        <w:numPr>
          <w:ilvl w:val="2"/>
          <w:numId w:val="0"/>
        </w:numPr>
        <w:shd w:val="clear"/>
        <w:snapToGrid w:val="0"/>
        <w:spacing w:line="360" w:lineRule="auto"/>
        <w:outlineLvl w:val="2"/>
        <w:rPr>
          <w:rFonts w:ascii="仿宋" w:hAnsi="仿宋" w:eastAsia="仿宋" w:cs="宋体"/>
          <w:b/>
          <w:bCs/>
          <w:color w:val="auto"/>
          <w:sz w:val="24"/>
          <w:szCs w:val="24"/>
          <w:highlight w:val="none"/>
        </w:rPr>
      </w:pPr>
      <w:bookmarkStart w:id="1" w:name="_Toc51757558"/>
      <w:r>
        <w:rPr>
          <w:rFonts w:hint="eastAsia" w:ascii="仿宋" w:hAnsi="仿宋" w:eastAsia="仿宋" w:cs="宋体"/>
          <w:b/>
          <w:bCs/>
          <w:color w:val="auto"/>
          <w:sz w:val="24"/>
          <w:szCs w:val="24"/>
          <w:highlight w:val="none"/>
        </w:rPr>
        <w:t>1、项目背景介绍</w:t>
      </w:r>
      <w:bookmarkEnd w:id="1"/>
    </w:p>
    <w:p w14:paraId="017B1EE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台州湾新区随着经济、交通、市场运行等社会功能高速发展，社会各界对台州湾新区的环境和城市形象的关注度越来越高，传统的、被动式的城市管理模式已经难以满足信息化社会的需求，城市管理工作压力越来越大，在管理手段和管理方式上存在较大的不足，很大程度上制约了城市管理工作的高效运转。</w:t>
      </w:r>
    </w:p>
    <w:p w14:paraId="1A6CD8E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台州湾新区城市行政执法支队要运用互联网技术、人工智能、大数据等手段开展工作，要打造共建共治共享的社会治理格局,提高社会治理社会化、法治化、智能化、专业化水平。整合信息平台，积极推进城市管理数字化、精细化、智慧化，加快城市管理向智慧化升级。智慧城管是新一代人工智能技术支撑、知识社会创新环境下的城市管理新模式，通过新一代人工智能技术实现全面透彻感知、宽带泛在互联、智能融合应用。智慧城管建设是引领和支撑城市管理工作未来发展的重要战略选择，是智慧城市建设的重要组成部分，是创新和完善新型城市管理体系的重要工作内容。</w:t>
      </w:r>
    </w:p>
    <w:p w14:paraId="53D5A88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城市管理部门越来越重视可视化监管对自身业务的支撑和管理模式的改变，逐步形成了视频系统相关的建设需求，并依托视频可视化应用实现对数字化城管信息系统升级改造，全面扩展系统功能，向城市管理“全移动、全感知、全景化”等方向发展，实现城市管理问题发现快捷化、案件处置扁平化、评价考核标准化。</w:t>
      </w:r>
    </w:p>
    <w:p w14:paraId="51E19234">
      <w:pPr>
        <w:keepNext/>
        <w:keepLines/>
        <w:numPr>
          <w:ilvl w:val="2"/>
          <w:numId w:val="0"/>
        </w:numPr>
        <w:shd w:val="clear"/>
        <w:snapToGrid w:val="0"/>
        <w:spacing w:line="360" w:lineRule="auto"/>
        <w:outlineLvl w:val="2"/>
        <w:rPr>
          <w:rFonts w:ascii="仿宋" w:hAnsi="仿宋" w:eastAsia="仿宋" w:cs="宋体"/>
          <w:b/>
          <w:bCs/>
          <w:color w:val="auto"/>
          <w:sz w:val="24"/>
          <w:szCs w:val="24"/>
          <w:highlight w:val="none"/>
        </w:rPr>
      </w:pPr>
      <w:bookmarkStart w:id="2" w:name="_Toc51757559"/>
      <w:r>
        <w:rPr>
          <w:rFonts w:ascii="仿宋" w:hAnsi="仿宋" w:eastAsia="仿宋" w:cs="宋体"/>
          <w:b/>
          <w:bCs/>
          <w:color w:val="auto"/>
          <w:sz w:val="24"/>
          <w:szCs w:val="24"/>
          <w:highlight w:val="none"/>
        </w:rPr>
        <w:t>2</w:t>
      </w:r>
      <w:r>
        <w:rPr>
          <w:rFonts w:hint="eastAsia" w:ascii="仿宋" w:hAnsi="仿宋" w:eastAsia="仿宋" w:cs="宋体"/>
          <w:b/>
          <w:bCs/>
          <w:color w:val="auto"/>
          <w:sz w:val="24"/>
          <w:szCs w:val="24"/>
          <w:highlight w:val="none"/>
        </w:rPr>
        <w:t>、项目建设目标</w:t>
      </w:r>
      <w:bookmarkEnd w:id="2"/>
    </w:p>
    <w:p w14:paraId="26B7EFE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智慧城管建设紧紧围绕智慧城管建设的目标要求，按照“以最小的投入，实现最大效益”的思路，构建智慧城管系统。综合运用计算机技术、信息技术和智能管控技术，通过资源整合、功能拓展，深化智慧城管建设，实现城市管理的范围全包容、空间全覆盖、时间全天候，形成监控实时化、处理及时化、管理精细化、考核标准化的运行模式，促进城市管理工作由被动向主动、静态向动态、粗放向精细、无序向规范转变，全面提高城市管理水平，确定以下建设目标：</w:t>
      </w:r>
    </w:p>
    <w:p w14:paraId="09E15AB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1.通过现代化信息手段，整合应用GIS（地理信息系统）、遥感、遥测、宽带网络、多媒体、智能管控及虚拟仿真等多项技术进行城市管理，实现城市管理空间细化和管理对象精确定位。</w:t>
      </w:r>
    </w:p>
    <w:p w14:paraId="651A8D0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2.通过创新管理体制，规范城市管理流程，增强对城区动态性、突发性事件处置力度，实现快捷、高效、全时段、全方位的城市管理。</w:t>
      </w:r>
    </w:p>
    <w:p w14:paraId="3AEC0BC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3.通过进一步明确各部门城市管理职能，建立完善的城市管理问题发现机制、指挥决策机制、执行反馈机制、综合评价机制，进而形成管理规范、运转高效的城市管理长效体制。</w:t>
      </w:r>
    </w:p>
    <w:p w14:paraId="1B47B8E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4.通过智能监控系统建设，充分整合利用现有资源，为社会治安、公共安全、社会服务、应急事件等提供视频信息及技术支持，提高城市管理水平，提升城区品位，构建和谐社会。</w:t>
      </w:r>
    </w:p>
    <w:p w14:paraId="6CA62638">
      <w:pPr>
        <w:pStyle w:val="45"/>
        <w:shd w:val="clear"/>
        <w:rPr>
          <w:color w:val="auto"/>
          <w:highlight w:val="none"/>
        </w:rPr>
      </w:pPr>
    </w:p>
    <w:p w14:paraId="568507DC">
      <w:pPr>
        <w:keepNext w:val="0"/>
        <w:keepLines w:val="0"/>
        <w:pageBreakBefore w:val="0"/>
        <w:widowControl w:val="0"/>
        <w:numPr>
          <w:ilvl w:val="0"/>
          <w:numId w:val="29"/>
        </w:numPr>
        <w:shd w:val="clear"/>
        <w:kinsoku/>
        <w:wordWrap/>
        <w:overflowPunct/>
        <w:topLinePunct w:val="0"/>
        <w:autoSpaceDE/>
        <w:autoSpaceDN/>
        <w:bidi w:val="0"/>
        <w:adjustRightInd/>
        <w:snapToGrid/>
        <w:spacing w:line="360" w:lineRule="auto"/>
        <w:ind w:left="0" w:leftChars="0" w:firstLine="0" w:firstLineChars="0"/>
        <w:jc w:val="both"/>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服务内容</w:t>
      </w:r>
    </w:p>
    <w:p w14:paraId="7108061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具体要求如下：</w:t>
      </w:r>
    </w:p>
    <w:p w14:paraId="707AC25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1、设备维护，智慧城管中心设备维护，街面摄像设备维护，移动执法终端设备维护，提供移动执法平台并维护、智联平台联动等；</w:t>
      </w:r>
    </w:p>
    <w:p w14:paraId="4D36E677">
      <w:pPr>
        <w:keepNext w:val="0"/>
        <w:keepLines w:val="0"/>
        <w:widowControl w:val="0"/>
        <w:shd w:val="clear"/>
        <w:snapToGrid/>
        <w:spacing w:after="120" w:line="360" w:lineRule="auto"/>
        <w:ind w:left="0" w:leftChars="0" w:firstLine="480" w:firstLineChars="200"/>
        <w:jc w:val="both"/>
        <w:rPr>
          <w:rFonts w:hint="eastAsia" w:ascii="宋体" w:hAnsi="宋体" w:eastAsia="宋体" w:cs="宋体"/>
          <w:b w:val="0"/>
          <w:bCs w:val="0"/>
          <w:color w:val="auto"/>
          <w:kern w:val="2"/>
          <w:sz w:val="24"/>
          <w:highlight w:val="none"/>
          <w:lang w:val="en-US" w:eastAsia="zh-CN" w:bidi="ar-SA"/>
        </w:rPr>
      </w:pPr>
      <w:r>
        <w:rPr>
          <w:rFonts w:hint="eastAsia" w:ascii="宋体" w:hAnsi="宋体" w:eastAsia="宋体" w:cs="宋体"/>
          <w:b w:val="0"/>
          <w:bCs w:val="0"/>
          <w:color w:val="auto"/>
          <w:kern w:val="2"/>
          <w:sz w:val="24"/>
          <w:highlight w:val="none"/>
          <w:lang w:val="en-US" w:eastAsia="zh-CN" w:bidi="ar-SA"/>
        </w:rPr>
        <w:t>2、对维保服务设备清单内的设备提供质保服务，包含但不限于设备返修费、运费、采购更换</w:t>
      </w:r>
      <w:r>
        <w:rPr>
          <w:rFonts w:hint="eastAsia" w:ascii="宋体" w:hAnsi="宋体" w:cs="宋体"/>
          <w:b w:val="0"/>
          <w:bCs w:val="0"/>
          <w:color w:val="auto"/>
          <w:kern w:val="2"/>
          <w:sz w:val="24"/>
          <w:highlight w:val="none"/>
          <w:lang w:val="en-US" w:eastAsia="zh-CN" w:bidi="ar-SA"/>
        </w:rPr>
        <w:t>（含所有零件、辅材、耗材）</w:t>
      </w:r>
      <w:r>
        <w:rPr>
          <w:rFonts w:hint="eastAsia" w:ascii="宋体" w:hAnsi="宋体" w:eastAsia="宋体" w:cs="宋体"/>
          <w:b w:val="0"/>
          <w:bCs w:val="0"/>
          <w:color w:val="auto"/>
          <w:kern w:val="2"/>
          <w:sz w:val="24"/>
          <w:highlight w:val="none"/>
          <w:lang w:val="en-US" w:eastAsia="zh-CN" w:bidi="ar-SA"/>
        </w:rPr>
        <w:t>等；</w:t>
      </w:r>
    </w:p>
    <w:p w14:paraId="1D50C74A">
      <w:pPr>
        <w:keepNext w:val="0"/>
        <w:keepLines w:val="0"/>
        <w:shd w:val="clear"/>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3、机房内每月不少于1次的巡检工作，前端点位</w:t>
      </w:r>
      <w:r>
        <w:rPr>
          <w:rFonts w:hint="eastAsia" w:ascii="宋体" w:hAnsi="宋体" w:eastAsia="宋体" w:cs="宋体"/>
          <w:color w:val="auto"/>
          <w:sz w:val="24"/>
          <w:szCs w:val="20"/>
          <w:highlight w:val="none"/>
          <w:lang w:val="en-US" w:eastAsia="zh-CN"/>
        </w:rPr>
        <w:t>每季度</w:t>
      </w:r>
      <w:r>
        <w:rPr>
          <w:rFonts w:hint="eastAsia" w:ascii="宋体" w:hAnsi="宋体" w:eastAsia="宋体" w:cs="宋体"/>
          <w:b w:val="0"/>
          <w:bCs w:val="0"/>
          <w:color w:val="auto"/>
          <w:sz w:val="24"/>
          <w:szCs w:val="20"/>
          <w:highlight w:val="none"/>
          <w:lang w:val="en-US" w:eastAsia="zh-CN"/>
        </w:rPr>
        <w:t>不少于</w:t>
      </w:r>
      <w:r>
        <w:rPr>
          <w:rFonts w:hint="eastAsia" w:ascii="宋体" w:hAnsi="宋体" w:eastAsia="宋体" w:cs="宋体"/>
          <w:color w:val="auto"/>
          <w:sz w:val="24"/>
          <w:szCs w:val="20"/>
          <w:highlight w:val="none"/>
          <w:lang w:val="en-US" w:eastAsia="zh-CN"/>
        </w:rPr>
        <w:t>1次巡检工作，并做好巡检内容和记录。</w:t>
      </w:r>
    </w:p>
    <w:p w14:paraId="235F9D86">
      <w:pPr>
        <w:keepNext w:val="0"/>
        <w:keepLines w:val="0"/>
        <w:shd w:val="clear"/>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4、</w:t>
      </w:r>
      <w:r>
        <w:rPr>
          <w:rFonts w:hint="eastAsia" w:ascii="宋体" w:hAnsi="宋体" w:cs="宋体"/>
          <w:color w:val="auto"/>
          <w:sz w:val="24"/>
          <w:szCs w:val="20"/>
          <w:highlight w:val="none"/>
          <w:lang w:val="en-US" w:eastAsia="zh-CN"/>
        </w:rPr>
        <w:t>要求提供一名驻场人员</w:t>
      </w:r>
      <w:r>
        <w:rPr>
          <w:rFonts w:hint="eastAsia" w:ascii="宋体" w:hAnsi="宋体" w:eastAsia="宋体" w:cs="宋体"/>
          <w:color w:val="auto"/>
          <w:sz w:val="24"/>
          <w:szCs w:val="20"/>
          <w:highlight w:val="none"/>
          <w:lang w:val="en-US" w:eastAsia="zh-CN"/>
        </w:rPr>
        <w:t>。</w:t>
      </w:r>
    </w:p>
    <w:p w14:paraId="7E679FAE">
      <w:pPr>
        <w:keepNext w:val="0"/>
        <w:keepLines w:val="0"/>
        <w:shd w:val="clear"/>
        <w:snapToGrid/>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0"/>
          <w:highlight w:val="none"/>
          <w:lang w:val="en-US" w:eastAsia="zh-CN"/>
        </w:rPr>
        <w:t>5、</w:t>
      </w:r>
      <w:r>
        <w:rPr>
          <w:rFonts w:hint="eastAsia" w:ascii="宋体" w:hAnsi="宋体" w:eastAsia="宋体" w:cs="宋体"/>
          <w:b w:val="0"/>
          <w:bCs w:val="0"/>
          <w:color w:val="auto"/>
          <w:sz w:val="24"/>
          <w:szCs w:val="24"/>
          <w:highlight w:val="none"/>
        </w:rPr>
        <w:t>前端视频监控服务：根据“智慧城管”建设要求及</w:t>
      </w:r>
      <w:r>
        <w:rPr>
          <w:rFonts w:hint="eastAsia" w:ascii="宋体" w:hAnsi="宋体" w:cs="宋体"/>
          <w:b w:val="0"/>
          <w:bCs w:val="0"/>
          <w:color w:val="auto"/>
          <w:sz w:val="24"/>
          <w:szCs w:val="24"/>
          <w:highlight w:val="none"/>
          <w:lang w:eastAsia="zh-CN"/>
        </w:rPr>
        <w:t>城市管理</w:t>
      </w:r>
      <w:r>
        <w:rPr>
          <w:rFonts w:hint="eastAsia" w:ascii="宋体" w:hAnsi="宋体" w:eastAsia="宋体" w:cs="宋体"/>
          <w:b w:val="0"/>
          <w:bCs w:val="0"/>
          <w:color w:val="auto"/>
          <w:sz w:val="24"/>
          <w:szCs w:val="24"/>
          <w:highlight w:val="none"/>
        </w:rPr>
        <w:t>业务发展需要，同时从资源整合、共享，投资成本最大化节约等角度考虑，本次新增加前端采集</w:t>
      </w:r>
      <w:r>
        <w:rPr>
          <w:rFonts w:hint="eastAsia" w:ascii="宋体" w:hAnsi="宋体" w:eastAsia="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rPr>
        <w:t>，以达到对城管局所管辖范围进行实时动态监控</w:t>
      </w:r>
      <w:r>
        <w:rPr>
          <w:rFonts w:hint="eastAsia" w:ascii="宋体" w:hAnsi="宋体" w:eastAsia="宋体" w:cs="宋体"/>
          <w:b w:val="0"/>
          <w:bCs w:val="0"/>
          <w:color w:val="auto"/>
          <w:sz w:val="24"/>
          <w:szCs w:val="24"/>
          <w:highlight w:val="none"/>
          <w:lang w:val="en-US" w:eastAsia="zh-CN"/>
        </w:rPr>
        <w:t>补盲</w:t>
      </w:r>
      <w:r>
        <w:rPr>
          <w:rFonts w:hint="eastAsia" w:ascii="宋体" w:hAnsi="宋体" w:eastAsia="宋体" w:cs="宋体"/>
          <w:b w:val="0"/>
          <w:bCs w:val="0"/>
          <w:color w:val="auto"/>
          <w:sz w:val="24"/>
          <w:szCs w:val="24"/>
          <w:highlight w:val="none"/>
        </w:rPr>
        <w:t>。并要求接入</w:t>
      </w:r>
      <w:r>
        <w:rPr>
          <w:rFonts w:hint="eastAsia" w:ascii="宋体" w:hAnsi="宋体" w:cs="宋体"/>
          <w:b w:val="0"/>
          <w:bCs w:val="0"/>
          <w:color w:val="auto"/>
          <w:sz w:val="24"/>
          <w:szCs w:val="24"/>
          <w:highlight w:val="none"/>
          <w:lang w:eastAsia="zh-CN"/>
        </w:rPr>
        <w:t>台州市大数据局公共分析平台、</w:t>
      </w:r>
      <w:r>
        <w:rPr>
          <w:rFonts w:hint="eastAsia" w:ascii="宋体" w:hAnsi="宋体" w:eastAsia="宋体" w:cs="宋体"/>
          <w:b w:val="0"/>
          <w:bCs w:val="0"/>
          <w:color w:val="auto"/>
          <w:sz w:val="24"/>
          <w:szCs w:val="24"/>
          <w:highlight w:val="none"/>
        </w:rPr>
        <w:t>台州市</w:t>
      </w:r>
      <w:r>
        <w:rPr>
          <w:rFonts w:hint="eastAsia" w:ascii="宋体" w:hAnsi="宋体" w:cs="宋体"/>
          <w:b w:val="0"/>
          <w:bCs w:val="0"/>
          <w:color w:val="auto"/>
          <w:sz w:val="24"/>
          <w:szCs w:val="24"/>
          <w:highlight w:val="none"/>
          <w:lang w:eastAsia="zh-CN"/>
        </w:rPr>
        <w:t>城市治理</w:t>
      </w:r>
      <w:r>
        <w:rPr>
          <w:rFonts w:hint="eastAsia" w:ascii="宋体" w:hAnsi="宋体" w:eastAsia="宋体" w:cs="宋体"/>
          <w:b w:val="0"/>
          <w:bCs w:val="0"/>
          <w:color w:val="auto"/>
          <w:sz w:val="24"/>
          <w:szCs w:val="24"/>
          <w:highlight w:val="none"/>
        </w:rPr>
        <w:t>平台</w:t>
      </w:r>
      <w:r>
        <w:rPr>
          <w:rFonts w:hint="eastAsia" w:ascii="宋体" w:hAnsi="宋体" w:cs="宋体"/>
          <w:b w:val="0"/>
          <w:bCs w:val="0"/>
          <w:color w:val="auto"/>
          <w:sz w:val="24"/>
          <w:szCs w:val="24"/>
          <w:highlight w:val="none"/>
          <w:lang w:eastAsia="zh-CN"/>
        </w:rPr>
        <w:t>、智联网平台等</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所提供服务设备必须满足服务参数要求。</w:t>
      </w:r>
    </w:p>
    <w:p w14:paraId="0C6C21CD">
      <w:pPr>
        <w:keepNext w:val="0"/>
        <w:keepLines w:val="0"/>
        <w:shd w:val="clear"/>
        <w:snapToGrid/>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6、网络安全保障服务：根据城市管理局</w:t>
      </w:r>
      <w:r>
        <w:rPr>
          <w:rFonts w:hint="eastAsia" w:ascii="宋体" w:hAnsi="宋体" w:eastAsia="宋体" w:cs="宋体"/>
          <w:b w:val="0"/>
          <w:bCs w:val="0"/>
          <w:color w:val="auto"/>
          <w:sz w:val="24"/>
          <w:szCs w:val="24"/>
          <w:highlight w:val="none"/>
        </w:rPr>
        <w:t>业务发展</w:t>
      </w:r>
      <w:r>
        <w:rPr>
          <w:rFonts w:hint="eastAsia" w:ascii="宋体" w:hAnsi="宋体" w:eastAsia="宋体" w:cs="宋体"/>
          <w:b w:val="0"/>
          <w:bCs w:val="0"/>
          <w:color w:val="auto"/>
          <w:sz w:val="24"/>
          <w:szCs w:val="24"/>
          <w:highlight w:val="none"/>
          <w:lang w:val="en-US" w:eastAsia="zh-CN"/>
        </w:rPr>
        <w:t>及信息安全保障</w:t>
      </w:r>
      <w:r>
        <w:rPr>
          <w:rFonts w:hint="eastAsia" w:ascii="宋体" w:hAnsi="宋体" w:eastAsia="宋体" w:cs="宋体"/>
          <w:b w:val="0"/>
          <w:bCs w:val="0"/>
          <w:color w:val="auto"/>
          <w:sz w:val="24"/>
          <w:szCs w:val="24"/>
          <w:highlight w:val="none"/>
        </w:rPr>
        <w:t>需要</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本次新增网络安全保障服务。</w:t>
      </w:r>
    </w:p>
    <w:p w14:paraId="794F1E73">
      <w:pPr>
        <w:keepNext w:val="0"/>
        <w:keepLines w:val="0"/>
        <w:pageBreakBefore w:val="0"/>
        <w:widowControl w:val="0"/>
        <w:numPr>
          <w:ilvl w:val="0"/>
          <w:numId w:val="29"/>
        </w:numPr>
        <w:shd w:val="clear"/>
        <w:kinsoku/>
        <w:wordWrap/>
        <w:overflowPunct/>
        <w:topLinePunct w:val="0"/>
        <w:autoSpaceDE/>
        <w:autoSpaceDN/>
        <w:bidi w:val="0"/>
        <w:adjustRightInd/>
        <w:snapToGrid/>
        <w:spacing w:line="360" w:lineRule="auto"/>
        <w:ind w:left="0" w:leftChars="0" w:firstLine="0" w:firstLineChars="0"/>
        <w:jc w:val="both"/>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维保服务设备清单</w:t>
      </w:r>
    </w:p>
    <w:tbl>
      <w:tblPr>
        <w:tblStyle w:val="46"/>
        <w:tblW w:w="83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7"/>
        <w:gridCol w:w="2132"/>
        <w:gridCol w:w="1547"/>
        <w:gridCol w:w="2216"/>
        <w:gridCol w:w="454"/>
        <w:gridCol w:w="969"/>
      </w:tblGrid>
      <w:tr w14:paraId="07060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B01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878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66A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品牌</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757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型号</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3CD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ABC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14:paraId="4FF77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A523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一、前端设备服务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C83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346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A17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4A0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r>
      <w:tr w14:paraId="715EB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572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46C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智能球机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1C5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CF3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DS-2DE42SWIW-DGW</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BA2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F8F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r>
      <w:tr w14:paraId="2BE7D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414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B74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400万球机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051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FD8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iDS-GPZ24SWXS-IENCG</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DCC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1F0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14:paraId="368E3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932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F5F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前端智慧音柱</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159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E2B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DS-2FH2021B-0W</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0C0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9B4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14:paraId="42B15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B00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228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400万车辆筒型摄</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FA9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811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DS-2CD7A4SWED-XGW</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401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485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r>
      <w:tr w14:paraId="34BBF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6A7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4A6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像机交换机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C1F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TP-LINK、中国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E23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TL-SG1005D</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319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07D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r>
      <w:tr w14:paraId="71D4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84E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558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u w:val="none"/>
                <w:lang w:val="en-US" w:eastAsia="zh-CN" w:bidi="ar"/>
              </w:rPr>
              <w:t>单相IP智慧微断</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AE6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曼顿、中国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53A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1p20A</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CDE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61D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14:paraId="2F3C1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203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A0B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电源及防浪涌模组</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956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曼顿、中国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B4F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P25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363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4C8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14:paraId="6FB89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7B7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9A4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WIFI 通讯模组</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CD3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曼顿、中国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06E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T30S</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60B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ADF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14:paraId="6BCE3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9548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二、移动执法服务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B0C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052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76E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54D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r>
      <w:tr w14:paraId="3C133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1C1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0D3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u w:val="none"/>
                <w:lang w:val="en-US" w:eastAsia="zh-CN" w:bidi="ar"/>
              </w:rPr>
              <w:t>车载4G移动设备取证</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02F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933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DS-MI96SW-GACENGLE</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DC1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9CD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6A870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C22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BF9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配套支架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2CB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54E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CB3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E83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572E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F20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F74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4G 执法记录仪</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C8D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高新兴、中国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040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DSJ-GXXG5A1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D6A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9B9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r>
      <w:tr w14:paraId="67598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3F7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B91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采集站</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706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高新兴、中国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7E9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ZCS-GXXL1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87B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78E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4EC26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7BA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A26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执法仪管理平台</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A2C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海高思 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792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86E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8C0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66D3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7FE2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三、指挥中心设备服务</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982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EFF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146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9E0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r>
      <w:tr w14:paraId="5CADD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F678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u w:val="none"/>
                <w:lang w:val="en-US" w:eastAsia="zh-CN" w:bidi="ar"/>
              </w:rPr>
              <w:t>1、中心指挥大屏及配件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CB0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F0E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37B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BB4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r>
      <w:tr w14:paraId="26260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65E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543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LED屏</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203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B243F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DS-CK15FI/H</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B875E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269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16.384</w:t>
            </w:r>
          </w:p>
        </w:tc>
      </w:tr>
      <w:tr w14:paraId="72C41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585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64F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视频处理器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60F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17BBD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DS-D43V16</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82FE3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739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069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421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4CA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框架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5D0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FC23A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21D20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29B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16.384</w:t>
            </w:r>
          </w:p>
        </w:tc>
      </w:tr>
      <w:tr w14:paraId="5A897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DAD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6F2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配电柜</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C1C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6CAE8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50EFD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844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AD29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9C4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E58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会议室智慧屏终端</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DF0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鸿合、中国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B9F49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HD-16590E</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51897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E7BD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39BC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628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9B9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视联网会议套件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AB2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视联动力、中国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20F61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极光</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43A54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FF5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5314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0DD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E5E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视频会议摄像头电 动吊架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AA4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5D11A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59B11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96A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FAEB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C085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 指挥中心设备</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741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4D7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2E7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DF4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r>
      <w:tr w14:paraId="2011D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2A1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E5C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网络控制键盘</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5D1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82F7F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DS-1600K</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C8DCB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24A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702C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618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E86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工作站</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ED5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联想、中国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D365F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启天M428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F97C4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496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37B21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E92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BB0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可视化终端</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A76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78FC8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Matepadl1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D838C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D05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7CA1D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8E1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8FC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交换机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675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锐捷、中国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EB471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RG-S5750V2-28GT4XS-L</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341F3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C73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5673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435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CB4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硬盘</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171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9789F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HK728TAH</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9A0B2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024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r>
      <w:tr w14:paraId="605D8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D70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A50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CVR存储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0DE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3D5EB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DS-A80648S/8T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5D8AA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5B3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8C2E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DB9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6B0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400万全彩高清摄像机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FD3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F5B2A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DS-2CD234SWD-LSN</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A8B70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F96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1969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EEC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D4B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门禁系统</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D62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海康威视、中国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6FB96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DS-KIT67SWM</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D6DC1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813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DDF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AF3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B75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交换机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589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锐捷、中国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8589C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RG-S2900-8GT2SFP-P-L</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8906B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920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0D3D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E7E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3AF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机柜1</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E1F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图腾、中国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F9B59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G36842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4121F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7AD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A9BD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B79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8D0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机柜2</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724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图腾、中国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17189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A36822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F3BA3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3B1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FE0F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1663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 折叠雾化玻璃</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0A9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3C5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D13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06B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r>
      <w:tr w14:paraId="50C32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24A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BD0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投影机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8A9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松下、中国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E81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SGZ400C</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380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D4B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7FA17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D8D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47F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吊架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D33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048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3F7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CB0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6F9DE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456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7EB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融合软件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E7B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4CE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686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521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8ECF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CB6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E99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融合主机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E62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C6B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国产定制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751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42F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D827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652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828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691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宏恩、中国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D3B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宏恩定制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A20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947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24BE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82F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664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折叠雾化玻璃（维保电机、线路等）</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D8C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宏恩、中国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A68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宏恩定制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D6D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336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406B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F03C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4、无纸化会议</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091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9D1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F33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9DA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r>
      <w:tr w14:paraId="1CF15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192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368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无纸化主机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F66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0A0EB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TS-8300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0F55B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AB8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r>
      <w:tr w14:paraId="31E1F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89F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9CD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智能无纸化会议管 理服务器软件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B21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36574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TS-8300RI软件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2F921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06E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B3BB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D59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655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无纸化流媒体主机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9F8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5DFB1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TS-8308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FF2E4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6BA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551B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B2B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663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无纸化流媒体服务 器嵌入软件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B66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D6933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TS-8308R1软件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19957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4B3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2725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D19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5D4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无纸化会议终端</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3EC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64948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TS-8304</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32909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DAD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14:paraId="7EFC9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AA3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A7E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无纸化会议终端软 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DCD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374C0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TS-8304RI软件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A2662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519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14:paraId="1B2A1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807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A9C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一体式升降器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C20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3DE84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TS-F156MT</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D2346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E93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14:paraId="282C2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E9B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ED0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插座</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BC0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83D24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TS-6C</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23069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156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32B8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3F6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686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连接线</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8CD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9806D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TS-20D</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B9342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941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4D18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381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41F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会议系统主机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874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6CDE6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TS-W100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55E4B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F4C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94F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5C0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FF4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会议话筒</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08B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82462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TS-W103DA</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75144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C76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5AAEC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EBE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60E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发射器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108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ED1D9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TS-W111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448CA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8D5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6814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9EE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822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充电箱</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730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B9865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TS-W180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55FF6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14F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0F579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81B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9DD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无线话筒</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63E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6533A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T-521UH</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69096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737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6F0E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728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CE9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无纸化升降器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FD2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1AA37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TS-8201A</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F435B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7E7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0807D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131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5B5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会议系统主机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961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135CA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TS-W100MS</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A8A8C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2D0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C61C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1AC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160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话筒</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B96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3AE13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TS-338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E812D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4FB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C93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D55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3C6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交换机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B57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锐捷、中国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79519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RG-S2910-24GT4XS-L</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B1265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260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C1EA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1F4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3FA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电子名牌</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54E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C7A3D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TS-8209A</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E6BFB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F4B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r>
      <w:tr w14:paraId="7E071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981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5、分布式综合管理系统</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21F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096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A56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436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r>
      <w:tr w14:paraId="5539D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B3D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B2E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分布式综合管理平 台</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667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42E59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TV-713A</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B4DD8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797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5344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11D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72F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分布式综合管理平 台嵌入软件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982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01622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TV-713AR软件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9CC5A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2FE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39AB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5AD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94A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交互式可编程中控 控制软件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43C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71E58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TV-713ANR软件</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567F1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543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D9FD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4979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color w:val="auto"/>
                <w:sz w:val="20"/>
                <w:szCs w:val="20"/>
                <w:highlight w:val="none"/>
                <w:u w:val="none"/>
                <w:lang w:val="en-US" w:eastAsia="zh-CN" w:bidi="ar"/>
              </w:rPr>
              <w:t>6、 分布式中控系统</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332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DBF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D7D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FDF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r>
      <w:tr w14:paraId="4D2D8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77F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587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拼接中控</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4DA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60CED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TV-715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0B0B2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1B9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10BF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9FE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350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无线路由器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6E1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华为、中国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7F4B2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AX2 Pro</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AC0C9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A1B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6856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121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A89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控制器 </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1BB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4A52E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TS-9101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2CB02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A8D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18C2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DD25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7、分布式音视频交互传输</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55F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500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6E1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2D0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r>
      <w:tr w14:paraId="48305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846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217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分布式采集盒</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1CE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842C9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TV-711HK</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DD92E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375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r>
      <w:tr w14:paraId="0ACFC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FC6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218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分布式输出盒</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AE9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2CEE2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TV-712AK</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E3C22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EA1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2B431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959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D21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分布式4K输出盒</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8E2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E9EC0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TV-712A4K</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CE762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E9F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838B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09E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DF1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交换机</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FA4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锐捷、中国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6052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RG-S2910-24GT4XS-P-L</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A666D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A37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D2CF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020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655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调音台</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6BA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CB8FD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TS-14PFX-4</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939C9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5B1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26A8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106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6C3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抑制器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A09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D74DA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TS-224H</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AE60F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C57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A3CE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83D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D84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音频处理器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1D6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E88E0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TS-P440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A73EE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D18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258F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61D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E46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专业功放</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20A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7E2A5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TS-350PI</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12821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826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71655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2F7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734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专业音箱</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709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0F72C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TS-608A</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E477A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A7A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260B8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E63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C28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吸顶扬声器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9DA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BBB12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TS-208R</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3907C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314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78460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04D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D4F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电源管理器</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674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05705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TS-820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4B048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761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4F7CF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D06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A57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支架</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D1E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8AF89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TS-02A</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D8AC4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6E9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08AB8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5E7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E1F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音频连接线</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DE5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ITC、中国</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F3D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配套</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C85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i w:val="0"/>
                <w:iCs w:val="0"/>
                <w:color w:val="auto"/>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383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bl>
    <w:p w14:paraId="37458289">
      <w:pPr>
        <w:pStyle w:val="23"/>
        <w:shd w:val="clear"/>
        <w:spacing w:line="360" w:lineRule="auto"/>
        <w:ind w:firstLine="0" w:firstLineChars="0"/>
        <w:rPr>
          <w:rFonts w:ascii="仿宋" w:hAnsi="仿宋" w:eastAsia="仿宋"/>
          <w:color w:val="auto"/>
          <w:sz w:val="24"/>
          <w:szCs w:val="24"/>
          <w:highlight w:val="none"/>
        </w:rPr>
      </w:pPr>
      <w:r>
        <w:rPr>
          <w:rFonts w:hint="eastAsia" w:ascii="仿宋" w:hAnsi="仿宋" w:eastAsia="仿宋"/>
          <w:b/>
          <w:color w:val="auto"/>
          <w:sz w:val="24"/>
          <w:szCs w:val="24"/>
          <w:highlight w:val="none"/>
        </w:rPr>
        <w:t>（1）前端视频监控</w:t>
      </w:r>
      <w:r>
        <w:rPr>
          <w:rFonts w:hint="eastAsia" w:ascii="仿宋" w:hAnsi="仿宋" w:eastAsia="仿宋"/>
          <w:b/>
          <w:color w:val="auto"/>
          <w:sz w:val="24"/>
          <w:szCs w:val="24"/>
          <w:highlight w:val="none"/>
          <w:lang w:val="en-US" w:eastAsia="zh-CN"/>
        </w:rPr>
        <w:t>维保</w:t>
      </w:r>
      <w:r>
        <w:rPr>
          <w:rFonts w:hint="eastAsia" w:ascii="仿宋" w:hAnsi="仿宋" w:eastAsia="仿宋"/>
          <w:b/>
          <w:color w:val="auto"/>
          <w:sz w:val="24"/>
          <w:szCs w:val="24"/>
          <w:highlight w:val="none"/>
        </w:rPr>
        <w:t>服务：</w:t>
      </w:r>
      <w:r>
        <w:rPr>
          <w:rFonts w:ascii="仿宋" w:hAnsi="仿宋" w:eastAsia="仿宋"/>
          <w:color w:val="auto"/>
          <w:sz w:val="24"/>
          <w:szCs w:val="24"/>
          <w:highlight w:val="none"/>
        </w:rPr>
        <w:t>具体</w:t>
      </w:r>
      <w:r>
        <w:rPr>
          <w:rFonts w:hint="eastAsia" w:ascii="仿宋" w:hAnsi="仿宋" w:eastAsia="仿宋"/>
          <w:color w:val="auto"/>
          <w:sz w:val="24"/>
          <w:szCs w:val="24"/>
          <w:highlight w:val="none"/>
        </w:rPr>
        <w:t>清单</w:t>
      </w:r>
      <w:r>
        <w:rPr>
          <w:rFonts w:ascii="仿宋" w:hAnsi="仿宋" w:eastAsia="仿宋"/>
          <w:color w:val="auto"/>
          <w:sz w:val="24"/>
          <w:szCs w:val="24"/>
          <w:highlight w:val="none"/>
        </w:rPr>
        <w:t>点位</w:t>
      </w:r>
      <w:r>
        <w:rPr>
          <w:rFonts w:hint="eastAsia" w:ascii="仿宋" w:hAnsi="仿宋" w:eastAsia="仿宋"/>
          <w:color w:val="auto"/>
          <w:sz w:val="24"/>
          <w:szCs w:val="24"/>
          <w:highlight w:val="none"/>
        </w:rPr>
        <w:t>如下：</w:t>
      </w:r>
    </w:p>
    <w:tbl>
      <w:tblPr>
        <w:tblStyle w:val="46"/>
        <w:tblW w:w="8720"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5"/>
        <w:gridCol w:w="1303"/>
        <w:gridCol w:w="5770"/>
        <w:gridCol w:w="436"/>
        <w:gridCol w:w="436"/>
      </w:tblGrid>
      <w:tr w14:paraId="63928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7F2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F54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所属区域</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D22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点位</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5AB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球机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2A1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枪机</w:t>
            </w:r>
          </w:p>
        </w:tc>
      </w:tr>
      <w:tr w14:paraId="56F71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9F1D">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CD4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6E3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梦都路与梦和路交叉口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81C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35C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4A3D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F375">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1E7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7D3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东海大道与东环大道交叉口（欧尚）新增</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9D8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2E6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2DFA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880B">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688A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724B">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梦都路与东海大道交叉口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74D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F73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CDDD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F802">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C85C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133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126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6C1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EE2B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41BA">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287D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935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BD7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0E8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8581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8AA5">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1184A">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CC88">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517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2E1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1F1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BABE">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86E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447A">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梦都路与怡园路交叉口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60B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195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A5F3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46B9">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693D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01E8">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梦都路与体育场路交叉口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A27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65C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455A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42D0">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1B7B7">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F3C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284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5FB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3D40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3BCB">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0C5A">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375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经通路（梦和路口美团外卖）改（协和天童幼儿园门口）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B96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ED6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F55B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5A69">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11</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9A0E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017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经通路-东海大道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675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921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6550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2400">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12</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9E39E">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2D9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87A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3D4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2101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2059">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13</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B1D5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B43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经中路（车辆检测站）靠近（海源路）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B64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01D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2D43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F98D">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14</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B9E1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6487">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560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ECE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8466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9495">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15</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3A39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1AF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开发大道移动公司附近</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D64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2F7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98C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B8F8">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16</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9CD9E">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ABA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4B3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B92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6578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677F">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17</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017B9">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FC08">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经中路与东海大道交叉口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8E2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E5C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E6A4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DF04">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18</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2E06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D22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123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356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705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1A3D">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4F22">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3B6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经中路明远大厦转角</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4A5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2BA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D541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02CC">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20</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1982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52D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经中路阿明海鲜转角</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32D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2EF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92B3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A951">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21</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C57BA">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0C3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1C5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E22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9A7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1A6A">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F28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FA4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经中路泰力堂药店转角</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772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6B4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AE26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CACD">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5248">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176A">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经中路心心快餐</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0F1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DF5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EFB6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8B5A">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FD5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5054">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机场路后徐菜场转角</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499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E61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74C6F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C389">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F82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121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东海大道后徐菜场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F3C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9CE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3E0A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0347">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32F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8A3E">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永明路路口南</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8CB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88D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E726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1151">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6B4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C2DB">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永明路路口北</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052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4EB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9278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76D7">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BE8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136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机场路沙北菜场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D88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79A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DA22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95CB">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1FD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1847">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东海大道垃圾中转站断头路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C0F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6A8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A94F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137B">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1B79">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C77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天璟小区东门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303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D31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23E2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8ABE">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FC9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EDF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体育场路景和名苑门口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56C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BE1C">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A18C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F875">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3542">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E83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富民路（吴叶菜场）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510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5B8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CC89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A4A5">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D168">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5034">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富民路与东海大道交叉口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7D4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CF6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1152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78F4">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43E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F30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太和路与体育场路交叉口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683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659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3337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2D07">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688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0017">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半坦村门面房</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1D0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33E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4D85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AB2B">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E4F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47D7">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体育场路与新坦路交叉口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315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03F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1E8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01A4">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6624">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nil"/>
              <w:left w:val="nil"/>
              <w:bottom w:val="nil"/>
              <w:right w:val="nil"/>
            </w:tcBorders>
            <w:shd w:val="clear" w:color="auto" w:fill="auto"/>
            <w:noWrap/>
            <w:vAlign w:val="center"/>
          </w:tcPr>
          <w:p w14:paraId="4108941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体育场路与高新路交叉口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CF5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D3B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E747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7859">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909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EE8E">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疏港大道与荣和路交叉口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056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E30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2870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B097">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E6EE">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17E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开发大道与疏港大道交叉口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0D6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473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9487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BBA6">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5048">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95D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开发大道与新坦路交叉口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0E3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57B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9C50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94B5">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41</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1A0F9">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3038">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开发大道（省道至农场路段）交叉口-1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D49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981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0898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E594">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42</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6D37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30B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开发大道（省道至农场路段）交叉口-2</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11B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AD3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608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0F21">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43</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3754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223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开发大道与创业路交叉口-2</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9DF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754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29D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917B">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44</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0751A">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B60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开发大道与创业路交叉口-1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271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E76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BD29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9D7A">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45</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6E7D9">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AAB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开发大道与创业路交叉口-3</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D4A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7E8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967D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7681">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8AB9">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269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台州湾大道与聚海大道交叉口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D91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010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1ACB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nil"/>
            </w:tcBorders>
            <w:shd w:val="clear" w:color="auto" w:fill="auto"/>
            <w:vAlign w:val="center"/>
          </w:tcPr>
          <w:p w14:paraId="54E17E35">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FF17">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0002">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海虹大道与东海大道往北300米</w:t>
            </w:r>
          </w:p>
        </w:tc>
        <w:tc>
          <w:tcPr>
            <w:tcW w:w="436" w:type="dxa"/>
            <w:tcBorders>
              <w:top w:val="single" w:color="000000" w:sz="4" w:space="0"/>
              <w:left w:val="nil"/>
              <w:bottom w:val="single" w:color="000000" w:sz="4" w:space="0"/>
              <w:right w:val="single" w:color="000000" w:sz="4" w:space="0"/>
            </w:tcBorders>
            <w:shd w:val="clear" w:color="auto" w:fill="auto"/>
            <w:vAlign w:val="center"/>
          </w:tcPr>
          <w:p w14:paraId="7A49EBA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709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C19F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nil"/>
            </w:tcBorders>
            <w:shd w:val="clear" w:color="auto" w:fill="auto"/>
            <w:vAlign w:val="center"/>
          </w:tcPr>
          <w:p w14:paraId="774D13EF">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8227">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7C7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海海虹大道与东海大道往南350米</w:t>
            </w:r>
          </w:p>
        </w:tc>
        <w:tc>
          <w:tcPr>
            <w:tcW w:w="436" w:type="dxa"/>
            <w:tcBorders>
              <w:top w:val="single" w:color="000000" w:sz="4" w:space="0"/>
              <w:left w:val="nil"/>
              <w:bottom w:val="single" w:color="000000" w:sz="4" w:space="0"/>
              <w:right w:val="single" w:color="000000" w:sz="4" w:space="0"/>
            </w:tcBorders>
            <w:shd w:val="clear" w:color="auto" w:fill="auto"/>
            <w:vAlign w:val="center"/>
          </w:tcPr>
          <w:p w14:paraId="2E520B0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A14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4A9C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AEED">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BD4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FC57">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开发大道农场路（水晶光电）</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72F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BE7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2753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C470">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A59B">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5A1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海昌路与蓬北大道交叉口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1B9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7A6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5CFA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FE5D">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51</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F3772">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B011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海城路文信机电公司门口（两个点位，一个借杆，一个借墙）</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2F2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5E7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D421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9CB6">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52</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70CAE">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47B4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4C5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1E7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D535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B483">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4B8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E21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松农路（海洋超市）</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751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A7A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411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1834">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54</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30D3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99B2">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吉华盛超市门口</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A4F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F2F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04F1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2226">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55</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F62A7">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B2AA">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852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848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BD97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846E">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6E84">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340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海城路与启航路交叉口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D17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DB4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E36E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E8D8">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B9D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DAC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鼎诚商业街-1中间出入口(广电)</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060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A30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7490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CF81">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51F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160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鼎诚商业街-2中间出入口(广电)</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910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C123">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C9DE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4D86">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1929">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7C0A">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鼎诚商业街路口（滨富路九塘南路）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296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185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1928A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B4C5">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16C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07B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海丰路与滨九路交叉口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90A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429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548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8532">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390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2378">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海昌路与洪三路交叉口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614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99E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F14A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AF1B">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C732">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725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海昌路与海城路交叉口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9BCE">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752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33E5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32B6">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5A2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89F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七塘小区（海城路与海昌路)</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435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4C6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2D32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FF00">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1614">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B4E2">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海虹大道海虹桥东北角</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E3C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920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09E6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19C8">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336B">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291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洪三路与农场路交叉口(原广电，现已变更位置)</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A2F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E33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BCF5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9DB1">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843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CFB2">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洪三路与农场小区入口处交叉口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F80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AC3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59A7E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9108">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B92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504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洪三路与繁荣街交叉口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A93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F1B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4D05A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4CDD">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FE48">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EF1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繁荣街三甲宾馆门口(广电)</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6871">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BB0E">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6E9EB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22CA">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0CC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4DF7">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洪三路与河中路交叉口(广电)</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17C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DAE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1AE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F184">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1E9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77E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洪三路与三甲菜场交叉口(广电)</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3B7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813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5E3B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688E">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ABA2">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147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洪三路与东升街交叉口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3ED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6EC8">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23835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5862">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72</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0A10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一中队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AF7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月湖雅苑西北拐角处-1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235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5AF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4588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BFDA">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73</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EF1F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ACA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月湖雅苑西北拐角处-2</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A1F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EA1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C91A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594B">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74</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631D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一中队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DA9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聚英路与鲍浦大道交叉口-1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603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58C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8F10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2AA2">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75</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887F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3B1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聚英路与鲍浦大道交叉口-2</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792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1F6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33D5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22CE">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76</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2CF18">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一中队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5948">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人才公寓</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9D5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55E7">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B7F4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18E3">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77</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4442B">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3A2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B976">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1F4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5AB9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7382">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78</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FD30E">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一中队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B724">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聚海大道与开发大道交叉口（一个箱子两个摄像头）</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D97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E2C4">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E143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913A">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79</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C40BE">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B00B">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AD4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620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A7B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3910">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80</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C9F32">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一中队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0429">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聚海大道与东方大道交叉口-1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EE1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FD2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13D4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BEC0">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81</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C9EB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A77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聚海大道与东方大道交叉口-2</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1DC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DB3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53D7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AC73">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82</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05B6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一中队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898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聚海大道与青龙浦路交叉口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2FD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3048">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81CA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40E8">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83</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0C674">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BE8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32D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0456">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DA1E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C4AE">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4ED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一中队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7FC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湿地公园</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609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567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r>
      <w:tr w14:paraId="095EE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99F9">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85</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684D8">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一中队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F2C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蓬北大道与启航路交叉口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E232">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94D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877B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53C2">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86</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479B7">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49AD">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11D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593C">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E2BA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F06D">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87</w:t>
            </w:r>
          </w:p>
        </w:tc>
        <w:tc>
          <w:tcPr>
            <w:tcW w:w="1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BFDE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一中队</w:t>
            </w:r>
          </w:p>
        </w:tc>
        <w:tc>
          <w:tcPr>
            <w:tcW w:w="5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32D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甲南大道与启航路交叉口</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920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1E7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4FE6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1F1D">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88</w:t>
            </w:r>
          </w:p>
        </w:tc>
        <w:tc>
          <w:tcPr>
            <w:tcW w:w="1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A399E">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5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642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E6E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513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D7D5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7E05">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89</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351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FB2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农场路段右1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D5E4">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1B82">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FF84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6782">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C17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F748">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农场路段右2</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3CFD">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AED3">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40CC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BDC5">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91</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3136">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99B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农场路段右3</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4CD1">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B0A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CFB7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23AA">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62CE">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E4B1">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农场路段右4</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0AD7">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B0B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91F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9D64">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93</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BE9A">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0558">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农场路段右5</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02B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C27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490B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D0E9">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94</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1CA4">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A354">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农场路段右6</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F079">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3FF0">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E8DB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1016">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95</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280C">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CD03">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农场路段左7</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DAA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72B5">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EE35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5625">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96</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A185">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A850">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农场路段左8</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DBC5">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F82B">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12FC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F35D">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97</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FF0E">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9A59">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农场路段左9</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E2FA">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D0D9">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0D3C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CBEA">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FB29">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5407">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农场路段左10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8C80">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DF4A">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7D00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D52D">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99</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6B9F">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13C4">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农场路段右11</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885B">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73BD">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50CA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79A8">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C534">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二中队</w:t>
            </w:r>
          </w:p>
        </w:tc>
        <w:tc>
          <w:tcPr>
            <w:tcW w:w="5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2658">
            <w:pPr>
              <w:keepNext w:val="0"/>
              <w:keepLines w:val="0"/>
              <w:widowControl/>
              <w:suppressLineNumbers w:val="0"/>
              <w:shd w:val="clear"/>
              <w:spacing w:before="0" w:beforeAutospacing="0" w:after="0" w:afterAutospacing="0" w:line="360" w:lineRule="auto"/>
              <w:ind w:left="0" w:right="0"/>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农场路段左12</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75FF">
            <w:pPr>
              <w:keepNext w:val="0"/>
              <w:keepLines w:val="0"/>
              <w:suppressLineNumbers w:val="0"/>
              <w:shd w:val="clear"/>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EDDF">
            <w:pPr>
              <w:keepNext w:val="0"/>
              <w:keepLines w:val="0"/>
              <w:widowControl/>
              <w:suppressLineNumbers w:val="0"/>
              <w:shd w:val="clear"/>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bl>
    <w:p w14:paraId="7BD53A7E">
      <w:pPr>
        <w:pStyle w:val="23"/>
        <w:shd w:val="clear"/>
        <w:spacing w:line="360" w:lineRule="auto"/>
        <w:ind w:firstLine="0" w:firstLineChars="0"/>
        <w:rPr>
          <w:rFonts w:ascii="仿宋" w:hAnsi="仿宋" w:eastAsia="仿宋"/>
          <w:color w:val="auto"/>
          <w:sz w:val="24"/>
          <w:szCs w:val="24"/>
          <w:highlight w:val="none"/>
        </w:rPr>
      </w:pPr>
      <w:r>
        <w:rPr>
          <w:rFonts w:ascii="仿宋" w:hAnsi="仿宋" w:eastAsia="仿宋" w:cs="Times New Roman"/>
          <w:color w:val="auto"/>
          <w:sz w:val="24"/>
          <w:szCs w:val="24"/>
          <w:highlight w:val="none"/>
        </w:rPr>
        <w:br w:type="page"/>
      </w:r>
      <w:r>
        <w:rPr>
          <w:rFonts w:hint="eastAsia" w:ascii="仿宋" w:hAnsi="仿宋" w:eastAsia="仿宋"/>
          <w:b/>
          <w:color w:val="auto"/>
          <w:sz w:val="24"/>
          <w:szCs w:val="24"/>
          <w:highlight w:val="none"/>
        </w:rPr>
        <w:t>（</w:t>
      </w:r>
      <w:r>
        <w:rPr>
          <w:rFonts w:hint="eastAsia" w:ascii="仿宋" w:hAnsi="仿宋" w:eastAsia="仿宋"/>
          <w:b/>
          <w:color w:val="auto"/>
          <w:sz w:val="24"/>
          <w:szCs w:val="24"/>
          <w:highlight w:val="none"/>
          <w:lang w:val="en-US" w:eastAsia="zh-CN"/>
        </w:rPr>
        <w:t>2</w:t>
      </w:r>
      <w:r>
        <w:rPr>
          <w:rFonts w:hint="eastAsia" w:ascii="仿宋" w:hAnsi="仿宋" w:eastAsia="仿宋"/>
          <w:b/>
          <w:color w:val="auto"/>
          <w:sz w:val="24"/>
          <w:szCs w:val="24"/>
          <w:highlight w:val="none"/>
        </w:rPr>
        <w:t>）</w:t>
      </w:r>
      <w:r>
        <w:rPr>
          <w:rFonts w:hint="eastAsia" w:ascii="仿宋" w:hAnsi="仿宋" w:eastAsia="仿宋"/>
          <w:b/>
          <w:color w:val="auto"/>
          <w:sz w:val="24"/>
          <w:szCs w:val="24"/>
          <w:highlight w:val="none"/>
          <w:lang w:val="en-US" w:eastAsia="zh-CN"/>
        </w:rPr>
        <w:t>新增</w:t>
      </w:r>
      <w:bookmarkStart w:id="3" w:name="OLE_LINK1"/>
      <w:r>
        <w:rPr>
          <w:rFonts w:hint="eastAsia" w:ascii="仿宋" w:hAnsi="仿宋" w:eastAsia="仿宋"/>
          <w:b/>
          <w:color w:val="auto"/>
          <w:sz w:val="24"/>
          <w:szCs w:val="24"/>
          <w:highlight w:val="none"/>
        </w:rPr>
        <w:t>前端视频监控</w:t>
      </w:r>
      <w:bookmarkEnd w:id="3"/>
      <w:r>
        <w:rPr>
          <w:rFonts w:hint="eastAsia" w:ascii="仿宋" w:hAnsi="仿宋" w:eastAsia="仿宋"/>
          <w:b/>
          <w:color w:val="auto"/>
          <w:sz w:val="24"/>
          <w:szCs w:val="24"/>
          <w:highlight w:val="none"/>
        </w:rPr>
        <w:t>服务：</w:t>
      </w:r>
      <w:r>
        <w:rPr>
          <w:rFonts w:hint="eastAsia" w:ascii="仿宋" w:hAnsi="仿宋" w:eastAsia="仿宋"/>
          <w:color w:val="auto"/>
          <w:sz w:val="24"/>
          <w:szCs w:val="24"/>
          <w:highlight w:val="none"/>
        </w:rPr>
        <w:t>根据“智慧城管”建设要求及</w:t>
      </w:r>
      <w:r>
        <w:rPr>
          <w:rFonts w:hint="eastAsia" w:ascii="仿宋" w:hAnsi="仿宋" w:eastAsia="仿宋"/>
          <w:color w:val="auto"/>
          <w:sz w:val="24"/>
          <w:szCs w:val="24"/>
          <w:highlight w:val="none"/>
          <w:lang w:eastAsia="zh-CN"/>
        </w:rPr>
        <w:t>城市管理</w:t>
      </w:r>
      <w:r>
        <w:rPr>
          <w:rFonts w:hint="eastAsia" w:ascii="仿宋" w:hAnsi="仿宋" w:eastAsia="仿宋"/>
          <w:color w:val="auto"/>
          <w:sz w:val="24"/>
          <w:szCs w:val="24"/>
          <w:highlight w:val="none"/>
        </w:rPr>
        <w:t>业务发展需要，同时从资源整合、共享，投资成本最大化节约等角度考虑，同时整合原有视频监控资源及本次新增加前端采集设备，以达到对城管局所管辖范围进行实时动态监控。并</w:t>
      </w:r>
      <w:r>
        <w:rPr>
          <w:rFonts w:ascii="仿宋" w:hAnsi="仿宋" w:eastAsia="仿宋"/>
          <w:color w:val="auto"/>
          <w:sz w:val="24"/>
          <w:szCs w:val="24"/>
          <w:highlight w:val="none"/>
        </w:rPr>
        <w:t>要求无缝接入台州市</w:t>
      </w:r>
      <w:r>
        <w:rPr>
          <w:rFonts w:hint="eastAsia" w:ascii="仿宋" w:hAnsi="仿宋" w:eastAsia="仿宋"/>
          <w:color w:val="auto"/>
          <w:sz w:val="24"/>
          <w:szCs w:val="24"/>
          <w:highlight w:val="none"/>
        </w:rPr>
        <w:t>台州市智慧城管</w:t>
      </w:r>
      <w:r>
        <w:rPr>
          <w:rFonts w:hint="eastAsia" w:ascii="仿宋" w:hAnsi="仿宋" w:eastAsia="仿宋"/>
          <w:color w:val="auto"/>
          <w:sz w:val="24"/>
          <w:szCs w:val="24"/>
          <w:highlight w:val="none"/>
          <w:lang w:eastAsia="zh-CN"/>
        </w:rPr>
        <w:t>（智联网）</w:t>
      </w:r>
      <w:r>
        <w:rPr>
          <w:rFonts w:hint="eastAsia" w:ascii="仿宋" w:hAnsi="仿宋" w:eastAsia="仿宋"/>
          <w:color w:val="auto"/>
          <w:sz w:val="24"/>
          <w:szCs w:val="24"/>
          <w:highlight w:val="none"/>
        </w:rPr>
        <w:t>平台，</w:t>
      </w:r>
      <w:r>
        <w:rPr>
          <w:rFonts w:ascii="仿宋" w:hAnsi="仿宋" w:eastAsia="仿宋"/>
          <w:color w:val="auto"/>
          <w:sz w:val="24"/>
          <w:szCs w:val="24"/>
          <w:highlight w:val="none"/>
        </w:rPr>
        <w:t>具体</w:t>
      </w:r>
      <w:r>
        <w:rPr>
          <w:rFonts w:hint="eastAsia" w:ascii="仿宋" w:hAnsi="仿宋" w:eastAsia="仿宋"/>
          <w:color w:val="auto"/>
          <w:sz w:val="24"/>
          <w:szCs w:val="24"/>
          <w:highlight w:val="none"/>
        </w:rPr>
        <w:t>清单</w:t>
      </w:r>
      <w:r>
        <w:rPr>
          <w:rFonts w:ascii="仿宋" w:hAnsi="仿宋" w:eastAsia="仿宋"/>
          <w:color w:val="auto"/>
          <w:sz w:val="24"/>
          <w:szCs w:val="24"/>
          <w:highlight w:val="none"/>
        </w:rPr>
        <w:t>点位</w:t>
      </w:r>
      <w:r>
        <w:rPr>
          <w:rFonts w:hint="eastAsia" w:ascii="仿宋" w:hAnsi="仿宋" w:eastAsia="仿宋"/>
          <w:color w:val="auto"/>
          <w:sz w:val="24"/>
          <w:szCs w:val="24"/>
          <w:highlight w:val="none"/>
        </w:rPr>
        <w:t>如下：</w:t>
      </w:r>
    </w:p>
    <w:tbl>
      <w:tblPr>
        <w:tblStyle w:val="46"/>
        <w:tblW w:w="0" w:type="auto"/>
        <w:jc w:val="center"/>
        <w:tblLayout w:type="autofit"/>
        <w:tblCellMar>
          <w:top w:w="0" w:type="dxa"/>
          <w:left w:w="108" w:type="dxa"/>
          <w:bottom w:w="0" w:type="dxa"/>
          <w:right w:w="108" w:type="dxa"/>
        </w:tblCellMar>
      </w:tblPr>
      <w:tblGrid>
        <w:gridCol w:w="698"/>
        <w:gridCol w:w="3729"/>
        <w:gridCol w:w="1677"/>
        <w:gridCol w:w="1200"/>
      </w:tblGrid>
      <w:tr w14:paraId="4C623555">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DCBC6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序号</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2F5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点位</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C48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归属中队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810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监控数量</w:t>
            </w:r>
          </w:p>
        </w:tc>
      </w:tr>
      <w:tr w14:paraId="1B502F61">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E35F3">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227C">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聚英路与滨富东路交叉口</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1230">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一中队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ACF6">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6BB30358">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16000">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5179">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聚英路与海旺路路交叉口</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3CF1">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一中队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410A">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467DBF81">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06E85">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3</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FB72">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海城路与月湖北路交叉口</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7C69">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一中队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7A48">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65DDB1BE">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F1466">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4</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08DA">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鲍浦大道与月湖北路交叉口</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B672">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一中队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2DBB">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3B9C9DE9">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B1BEC">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5</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BBA6">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山海大道与黄金大道交叉口</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B3D2">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一中队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5250">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3552A890">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EDB80">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6</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79E0">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椒江区海虹大道滨海工业区台州滨海吉利发动机有限公司（东北）</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06BD">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二中队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CF87">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5E30279F">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9ABD51">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7</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E91B">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椒江区东联线甲南大道入口(西向)东渣土</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B62C">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二中队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EFB7">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6B375260">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4DEAE">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8</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3D5C">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路桥区蓬北大道浙江泰鸿万立科技股份有限公司(滨海分厂)西南</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CBB5">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二中队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DC8D">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14072274">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06EA70">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9</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E2D8">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椒江区海四路甲南大道入口（西向）</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6468">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二中队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3D59">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6636B815">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B7CE13">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10</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A9D7">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路桥区蓬北大道滨海工业区浙江泰鸿万立科技股份有限公司(滨海分厂)</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2814">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二中队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4558">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25DC4189">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897B9">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11</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B560">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开发大道电力公司对面</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3A77">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三中队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1F14">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43196A38">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DD205">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12</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38B7">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海源路兴禧锦苑小区西北角</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19A9">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三中队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D034">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2</w:t>
            </w:r>
          </w:p>
        </w:tc>
      </w:tr>
      <w:tr w14:paraId="1FA86ADE">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C4649">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13</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4BFB">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一江南苑小区东北角</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CFC1">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三中队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E59C">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3</w:t>
            </w:r>
          </w:p>
        </w:tc>
      </w:tr>
      <w:tr w14:paraId="47E6C203">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BE28B">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14</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64F8">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开发大道与经通路交叉口（南）</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D210">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三中队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F4F9">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647BB229">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E8282">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15</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AB46">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经中支路梧桐府小区北门 东西朝向</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FA55">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三中队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8099">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2</w:t>
            </w:r>
          </w:p>
        </w:tc>
      </w:tr>
      <w:tr w14:paraId="34F79BE1">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C57D8">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16</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8A7B">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机场路天璟御府小区南北两侧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B383">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三中队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2EFE">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2</w:t>
            </w:r>
          </w:p>
        </w:tc>
      </w:tr>
      <w:tr w14:paraId="0C61A7CA">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EBCA3">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17</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9DC0">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机场路与体育场路交叉口东北侧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125C">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三中队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3213">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539E9064">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98887">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18</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A4B1">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荣和路海城佳苑北门口</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14BA">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三中队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C981">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676E12B3">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312B6">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19</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7D18">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安康路台州国际人才公寓西门口</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3EA8">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三中队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72EE">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13A420F7">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008E93">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20</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8FA0">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新坦路（新王村与解家村）</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ECE4">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三中队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7349">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2</w:t>
            </w:r>
          </w:p>
        </w:tc>
      </w:tr>
      <w:tr w14:paraId="116F39FD">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8520B">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21</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2BC9">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东联线快乐垂钓西南</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3860">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三中队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DA9C">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sz w:val="24"/>
                <w:szCs w:val="24"/>
                <w:highlight w:val="none"/>
                <w:lang w:val="en-US" w:eastAsia="zh-CN"/>
              </w:rPr>
              <w:t>1</w:t>
            </w:r>
          </w:p>
        </w:tc>
      </w:tr>
      <w:tr w14:paraId="51F3E563">
        <w:tblPrEx>
          <w:tblCellMar>
            <w:top w:w="0" w:type="dxa"/>
            <w:left w:w="108" w:type="dxa"/>
            <w:bottom w:w="0" w:type="dxa"/>
            <w:right w:w="108" w:type="dxa"/>
          </w:tblCellMar>
        </w:tblPrEx>
        <w:trPr>
          <w:trHeight w:val="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3CF6A">
            <w:pPr>
              <w:keepNext w:val="0"/>
              <w:keepLines w:val="0"/>
              <w:widowControl/>
              <w:suppressLineNumbers w:val="0"/>
              <w:shd w:val="clear"/>
              <w:spacing w:before="0" w:beforeAutospacing="0" w:after="0" w:afterAutospacing="0" w:line="360" w:lineRule="auto"/>
              <w:ind w:left="0" w:right="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备注</w:t>
            </w:r>
          </w:p>
        </w:tc>
        <w:tc>
          <w:tcPr>
            <w:tcW w:w="6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86BEF9">
            <w:pPr>
              <w:keepNext w:val="0"/>
              <w:keepLines w:val="0"/>
              <w:widowControl/>
              <w:suppressLineNumbers w:val="0"/>
              <w:shd w:val="clear"/>
              <w:spacing w:before="0" w:beforeAutospacing="0" w:after="0" w:afterAutospacing="0" w:line="360" w:lineRule="auto"/>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点位位置在点位数量不变的情况下经双方协商可调整具体点位</w:t>
            </w:r>
          </w:p>
        </w:tc>
      </w:tr>
    </w:tbl>
    <w:p w14:paraId="04DC80F1">
      <w:pPr>
        <w:keepNext/>
        <w:keepLines/>
        <w:numPr>
          <w:ilvl w:val="2"/>
          <w:numId w:val="0"/>
        </w:numPr>
        <w:shd w:val="clear"/>
        <w:snapToGrid w:val="0"/>
        <w:spacing w:line="360" w:lineRule="auto"/>
        <w:outlineLvl w:val="2"/>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lang w:val="en-US" w:eastAsia="zh-CN"/>
        </w:rPr>
        <w:t>（3）</w:t>
      </w:r>
      <w:r>
        <w:rPr>
          <w:rFonts w:hint="eastAsia" w:ascii="仿宋" w:hAnsi="仿宋" w:eastAsia="仿宋" w:cs="宋体"/>
          <w:b/>
          <w:bCs/>
          <w:color w:val="auto"/>
          <w:sz w:val="24"/>
          <w:szCs w:val="24"/>
          <w:highlight w:val="none"/>
        </w:rPr>
        <w:t>链路租赁费（含</w:t>
      </w:r>
      <w:r>
        <w:rPr>
          <w:rFonts w:hint="eastAsia" w:ascii="仿宋" w:hAnsi="仿宋" w:eastAsia="仿宋" w:cs="宋体"/>
          <w:b/>
          <w:bCs/>
          <w:color w:val="auto"/>
          <w:sz w:val="24"/>
          <w:szCs w:val="24"/>
          <w:highlight w:val="none"/>
          <w:lang w:val="en-US" w:eastAsia="zh-CN"/>
        </w:rPr>
        <w:t>1</w:t>
      </w:r>
      <w:r>
        <w:rPr>
          <w:rFonts w:hint="eastAsia" w:ascii="仿宋" w:hAnsi="仿宋" w:eastAsia="仿宋" w:cs="宋体"/>
          <w:b/>
          <w:bCs/>
          <w:color w:val="auto"/>
          <w:sz w:val="24"/>
          <w:szCs w:val="24"/>
          <w:highlight w:val="none"/>
        </w:rPr>
        <w:t>年费用）</w:t>
      </w:r>
    </w:p>
    <w:tbl>
      <w:tblPr>
        <w:tblStyle w:val="46"/>
        <w:tblW w:w="5000" w:type="pct"/>
        <w:tblInd w:w="0" w:type="dxa"/>
        <w:tblLayout w:type="fixed"/>
        <w:tblCellMar>
          <w:top w:w="0" w:type="dxa"/>
          <w:left w:w="108" w:type="dxa"/>
          <w:bottom w:w="0" w:type="dxa"/>
          <w:right w:w="108" w:type="dxa"/>
        </w:tblCellMar>
      </w:tblPr>
      <w:tblGrid>
        <w:gridCol w:w="567"/>
        <w:gridCol w:w="1038"/>
        <w:gridCol w:w="2195"/>
        <w:gridCol w:w="2117"/>
        <w:gridCol w:w="2599"/>
      </w:tblGrid>
      <w:tr w14:paraId="4529A553">
        <w:tblPrEx>
          <w:tblCellMar>
            <w:top w:w="0" w:type="dxa"/>
            <w:left w:w="108" w:type="dxa"/>
            <w:bottom w:w="0" w:type="dxa"/>
            <w:right w:w="108" w:type="dxa"/>
          </w:tblCellMar>
        </w:tblPrEx>
        <w:trPr>
          <w:trHeight w:val="660" w:hRule="atLeast"/>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775DCFA0">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序号</w:t>
            </w:r>
          </w:p>
        </w:tc>
        <w:tc>
          <w:tcPr>
            <w:tcW w:w="609" w:type="pct"/>
            <w:tcBorders>
              <w:top w:val="single" w:color="auto" w:sz="4" w:space="0"/>
              <w:left w:val="single" w:color="auto" w:sz="4" w:space="0"/>
              <w:bottom w:val="single" w:color="auto" w:sz="4" w:space="0"/>
              <w:right w:val="single" w:color="auto" w:sz="4" w:space="0"/>
            </w:tcBorders>
            <w:shd w:val="clear" w:color="auto" w:fill="auto"/>
            <w:vAlign w:val="center"/>
          </w:tcPr>
          <w:p w14:paraId="2C6634BD">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产品类别</w:t>
            </w:r>
          </w:p>
        </w:tc>
        <w:tc>
          <w:tcPr>
            <w:tcW w:w="1288" w:type="pct"/>
            <w:tcBorders>
              <w:top w:val="single" w:color="auto" w:sz="4" w:space="0"/>
              <w:left w:val="single" w:color="auto" w:sz="4" w:space="0"/>
              <w:bottom w:val="single" w:color="auto" w:sz="4" w:space="0"/>
              <w:right w:val="single" w:color="auto" w:sz="4" w:space="0"/>
            </w:tcBorders>
            <w:shd w:val="clear" w:color="auto" w:fill="auto"/>
            <w:vAlign w:val="center"/>
          </w:tcPr>
          <w:p w14:paraId="4CDFB2D9">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技术规格</w:t>
            </w:r>
          </w:p>
        </w:tc>
        <w:tc>
          <w:tcPr>
            <w:tcW w:w="1242" w:type="pct"/>
            <w:tcBorders>
              <w:top w:val="single" w:color="auto" w:sz="4" w:space="0"/>
              <w:left w:val="single" w:color="auto" w:sz="4" w:space="0"/>
              <w:bottom w:val="single" w:color="auto" w:sz="4" w:space="0"/>
              <w:right w:val="single" w:color="auto" w:sz="4" w:space="0"/>
            </w:tcBorders>
            <w:shd w:val="clear" w:color="auto" w:fill="auto"/>
            <w:vAlign w:val="center"/>
          </w:tcPr>
          <w:p w14:paraId="34B4752B">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单位</w:t>
            </w:r>
          </w:p>
        </w:tc>
        <w:tc>
          <w:tcPr>
            <w:tcW w:w="1525" w:type="pct"/>
            <w:tcBorders>
              <w:top w:val="single" w:color="auto" w:sz="4" w:space="0"/>
              <w:left w:val="single" w:color="auto" w:sz="4" w:space="0"/>
              <w:bottom w:val="single" w:color="auto" w:sz="4" w:space="0"/>
              <w:right w:val="single" w:color="auto" w:sz="4" w:space="0"/>
            </w:tcBorders>
            <w:shd w:val="clear" w:color="auto" w:fill="auto"/>
            <w:vAlign w:val="center"/>
          </w:tcPr>
          <w:p w14:paraId="72A21427">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数量</w:t>
            </w:r>
          </w:p>
        </w:tc>
      </w:tr>
      <w:tr w14:paraId="0891ECCA">
        <w:tblPrEx>
          <w:tblCellMar>
            <w:top w:w="0" w:type="dxa"/>
            <w:left w:w="108" w:type="dxa"/>
            <w:bottom w:w="0" w:type="dxa"/>
            <w:right w:w="108" w:type="dxa"/>
          </w:tblCellMar>
        </w:tblPrEx>
        <w:trPr>
          <w:trHeight w:val="450" w:hRule="atLeast"/>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04B9A0AA">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kern w:val="0"/>
                <w:sz w:val="24"/>
                <w:szCs w:val="24"/>
                <w:highlight w:val="none"/>
                <w:lang w:val="en-US" w:eastAsia="zh-CN" w:bidi="ar"/>
              </w:rPr>
              <w:t>1</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8C9577">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4G车载流量卡</w:t>
            </w:r>
          </w:p>
        </w:tc>
        <w:tc>
          <w:tcPr>
            <w:tcW w:w="12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0034D9">
            <w:pPr>
              <w:keepNext w:val="0"/>
              <w:keepLines w:val="0"/>
              <w:widowControl/>
              <w:suppressLineNumbers w:val="0"/>
              <w:shd w:val="clear"/>
              <w:spacing w:before="0" w:beforeAutospacing="0" w:after="0" w:afterAutospacing="0"/>
              <w:ind w:left="0" w:right="0"/>
              <w:jc w:val="left"/>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20G/月流量（含</w:t>
            </w:r>
            <w:r>
              <w:rPr>
                <w:rFonts w:hint="eastAsia" w:ascii="仿宋" w:hAnsi="仿宋" w:eastAsia="仿宋" w:cs="宋体"/>
                <w:color w:val="auto"/>
                <w:kern w:val="0"/>
                <w:sz w:val="24"/>
                <w:szCs w:val="24"/>
                <w:highlight w:val="none"/>
                <w:lang w:val="en-US" w:eastAsia="zh-CN" w:bidi="ar"/>
              </w:rPr>
              <w:t>1</w:t>
            </w:r>
            <w:r>
              <w:rPr>
                <w:rFonts w:hint="eastAsia" w:ascii="仿宋" w:hAnsi="仿宋" w:eastAsia="仿宋" w:cs="宋体"/>
                <w:color w:val="auto"/>
                <w:kern w:val="0"/>
                <w:sz w:val="24"/>
                <w:szCs w:val="24"/>
                <w:highlight w:val="none"/>
                <w:lang w:bidi="ar"/>
              </w:rPr>
              <w:t>年费用）</w:t>
            </w:r>
          </w:p>
        </w:tc>
        <w:tc>
          <w:tcPr>
            <w:tcW w:w="12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584B64">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张</w:t>
            </w:r>
          </w:p>
        </w:tc>
        <w:tc>
          <w:tcPr>
            <w:tcW w:w="1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1DB914">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3</w:t>
            </w:r>
          </w:p>
        </w:tc>
      </w:tr>
      <w:tr w14:paraId="5C1E6327">
        <w:tblPrEx>
          <w:tblCellMar>
            <w:top w:w="0" w:type="dxa"/>
            <w:left w:w="108" w:type="dxa"/>
            <w:bottom w:w="0" w:type="dxa"/>
            <w:right w:w="108" w:type="dxa"/>
          </w:tblCellMar>
        </w:tblPrEx>
        <w:trPr>
          <w:trHeight w:val="811" w:hRule="atLeast"/>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0A978935">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kern w:val="0"/>
                <w:sz w:val="24"/>
                <w:szCs w:val="24"/>
                <w:highlight w:val="none"/>
                <w:lang w:val="en-US" w:eastAsia="zh-CN" w:bidi="ar"/>
              </w:rPr>
              <w:t>2</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572F81">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4G执法仪流量卡</w:t>
            </w:r>
          </w:p>
        </w:tc>
        <w:tc>
          <w:tcPr>
            <w:tcW w:w="12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4583C5">
            <w:pPr>
              <w:keepNext w:val="0"/>
              <w:keepLines w:val="0"/>
              <w:widowControl/>
              <w:suppressLineNumbers w:val="0"/>
              <w:shd w:val="clear"/>
              <w:spacing w:before="0" w:beforeAutospacing="0" w:after="0" w:afterAutospacing="0"/>
              <w:ind w:left="0" w:right="0"/>
              <w:jc w:val="left"/>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3G/月流量（含</w:t>
            </w:r>
            <w:r>
              <w:rPr>
                <w:rFonts w:hint="eastAsia" w:ascii="仿宋" w:hAnsi="仿宋" w:eastAsia="仿宋" w:cs="宋体"/>
                <w:color w:val="auto"/>
                <w:kern w:val="0"/>
                <w:sz w:val="24"/>
                <w:szCs w:val="24"/>
                <w:highlight w:val="none"/>
                <w:lang w:val="en-US" w:eastAsia="zh-CN" w:bidi="ar"/>
              </w:rPr>
              <w:t>1</w:t>
            </w:r>
            <w:r>
              <w:rPr>
                <w:rFonts w:hint="eastAsia" w:ascii="仿宋" w:hAnsi="仿宋" w:eastAsia="仿宋" w:cs="宋体"/>
                <w:color w:val="auto"/>
                <w:kern w:val="0"/>
                <w:sz w:val="24"/>
                <w:szCs w:val="24"/>
                <w:highlight w:val="none"/>
                <w:lang w:bidi="ar"/>
              </w:rPr>
              <w:t>年费用）</w:t>
            </w:r>
          </w:p>
        </w:tc>
        <w:tc>
          <w:tcPr>
            <w:tcW w:w="12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0C2DA6">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张</w:t>
            </w:r>
          </w:p>
        </w:tc>
        <w:tc>
          <w:tcPr>
            <w:tcW w:w="1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EC39D5">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40</w:t>
            </w:r>
          </w:p>
        </w:tc>
      </w:tr>
      <w:tr w14:paraId="02E26849">
        <w:tblPrEx>
          <w:tblCellMar>
            <w:top w:w="0" w:type="dxa"/>
            <w:left w:w="108" w:type="dxa"/>
            <w:bottom w:w="0" w:type="dxa"/>
            <w:right w:w="108" w:type="dxa"/>
          </w:tblCellMar>
        </w:tblPrEx>
        <w:trPr>
          <w:trHeight w:val="1240" w:hRule="atLeast"/>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0C8B42C">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宋体"/>
                <w:color w:val="auto"/>
                <w:sz w:val="24"/>
                <w:szCs w:val="24"/>
                <w:highlight w:val="none"/>
                <w:lang w:eastAsia="zh-CN"/>
              </w:rPr>
            </w:pPr>
            <w:r>
              <w:rPr>
                <w:rFonts w:hint="eastAsia" w:ascii="仿宋" w:hAnsi="仿宋" w:eastAsia="仿宋" w:cs="宋体"/>
                <w:color w:val="auto"/>
                <w:kern w:val="0"/>
                <w:sz w:val="24"/>
                <w:szCs w:val="24"/>
                <w:highlight w:val="none"/>
                <w:lang w:val="en-US" w:eastAsia="zh-CN" w:bidi="ar"/>
              </w:rPr>
              <w:t>3</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45ACC3">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监控点位线路费用</w:t>
            </w:r>
          </w:p>
        </w:tc>
        <w:tc>
          <w:tcPr>
            <w:tcW w:w="12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6AA0A4">
            <w:pPr>
              <w:keepNext w:val="0"/>
              <w:keepLines w:val="0"/>
              <w:widowControl/>
              <w:suppressLineNumbers w:val="0"/>
              <w:shd w:val="clear"/>
              <w:spacing w:before="0" w:beforeAutospacing="0" w:after="0" w:afterAutospacing="0"/>
              <w:ind w:left="0" w:right="0"/>
              <w:jc w:val="left"/>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VPN专线（100M速率）</w:t>
            </w:r>
          </w:p>
        </w:tc>
        <w:tc>
          <w:tcPr>
            <w:tcW w:w="12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57D9E5">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条</w:t>
            </w:r>
          </w:p>
        </w:tc>
        <w:tc>
          <w:tcPr>
            <w:tcW w:w="1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293AB7">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val="en-US" w:eastAsia="zh-CN" w:bidi="ar"/>
              </w:rPr>
              <w:t>含全部前期点位及</w:t>
            </w:r>
            <w:r>
              <w:rPr>
                <w:rFonts w:hint="eastAsia" w:ascii="仿宋" w:hAnsi="仿宋" w:eastAsia="仿宋" w:cs="宋体"/>
                <w:b w:val="0"/>
                <w:bCs w:val="0"/>
                <w:color w:val="auto"/>
                <w:kern w:val="0"/>
                <w:sz w:val="24"/>
                <w:szCs w:val="24"/>
                <w:highlight w:val="none"/>
                <w:lang w:val="en-US" w:eastAsia="zh-CN" w:bidi="ar"/>
              </w:rPr>
              <w:t>后续建设点位</w:t>
            </w:r>
            <w:r>
              <w:rPr>
                <w:rFonts w:hint="eastAsia" w:ascii="仿宋" w:hAnsi="仿宋" w:eastAsia="仿宋" w:cs="宋体"/>
                <w:b w:val="0"/>
                <w:bCs w:val="0"/>
                <w:color w:val="auto"/>
                <w:sz w:val="24"/>
                <w:szCs w:val="24"/>
                <w:highlight w:val="none"/>
              </w:rPr>
              <w:t>链路</w:t>
            </w:r>
            <w:r>
              <w:rPr>
                <w:rFonts w:hint="eastAsia" w:ascii="仿宋" w:hAnsi="仿宋" w:eastAsia="仿宋" w:cs="宋体"/>
                <w:b w:val="0"/>
                <w:bCs w:val="0"/>
                <w:color w:val="auto"/>
                <w:kern w:val="0"/>
                <w:sz w:val="24"/>
                <w:szCs w:val="24"/>
                <w:highlight w:val="none"/>
                <w:lang w:val="en-US" w:eastAsia="zh-CN" w:bidi="ar"/>
              </w:rPr>
              <w:t>，约107条，后续</w:t>
            </w:r>
            <w:r>
              <w:rPr>
                <w:rFonts w:hint="eastAsia" w:ascii="仿宋" w:hAnsi="仿宋" w:eastAsia="仿宋" w:cs="宋体"/>
                <w:color w:val="auto"/>
                <w:kern w:val="0"/>
                <w:sz w:val="24"/>
                <w:szCs w:val="24"/>
                <w:highlight w:val="none"/>
                <w:lang w:val="en-US" w:eastAsia="zh-CN" w:bidi="ar"/>
              </w:rPr>
              <w:t>根据实际情况按需建设。</w:t>
            </w:r>
          </w:p>
        </w:tc>
      </w:tr>
      <w:tr w14:paraId="2AE44759">
        <w:tblPrEx>
          <w:tblCellMar>
            <w:top w:w="0" w:type="dxa"/>
            <w:left w:w="108" w:type="dxa"/>
            <w:bottom w:w="0" w:type="dxa"/>
            <w:right w:w="108" w:type="dxa"/>
          </w:tblCellMar>
        </w:tblPrEx>
        <w:trPr>
          <w:trHeight w:val="1240" w:hRule="atLeast"/>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426E5131">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kern w:val="0"/>
                <w:sz w:val="24"/>
                <w:szCs w:val="24"/>
                <w:highlight w:val="none"/>
                <w:lang w:val="en-US" w:eastAsia="zh-CN" w:bidi="ar"/>
              </w:rPr>
            </w:pPr>
            <w:r>
              <w:rPr>
                <w:rFonts w:hint="eastAsia" w:ascii="仿宋" w:hAnsi="仿宋" w:eastAsia="仿宋" w:cs="宋体"/>
                <w:color w:val="auto"/>
                <w:kern w:val="0"/>
                <w:sz w:val="24"/>
                <w:szCs w:val="24"/>
                <w:highlight w:val="none"/>
                <w:lang w:val="en-US" w:eastAsia="zh-CN" w:bidi="ar"/>
              </w:rPr>
              <w:t>4</w:t>
            </w:r>
          </w:p>
        </w:tc>
        <w:tc>
          <w:tcPr>
            <w:tcW w:w="60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5816C8">
            <w:pPr>
              <w:keepNext w:val="0"/>
              <w:keepLines w:val="0"/>
              <w:widowControl/>
              <w:suppressLineNumbers w:val="0"/>
              <w:shd w:val="clear"/>
              <w:spacing w:before="0" w:beforeAutospacing="0" w:after="0" w:afterAutospacing="0"/>
              <w:ind w:left="0" w:right="0"/>
              <w:jc w:val="both"/>
              <w:textAlignment w:val="center"/>
              <w:rPr>
                <w:rFonts w:hint="default" w:ascii="仿宋" w:hAnsi="仿宋" w:eastAsia="仿宋" w:cs="宋体"/>
                <w:color w:val="auto"/>
                <w:kern w:val="0"/>
                <w:sz w:val="24"/>
                <w:szCs w:val="24"/>
                <w:highlight w:val="none"/>
                <w:lang w:val="en-US" w:eastAsia="zh-CN" w:bidi="ar"/>
              </w:rPr>
            </w:pPr>
            <w:r>
              <w:rPr>
                <w:rFonts w:hint="eastAsia" w:ascii="仿宋" w:hAnsi="仿宋" w:eastAsia="仿宋" w:cs="宋体"/>
                <w:color w:val="auto"/>
                <w:kern w:val="0"/>
                <w:sz w:val="24"/>
                <w:szCs w:val="24"/>
                <w:highlight w:val="none"/>
                <w:lang w:val="en-US" w:eastAsia="zh-CN" w:bidi="ar"/>
              </w:rPr>
              <w:t>服务托管线路宽带</w:t>
            </w:r>
          </w:p>
        </w:tc>
        <w:tc>
          <w:tcPr>
            <w:tcW w:w="12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40DCC2">
            <w:pPr>
              <w:keepNext w:val="0"/>
              <w:keepLines w:val="0"/>
              <w:widowControl/>
              <w:suppressLineNumbers w:val="0"/>
              <w:shd w:val="clear"/>
              <w:spacing w:before="0" w:beforeAutospacing="0" w:after="0" w:afterAutospacing="0"/>
              <w:ind w:left="0" w:right="0"/>
              <w:jc w:val="left"/>
              <w:textAlignment w:val="center"/>
              <w:rPr>
                <w:rFonts w:hint="default" w:ascii="仿宋" w:hAnsi="仿宋" w:eastAsia="仿宋" w:cs="宋体"/>
                <w:color w:val="auto"/>
                <w:kern w:val="0"/>
                <w:sz w:val="24"/>
                <w:szCs w:val="24"/>
                <w:highlight w:val="none"/>
                <w:lang w:val="en-US" w:eastAsia="zh-CN" w:bidi="ar"/>
              </w:rPr>
            </w:pPr>
            <w:r>
              <w:rPr>
                <w:rFonts w:hint="eastAsia" w:ascii="仿宋" w:hAnsi="仿宋" w:eastAsia="仿宋" w:cs="宋体"/>
                <w:color w:val="auto"/>
                <w:kern w:val="0"/>
                <w:sz w:val="24"/>
                <w:szCs w:val="24"/>
                <w:highlight w:val="none"/>
                <w:lang w:val="en-US" w:eastAsia="zh-CN" w:bidi="ar"/>
              </w:rPr>
              <w:t>1000M</w:t>
            </w:r>
          </w:p>
        </w:tc>
        <w:tc>
          <w:tcPr>
            <w:tcW w:w="12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6BAC15">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宋体"/>
                <w:color w:val="auto"/>
                <w:kern w:val="0"/>
                <w:sz w:val="24"/>
                <w:szCs w:val="24"/>
                <w:highlight w:val="none"/>
                <w:lang w:val="en-US" w:eastAsia="zh-CN" w:bidi="ar"/>
              </w:rPr>
            </w:pPr>
            <w:r>
              <w:rPr>
                <w:rFonts w:hint="eastAsia" w:ascii="仿宋" w:hAnsi="仿宋" w:eastAsia="仿宋" w:cs="宋体"/>
                <w:color w:val="auto"/>
                <w:kern w:val="0"/>
                <w:sz w:val="24"/>
                <w:szCs w:val="24"/>
                <w:highlight w:val="none"/>
                <w:lang w:val="en-US" w:eastAsia="zh-CN" w:bidi="ar"/>
              </w:rPr>
              <w:t>条</w:t>
            </w:r>
          </w:p>
        </w:tc>
        <w:tc>
          <w:tcPr>
            <w:tcW w:w="1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2B119A">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kern w:val="0"/>
                <w:sz w:val="24"/>
                <w:szCs w:val="24"/>
                <w:highlight w:val="none"/>
                <w:lang w:val="en-US" w:eastAsia="zh-CN" w:bidi="ar"/>
              </w:rPr>
            </w:pPr>
            <w:r>
              <w:rPr>
                <w:rFonts w:hint="eastAsia" w:ascii="仿宋" w:hAnsi="仿宋" w:eastAsia="仿宋" w:cs="宋体"/>
                <w:color w:val="auto"/>
                <w:kern w:val="0"/>
                <w:sz w:val="24"/>
                <w:szCs w:val="24"/>
                <w:highlight w:val="none"/>
                <w:lang w:val="en-US" w:eastAsia="zh-CN" w:bidi="ar"/>
              </w:rPr>
              <w:t>1</w:t>
            </w:r>
          </w:p>
        </w:tc>
      </w:tr>
    </w:tbl>
    <w:p w14:paraId="72E0E079">
      <w:pPr>
        <w:shd w:val="clear"/>
        <w:spacing w:line="360" w:lineRule="auto"/>
        <w:rPr>
          <w:rFonts w:hint="eastAsia" w:ascii="仿宋" w:hAnsi="仿宋" w:eastAsia="仿宋"/>
          <w:b/>
          <w:color w:val="auto"/>
          <w:sz w:val="24"/>
          <w:szCs w:val="24"/>
          <w:highlight w:val="none"/>
        </w:rPr>
      </w:pPr>
    </w:p>
    <w:p w14:paraId="6B30B31F">
      <w:pPr>
        <w:shd w:val="clear"/>
        <w:spacing w:line="360" w:lineRule="auto"/>
        <w:ind w:firstLine="241" w:firstLineChars="100"/>
        <w:rPr>
          <w:rFonts w:hint="eastAsia" w:ascii="仿宋" w:hAnsi="仿宋" w:eastAsia="仿宋" w:cs="Times New Roman"/>
          <w:color w:val="auto"/>
          <w:sz w:val="24"/>
          <w:szCs w:val="24"/>
          <w:highlight w:val="none"/>
          <w:lang w:eastAsia="zh-CN"/>
        </w:rPr>
      </w:pPr>
      <w:r>
        <w:rPr>
          <w:rFonts w:hint="eastAsia" w:ascii="仿宋" w:hAnsi="仿宋" w:eastAsia="仿宋"/>
          <w:b/>
          <w:color w:val="auto"/>
          <w:sz w:val="24"/>
          <w:szCs w:val="24"/>
          <w:highlight w:val="none"/>
          <w:lang w:val="en-US" w:eastAsia="zh-CN"/>
        </w:rPr>
        <w:t>（4）</w:t>
      </w:r>
      <w:r>
        <w:rPr>
          <w:rFonts w:hint="eastAsia" w:ascii="仿宋" w:hAnsi="仿宋" w:eastAsia="仿宋"/>
          <w:b/>
          <w:color w:val="auto"/>
          <w:sz w:val="24"/>
          <w:szCs w:val="24"/>
          <w:highlight w:val="none"/>
        </w:rPr>
        <w:t>前端</w:t>
      </w:r>
      <w:r>
        <w:rPr>
          <w:rFonts w:hint="eastAsia" w:ascii="仿宋" w:hAnsi="仿宋" w:eastAsia="仿宋"/>
          <w:b/>
          <w:color w:val="auto"/>
          <w:sz w:val="24"/>
          <w:szCs w:val="24"/>
          <w:highlight w:val="none"/>
          <w:lang w:eastAsia="zh-CN"/>
        </w:rPr>
        <w:t>新增</w:t>
      </w:r>
      <w:r>
        <w:rPr>
          <w:rFonts w:hint="eastAsia" w:ascii="仿宋" w:hAnsi="仿宋" w:eastAsia="仿宋"/>
          <w:b/>
          <w:color w:val="auto"/>
          <w:sz w:val="24"/>
          <w:szCs w:val="24"/>
          <w:highlight w:val="none"/>
        </w:rPr>
        <w:t>视频监控</w:t>
      </w:r>
      <w:r>
        <w:rPr>
          <w:rFonts w:hint="eastAsia" w:ascii="仿宋" w:hAnsi="仿宋" w:eastAsia="仿宋"/>
          <w:b/>
          <w:color w:val="auto"/>
          <w:sz w:val="24"/>
          <w:szCs w:val="24"/>
          <w:highlight w:val="none"/>
          <w:lang w:eastAsia="zh-CN"/>
        </w:rPr>
        <w:t>参数要求</w:t>
      </w:r>
    </w:p>
    <w:tbl>
      <w:tblPr>
        <w:tblStyle w:val="46"/>
        <w:tblW w:w="51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83"/>
        <w:gridCol w:w="6726"/>
      </w:tblGrid>
      <w:tr w14:paraId="5751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shd w:val="clear" w:color="auto" w:fill="auto"/>
            <w:vAlign w:val="center"/>
          </w:tcPr>
          <w:p w14:paraId="3C7D3402">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序号</w:t>
            </w:r>
          </w:p>
        </w:tc>
        <w:tc>
          <w:tcPr>
            <w:tcW w:w="1383" w:type="dxa"/>
            <w:shd w:val="clear" w:color="auto" w:fill="auto"/>
            <w:vAlign w:val="center"/>
          </w:tcPr>
          <w:p w14:paraId="0476AFAA">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产品名称</w:t>
            </w:r>
          </w:p>
        </w:tc>
        <w:tc>
          <w:tcPr>
            <w:tcW w:w="6726" w:type="dxa"/>
            <w:shd w:val="clear" w:color="auto" w:fill="auto"/>
            <w:vAlign w:val="center"/>
          </w:tcPr>
          <w:p w14:paraId="67602E9C">
            <w:pPr>
              <w:keepNext w:val="0"/>
              <w:keepLines w:val="0"/>
              <w:widowControl/>
              <w:suppressLineNumbers w:val="0"/>
              <w:shd w:val="clear"/>
              <w:spacing w:before="0" w:beforeAutospacing="0" w:after="0" w:afterAutospacing="0"/>
              <w:ind w:left="0" w:right="0"/>
              <w:jc w:val="left"/>
              <w:textAlignment w:val="center"/>
              <w:rPr>
                <w:rFonts w:hint="default" w:ascii="仿宋" w:hAnsi="仿宋" w:eastAsia="仿宋" w:cs="宋体"/>
                <w:b/>
                <w:bCs/>
                <w:color w:val="auto"/>
                <w:sz w:val="24"/>
                <w:szCs w:val="24"/>
                <w:highlight w:val="none"/>
              </w:rPr>
            </w:pPr>
            <w:r>
              <w:rPr>
                <w:rFonts w:hint="eastAsia" w:ascii="仿宋" w:hAnsi="仿宋" w:eastAsia="仿宋" w:cs="宋体"/>
                <w:b/>
                <w:bCs/>
                <w:color w:val="auto"/>
                <w:kern w:val="0"/>
                <w:sz w:val="24"/>
                <w:szCs w:val="24"/>
                <w:highlight w:val="none"/>
                <w:lang w:bidi="ar"/>
              </w:rPr>
              <w:t>技术规格</w:t>
            </w:r>
          </w:p>
        </w:tc>
      </w:tr>
      <w:tr w14:paraId="784F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shd w:val="clear" w:color="auto" w:fill="auto"/>
            <w:vAlign w:val="center"/>
          </w:tcPr>
          <w:p w14:paraId="317E750F">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sz w:val="24"/>
                <w:szCs w:val="24"/>
                <w:highlight w:val="none"/>
              </w:rPr>
            </w:pPr>
            <w:r>
              <w:rPr>
                <w:rFonts w:hint="eastAsia" w:ascii="仿宋" w:hAnsi="仿宋" w:eastAsia="仿宋" w:cs="宋体"/>
                <w:color w:val="auto"/>
                <w:kern w:val="0"/>
                <w:sz w:val="24"/>
                <w:szCs w:val="24"/>
                <w:highlight w:val="none"/>
                <w:lang w:bidi="ar"/>
              </w:rPr>
              <w:t>1</w:t>
            </w:r>
          </w:p>
        </w:tc>
        <w:tc>
          <w:tcPr>
            <w:tcW w:w="1383" w:type="dxa"/>
            <w:shd w:val="clear" w:color="auto" w:fill="FFFFFF"/>
            <w:vAlign w:val="center"/>
          </w:tcPr>
          <w:p w14:paraId="78E03329">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eastAsia="zh-CN"/>
              </w:rPr>
              <w:t>高清智能</w:t>
            </w:r>
            <w:r>
              <w:rPr>
                <w:rFonts w:hint="eastAsia" w:ascii="仿宋" w:hAnsi="仿宋" w:eastAsia="仿宋" w:cs="宋体"/>
                <w:color w:val="auto"/>
                <w:sz w:val="24"/>
                <w:szCs w:val="24"/>
                <w:highlight w:val="none"/>
              </w:rPr>
              <w:t>球机</w:t>
            </w:r>
            <w:r>
              <w:rPr>
                <w:rFonts w:hint="eastAsia" w:ascii="仿宋" w:hAnsi="仿宋" w:eastAsia="仿宋" w:cs="宋体"/>
                <w:color w:val="auto"/>
                <w:sz w:val="24"/>
                <w:szCs w:val="24"/>
                <w:highlight w:val="none"/>
                <w:lang w:val="en-US" w:eastAsia="zh-CN"/>
              </w:rPr>
              <w:t>1</w:t>
            </w:r>
          </w:p>
        </w:tc>
        <w:tc>
          <w:tcPr>
            <w:tcW w:w="6726" w:type="dxa"/>
            <w:shd w:val="clear" w:color="auto" w:fill="auto"/>
            <w:vAlign w:val="center"/>
          </w:tcPr>
          <w:p w14:paraId="38244E2A">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★摄像机靶面尺寸不小于1/1.8英寸（以公安部检验报告为准）</w:t>
            </w:r>
          </w:p>
          <w:p w14:paraId="5FA3A573">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★视频分辨率与帧率不小于2560×1440、25帧/秒（以公安部检验报告为准）</w:t>
            </w:r>
          </w:p>
          <w:p w14:paraId="30D5428F">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★内置GPU芯片（以公安部检验报告为准）</w:t>
            </w:r>
          </w:p>
          <w:p w14:paraId="0B83A81D">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支持32倍光学变倍，镜头最大焦距不小于192mm（以公安部检验报告为准）</w:t>
            </w:r>
          </w:p>
          <w:p w14:paraId="3DE38EC8">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红外距离不小于250米（以公安部检验报告为准）</w:t>
            </w:r>
          </w:p>
          <w:p w14:paraId="1E1B6283">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★设备进行违法停车检测时，镜头倍率为1倍情况下，白天有效检测距离最大为150m，其他倍率下， 白天有效检测最大距离为300米（以公安部检验报告为准）</w:t>
            </w:r>
          </w:p>
          <w:p w14:paraId="0891BD0C">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★设备可对监控画面中不小于30个人脸进行检测、跟踪和抓拍（以公安部检验报告为准）</w:t>
            </w:r>
          </w:p>
          <w:p w14:paraId="74EE8762">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★最低照度可达彩色0.0002 lx，黑白0.0001 lx（以公安部检验报告为准）</w:t>
            </w:r>
          </w:p>
          <w:p w14:paraId="7E9E08D3">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★摄像机可对镜头前盖玻璃进行加热（以公安部检验报告为准）</w:t>
            </w:r>
          </w:p>
          <w:p w14:paraId="57E1DBEA">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★设备检测非法摆摊后，可联动人脸抓拍，并支持自动变倍抓拍人脸（以公安部检验报告为准）</w:t>
            </w:r>
          </w:p>
          <w:p w14:paraId="226F1661">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设备具有12种智能分析算法可选，可显示智能分析规则类型为非法摆摊（游摊小贩）、店外经营、占道经营、乱堆物料、非机动车乱停放、违规户外广告、打包垃圾、违规撑伞、垃圾箱满溢、暴露垃圾、沿街晾晒、道路积水。（以公安部检验报告为准）</w:t>
            </w:r>
          </w:p>
          <w:p w14:paraId="303690E6">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★水平旋转范围为360°连续旋转，垂直旋转范围为-20°~90°（以公安部检验报告为准）</w:t>
            </w:r>
          </w:p>
          <w:p w14:paraId="15B059F8">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★支持7路报警输入，2路报警输出，支持1路音频输入和1路音频输出（以公安部检验报告为准）</w:t>
            </w:r>
          </w:p>
          <w:p w14:paraId="62D57E52">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★设备支持违法取证图片单张上传或者多张合成上传，合成图片的数量（1-6张可选）可配置（以公安部检验报告为准）</w:t>
            </w:r>
          </w:p>
          <w:p w14:paraId="246D1849">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★支持违法停车抓拍功能，白天和晚上违法停车捕获率、捕获有效率均不小于98%（以公安部检验报告为准）</w:t>
            </w:r>
          </w:p>
          <w:p w14:paraId="2D5E5ED4">
            <w:pPr>
              <w:keepNext w:val="0"/>
              <w:keepLines w:val="0"/>
              <w:widowControl/>
              <w:suppressLineNumbers w:val="0"/>
              <w:shd w:val="clear"/>
              <w:spacing w:before="0" w:beforeAutospacing="0" w:after="0" w:afterAutospacing="0"/>
              <w:ind w:left="0" w:right="0"/>
              <w:jc w:val="both"/>
              <w:textAlignment w:val="center"/>
              <w:rPr>
                <w:rFonts w:hint="eastAsia" w:eastAsia="仿宋"/>
                <w:color w:val="auto"/>
                <w:highlight w:val="none"/>
                <w:lang w:eastAsia="zh-CN"/>
              </w:rPr>
            </w:pPr>
            <w:r>
              <w:rPr>
                <w:rFonts w:hint="eastAsia" w:ascii="仿宋" w:hAnsi="仿宋" w:eastAsia="仿宋" w:cs="宋体"/>
                <w:color w:val="auto"/>
                <w:sz w:val="24"/>
                <w:szCs w:val="24"/>
                <w:highlight w:val="none"/>
              </w:rPr>
              <w:t>★须稳定接入一期已建存储系统</w:t>
            </w:r>
            <w:r>
              <w:rPr>
                <w:rFonts w:hint="eastAsia" w:ascii="仿宋" w:hAnsi="仿宋" w:eastAsia="仿宋" w:cs="宋体"/>
                <w:color w:val="auto"/>
                <w:sz w:val="24"/>
                <w:szCs w:val="24"/>
                <w:highlight w:val="none"/>
                <w:lang w:eastAsia="zh-CN"/>
              </w:rPr>
              <w:t>。</w:t>
            </w:r>
          </w:p>
        </w:tc>
      </w:tr>
      <w:tr w14:paraId="6025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shd w:val="clear" w:color="auto" w:fill="auto"/>
            <w:vAlign w:val="center"/>
          </w:tcPr>
          <w:p w14:paraId="3B8DC8D6">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宋体"/>
                <w:color w:val="auto"/>
                <w:kern w:val="0"/>
                <w:sz w:val="24"/>
                <w:szCs w:val="24"/>
                <w:highlight w:val="none"/>
                <w:lang w:val="en-US" w:eastAsia="zh-CN" w:bidi="ar"/>
              </w:rPr>
            </w:pPr>
            <w:r>
              <w:rPr>
                <w:rFonts w:hint="eastAsia" w:ascii="仿宋" w:hAnsi="仿宋" w:eastAsia="仿宋" w:cs="宋体"/>
                <w:color w:val="auto"/>
                <w:kern w:val="0"/>
                <w:sz w:val="24"/>
                <w:szCs w:val="24"/>
                <w:highlight w:val="none"/>
                <w:lang w:val="en-US" w:eastAsia="zh-CN" w:bidi="ar"/>
              </w:rPr>
              <w:t>2</w:t>
            </w:r>
          </w:p>
        </w:tc>
        <w:tc>
          <w:tcPr>
            <w:tcW w:w="1383" w:type="dxa"/>
            <w:shd w:val="clear" w:color="auto" w:fill="FFFFFF"/>
            <w:vAlign w:val="center"/>
          </w:tcPr>
          <w:p w14:paraId="7F2A0248">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eastAsia="zh-CN"/>
              </w:rPr>
              <w:t>高清智能球机</w:t>
            </w:r>
            <w:r>
              <w:rPr>
                <w:rFonts w:hint="eastAsia" w:ascii="仿宋" w:hAnsi="仿宋" w:eastAsia="仿宋" w:cs="宋体"/>
                <w:color w:val="auto"/>
                <w:sz w:val="24"/>
                <w:szCs w:val="24"/>
                <w:highlight w:val="none"/>
                <w:lang w:val="en-US" w:eastAsia="zh-CN"/>
              </w:rPr>
              <w:t>2</w:t>
            </w:r>
          </w:p>
        </w:tc>
        <w:tc>
          <w:tcPr>
            <w:tcW w:w="6726" w:type="dxa"/>
            <w:shd w:val="clear" w:color="auto" w:fill="auto"/>
            <w:vAlign w:val="center"/>
          </w:tcPr>
          <w:p w14:paraId="084DBFFB">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25倍，随动喇叭震慑，城管枪球；</w:t>
            </w:r>
          </w:p>
          <w:p w14:paraId="025C2EC7">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400万+600万臻全彩拼接版扩音枪球一体机；</w:t>
            </w:r>
          </w:p>
          <w:p w14:paraId="319DE8B9">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全景采用2个F1.0大光圈全彩镜头，可输出190°大场景拼接画面；</w:t>
            </w:r>
          </w:p>
          <w:p w14:paraId="128A6D2C">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内置两个大功率喇叭，喇叭可随细节球机360°同步旋转，警戒音距离可达100m 60dB，声音内容可选；</w:t>
            </w:r>
          </w:p>
          <w:p w14:paraId="2EF81418">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内置MIC，可判断喇叭是否正常工作；</w:t>
            </w:r>
          </w:p>
          <w:p w14:paraId="512C8ABD">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支持声光警戒，报警联动白光闪烁报警和声音报警，声音内容可选；</w:t>
            </w:r>
          </w:p>
          <w:p w14:paraId="235C6F7A">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支持检测游摊小贩、店外经营、乱堆物料、占道经营、非机动车乱停放、违规户外广告、打包垃圾、违规撑伞、垃圾箱满溢、暴露垃圾、沿街晾晒、道路积水12种不规范现象并联动报警抓拍；</w:t>
            </w:r>
          </w:p>
          <w:p w14:paraId="5F308217">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支持机动车违停检测；</w:t>
            </w:r>
          </w:p>
          <w:p w14:paraId="3E678E95">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支持游摊小贩、占道经营，关联游摊小贩和占道经营事件检测；</w:t>
            </w:r>
          </w:p>
          <w:p w14:paraId="34C7A9A7">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支持高效补光阵列，细节红外照射距离最远可达250 m，全景白光照射距离最远可达50 m；</w:t>
            </w:r>
          </w:p>
          <w:p w14:paraId="6A075D49">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支持7路报警输入，2路报警输出  ；</w:t>
            </w:r>
          </w:p>
          <w:p w14:paraId="66F1C2D8">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内置Micro SD卡插槽，支持Micro SD/Micro SDHC/Micro SDXC卡，最大支持512 GB  ；</w:t>
            </w:r>
          </w:p>
          <w:p w14:paraId="5743F6D9">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支持GB35114A级安全加密；</w:t>
            </w:r>
          </w:p>
          <w:p w14:paraId="089C793A">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IP67; 6000V 防雷、防浪涌、防突波，符合GB/T17626.2/3/4/5/6四级标准；</w:t>
            </w:r>
          </w:p>
          <w:p w14:paraId="4C102BD6">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传感器类型：【全景】1/1.8＂ progressive scan CMOS,【细节】1/1.8＂ progressive scan CMOS；</w:t>
            </w:r>
          </w:p>
          <w:p w14:paraId="51E61FA6">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设备具有12种智能分析算法可选，可显示智能分析规则类型为非法摆摊（游摊小贩）、店外经营、占道经营、乱堆物料、非机动车乱停放、违规户外广告、打包垃圾、违规撑伞、垃圾箱满溢、暴露垃圾、沿街晾晒、道路积水（提供公安部检验报告复印件并加盖原厂公章）；</w:t>
            </w:r>
          </w:p>
          <w:p w14:paraId="727E819D">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★设备检测非法摆摊后，可联动人脸抓拍，并支持自动变倍抓拍人脸（提供公安部检验报告复印件并加盖原厂公章）；</w:t>
            </w:r>
          </w:p>
          <w:p w14:paraId="5C575398">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★由2个全景摄像机和1个细节摄像机组成，可同时输出2路全景和1路细节视频图像（提供公安部检验报告复印件并加盖原厂公章）；</w:t>
            </w:r>
          </w:p>
          <w:p w14:paraId="661A3E23">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★须稳定接入一期已建存储系统。</w:t>
            </w:r>
          </w:p>
        </w:tc>
      </w:tr>
      <w:tr w14:paraId="3017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shd w:val="clear" w:color="auto" w:fill="auto"/>
            <w:vAlign w:val="center"/>
          </w:tcPr>
          <w:p w14:paraId="609634AA">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val="en-US" w:eastAsia="zh-CN" w:bidi="ar"/>
              </w:rPr>
              <w:t>3</w:t>
            </w:r>
          </w:p>
        </w:tc>
        <w:tc>
          <w:tcPr>
            <w:tcW w:w="1383" w:type="dxa"/>
            <w:shd w:val="clear" w:color="auto" w:fill="auto"/>
            <w:vAlign w:val="center"/>
          </w:tcPr>
          <w:p w14:paraId="6B4A0A77">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kern w:val="0"/>
                <w:sz w:val="24"/>
                <w:szCs w:val="24"/>
                <w:highlight w:val="none"/>
                <w:lang w:val="en-US" w:eastAsia="zh-CN" w:bidi="ar"/>
              </w:rPr>
            </w:pPr>
            <w:r>
              <w:rPr>
                <w:rFonts w:hint="eastAsia" w:ascii="仿宋" w:hAnsi="仿宋" w:eastAsia="仿宋" w:cs="宋体"/>
                <w:color w:val="auto"/>
                <w:kern w:val="0"/>
                <w:sz w:val="24"/>
                <w:szCs w:val="24"/>
                <w:highlight w:val="none"/>
                <w:lang w:bidi="ar"/>
              </w:rPr>
              <w:t>智</w:t>
            </w:r>
            <w:r>
              <w:rPr>
                <w:rFonts w:hint="eastAsia" w:ascii="仿宋" w:hAnsi="仿宋" w:eastAsia="仿宋" w:cs="宋体"/>
                <w:color w:val="auto"/>
                <w:kern w:val="0"/>
                <w:sz w:val="24"/>
                <w:szCs w:val="24"/>
                <w:highlight w:val="none"/>
                <w:lang w:eastAsia="zh-CN" w:bidi="ar"/>
              </w:rPr>
              <w:t>能</w:t>
            </w:r>
            <w:r>
              <w:rPr>
                <w:rFonts w:hint="eastAsia" w:ascii="仿宋" w:hAnsi="仿宋" w:eastAsia="仿宋" w:cs="宋体"/>
                <w:color w:val="auto"/>
                <w:kern w:val="0"/>
                <w:sz w:val="24"/>
                <w:szCs w:val="24"/>
                <w:highlight w:val="none"/>
                <w:lang w:bidi="ar"/>
              </w:rPr>
              <w:t>筒型摄像机</w:t>
            </w:r>
            <w:r>
              <w:rPr>
                <w:rFonts w:hint="eastAsia" w:ascii="仿宋" w:hAnsi="仿宋" w:eastAsia="仿宋" w:cs="宋体"/>
                <w:color w:val="auto"/>
                <w:kern w:val="0"/>
                <w:sz w:val="24"/>
                <w:szCs w:val="24"/>
                <w:highlight w:val="none"/>
                <w:lang w:val="en-US" w:eastAsia="zh-CN" w:bidi="ar"/>
              </w:rPr>
              <w:t>1</w:t>
            </w:r>
          </w:p>
        </w:tc>
        <w:tc>
          <w:tcPr>
            <w:tcW w:w="6726" w:type="dxa"/>
            <w:shd w:val="clear" w:color="auto" w:fill="auto"/>
            <w:vAlign w:val="center"/>
          </w:tcPr>
          <w:p w14:paraId="1FCEF226">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分辨率设置为2560×1440@25fps，分辨力不小于1400TVL。（公安部检验报告证明）</w:t>
            </w:r>
          </w:p>
          <w:p w14:paraId="1C6C6363">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内置2.7~13.5mm镜头，支持电动变焦。（公安部检验报告证明）</w:t>
            </w:r>
          </w:p>
          <w:p w14:paraId="3D6C7D57">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最低照度彩色不大于0.0002lx，黑白不大于0.0001lx。（公安部检验报告证明）</w:t>
            </w:r>
          </w:p>
          <w:p w14:paraId="0ED3BF1E">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宽动态能力不小于120dB。（公安部检验报告证明）</w:t>
            </w:r>
          </w:p>
          <w:p w14:paraId="1A970DAB">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支持H.264、H.265、MJPEG视频编码格式，且具有HighProfile编码能力。（公安部检验报告证明）</w:t>
            </w:r>
          </w:p>
          <w:p w14:paraId="24326551">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信噪比不小于58dB。（公安部检验报告证明）</w:t>
            </w:r>
          </w:p>
          <w:p w14:paraId="15164F2D">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需支持三码流技术，主码流分辨率不小于2560x1440@25fps，子码流不小于704x576@25fps，第三码流不小于1920x1080@25fps。（公安部检验报告证明）</w:t>
            </w:r>
          </w:p>
          <w:p w14:paraId="00302090">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需具备智能分析抗干扰功能，当篮球、小狗、树摇晃等情况经过检测区域时，不会触发报警。（公安部检验报告证明）</w:t>
            </w:r>
          </w:p>
          <w:p w14:paraId="04AF51A2">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支持捕获、识别新能源汽车专用号牌。（公安部检验报告证明）</w:t>
            </w:r>
          </w:p>
          <w:p w14:paraId="64ADB3C7">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同一静止场景相同图像质量下，设备在H.265编码方式时，开启智能编码功能和不开启智能编码相比，码率节约80%。（公安部检验报告证明）</w:t>
            </w:r>
          </w:p>
          <w:p w14:paraId="255EF5C2">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内置2个麦克风、1个扬声器。（公安部检验报告证明）</w:t>
            </w:r>
          </w:p>
          <w:p w14:paraId="0842BCDC">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★具备4颗补光灯，灯杯为鳞片状，补光灯开启后，正面不可见补光灯灯珠。（公安部检验报告证明）</w:t>
            </w:r>
          </w:p>
          <w:p w14:paraId="36A7976D">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★当补光灯打开时，补光亮度应均匀，无明显波纹状、圆环状、麻点状、条纹状及不规则亮斑。（公安部检验报告证明）</w:t>
            </w:r>
          </w:p>
          <w:p w14:paraId="2D48B10A">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★设备具有耀光抑制功能，耀光区域≤1%。（公安部检验报告证明）</w:t>
            </w:r>
          </w:p>
          <w:p w14:paraId="0AE1E35E">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需支持IP67防尘防水。（公安部检验报告证明）</w:t>
            </w:r>
          </w:p>
          <w:p w14:paraId="6EA2C053">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需同时支持DC12V和POE供电，且在不小于DC12V±30%范围内变化时可以正常工作。（公安部检验报告证明）</w:t>
            </w:r>
          </w:p>
          <w:p w14:paraId="7B1C870D">
            <w:pPr>
              <w:pStyle w:val="2"/>
              <w:keepNext w:val="0"/>
              <w:keepLines w:val="0"/>
              <w:suppressLineNumbers w:val="0"/>
              <w:shd w:val="clear"/>
              <w:spacing w:before="0" w:beforeAutospacing="0" w:after="0" w:afterAutospacing="0"/>
              <w:ind w:left="0" w:leftChars="0" w:right="0" w:firstLine="0" w:firstLineChars="0"/>
              <w:rPr>
                <w:rFonts w:hint="eastAsia" w:eastAsia="仿宋"/>
                <w:color w:val="auto"/>
                <w:highlight w:val="none"/>
                <w:lang w:val="en-US" w:eastAsia="zh-CN"/>
              </w:rPr>
            </w:pPr>
            <w:r>
              <w:rPr>
                <w:rFonts w:hint="eastAsia" w:ascii="仿宋" w:hAnsi="仿宋" w:eastAsia="仿宋" w:cs="宋体"/>
                <w:color w:val="auto"/>
                <w:kern w:val="0"/>
                <w:sz w:val="24"/>
                <w:szCs w:val="24"/>
                <w:highlight w:val="none"/>
                <w:lang w:eastAsia="zh-CN" w:bidi="ar"/>
              </w:rPr>
              <w:t>具有1个RS485接口、1个报警输入接口、1个报警输出接口、1个音频输入接口、1个音频输出接口。（公安部检验报告证明）</w:t>
            </w:r>
            <w:r>
              <w:rPr>
                <w:rFonts w:hint="eastAsia" w:ascii="仿宋" w:hAnsi="仿宋" w:eastAsia="仿宋" w:cs="宋体"/>
                <w:color w:val="auto"/>
                <w:sz w:val="24"/>
                <w:szCs w:val="24"/>
                <w:highlight w:val="none"/>
              </w:rPr>
              <w:t>★须稳定接入一期已建存储系统</w:t>
            </w:r>
            <w:r>
              <w:rPr>
                <w:rFonts w:hint="eastAsia" w:ascii="仿宋" w:hAnsi="仿宋" w:eastAsia="仿宋" w:cs="宋体"/>
                <w:color w:val="auto"/>
                <w:sz w:val="24"/>
                <w:szCs w:val="24"/>
                <w:highlight w:val="none"/>
                <w:lang w:eastAsia="zh-CN"/>
              </w:rPr>
              <w:t>。</w:t>
            </w:r>
          </w:p>
        </w:tc>
      </w:tr>
      <w:tr w14:paraId="6091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shd w:val="clear" w:color="auto" w:fill="auto"/>
            <w:vAlign w:val="center"/>
          </w:tcPr>
          <w:p w14:paraId="4C92686B">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kern w:val="0"/>
                <w:sz w:val="24"/>
                <w:szCs w:val="24"/>
                <w:highlight w:val="none"/>
                <w:lang w:val="en-US" w:eastAsia="zh-CN" w:bidi="ar"/>
              </w:rPr>
            </w:pPr>
            <w:r>
              <w:rPr>
                <w:rFonts w:hint="eastAsia" w:ascii="仿宋" w:hAnsi="仿宋" w:eastAsia="仿宋" w:cs="宋体"/>
                <w:color w:val="auto"/>
                <w:kern w:val="0"/>
                <w:sz w:val="24"/>
                <w:szCs w:val="24"/>
                <w:highlight w:val="none"/>
                <w:lang w:val="en-US" w:eastAsia="zh-CN" w:bidi="ar"/>
              </w:rPr>
              <w:t>4</w:t>
            </w:r>
          </w:p>
        </w:tc>
        <w:tc>
          <w:tcPr>
            <w:tcW w:w="1383" w:type="dxa"/>
            <w:shd w:val="clear" w:color="auto" w:fill="auto"/>
            <w:vAlign w:val="center"/>
          </w:tcPr>
          <w:p w14:paraId="351C68DA">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kern w:val="0"/>
                <w:sz w:val="24"/>
                <w:szCs w:val="24"/>
                <w:highlight w:val="none"/>
                <w:lang w:val="en-US" w:eastAsia="zh-CN" w:bidi="ar"/>
              </w:rPr>
            </w:pPr>
            <w:r>
              <w:rPr>
                <w:rFonts w:hint="eastAsia" w:ascii="仿宋" w:hAnsi="仿宋" w:eastAsia="仿宋" w:cs="宋体"/>
                <w:color w:val="auto"/>
                <w:kern w:val="0"/>
                <w:sz w:val="24"/>
                <w:szCs w:val="24"/>
                <w:highlight w:val="none"/>
                <w:lang w:bidi="ar"/>
              </w:rPr>
              <w:t>智</w:t>
            </w:r>
            <w:r>
              <w:rPr>
                <w:rFonts w:hint="eastAsia" w:ascii="仿宋" w:hAnsi="仿宋" w:eastAsia="仿宋" w:cs="宋体"/>
                <w:color w:val="auto"/>
                <w:kern w:val="0"/>
                <w:sz w:val="24"/>
                <w:szCs w:val="24"/>
                <w:highlight w:val="none"/>
                <w:lang w:eastAsia="zh-CN" w:bidi="ar"/>
              </w:rPr>
              <w:t>能</w:t>
            </w:r>
            <w:r>
              <w:rPr>
                <w:rFonts w:hint="eastAsia" w:ascii="仿宋" w:hAnsi="仿宋" w:eastAsia="仿宋" w:cs="宋体"/>
                <w:color w:val="auto"/>
                <w:kern w:val="0"/>
                <w:sz w:val="24"/>
                <w:szCs w:val="24"/>
                <w:highlight w:val="none"/>
                <w:lang w:bidi="ar"/>
              </w:rPr>
              <w:t>筒型摄像机</w:t>
            </w:r>
            <w:r>
              <w:rPr>
                <w:rFonts w:hint="eastAsia" w:ascii="仿宋" w:hAnsi="仿宋" w:eastAsia="仿宋" w:cs="宋体"/>
                <w:color w:val="auto"/>
                <w:kern w:val="0"/>
                <w:sz w:val="24"/>
                <w:szCs w:val="24"/>
                <w:highlight w:val="none"/>
                <w:lang w:val="en-US" w:eastAsia="zh-CN" w:bidi="ar"/>
              </w:rPr>
              <w:t>2</w:t>
            </w:r>
          </w:p>
        </w:tc>
        <w:tc>
          <w:tcPr>
            <w:tcW w:w="6726" w:type="dxa"/>
            <w:shd w:val="clear" w:color="auto" w:fill="auto"/>
            <w:vAlign w:val="center"/>
          </w:tcPr>
          <w:p w14:paraId="375519BF">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采用深度学习算法，以海量图片及视频资源为路基，通过机器自身提取目标特征，形成深层可供学习的图像。极大的提升了算法的检出率；</w:t>
            </w:r>
          </w:p>
          <w:p w14:paraId="4D19C97E">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支持智能资源模式切换：人脸抓拍、道路监控、Smart事件、人数统计、热度图；</w:t>
            </w:r>
          </w:p>
          <w:p w14:paraId="151694D3">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人脸抓拍模式：支持对运动人脸进行检测、抓拍，最多同时检测30张，支持快速抓拍模式和优选抓拍模式；</w:t>
            </w:r>
          </w:p>
          <w:p w14:paraId="283A5802">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道路监控模式：a)车辆检测：支持车牌识别并抓拍，车牌号码/车身颜色/车辆类型/车辆品牌，b)混行检测：检测正向或逆向行驶的车辆以及行人和非机动车，自动对车辆牌照进行识别，可以抓拍无车牌的车辆图片；</w:t>
            </w:r>
          </w:p>
          <w:p w14:paraId="7F032821">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Smart事件模式：越界侦测，区域入侵侦测，离开区域侦测，离开区域侦测，徘徊侦测，人员聚集侦测，快速运动侦测，停车侦测，物品拿取侦测，物品拿取侦测，场景变更侦测，音频陡升侦测，音频陡降侦测，音频有无侦测，虚焦侦测。其中越界侦测，区域入侵侦测，进入区域侦测，离开区域侦测为深度学习算法，支持联动声光预警</w:t>
            </w:r>
          </w:p>
          <w:p w14:paraId="51158B66">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人数统计模式：a)人员统计：支持实时报警，人数变化报警和拥堵等级变化报警，并支持人数异常和停留时间异常报警，b)异常行为识别：支持离岗检测，以及在离岗检测报警，c)区域关注度：支持区域人数检测、停留时长检测、实时数据上传，并支持区域人数分析和队列状态分析展示</w:t>
            </w:r>
          </w:p>
          <w:p w14:paraId="185F73A5">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热度图：支持设备上报和平台查询方式获取信息，并支持上报伪彩图背景大图；</w:t>
            </w:r>
          </w:p>
          <w:p w14:paraId="384219D9">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设备内置电动变焦镜头，操作便易，变焦过程平稳；</w:t>
            </w:r>
          </w:p>
          <w:p w14:paraId="38E497F9">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鳞镜补光：采用隐藏式灯珠设计，通过鳞甲密布排列形成的镜面反射出光，见光不见灯。增加发光面积，降低聚光效果，补光柔和均匀；</w:t>
            </w:r>
          </w:p>
          <w:p w14:paraId="26AD412E">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支持电量检测：支持设备功耗检测，支持设备功耗报表展示，报表类型支持日报表和周报表（默认日报表，单位瓦时（W·h））；</w:t>
            </w:r>
          </w:p>
          <w:p w14:paraId="6EFA2D2B">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Smart录像：支持断网续传功能保证录像不丢失，配合Smart NVR/SD卡实现事件录像的智能后检索、分析和浓缩播放，Smart编码：支持低码率、低延时、ROI感兴趣区域增强编码、SVC自适应编码技术，支持Smart265编码；</w:t>
            </w:r>
          </w:p>
          <w:p w14:paraId="07D014DE">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设备内置2个麦克风，内置1个扬声器，支持语音对讲</w:t>
            </w:r>
          </w:p>
          <w:p w14:paraId="5C0F7D6F">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支持标准的512 GB MicroSD/MicroSDHC/MicroSDXC卡存储，支持10 M/100 M自适应网口；</w:t>
            </w:r>
          </w:p>
          <w:p w14:paraId="2282B67E">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最高分辨率可达600万像素，并在此分辨率下可输出30 fps实时图像，图像更流畅，支持透雾、电子防抖，支持宽动态120 dB；</w:t>
            </w:r>
          </w:p>
          <w:p w14:paraId="7A12FC89">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音频：2路输入，1路输出；报警：3路输入，2路输出；</w:t>
            </w:r>
          </w:p>
          <w:p w14:paraId="02480A90">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支持开放型网络视频接口，ISAPI，GB/T28181-2016，OTAP，ISUP5.0，视图库；</w:t>
            </w:r>
          </w:p>
          <w:p w14:paraId="075A01A2">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支持三码流技术，支持同时20路取流；</w:t>
            </w:r>
          </w:p>
          <w:p w14:paraId="4984181B">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支持三级用户权限管理，支持授权的用户和密码，支持IP地址过滤；</w:t>
            </w:r>
          </w:p>
          <w:p w14:paraId="5C86C0D8">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焦距&amp;视场角：2.7~13.5 mm：水平视场角：104°~41.2°，垂直视场角：54.2°~23.1°，对角视场角：126.5°-47.3°；</w:t>
            </w:r>
          </w:p>
          <w:p w14:paraId="66D8B658">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音频：2路输入（Line in），1路输出（Line out），2个内置麦克风，1个内置扬声器；</w:t>
            </w:r>
          </w:p>
          <w:p w14:paraId="559430D8">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报警：3路输入，2路输出（报警输入支持开关量，报警输出最大支持DC12 V，30 mA）；</w:t>
            </w:r>
          </w:p>
          <w:p w14:paraId="1211A915">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宋体"/>
                <w:color w:val="auto"/>
                <w:kern w:val="0"/>
                <w:sz w:val="24"/>
                <w:szCs w:val="24"/>
                <w:highlight w:val="none"/>
                <w:lang w:eastAsia="zh-CN" w:bidi="ar"/>
              </w:rPr>
              <w:t>★同一静止场景相同图像质量下，设备在H.265编码方式时，开启智能编码功能和不开启智能编码相比，码率节约1/2（提供公安部检验报告复印件并加盖原厂公章）；</w:t>
            </w:r>
          </w:p>
          <w:p w14:paraId="692363A3">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kern w:val="0"/>
                <w:sz w:val="24"/>
                <w:szCs w:val="24"/>
                <w:highlight w:val="none"/>
                <w:lang w:eastAsia="zh-CN" w:bidi="ar"/>
              </w:rPr>
            </w:pPr>
            <w:r>
              <w:rPr>
                <w:rFonts w:hint="eastAsia" w:ascii="仿宋" w:hAnsi="仿宋" w:eastAsia="仿宋" w:cs="Times New Roman"/>
                <w:color w:val="auto"/>
                <w:szCs w:val="21"/>
                <w:highlight w:val="none"/>
              </w:rPr>
              <w:t>★须稳定接入一期已建存储系统</w:t>
            </w:r>
          </w:p>
        </w:tc>
      </w:tr>
      <w:tr w14:paraId="4D6E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shd w:val="clear" w:color="auto" w:fill="auto"/>
            <w:vAlign w:val="center"/>
          </w:tcPr>
          <w:p w14:paraId="6B296920">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kern w:val="0"/>
                <w:sz w:val="24"/>
                <w:szCs w:val="24"/>
                <w:highlight w:val="none"/>
                <w:lang w:val="en-US" w:eastAsia="zh-CN" w:bidi="ar"/>
              </w:rPr>
            </w:pPr>
            <w:r>
              <w:rPr>
                <w:rFonts w:hint="eastAsia" w:ascii="仿宋" w:hAnsi="仿宋" w:eastAsia="仿宋" w:cs="宋体"/>
                <w:color w:val="auto"/>
                <w:kern w:val="0"/>
                <w:sz w:val="24"/>
                <w:szCs w:val="24"/>
                <w:highlight w:val="none"/>
                <w:lang w:val="en-US" w:eastAsia="zh-CN" w:bidi="ar"/>
              </w:rPr>
              <w:t>5</w:t>
            </w:r>
          </w:p>
        </w:tc>
        <w:tc>
          <w:tcPr>
            <w:tcW w:w="1383" w:type="dxa"/>
            <w:shd w:val="clear" w:color="auto" w:fill="auto"/>
            <w:vAlign w:val="center"/>
          </w:tcPr>
          <w:p w14:paraId="37F73C15">
            <w:pPr>
              <w:keepNext w:val="0"/>
              <w:keepLines w:val="0"/>
              <w:widowControl/>
              <w:suppressLineNumbers w:val="0"/>
              <w:shd w:val="clear"/>
              <w:spacing w:before="0" w:beforeAutospacing="0" w:after="0" w:afterAutospacing="0"/>
              <w:ind w:left="0" w:right="0"/>
              <w:jc w:val="both"/>
              <w:textAlignment w:val="center"/>
              <w:rPr>
                <w:rFonts w:hint="default" w:ascii="仿宋" w:hAnsi="仿宋" w:eastAsia="仿宋" w:cs="宋体"/>
                <w:color w:val="auto"/>
                <w:kern w:val="0"/>
                <w:sz w:val="24"/>
                <w:szCs w:val="24"/>
                <w:highlight w:val="none"/>
                <w:lang w:val="en-US" w:eastAsia="zh-CN" w:bidi="ar"/>
              </w:rPr>
            </w:pPr>
            <w:r>
              <w:rPr>
                <w:rFonts w:hint="eastAsia" w:ascii="仿宋" w:hAnsi="仿宋" w:eastAsia="仿宋" w:cs="宋体"/>
                <w:color w:val="auto"/>
                <w:kern w:val="0"/>
                <w:sz w:val="24"/>
                <w:szCs w:val="24"/>
                <w:highlight w:val="none"/>
                <w:lang w:eastAsia="zh-CN" w:bidi="ar"/>
              </w:rPr>
              <w:t>智能球机</w:t>
            </w:r>
            <w:r>
              <w:rPr>
                <w:rFonts w:hint="eastAsia" w:ascii="仿宋" w:hAnsi="仿宋" w:eastAsia="仿宋" w:cs="宋体"/>
                <w:color w:val="auto"/>
                <w:kern w:val="0"/>
                <w:sz w:val="24"/>
                <w:szCs w:val="24"/>
                <w:highlight w:val="none"/>
                <w:lang w:val="en-US" w:eastAsia="zh-CN" w:bidi="ar"/>
              </w:rPr>
              <w:t>1</w:t>
            </w:r>
          </w:p>
        </w:tc>
        <w:tc>
          <w:tcPr>
            <w:tcW w:w="6726" w:type="dxa"/>
            <w:shd w:val="clear" w:color="auto" w:fill="auto"/>
            <w:vAlign w:val="center"/>
          </w:tcPr>
          <w:p w14:paraId="3789C6B9">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rPr>
              <w:t>★分辨力不小于1100线（分辨率设置为1920×1080，帧率设置为25fps、码率设置为4Mbps、RJ45输出），采用红外补光的球机：可识别距设备100m的人体轮廓（以公安部检验报告为准）</w:t>
            </w:r>
          </w:p>
          <w:p w14:paraId="65C35FD8">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rPr>
              <w:t>★支持23倍光学变焦，最大焦距110mm</w:t>
            </w:r>
          </w:p>
          <w:p w14:paraId="5A79A72F">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rPr>
              <w:t>最低照度：彩色≤0.005Lux，黑白模式≤0.001Lux（AGC ON、RJ45输出、应能分辨反射式视频矩阵测试卡中的彩色色块）（以公安部检验报告为准）</w:t>
            </w:r>
          </w:p>
          <w:p w14:paraId="02276309">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rPr>
              <w:t>球机水平手控速度不小于80°/S，垂直手控最大速度≥80°/S，云台定位精度小于等于0.1°（以公安部检验报告为准）</w:t>
            </w:r>
          </w:p>
          <w:p w14:paraId="1CC0D348">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rPr>
              <w:t>水平旋转范围为360°连续旋转，垂直旋转范围为-5°~90°</w:t>
            </w:r>
          </w:p>
          <w:p w14:paraId="158BA1C3">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rPr>
              <w:t>应具有300个预置位，设备可按照所设置的预置位完成8条巡航路径，可按照所设置轨迹完成4条模式路径；在控制云镜时，可实现RS485接口优先或RJ45网络接口优先控制功能（以公安部检验报告为准）</w:t>
            </w:r>
          </w:p>
          <w:p w14:paraId="2F0C4779">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rPr>
              <w:t>设备支持行为分析触发后联动聚焦等多种报警触发方式</w:t>
            </w:r>
          </w:p>
          <w:p w14:paraId="28F71219">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rPr>
              <w:t>可将视频图像存储至SD卡或客户端，支持SD卡热插拔，最大支持256G的SD卡；</w:t>
            </w:r>
          </w:p>
          <w:p w14:paraId="5C948EA0">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rPr>
              <w:t>设备符合IP66的规定，温度65℃、-30℃，持续时间24h，试验期间设备处于工作状态，过程中进行5次上下电，设备应能正常启动，试验后设备应能正常工作（以公安部检验报告为准）</w:t>
            </w:r>
          </w:p>
          <w:p w14:paraId="7BB58A6B">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lang w:eastAsia="zh-CN"/>
              </w:rPr>
            </w:pPr>
            <w:r>
              <w:rPr>
                <w:rFonts w:hint="eastAsia" w:ascii="仿宋" w:hAnsi="仿宋" w:eastAsia="仿宋" w:cs="Times New Roman"/>
                <w:color w:val="auto"/>
                <w:szCs w:val="21"/>
                <w:highlight w:val="none"/>
              </w:rPr>
              <w:t>★须稳定接入一期已建存储系统</w:t>
            </w:r>
          </w:p>
        </w:tc>
      </w:tr>
      <w:tr w14:paraId="3199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shd w:val="clear" w:color="auto" w:fill="auto"/>
            <w:vAlign w:val="center"/>
          </w:tcPr>
          <w:p w14:paraId="5090E4D3">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kern w:val="0"/>
                <w:sz w:val="24"/>
                <w:szCs w:val="24"/>
                <w:highlight w:val="none"/>
                <w:lang w:val="en-US" w:eastAsia="zh-CN" w:bidi="ar"/>
              </w:rPr>
            </w:pPr>
            <w:r>
              <w:rPr>
                <w:rFonts w:hint="eastAsia" w:ascii="仿宋" w:hAnsi="仿宋" w:eastAsia="仿宋" w:cs="宋体"/>
                <w:color w:val="auto"/>
                <w:kern w:val="0"/>
                <w:sz w:val="24"/>
                <w:szCs w:val="24"/>
                <w:highlight w:val="none"/>
                <w:lang w:val="en-US" w:eastAsia="zh-CN" w:bidi="ar"/>
              </w:rPr>
              <w:t>6</w:t>
            </w:r>
          </w:p>
        </w:tc>
        <w:tc>
          <w:tcPr>
            <w:tcW w:w="1383" w:type="dxa"/>
            <w:shd w:val="clear" w:color="auto" w:fill="auto"/>
            <w:vAlign w:val="center"/>
          </w:tcPr>
          <w:p w14:paraId="5C2B671A">
            <w:pPr>
              <w:keepNext w:val="0"/>
              <w:keepLines w:val="0"/>
              <w:widowControl/>
              <w:suppressLineNumbers w:val="0"/>
              <w:shd w:val="clear"/>
              <w:spacing w:before="0" w:beforeAutospacing="0" w:after="0" w:afterAutospacing="0"/>
              <w:ind w:left="0" w:right="0"/>
              <w:jc w:val="both"/>
              <w:textAlignment w:val="center"/>
              <w:rPr>
                <w:rFonts w:hint="default" w:ascii="仿宋" w:hAnsi="仿宋" w:eastAsia="仿宋" w:cs="宋体"/>
                <w:color w:val="auto"/>
                <w:kern w:val="0"/>
                <w:sz w:val="24"/>
                <w:szCs w:val="24"/>
                <w:highlight w:val="none"/>
                <w:lang w:val="en-US" w:eastAsia="zh-CN" w:bidi="ar"/>
              </w:rPr>
            </w:pPr>
            <w:r>
              <w:rPr>
                <w:rFonts w:hint="eastAsia" w:ascii="仿宋" w:hAnsi="仿宋" w:eastAsia="仿宋" w:cs="宋体"/>
                <w:color w:val="auto"/>
                <w:kern w:val="0"/>
                <w:sz w:val="24"/>
                <w:szCs w:val="24"/>
                <w:highlight w:val="none"/>
                <w:lang w:eastAsia="zh-CN" w:bidi="ar"/>
              </w:rPr>
              <w:t>智能球机</w:t>
            </w:r>
            <w:r>
              <w:rPr>
                <w:rFonts w:hint="eastAsia" w:ascii="仿宋" w:hAnsi="仿宋" w:eastAsia="仿宋" w:cs="宋体"/>
                <w:color w:val="auto"/>
                <w:kern w:val="0"/>
                <w:sz w:val="24"/>
                <w:szCs w:val="24"/>
                <w:highlight w:val="none"/>
                <w:lang w:val="en-US" w:eastAsia="zh-CN" w:bidi="ar"/>
              </w:rPr>
              <w:t>2</w:t>
            </w:r>
          </w:p>
        </w:tc>
        <w:tc>
          <w:tcPr>
            <w:tcW w:w="6726" w:type="dxa"/>
            <w:shd w:val="clear" w:color="auto" w:fill="auto"/>
            <w:vAlign w:val="center"/>
          </w:tcPr>
          <w:p w14:paraId="4D2E564F">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7寸400万23倍全彩智能球机；</w:t>
            </w:r>
          </w:p>
          <w:p w14:paraId="4E73AE67">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支持1/2.8" 400万23倍光学变焦镜头，采用高效补光阵列，低功耗，红外补光150 m，白光补光100 m；</w:t>
            </w:r>
          </w:p>
          <w:p w14:paraId="78FB17A0">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支持区域入侵侦测、越界侦测、进入区域侦测和离开区域侦等智能侦测并联动跟随；</w:t>
            </w:r>
          </w:p>
          <w:p w14:paraId="20A5ED6C">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适用于交通道路，广场、公园、出入口、园区周界等场景</w:t>
            </w:r>
          </w:p>
          <w:p w14:paraId="4DD34B95">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支持深度学习算法，提供精准的人车分类侦测、报警、联动球机镜头进行快速查看；</w:t>
            </w:r>
          </w:p>
          <w:p w14:paraId="2C16A21E">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支持切换为人脸抓拍模式，最大同时抓拍5张人脸；</w:t>
            </w:r>
          </w:p>
          <w:p w14:paraId="0BF8AB52">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支持人车检测信息叠加至码流，配合Smart NVR实现图搜或文搜的功能；</w:t>
            </w:r>
          </w:p>
          <w:p w14:paraId="64F99055">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内置加热玻璃，有效除雾；</w:t>
            </w:r>
          </w:p>
          <w:p w14:paraId="2DB07E2A">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支持最大2560 × 1440 @30 fps高清画面输出；</w:t>
            </w:r>
          </w:p>
          <w:p w14:paraId="45053E7F">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支持超低照度，0.005 Lux @F1.5（彩色），0.001 Lux @F1.5（黑白），0 Lux with IR；</w:t>
            </w:r>
          </w:p>
          <w:p w14:paraId="45D23080">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支持23倍光学变倍，16倍数字变倍；</w:t>
            </w:r>
          </w:p>
          <w:p w14:paraId="64D3078A">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支持ONVIF，ISAPI，GB28181-2022，SDK，ISUP（5.0），萤石；</w:t>
            </w:r>
          </w:p>
          <w:p w14:paraId="178386C4">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支持两进一出报警、一进一出音频、最大支持512 GB ；MicroSD卡存储；</w:t>
            </w:r>
          </w:p>
          <w:p w14:paraId="3DE13ACE">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传感器类型：1/2.8" Progressive Scan CMOS；</w:t>
            </w:r>
          </w:p>
          <w:p w14:paraId="404FFD50">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最低照度：彩色：0.005 Lux @ （F1.5，AGC ON）；黑白：0.001 Lux @（F1.5，AGC ON）；0 Lux with IR；</w:t>
            </w:r>
          </w:p>
          <w:p w14:paraId="2ACC92CA">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焦距：5.9 mm~135.7 mm，23倍光学变倍；</w:t>
            </w:r>
          </w:p>
          <w:p w14:paraId="7683FB79">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★可对监控画面中多个目标进行跟踪，并可显示移动目标的属性（人、车、其他），当移动目标进入监视画面时可报警上传，离开监视画面5s后解除报警（提供公安部检验报告复印件并加盖原厂公章）；</w:t>
            </w:r>
          </w:p>
          <w:p w14:paraId="43036183">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★须稳定接入一期已建存储系统。</w:t>
            </w:r>
          </w:p>
        </w:tc>
      </w:tr>
      <w:tr w14:paraId="54E7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shd w:val="clear" w:color="auto" w:fill="auto"/>
            <w:vAlign w:val="center"/>
          </w:tcPr>
          <w:p w14:paraId="75C8F31A">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kern w:val="0"/>
                <w:sz w:val="24"/>
                <w:szCs w:val="24"/>
                <w:highlight w:val="none"/>
                <w:lang w:val="en-US" w:eastAsia="zh-CN" w:bidi="ar"/>
              </w:rPr>
            </w:pPr>
            <w:r>
              <w:rPr>
                <w:rFonts w:hint="eastAsia" w:ascii="仿宋" w:hAnsi="仿宋" w:eastAsia="仿宋" w:cs="宋体"/>
                <w:color w:val="auto"/>
                <w:kern w:val="0"/>
                <w:sz w:val="24"/>
                <w:szCs w:val="24"/>
                <w:highlight w:val="none"/>
                <w:lang w:val="en-US" w:eastAsia="zh-CN" w:bidi="ar"/>
              </w:rPr>
              <w:t>7</w:t>
            </w:r>
          </w:p>
        </w:tc>
        <w:tc>
          <w:tcPr>
            <w:tcW w:w="1383" w:type="dxa"/>
            <w:shd w:val="clear" w:color="auto" w:fill="auto"/>
            <w:vAlign w:val="center"/>
          </w:tcPr>
          <w:p w14:paraId="67E1E99E">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宋体"/>
                <w:color w:val="auto"/>
                <w:kern w:val="0"/>
                <w:sz w:val="24"/>
                <w:szCs w:val="24"/>
                <w:highlight w:val="none"/>
                <w:lang w:val="en-US" w:eastAsia="zh-CN" w:bidi="ar"/>
              </w:rPr>
            </w:pPr>
            <w:r>
              <w:rPr>
                <w:rFonts w:hint="eastAsia" w:ascii="仿宋" w:hAnsi="仿宋" w:eastAsia="仿宋" w:cs="Times New Roman"/>
                <w:color w:val="auto"/>
                <w:szCs w:val="21"/>
                <w:highlight w:val="none"/>
              </w:rPr>
              <w:t>网络红外球机</w:t>
            </w:r>
            <w:r>
              <w:rPr>
                <w:rFonts w:hint="eastAsia" w:ascii="仿宋" w:hAnsi="仿宋" w:eastAsia="仿宋" w:cs="Times New Roman"/>
                <w:color w:val="auto"/>
                <w:szCs w:val="21"/>
                <w:highlight w:val="none"/>
                <w:lang w:val="en-US" w:eastAsia="zh-CN"/>
              </w:rPr>
              <w:t>1</w:t>
            </w:r>
          </w:p>
        </w:tc>
        <w:tc>
          <w:tcPr>
            <w:tcW w:w="6726" w:type="dxa"/>
            <w:shd w:val="clear" w:color="auto" w:fill="auto"/>
            <w:vAlign w:val="center"/>
          </w:tcPr>
          <w:p w14:paraId="01BC6316">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rPr>
              <w:t>★分辨力不小于1400线（分辨率设置为2560×1440，帧率设置为25fps、码率设置为6Mbps、RJ45输出），红外作用距离：可识别距设备100m的人体轮廓（以公安部检验报告为准）</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★支持23倍光学变焦，最大焦距110mm</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最低照度：彩色≤0.005Lux，黑白模式≤0.001Lux（AGC ON、RJ45输出、应能分辨反射式视频矩阵测试卡中的彩色色块）（以公安部检验报告为准）</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水平旋转范围为360°连续旋转，垂直旋转范围为-5°~90°</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应具有300个预置位，设备可按照所设置的预置位完成8条巡航路径，可按照所设置轨迹完成4条模式路径；在控制云镜时，可实现RS485接口优先或RJ45网络接口优先控制功能（以公安部检验报告为准）</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在丢包率为20%的网络环境下，仍可正常显示监视画面。（以公安部检验报告为准）</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可将视频图像存储至SD卡或客户端，支持SD卡热插拔，最大支持256GB</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设备应符合IP66的规定，温度65℃、-30℃，持续时间24h，试验期间设备处于工作状态，试验后设备应能正常工作（以公安部检验报告为准）</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电源电压在DC12V±30%范围内变化时，设备应能正常工作（以公安部检验报告为准）</w:t>
            </w:r>
            <w:r>
              <w:rPr>
                <w:rFonts w:hint="eastAsia" w:ascii="仿宋" w:hAnsi="仿宋" w:eastAsia="仿宋" w:cs="Times New Roman"/>
                <w:color w:val="auto"/>
                <w:szCs w:val="21"/>
                <w:highlight w:val="none"/>
              </w:rPr>
              <w:br w:type="textWrapping"/>
            </w:r>
            <w:r>
              <w:rPr>
                <w:rFonts w:hint="eastAsia" w:ascii="仿宋" w:hAnsi="仿宋" w:eastAsia="仿宋" w:cs="Times New Roman"/>
                <w:color w:val="auto"/>
                <w:szCs w:val="21"/>
                <w:highlight w:val="none"/>
              </w:rPr>
              <w:t>可对镜头前盖玻璃进行加热，去除玻璃上的冰状和水状附着物（以公安部检验报告为准）</w:t>
            </w:r>
          </w:p>
          <w:p w14:paraId="23043EC7">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Times New Roman"/>
                <w:color w:val="auto"/>
                <w:szCs w:val="21"/>
                <w:highlight w:val="none"/>
                <w:lang w:eastAsia="zh-CN"/>
              </w:rPr>
            </w:pPr>
            <w:r>
              <w:rPr>
                <w:rFonts w:hint="eastAsia" w:ascii="仿宋" w:hAnsi="仿宋" w:eastAsia="仿宋" w:cs="宋体"/>
                <w:color w:val="auto"/>
                <w:sz w:val="24"/>
                <w:szCs w:val="24"/>
                <w:highlight w:val="none"/>
              </w:rPr>
              <w:t>★须稳定接入一期已建存储系统</w:t>
            </w:r>
            <w:r>
              <w:rPr>
                <w:rFonts w:hint="eastAsia" w:ascii="仿宋" w:hAnsi="仿宋" w:eastAsia="仿宋" w:cs="宋体"/>
                <w:color w:val="auto"/>
                <w:sz w:val="24"/>
                <w:szCs w:val="24"/>
                <w:highlight w:val="none"/>
                <w:lang w:eastAsia="zh-CN"/>
              </w:rPr>
              <w:t>。</w:t>
            </w:r>
          </w:p>
        </w:tc>
      </w:tr>
      <w:tr w14:paraId="11F1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68" w:type="dxa"/>
            <w:shd w:val="clear" w:color="auto" w:fill="auto"/>
            <w:vAlign w:val="center"/>
          </w:tcPr>
          <w:p w14:paraId="7BA1FFA0">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宋体"/>
                <w:color w:val="auto"/>
                <w:kern w:val="0"/>
                <w:sz w:val="24"/>
                <w:szCs w:val="24"/>
                <w:highlight w:val="none"/>
                <w:lang w:val="en-US" w:eastAsia="zh-CN" w:bidi="ar"/>
              </w:rPr>
            </w:pPr>
            <w:r>
              <w:rPr>
                <w:rFonts w:hint="eastAsia" w:ascii="仿宋" w:hAnsi="仿宋" w:eastAsia="仿宋" w:cs="宋体"/>
                <w:color w:val="auto"/>
                <w:kern w:val="0"/>
                <w:sz w:val="24"/>
                <w:szCs w:val="24"/>
                <w:highlight w:val="none"/>
                <w:lang w:val="en-US" w:eastAsia="zh-CN" w:bidi="ar"/>
              </w:rPr>
              <w:t>8</w:t>
            </w:r>
          </w:p>
        </w:tc>
        <w:tc>
          <w:tcPr>
            <w:tcW w:w="1383" w:type="dxa"/>
            <w:shd w:val="clear" w:color="auto" w:fill="auto"/>
            <w:vAlign w:val="center"/>
          </w:tcPr>
          <w:p w14:paraId="5853DD78">
            <w:pPr>
              <w:keepNext w:val="0"/>
              <w:keepLines w:val="0"/>
              <w:widowControl/>
              <w:suppressLineNumbers w:val="0"/>
              <w:shd w:val="clear"/>
              <w:spacing w:before="0" w:beforeAutospacing="0" w:after="0" w:afterAutospacing="0"/>
              <w:ind w:left="0" w:right="0"/>
              <w:jc w:val="both"/>
              <w:textAlignment w:val="center"/>
              <w:rPr>
                <w:rFonts w:hint="eastAsia" w:ascii="仿宋" w:hAnsi="仿宋" w:eastAsia="仿宋" w:cs="Times New Roman"/>
                <w:color w:val="auto"/>
                <w:szCs w:val="21"/>
                <w:highlight w:val="none"/>
                <w:lang w:val="en-US" w:eastAsia="zh-CN"/>
              </w:rPr>
            </w:pPr>
            <w:r>
              <w:rPr>
                <w:rFonts w:hint="eastAsia" w:ascii="仿宋" w:hAnsi="仿宋" w:eastAsia="仿宋" w:cs="Times New Roman"/>
                <w:color w:val="auto"/>
                <w:szCs w:val="21"/>
                <w:highlight w:val="none"/>
              </w:rPr>
              <w:t>网络红外球机</w:t>
            </w:r>
            <w:r>
              <w:rPr>
                <w:rFonts w:hint="eastAsia" w:ascii="仿宋" w:hAnsi="仿宋" w:eastAsia="仿宋" w:cs="Times New Roman"/>
                <w:color w:val="auto"/>
                <w:szCs w:val="21"/>
                <w:highlight w:val="none"/>
                <w:lang w:val="en-US" w:eastAsia="zh-CN"/>
              </w:rPr>
              <w:t>2</w:t>
            </w:r>
          </w:p>
        </w:tc>
        <w:tc>
          <w:tcPr>
            <w:tcW w:w="6726" w:type="dxa"/>
            <w:shd w:val="clear" w:color="auto" w:fill="auto"/>
            <w:vAlign w:val="center"/>
          </w:tcPr>
          <w:p w14:paraId="2C969FCE">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7寸400万23倍网络红外球机</w:t>
            </w:r>
          </w:p>
          <w:p w14:paraId="7961A2D1">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支持区域入侵侦测，越界侦测，进入区域侦测和离开区域侦等智能侦测并联动跟踪</w:t>
            </w:r>
          </w:p>
          <w:p w14:paraId="19C72CD4">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采用高效补光阵列，低功耗，红外补光150 m</w:t>
            </w:r>
          </w:p>
          <w:p w14:paraId="2B4788D9">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内置加热玻璃，有效除雾</w:t>
            </w:r>
          </w:p>
          <w:p w14:paraId="6D57FB4F">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支持超低照度，0.005 Lux @F1.6（彩色），0.001 Lux @F1.6（黑白），0 Lux with IR</w:t>
            </w:r>
          </w:p>
          <w:p w14:paraId="61FDBE76">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支持23倍光学变倍，16倍数字变倍</w:t>
            </w:r>
          </w:p>
          <w:p w14:paraId="6AC12211">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支持三码流技术，每路码流可独立配置分辨率及帧率</w:t>
            </w:r>
          </w:p>
          <w:p w14:paraId="05E9A75B">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支持3D数字降噪，支持真宽动态</w:t>
            </w:r>
          </w:p>
          <w:p w14:paraId="432DCA84">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支持定时抓图与事件抓图功能</w:t>
            </w:r>
          </w:p>
          <w:p w14:paraId="0C1B2FD2">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支持定时任务，一键守望，一键巡航功能</w:t>
            </w:r>
          </w:p>
          <w:p w14:paraId="4406FCE4">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 xml:space="preserve"> 支持海康SDK，开放型网络视频接口，ISAPI，GB/T28181，ISUP，萤石</w:t>
            </w:r>
          </w:p>
          <w:p w14:paraId="25C1667E">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支持两进一出报警，一进一出音频，最大支持512 GB MicroSD卡存储</w:t>
            </w:r>
          </w:p>
          <w:p w14:paraId="77466C6F">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传感器类型：1/2.8＂ progressive scan CMOS</w:t>
            </w:r>
          </w:p>
          <w:p w14:paraId="5F30DEEF">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最低照度：彩色：0.005Lux @ (F1.6，AGC ON)；黑白：0.001Lux @(F1.6，AGC ON) ；0 Lux with IR</w:t>
            </w:r>
          </w:p>
          <w:p w14:paraId="2907C2C7">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宽动态：支持真宽动态</w:t>
            </w:r>
          </w:p>
          <w:p w14:paraId="69D3593F">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焦距：4.8 mm~110 mm，23倍光学变倍</w:t>
            </w:r>
          </w:p>
          <w:p w14:paraId="269A4DB7">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★设备支持接入壁装和吊装警戒配件，警戒配件支持声光警戒功能，当人或车辆进入警戒区域后，警戒配件可发出红蓝灯警示，蜂鸣器报警（提供公安部检验报告复印件并加盖原厂公章）；</w:t>
            </w:r>
          </w:p>
          <w:p w14:paraId="22203FFB">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★设备在专用聚焦模式下具有3种聚焦功能：前景聚焦、后景聚焦、区域聚焦（提供公安部检验报告复印件并加盖原厂公章）；</w:t>
            </w:r>
          </w:p>
          <w:p w14:paraId="5BF140FA">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★设备内置6颗补光灯和防雨帽檐、1个RJ45网络接口、1路音频输入接口、1路音频输出接口、2路报警输入接口、1个SD卡插槽。设备采用DC36V供电（提供公安部检验报告复印件并加盖原厂公章）；</w:t>
            </w:r>
          </w:p>
          <w:p w14:paraId="3B5114A6">
            <w:pPr>
              <w:pStyle w:val="2"/>
              <w:keepNext w:val="0"/>
              <w:keepLines w:val="0"/>
              <w:suppressLineNumbers w:val="0"/>
              <w:shd w:val="clear"/>
              <w:spacing w:before="0" w:beforeAutospacing="0" w:after="0" w:afterAutospacing="0"/>
              <w:ind w:left="0" w:leftChars="0" w:right="0" w:firstLine="0" w:firstLineChars="0"/>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★须稳定接入一期已建存储系统。</w:t>
            </w:r>
          </w:p>
        </w:tc>
      </w:tr>
    </w:tbl>
    <w:p w14:paraId="6B1F8AF7">
      <w:pPr>
        <w:pStyle w:val="2"/>
        <w:shd w:val="clear"/>
        <w:rPr>
          <w:rFonts w:hint="default"/>
          <w:b/>
          <w:bCs/>
          <w:color w:val="auto"/>
          <w:highlight w:val="none"/>
          <w:lang w:val="en-US" w:eastAsia="zh-CN"/>
        </w:rPr>
      </w:pPr>
      <w:r>
        <w:rPr>
          <w:rFonts w:hint="eastAsia" w:asciiTheme="minorEastAsia" w:hAnsiTheme="minorEastAsia" w:eastAsiaTheme="minorEastAsia" w:cstheme="minorEastAsia"/>
          <w:color w:val="auto"/>
          <w:kern w:val="0"/>
          <w:szCs w:val="21"/>
          <w:highlight w:val="none"/>
        </w:rPr>
        <w:t>▲</w:t>
      </w:r>
      <w:r>
        <w:rPr>
          <w:rFonts w:hint="eastAsia" w:ascii="宋体" w:hAnsi="宋体" w:cs="宋体"/>
          <w:b/>
          <w:bCs/>
          <w:color w:val="auto"/>
          <w:sz w:val="24"/>
          <w:szCs w:val="20"/>
          <w:highlight w:val="none"/>
          <w:lang w:val="en-US" w:eastAsia="zh-CN"/>
        </w:rPr>
        <w:t>注：投标人须承诺本次新建的前端设备确保能接入台州市智慧城管平台。</w:t>
      </w:r>
    </w:p>
    <w:p w14:paraId="7591D5A6">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left="0" w:leftChars="0" w:firstLine="0" w:firstLineChars="0"/>
        <w:jc w:val="both"/>
        <w:outlineLvl w:val="1"/>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w:t>
      </w:r>
      <w:r>
        <w:rPr>
          <w:rFonts w:hint="eastAsia" w:ascii="宋体" w:hAnsi="宋体" w:cs="宋体"/>
          <w:b/>
          <w:bCs/>
          <w:color w:val="auto"/>
          <w:kern w:val="2"/>
          <w:sz w:val="32"/>
          <w:szCs w:val="32"/>
          <w:highlight w:val="none"/>
          <w:lang w:val="en-US" w:eastAsia="zh-CN" w:bidi="ar-SA"/>
        </w:rPr>
        <w:t>三</w:t>
      </w:r>
      <w:r>
        <w:rPr>
          <w:rFonts w:hint="eastAsia" w:ascii="宋体" w:hAnsi="宋体" w:eastAsia="宋体" w:cs="宋体"/>
          <w:b/>
          <w:bCs/>
          <w:color w:val="auto"/>
          <w:kern w:val="2"/>
          <w:sz w:val="32"/>
          <w:szCs w:val="32"/>
          <w:highlight w:val="none"/>
          <w:lang w:val="en-US" w:eastAsia="zh-CN" w:bidi="ar-SA"/>
        </w:rPr>
        <w:t>）总体维保服务要求</w:t>
      </w:r>
    </w:p>
    <w:p w14:paraId="6035BB7A">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1、服务响应要求</w:t>
      </w:r>
    </w:p>
    <w:p w14:paraId="15B9538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包括电话和远程技术支持服务。现场技术支持服务两种</w:t>
      </w:r>
    </w:p>
    <w:p w14:paraId="327A9D5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(1)电话和远程技术支持响应</w:t>
      </w:r>
    </w:p>
    <w:p w14:paraId="16D800C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中标单位需提供固定人员及电话对接业主、服务销售等途径提出服务请求后，投标方工程师要及时与用户沟通，通过网络、电话等远程方式对服务范围内的设备进行故障诊断、恢复，硬件维修受理，技术咨询。本次选择7*24(周一到周日，每天24小时)服务级别。</w:t>
      </w:r>
    </w:p>
    <w:p w14:paraId="0BE857D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(2)现场技术支持响应</w:t>
      </w:r>
    </w:p>
    <w:p w14:paraId="1B0AA2F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中标单位需提供固定人员及电话对接业主、服务销售等途径提出现场服务请求或通过远程服务方式未能解决故障问题时，投标方要按照合同相应服务级别要求派遣工程师抵达用户现场提供现场系统故障诊断和处理、硬件故障诊断服务。本次选择7*24(周一到周日，每天24小时)服务级别。</w:t>
      </w:r>
    </w:p>
    <w:p w14:paraId="16F2A60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（3）响应时间要求</w:t>
      </w:r>
    </w:p>
    <w:p w14:paraId="649EEB8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电话响应：收到服务要求起15分钟内提供技术响应。</w:t>
      </w:r>
    </w:p>
    <w:p w14:paraId="6CD5028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现场响应：</w:t>
      </w:r>
    </w:p>
    <w:p w14:paraId="5B0CC9B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对于严重故障(影响用户方业务正常运作的故障)，应派遣工程师到现场做技术支持。</w:t>
      </w:r>
    </w:p>
    <w:p w14:paraId="368C17C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响应时间:15 分钟以内；</w:t>
      </w:r>
    </w:p>
    <w:p w14:paraId="21C5596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到场时间:接到故障通知后，2小时内到达现场；</w:t>
      </w:r>
    </w:p>
    <w:p w14:paraId="5E512D6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修复时间，到达用户现场后，24小时内恢复。</w:t>
      </w:r>
    </w:p>
    <w:p w14:paraId="4BF68C8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对于一般性故障(不影响用户方业务正常运作的故障)，应派遣工程师到现场做技术支持。</w:t>
      </w:r>
    </w:p>
    <w:p w14:paraId="477BF12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响应时间:15 分钟以内:</w:t>
      </w:r>
    </w:p>
    <w:p w14:paraId="0D1F449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到场时间:接到故障通知后，12小时内到达现场;</w:t>
      </w:r>
    </w:p>
    <w:p w14:paraId="68C22BE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修复时间:到达用户现场后，24小时内恢复。</w:t>
      </w:r>
    </w:p>
    <w:p w14:paraId="3226B880">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2、常规性维护服务</w:t>
      </w:r>
    </w:p>
    <w:p w14:paraId="2D38DCA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服务方须根据用户需要，作好如下维护服务工作:</w:t>
      </w:r>
    </w:p>
    <w:p w14:paraId="2810AF2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(1)用户系统计划性停机、重启。</w:t>
      </w:r>
    </w:p>
    <w:p w14:paraId="53DDE83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(2)用户软硬件系统更正性维护服务。</w:t>
      </w:r>
    </w:p>
    <w:p w14:paraId="0FD4BAD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(3)用户软硬件系统版本、补丁升级及与之相关的应用数据迁移，</w:t>
      </w:r>
    </w:p>
    <w:p w14:paraId="57A03AB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(4)针对服务器、磁盘阵列的性能运行情况，进行检测分析，判断是否需要更换或扩容。</w:t>
      </w:r>
    </w:p>
    <w:p w14:paraId="79A5C59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(5)制定周密的系统应急处理方案并验证其可靠性。</w:t>
      </w:r>
    </w:p>
    <w:p w14:paraId="45794F09">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3、定期巡检服务</w:t>
      </w:r>
    </w:p>
    <w:p w14:paraId="371D871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服务方须按明规范的流程定期对维保服务范围内的软硬件设备运行情况进行系统的检查，巡检内容包括机房环境、网络设备、服务器、盘阵列等。通过对设备关键检查点参数进行数据采集，并将采集到的数据与有关标准进行比较，从而确定相关设备所处的运行状态。本次项目要求服务方提供</w:t>
      </w:r>
      <w:r>
        <w:rPr>
          <w:rFonts w:hint="eastAsia" w:ascii="宋体" w:hAnsi="宋体" w:eastAsia="宋体" w:cs="宋体"/>
          <w:b w:val="0"/>
          <w:bCs w:val="0"/>
          <w:color w:val="auto"/>
          <w:sz w:val="24"/>
          <w:szCs w:val="20"/>
          <w:highlight w:val="none"/>
          <w:lang w:val="en-US" w:eastAsia="zh-CN"/>
        </w:rPr>
        <w:t>机房内每月不少于1次的巡检，前端点位</w:t>
      </w:r>
      <w:r>
        <w:rPr>
          <w:rFonts w:hint="eastAsia" w:ascii="宋体" w:hAnsi="宋体" w:eastAsia="宋体" w:cs="宋体"/>
          <w:color w:val="auto"/>
          <w:sz w:val="24"/>
          <w:szCs w:val="20"/>
          <w:highlight w:val="none"/>
          <w:lang w:val="en-US" w:eastAsia="zh-CN"/>
        </w:rPr>
        <w:t>每季度不少于1次巡检，并做好巡检内容和记录。对维保范围内的设备进行预防性维护，及时定位隐患并找出原因，通过预防性维护降低故障出现的概率，协助及时修订设备基本运维信息，保证资源信息库的准确有效，为快速业务恢复以及故障快速排除打下坚实基础。</w:t>
      </w:r>
    </w:p>
    <w:p w14:paraId="14D13F68">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4、应急故障处理服务</w:t>
      </w:r>
    </w:p>
    <w:p w14:paraId="35780F9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服务方接到故障通知电话后，应认真进行故障分析判定等准备工作，15分钟文内做出响应，2小时内赶赴现场提供现场服务。</w:t>
      </w:r>
    </w:p>
    <w:p w14:paraId="4F59316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针对用户方设备具体应用环境及业务要求，制定出设备在遇到重大故障时的应急处理预案，提出切实可行的备份切换方案及措施，确保生产业务能在最短时间内恢复正常</w:t>
      </w:r>
    </w:p>
    <w:p w14:paraId="04047DA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故障处理完毕7个工作日内，维保公司提供“故障分析报告”和“故障处理报告”</w:t>
      </w:r>
    </w:p>
    <w:p w14:paraId="34B87789">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5、备品备件服务</w:t>
      </w:r>
    </w:p>
    <w:p w14:paraId="5AACFCB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投标方在浙江省内拥有自主的备件库，并提供备件库地址。当发生严重故障时，备件送达现场时间不能超过</w:t>
      </w:r>
      <w:r>
        <w:rPr>
          <w:rFonts w:hint="eastAsia" w:ascii="宋体" w:hAnsi="宋体" w:cs="宋体"/>
          <w:color w:val="auto"/>
          <w:sz w:val="24"/>
          <w:szCs w:val="20"/>
          <w:highlight w:val="none"/>
          <w:lang w:val="en-US" w:eastAsia="zh-CN"/>
        </w:rPr>
        <w:t>24</w:t>
      </w:r>
      <w:r>
        <w:rPr>
          <w:rFonts w:hint="eastAsia" w:ascii="宋体" w:hAnsi="宋体" w:eastAsia="宋体" w:cs="宋体"/>
          <w:color w:val="auto"/>
          <w:sz w:val="24"/>
          <w:szCs w:val="20"/>
          <w:highlight w:val="none"/>
          <w:lang w:val="en-US" w:eastAsia="zh-CN"/>
        </w:rPr>
        <w:t>小时。根据所有可能发生的硬件故障，提整备件库，第一时间提供备件更换，并及时补充备件库。</w:t>
      </w:r>
    </w:p>
    <w:p w14:paraId="4CDC165A">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left="0" w:leftChars="0" w:firstLine="0" w:firstLineChars="0"/>
        <w:jc w:val="both"/>
        <w:outlineLvl w:val="1"/>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（五）其他要求</w:t>
      </w:r>
    </w:p>
    <w:p w14:paraId="3E5E7C3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1、服务过程中，成交人须做好工作人员的安全保障工作，做到安全、文明服务，若成交人服务过程中发生人身损害、财产损失等事故的，一切责任由成交人承担。发生事故后，成交人须 24小时内派负责人到场处置。由此造成损失的采购人有权向成交人追偿。</w:t>
      </w:r>
    </w:p>
    <w:p w14:paraId="08871BC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成交人须保证成交人及进场服务人员具备相应合法资质，持证上岗，服务人员须选择熟练工，并具备一定维保服务经验。若采购人发现成交人或其工作人员不具备相应资质的，有权解除合同并要求成交人承担相关损失及责任。</w:t>
      </w:r>
    </w:p>
    <w:p w14:paraId="5C5E747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3.成交人至少提供1名驻场人员专职负责本项目设备的后台技术维护、网络设备巡检、链路、设备配置及升级等工作。采购人将协助中标人共同监督管理驻场人员的日常出勤与工作情况，并根据规定进行考核。</w:t>
      </w:r>
    </w:p>
    <w:p w14:paraId="688DA10D">
      <w:pPr>
        <w:pStyle w:val="2"/>
        <w:shd w:val="clear"/>
        <w:rPr>
          <w:rFonts w:hint="default"/>
          <w:color w:val="auto"/>
          <w:highlight w:val="none"/>
          <w:lang w:val="en-US" w:eastAsia="zh-CN"/>
        </w:rPr>
      </w:pPr>
      <w:r>
        <w:rPr>
          <w:rFonts w:hint="eastAsia" w:ascii="宋体" w:hAnsi="宋体" w:cs="宋体"/>
          <w:color w:val="auto"/>
          <w:sz w:val="24"/>
          <w:szCs w:val="20"/>
          <w:highlight w:val="none"/>
          <w:lang w:val="en-US" w:eastAsia="zh-CN"/>
        </w:rPr>
        <w:t>4.投标人中标后，须在签订合同前提供所投前端设备的原厂质保函（原件），否则取消其中标资格。</w:t>
      </w:r>
    </w:p>
    <w:p w14:paraId="3AC4CF8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jc w:val="both"/>
        <w:outlineLvl w:val="0"/>
        <w:rPr>
          <w:rFonts w:hint="eastAsia" w:ascii="宋体" w:hAnsi="宋体" w:eastAsia="宋体" w:cs="宋体"/>
          <w:b/>
          <w:bCs/>
          <w:color w:val="auto"/>
          <w:kern w:val="44"/>
          <w:sz w:val="32"/>
          <w:szCs w:val="32"/>
          <w:highlight w:val="none"/>
          <w:lang w:val="en-US" w:eastAsia="zh-CN" w:bidi="ar-SA"/>
        </w:rPr>
      </w:pPr>
      <w:r>
        <w:rPr>
          <w:rFonts w:hint="eastAsia" w:ascii="宋体" w:hAnsi="宋体" w:eastAsia="宋体" w:cs="宋体"/>
          <w:b/>
          <w:bCs/>
          <w:color w:val="auto"/>
          <w:kern w:val="44"/>
          <w:sz w:val="32"/>
          <w:szCs w:val="32"/>
          <w:highlight w:val="none"/>
          <w:lang w:val="en-US" w:eastAsia="zh-CN" w:bidi="ar-SA"/>
        </w:rPr>
        <w:t>三、商务需求</w:t>
      </w:r>
    </w:p>
    <w:p w14:paraId="686D9B8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1.服务期:一年(每半年考核一次，服务期间保障各线条工作)。</w:t>
      </w:r>
    </w:p>
    <w:p w14:paraId="74654FA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2.服务地点:采购人指定地点</w:t>
      </w:r>
    </w:p>
    <w:p w14:paraId="7ACEE2D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3.履约保证金:无</w:t>
      </w:r>
    </w:p>
    <w:p w14:paraId="631961BB">
      <w:pPr>
        <w:keepNext w:val="0"/>
        <w:keepLines w:val="0"/>
        <w:pageBreakBefore w:val="0"/>
        <w:widowControl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付款方式：</w:t>
      </w:r>
      <w:r>
        <w:rPr>
          <w:rFonts w:hint="eastAsia" w:ascii="宋体" w:hAnsi="宋体" w:eastAsia="宋体" w:cs="宋体"/>
          <w:color w:val="auto"/>
          <w:sz w:val="24"/>
          <w:szCs w:val="24"/>
          <w:highlight w:val="none"/>
        </w:rPr>
        <w:t>合同签订7个工作日后支付合同金额的40%作为预付款，服务期开始满6个月且考核合格后支付合同金额的30%；服务期满且验收通过后支付剩余结算金额。（以上付款条件是在采购人所在地财政资金下达且收到供应商正式发票后7个工作日内支付）</w:t>
      </w:r>
      <w:r>
        <w:rPr>
          <w:rFonts w:hint="eastAsia" w:ascii="宋体" w:hAnsi="宋体" w:cs="宋体"/>
          <w:color w:val="auto"/>
          <w:sz w:val="24"/>
          <w:szCs w:val="24"/>
          <w:highlight w:val="none"/>
          <w:lang w:eastAsia="zh-CN"/>
        </w:rPr>
        <w:t>。</w:t>
      </w:r>
    </w:p>
    <w:p w14:paraId="4CECA3A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0"/>
          <w:highlight w:val="none"/>
          <w:lang w:val="en-US" w:eastAsia="zh-CN"/>
        </w:rPr>
      </w:pPr>
    </w:p>
    <w:p w14:paraId="596ACEE9">
      <w:pPr>
        <w:pStyle w:val="23"/>
        <w:shd w:val="clear"/>
        <w:rPr>
          <w:rFonts w:hint="eastAsia" w:ascii="宋体" w:hAnsi="宋体" w:eastAsia="宋体" w:cs="宋体"/>
          <w:b/>
          <w:color w:val="auto"/>
          <w:sz w:val="24"/>
          <w:szCs w:val="24"/>
          <w:highlight w:val="none"/>
          <w:lang w:val="en-US"/>
        </w:rPr>
      </w:pPr>
      <w:r>
        <w:rPr>
          <w:rFonts w:hint="eastAsia" w:ascii="宋体" w:hAnsi="宋体" w:eastAsia="宋体" w:cs="宋体"/>
          <w:b/>
          <w:bCs/>
          <w:color w:val="auto"/>
          <w:sz w:val="24"/>
          <w:szCs w:val="24"/>
          <w:highlight w:val="none"/>
        </w:rPr>
        <w:br w:type="page"/>
      </w:r>
    </w:p>
    <w:p w14:paraId="7F09393F">
      <w:pPr>
        <w:numPr>
          <w:ilvl w:val="0"/>
          <w:numId w:val="12"/>
        </w:numPr>
        <w:shd w:val="clea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政府采购合同主要条款指引</w:t>
      </w:r>
    </w:p>
    <w:p w14:paraId="4229D406">
      <w:pPr>
        <w:pStyle w:val="28"/>
        <w:shd w:val="clear"/>
        <w:snapToGrid w:val="0"/>
        <w:spacing w:before="120" w:after="120" w:line="360" w:lineRule="auto"/>
        <w:rPr>
          <w:rFonts w:hAnsi="宋体" w:cs="宋体"/>
          <w:color w:val="auto"/>
          <w:sz w:val="24"/>
          <w:highlight w:val="none"/>
        </w:rPr>
      </w:pPr>
      <w:r>
        <w:rPr>
          <w:rFonts w:hint="eastAsia" w:hAnsi="宋体" w:cs="宋体"/>
          <w:color w:val="auto"/>
          <w:sz w:val="24"/>
          <w:highlight w:val="none"/>
        </w:rPr>
        <w:t xml:space="preserve">甲方：（采购单位）                                                          </w:t>
      </w:r>
    </w:p>
    <w:p w14:paraId="72A3910A">
      <w:pPr>
        <w:pStyle w:val="28"/>
        <w:shd w:val="clear"/>
        <w:snapToGrid w:val="0"/>
        <w:spacing w:before="120" w:after="120" w:line="360" w:lineRule="auto"/>
        <w:rPr>
          <w:rFonts w:hAnsi="宋体" w:cs="宋体"/>
          <w:color w:val="auto"/>
          <w:sz w:val="24"/>
          <w:highlight w:val="none"/>
        </w:rPr>
      </w:pPr>
      <w:r>
        <w:rPr>
          <w:rFonts w:hint="eastAsia" w:hAnsi="宋体" w:cs="宋体"/>
          <w:color w:val="auto"/>
          <w:sz w:val="24"/>
          <w:highlight w:val="none"/>
        </w:rPr>
        <w:t xml:space="preserve">乙方：（中标供应商）                          </w:t>
      </w:r>
    </w:p>
    <w:p w14:paraId="45686830">
      <w:pPr>
        <w:widowControl/>
        <w:shd w:val="clear" w:color="auto"/>
        <w:spacing w:line="375" w:lineRule="atLeast"/>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甲、乙双方根据</w:t>
      </w:r>
      <w:r>
        <w:rPr>
          <w:rFonts w:hint="eastAsia" w:ascii="宋体" w:hAnsi="宋体" w:cs="宋体"/>
          <w:b/>
          <w:bCs/>
          <w:color w:val="auto"/>
          <w:sz w:val="24"/>
          <w:highlight w:val="none"/>
        </w:rPr>
        <w:t xml:space="preserve">      </w:t>
      </w:r>
      <w:r>
        <w:rPr>
          <w:rFonts w:hint="eastAsia" w:ascii="宋体" w:hAnsi="宋体" w:cs="宋体"/>
          <w:color w:val="auto"/>
          <w:sz w:val="24"/>
          <w:highlight w:val="none"/>
        </w:rPr>
        <w:t>公开招标的结果，签署本合同。</w:t>
      </w:r>
    </w:p>
    <w:p w14:paraId="487EA7AC">
      <w:pPr>
        <w:numPr>
          <w:ilvl w:val="0"/>
          <w:numId w:val="30"/>
        </w:numPr>
        <w:shd w:val="clear"/>
        <w:spacing w:line="360" w:lineRule="auto"/>
        <w:outlineLvl w:val="1"/>
        <w:rPr>
          <w:rFonts w:ascii="宋体"/>
          <w:b/>
          <w:color w:val="auto"/>
          <w:sz w:val="24"/>
          <w:highlight w:val="none"/>
          <w:lang w:val="zh-CN"/>
        </w:rPr>
      </w:pPr>
      <w:bookmarkStart w:id="4" w:name="_Toc14053"/>
      <w:bookmarkStart w:id="5" w:name="_Toc14348"/>
      <w:r>
        <w:rPr>
          <w:rFonts w:hint="eastAsia" w:ascii="宋体"/>
          <w:b/>
          <w:color w:val="auto"/>
          <w:sz w:val="24"/>
          <w:highlight w:val="none"/>
          <w:lang w:val="zh-CN"/>
        </w:rPr>
        <w:t>合同文件：</w:t>
      </w:r>
      <w:bookmarkEnd w:id="4"/>
      <w:bookmarkEnd w:id="5"/>
      <w:r>
        <w:rPr>
          <w:rFonts w:hint="eastAsia" w:ascii="宋体"/>
          <w:b/>
          <w:color w:val="auto"/>
          <w:sz w:val="24"/>
          <w:highlight w:val="none"/>
          <w:lang w:val="zh-CN"/>
        </w:rPr>
        <w:t xml:space="preserve"> </w:t>
      </w:r>
    </w:p>
    <w:p w14:paraId="068A6A30">
      <w:pPr>
        <w:numPr>
          <w:ilvl w:val="0"/>
          <w:numId w:val="31"/>
        </w:numPr>
        <w:shd w:val="clea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合同条款。</w:t>
      </w:r>
    </w:p>
    <w:p w14:paraId="708468B5">
      <w:pPr>
        <w:numPr>
          <w:ilvl w:val="0"/>
          <w:numId w:val="31"/>
        </w:numPr>
        <w:shd w:val="clea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中标通知书。</w:t>
      </w:r>
    </w:p>
    <w:p w14:paraId="70AE8325">
      <w:pPr>
        <w:numPr>
          <w:ilvl w:val="0"/>
          <w:numId w:val="31"/>
        </w:num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更正补充文件。</w:t>
      </w:r>
    </w:p>
    <w:p w14:paraId="57E186BB">
      <w:pPr>
        <w:numPr>
          <w:ilvl w:val="0"/>
          <w:numId w:val="31"/>
        </w:num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招标文件。</w:t>
      </w:r>
    </w:p>
    <w:p w14:paraId="4E45783C">
      <w:pPr>
        <w:numPr>
          <w:ilvl w:val="0"/>
          <w:numId w:val="31"/>
        </w:num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中标供应商投标文件。</w:t>
      </w:r>
    </w:p>
    <w:p w14:paraId="2B5CB610">
      <w:pPr>
        <w:numPr>
          <w:ilvl w:val="0"/>
          <w:numId w:val="31"/>
        </w:numPr>
        <w:shd w:val="clea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其他。</w:t>
      </w:r>
    </w:p>
    <w:p w14:paraId="2591D420">
      <w:pPr>
        <w:widowControl/>
        <w:shd w:val="clear" w:color="auto"/>
        <w:spacing w:after="150" w:line="375" w:lineRule="atLeast"/>
        <w:ind w:firstLine="480" w:firstLineChars="200"/>
        <w:jc w:val="left"/>
        <w:rPr>
          <w:rFonts w:hint="eastAsia" w:ascii="宋体" w:hAnsi="宋体" w:eastAsia="宋体" w:cs="宋体"/>
          <w:b/>
          <w:color w:val="auto"/>
          <w:kern w:val="0"/>
          <w:sz w:val="24"/>
          <w:highlight w:val="none"/>
        </w:rPr>
      </w:pPr>
      <w:r>
        <w:rPr>
          <w:rFonts w:hint="eastAsia" w:ascii="宋体" w:hAnsi="宋体" w:eastAsia="宋体" w:cs="宋体"/>
          <w:color w:val="auto"/>
          <w:sz w:val="24"/>
          <w:highlight w:val="none"/>
          <w:lang w:val="zh-CN"/>
        </w:rPr>
        <w:t>上述所指合同文件应认为是互相补充和解释的，但是有模棱两可或互相矛盾之处，以其所列内容顺序为准。</w:t>
      </w:r>
    </w:p>
    <w:p w14:paraId="2DF196CE">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二、合同内容及服务标准</w:t>
      </w:r>
    </w:p>
    <w:p w14:paraId="3C95C3A9">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（具体见项目需求）</w:t>
      </w:r>
    </w:p>
    <w:p w14:paraId="4D0EED4C">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三、合同金额</w:t>
      </w:r>
    </w:p>
    <w:p w14:paraId="3453D3D8">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本合同金额为（大写）：____________________________________元（￥_______________元）人民币。</w:t>
      </w:r>
    </w:p>
    <w:p w14:paraId="4F7D7F16">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四、甲乙双方责任</w:t>
      </w:r>
    </w:p>
    <w:p w14:paraId="78613772">
      <w:pPr>
        <w:keepNext w:val="0"/>
        <w:keepLines w:val="0"/>
        <w:pageBreakBefore w:val="0"/>
        <w:widowControl w:val="0"/>
        <w:suppressLineNumbers w:val="0"/>
        <w:shd w:val="clear"/>
        <w:kinsoku/>
        <w:wordWrap/>
        <w:overflowPunct/>
        <w:topLinePunct w:val="0"/>
        <w:bidi w:val="0"/>
        <w:spacing w:before="0" w:beforeAutospacing="0" w:after="0" w:afterAutospacing="0" w:line="570" w:lineRule="exact"/>
        <w:ind w:left="0" w:right="0" w:firstLine="480" w:firstLineChars="200"/>
        <w:jc w:val="both"/>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（一）甲方责任</w:t>
      </w:r>
    </w:p>
    <w:p w14:paraId="5B675BFA">
      <w:pPr>
        <w:keepNext w:val="0"/>
        <w:keepLines w:val="0"/>
        <w:pageBreakBefore w:val="0"/>
        <w:widowControl w:val="0"/>
        <w:suppressLineNumbers w:val="0"/>
        <w:shd w:val="clear"/>
        <w:kinsoku/>
        <w:wordWrap/>
        <w:overflowPunct/>
        <w:topLinePunct w:val="0"/>
        <w:bidi w:val="0"/>
        <w:spacing w:before="0" w:beforeAutospacing="0" w:after="0" w:afterAutospacing="0" w:line="570" w:lineRule="exact"/>
        <w:ind w:left="0" w:right="0" w:firstLine="480" w:firstLineChars="200"/>
        <w:jc w:val="both"/>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甲方根据合同规定及时支付合同款，为乙方提供必要的工作环境，积极配合乙方工作。</w:t>
      </w:r>
    </w:p>
    <w:p w14:paraId="31BA26D0">
      <w:pPr>
        <w:keepNext w:val="0"/>
        <w:keepLines w:val="0"/>
        <w:pageBreakBefore w:val="0"/>
        <w:widowControl w:val="0"/>
        <w:suppressLineNumbers w:val="0"/>
        <w:shd w:val="clear"/>
        <w:kinsoku/>
        <w:wordWrap/>
        <w:overflowPunct/>
        <w:topLinePunct w:val="0"/>
        <w:bidi w:val="0"/>
        <w:spacing w:before="0" w:beforeAutospacing="0" w:after="0" w:afterAutospacing="0" w:line="570" w:lineRule="exact"/>
        <w:ind w:left="0" w:right="0" w:firstLine="480" w:firstLineChars="200"/>
        <w:jc w:val="both"/>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（二）乙方责任</w:t>
      </w:r>
    </w:p>
    <w:p w14:paraId="3A28FD67">
      <w:pPr>
        <w:keepNext w:val="0"/>
        <w:keepLines w:val="0"/>
        <w:pageBreakBefore w:val="0"/>
        <w:widowControl w:val="0"/>
        <w:suppressLineNumbers w:val="0"/>
        <w:shd w:val="clear"/>
        <w:kinsoku/>
        <w:wordWrap/>
        <w:overflowPunct/>
        <w:topLinePunct w:val="0"/>
        <w:bidi w:val="0"/>
        <w:spacing w:before="0" w:beforeAutospacing="0" w:after="0" w:afterAutospacing="0" w:line="570" w:lineRule="exact"/>
        <w:ind w:left="0" w:right="0" w:firstLine="480" w:firstLineChars="200"/>
        <w:jc w:val="both"/>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1.乙方根据合同规定按时开展服务工作并保证工作质量。</w:t>
      </w:r>
    </w:p>
    <w:p w14:paraId="5CEC8341">
      <w:pPr>
        <w:keepNext w:val="0"/>
        <w:keepLines w:val="0"/>
        <w:pageBreakBefore w:val="0"/>
        <w:widowControl w:val="0"/>
        <w:suppressLineNumbers w:val="0"/>
        <w:shd w:val="clear"/>
        <w:kinsoku/>
        <w:wordWrap/>
        <w:overflowPunct/>
        <w:topLinePunct w:val="0"/>
        <w:bidi w:val="0"/>
        <w:spacing w:before="0" w:beforeAutospacing="0" w:after="0" w:afterAutospacing="0" w:line="570" w:lineRule="exact"/>
        <w:ind w:left="0" w:right="0" w:firstLine="480" w:firstLineChars="200"/>
        <w:jc w:val="both"/>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服务过程中，乙方须做好工作人员的安全保障工作，做到安全、文明服务，若乙方服务过程中发生人身损害、财产损失等事故的，一切责任由乙方承担。发生事故后，乙方须24小时内派负责人到场处置。甲方由此造成损失的，有权向乙方追偿。</w:t>
      </w:r>
    </w:p>
    <w:p w14:paraId="56FAA07D">
      <w:pPr>
        <w:keepNext w:val="0"/>
        <w:keepLines w:val="0"/>
        <w:pageBreakBefore w:val="0"/>
        <w:widowControl w:val="0"/>
        <w:suppressLineNumbers w:val="0"/>
        <w:shd w:val="clear"/>
        <w:kinsoku/>
        <w:wordWrap/>
        <w:overflowPunct/>
        <w:topLinePunct w:val="0"/>
        <w:bidi w:val="0"/>
        <w:snapToGrid w:val="0"/>
        <w:spacing w:before="0" w:beforeAutospacing="0" w:after="0" w:afterAutospacing="0" w:line="570" w:lineRule="exact"/>
        <w:ind w:left="0" w:right="0" w:firstLine="480" w:firstLineChars="200"/>
        <w:jc w:val="both"/>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乙方须保证乙方及进场服务人员具备相应合法资质，持证上岗，服务人员须选择熟练工，并具备一定维保服务经验。若甲方发现乙方或其工作人员不具备相应资质的，有权解除本合同并要求乙方承担相关损失及责任。</w:t>
      </w:r>
    </w:p>
    <w:p w14:paraId="70A915CF">
      <w:pPr>
        <w:keepNext w:val="0"/>
        <w:keepLines w:val="0"/>
        <w:pageBreakBefore w:val="0"/>
        <w:widowControl w:val="0"/>
        <w:suppressLineNumbers w:val="0"/>
        <w:shd w:val="clear"/>
        <w:kinsoku/>
        <w:wordWrap/>
        <w:overflowPunct/>
        <w:topLinePunct w:val="0"/>
        <w:bidi w:val="0"/>
        <w:snapToGrid w:val="0"/>
        <w:spacing w:before="0" w:beforeAutospacing="0" w:after="0" w:afterAutospacing="0" w:line="570" w:lineRule="exact"/>
        <w:ind w:left="0" w:right="0" w:firstLine="480" w:firstLineChars="200"/>
        <w:jc w:val="both"/>
        <w:textAlignment w:val="auto"/>
        <w:outlineLvl w:val="9"/>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乙方至少提供1名驻场人员（要求具有三年以上类似项目维护经验）专职负责本项目设备的后台技术维护、网络设备巡检、链路、设备配置及升级等工作。甲方将协助乙方共同监督管理驻场人员的日常出勤与工作情况，并根据规定进行考核。</w:t>
      </w:r>
    </w:p>
    <w:p w14:paraId="0AED574E">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五、技术资料</w:t>
      </w:r>
    </w:p>
    <w:p w14:paraId="175BA099">
      <w:pPr>
        <w:keepNext w:val="0"/>
        <w:keepLines w:val="0"/>
        <w:pageBreakBefore w:val="0"/>
        <w:widowControl w:val="0"/>
        <w:suppressLineNumbers w:val="0"/>
        <w:shd w:val="clear"/>
        <w:kinsoku/>
        <w:wordWrap/>
        <w:overflowPunct/>
        <w:topLinePunct w:val="0"/>
        <w:bidi w:val="0"/>
        <w:snapToGrid w:val="0"/>
        <w:spacing w:before="0" w:beforeAutospacing="0" w:after="0" w:afterAutospacing="0" w:line="570" w:lineRule="exact"/>
        <w:ind w:left="0" w:right="0" w:firstLine="480" w:firstLineChars="200"/>
        <w:jc w:val="both"/>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1.乙方应及时向甲方提供有关技术资料。</w:t>
      </w:r>
    </w:p>
    <w:p w14:paraId="5509287D">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640E9C8">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六、知识产权</w:t>
      </w:r>
    </w:p>
    <w:p w14:paraId="1542CE76">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乙方应保证提供服务过程中不会侵犯任何第三方的知识产权。</w:t>
      </w:r>
    </w:p>
    <w:p w14:paraId="7B093EF1">
      <w:pPr>
        <w:keepNext w:val="0"/>
        <w:keepLines w:val="0"/>
        <w:pageBreakBefore w:val="0"/>
        <w:shd w:val="clear"/>
        <w:kinsoku/>
        <w:wordWrap/>
        <w:overflowPunct/>
        <w:topLinePunct w:val="0"/>
        <w:bidi w:val="0"/>
        <w:spacing w:line="570" w:lineRule="exact"/>
        <w:ind w:firstLine="480"/>
        <w:textAlignment w:val="auto"/>
        <w:outlineLvl w:val="9"/>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七、履约保证金</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无</w:t>
      </w:r>
    </w:p>
    <w:p w14:paraId="6839CE62">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八、转包或分包</w:t>
      </w:r>
    </w:p>
    <w:p w14:paraId="094E7CDC">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1.本合同范围的服务，应由乙方直接供应，不得转让他人供应；</w:t>
      </w:r>
    </w:p>
    <w:p w14:paraId="7DC0D6AA">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 除非得到甲方的书面同意，乙方不得将本合同范围的服务全部或部分分包给他人供应；</w:t>
      </w:r>
    </w:p>
    <w:p w14:paraId="272C9B38">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3.如有转让和未经甲方同意的分包行为，甲方有权解除合同，并追究乙方的违约责任。</w:t>
      </w:r>
    </w:p>
    <w:p w14:paraId="2C4190C2">
      <w:pPr>
        <w:keepNext w:val="0"/>
        <w:keepLines w:val="0"/>
        <w:pageBreakBefore w:val="0"/>
        <w:widowControl w:val="0"/>
        <w:suppressLineNumbers w:val="0"/>
        <w:shd w:val="clear"/>
        <w:tabs>
          <w:tab w:val="left" w:pos="8280"/>
        </w:tabs>
        <w:kinsoku/>
        <w:wordWrap/>
        <w:overflowPunct/>
        <w:topLinePunct w:val="0"/>
        <w:autoSpaceDE w:val="0"/>
        <w:autoSpaceDN w:val="0"/>
        <w:bidi w:val="0"/>
        <w:adjustRightInd w:val="0"/>
        <w:spacing w:before="0" w:beforeAutospacing="0" w:after="0" w:afterAutospacing="0" w:line="570" w:lineRule="exact"/>
        <w:ind w:left="0" w:right="0" w:firstLine="480" w:firstLineChars="200"/>
        <w:jc w:val="left"/>
        <w:textAlignment w:val="auto"/>
        <w:outlineLvl w:val="9"/>
        <w:rPr>
          <w:rFonts w:hint="eastAsia" w:ascii="宋体" w:hAnsi="宋体" w:eastAsia="宋体" w:cs="宋体"/>
          <w:b w:val="0"/>
          <w:bCs w:val="0"/>
          <w:color w:val="auto"/>
          <w:sz w:val="24"/>
          <w:szCs w:val="24"/>
          <w:highlight w:val="none"/>
          <w:lang w:val="en-US" w:bidi="ar"/>
        </w:rPr>
      </w:pPr>
      <w:r>
        <w:rPr>
          <w:rFonts w:hint="eastAsia" w:ascii="宋体" w:hAnsi="宋体" w:eastAsia="宋体" w:cs="宋体"/>
          <w:b w:val="0"/>
          <w:bCs w:val="0"/>
          <w:color w:val="auto"/>
          <w:sz w:val="24"/>
          <w:szCs w:val="24"/>
          <w:highlight w:val="none"/>
          <w:lang w:bidi="ar"/>
        </w:rPr>
        <w:t>九、</w:t>
      </w:r>
      <w:r>
        <w:rPr>
          <w:rFonts w:hint="eastAsia" w:ascii="宋体" w:hAnsi="宋体" w:eastAsia="宋体" w:cs="宋体"/>
          <w:b w:val="0"/>
          <w:bCs w:val="0"/>
          <w:color w:val="auto"/>
          <w:kern w:val="2"/>
          <w:sz w:val="24"/>
          <w:szCs w:val="24"/>
          <w:highlight w:val="none"/>
          <w:lang w:val="en-US" w:eastAsia="zh-CN" w:bidi="ar"/>
        </w:rPr>
        <w:t>服务期及服务地点</w:t>
      </w:r>
    </w:p>
    <w:p w14:paraId="56C0768B">
      <w:pPr>
        <w:keepNext w:val="0"/>
        <w:keepLines w:val="0"/>
        <w:pageBreakBefore w:val="0"/>
        <w:widowControl w:val="0"/>
        <w:suppressLineNumbers w:val="0"/>
        <w:shd w:val="clear"/>
        <w:tabs>
          <w:tab w:val="left" w:pos="8280"/>
        </w:tabs>
        <w:kinsoku/>
        <w:wordWrap/>
        <w:overflowPunct/>
        <w:topLinePunct w:val="0"/>
        <w:autoSpaceDE w:val="0"/>
        <w:autoSpaceDN w:val="0"/>
        <w:bidi w:val="0"/>
        <w:adjustRightInd w:val="0"/>
        <w:spacing w:before="0" w:beforeAutospacing="0" w:after="0" w:afterAutospacing="0" w:line="570" w:lineRule="exact"/>
        <w:ind w:left="0" w:right="0" w:firstLine="480" w:firstLineChars="200"/>
        <w:jc w:val="left"/>
        <w:textAlignment w:val="auto"/>
        <w:outlineLvl w:val="9"/>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1.服务期：自合同签订之日起一年。</w:t>
      </w:r>
    </w:p>
    <w:p w14:paraId="6AA88206">
      <w:pPr>
        <w:keepNext w:val="0"/>
        <w:keepLines w:val="0"/>
        <w:pageBreakBefore w:val="0"/>
        <w:widowControl/>
        <w:suppressLineNumbers w:val="0"/>
        <w:shd w:val="clear"/>
        <w:kinsoku/>
        <w:wordWrap/>
        <w:overflowPunct/>
        <w:topLinePunct w:val="0"/>
        <w:bidi w:val="0"/>
        <w:spacing w:line="570" w:lineRule="exact"/>
        <w:ind w:firstLine="480" w:firstLineChars="200"/>
        <w:jc w:val="left"/>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kern w:val="2"/>
          <w:sz w:val="24"/>
          <w:szCs w:val="24"/>
          <w:highlight w:val="none"/>
          <w:lang w:val="en-US" w:eastAsia="zh-CN" w:bidi="ar"/>
        </w:rPr>
        <w:t>2.服务地点：甲方指定地点。</w:t>
      </w:r>
    </w:p>
    <w:p w14:paraId="20288594">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十、款项支付</w:t>
      </w:r>
    </w:p>
    <w:p w14:paraId="6F2E87EE">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付款方式：合同签订7个工作日后支付合同金额的40%作为预付款，服务期开始满6个月且考核合格后支付合同金额的30%；服务期满且验收通过后支付剩余结算金额。（以上付款条件是在</w:t>
      </w:r>
      <w:r>
        <w:rPr>
          <w:rFonts w:hint="eastAsia" w:ascii="宋体" w:hAnsi="宋体" w:cs="宋体"/>
          <w:color w:val="auto"/>
          <w:sz w:val="24"/>
          <w:szCs w:val="24"/>
          <w:highlight w:val="none"/>
          <w:lang w:val="en-US" w:eastAsia="zh-CN" w:bidi="ar"/>
        </w:rPr>
        <w:t>甲方</w:t>
      </w:r>
      <w:r>
        <w:rPr>
          <w:rFonts w:hint="eastAsia" w:ascii="宋体" w:hAnsi="宋体" w:eastAsia="宋体" w:cs="宋体"/>
          <w:color w:val="auto"/>
          <w:sz w:val="24"/>
          <w:szCs w:val="24"/>
          <w:highlight w:val="none"/>
          <w:lang w:bidi="ar"/>
        </w:rPr>
        <w:t>所在地财政资金下达且收到</w:t>
      </w:r>
      <w:r>
        <w:rPr>
          <w:rFonts w:hint="eastAsia" w:ascii="宋体" w:hAnsi="宋体" w:cs="宋体"/>
          <w:color w:val="auto"/>
          <w:sz w:val="24"/>
          <w:szCs w:val="24"/>
          <w:highlight w:val="none"/>
          <w:lang w:val="en-US" w:eastAsia="zh-CN" w:bidi="ar"/>
        </w:rPr>
        <w:t>乙方</w:t>
      </w:r>
      <w:r>
        <w:rPr>
          <w:rFonts w:hint="eastAsia" w:ascii="宋体" w:hAnsi="宋体" w:eastAsia="宋体" w:cs="宋体"/>
          <w:color w:val="auto"/>
          <w:sz w:val="24"/>
          <w:szCs w:val="24"/>
          <w:highlight w:val="none"/>
          <w:lang w:bidi="ar"/>
        </w:rPr>
        <w:t>正式发票后7个工作日内支付）</w:t>
      </w:r>
    </w:p>
    <w:p w14:paraId="13CC3008">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十</w:t>
      </w:r>
      <w:r>
        <w:rPr>
          <w:rFonts w:hint="eastAsia" w:ascii="宋体" w:hAnsi="宋体" w:eastAsia="宋体" w:cs="宋体"/>
          <w:color w:val="auto"/>
          <w:sz w:val="24"/>
          <w:szCs w:val="24"/>
          <w:highlight w:val="none"/>
          <w:lang w:val="en-US" w:eastAsia="zh-CN" w:bidi="ar"/>
        </w:rPr>
        <w:t>一</w:t>
      </w:r>
      <w:r>
        <w:rPr>
          <w:rFonts w:hint="eastAsia" w:ascii="宋体" w:hAnsi="宋体" w:eastAsia="宋体" w:cs="宋体"/>
          <w:color w:val="auto"/>
          <w:sz w:val="24"/>
          <w:szCs w:val="24"/>
          <w:highlight w:val="none"/>
          <w:lang w:bidi="ar"/>
        </w:rPr>
        <w:t>、税费</w:t>
      </w:r>
    </w:p>
    <w:p w14:paraId="70CD6286">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本合同执行中相关的一切税费均由乙方负担。</w:t>
      </w:r>
    </w:p>
    <w:p w14:paraId="06986E1B">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十</w:t>
      </w:r>
      <w:r>
        <w:rPr>
          <w:rFonts w:hint="eastAsia" w:ascii="宋体" w:hAnsi="宋体" w:eastAsia="宋体" w:cs="宋体"/>
          <w:color w:val="auto"/>
          <w:sz w:val="24"/>
          <w:szCs w:val="24"/>
          <w:highlight w:val="none"/>
          <w:lang w:val="en-US" w:eastAsia="zh-CN" w:bidi="ar"/>
        </w:rPr>
        <w:t>二</w:t>
      </w:r>
      <w:r>
        <w:rPr>
          <w:rFonts w:hint="eastAsia" w:ascii="宋体" w:hAnsi="宋体" w:eastAsia="宋体" w:cs="宋体"/>
          <w:color w:val="auto"/>
          <w:sz w:val="24"/>
          <w:szCs w:val="24"/>
          <w:highlight w:val="none"/>
          <w:lang w:bidi="ar"/>
        </w:rPr>
        <w:t>、质量保证及后续服务</w:t>
      </w:r>
    </w:p>
    <w:p w14:paraId="4C7AC14F">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.乙方</w:t>
      </w:r>
      <w:r>
        <w:rPr>
          <w:rFonts w:hint="eastAsia" w:ascii="宋体" w:hAnsi="宋体" w:eastAsia="宋体" w:cs="宋体"/>
          <w:color w:val="auto"/>
          <w:kern w:val="2"/>
          <w:sz w:val="24"/>
          <w:szCs w:val="24"/>
          <w:highlight w:val="none"/>
          <w:lang w:val="en-US" w:eastAsia="zh-CN" w:bidi="ar"/>
        </w:rPr>
        <w:t>应按采购文件及合同规定向甲方提供服务</w:t>
      </w:r>
      <w:r>
        <w:rPr>
          <w:rFonts w:hint="eastAsia" w:ascii="宋体" w:hAnsi="宋体" w:eastAsia="宋体" w:cs="宋体"/>
          <w:color w:val="auto"/>
          <w:sz w:val="24"/>
          <w:szCs w:val="24"/>
          <w:highlight w:val="none"/>
          <w:lang w:bidi="ar"/>
        </w:rPr>
        <w:t>。</w:t>
      </w:r>
    </w:p>
    <w:p w14:paraId="07FDF1C4">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乙方提供的服务成果在服务质量保证期内发生故障，乙方应负责免费提供后续服务。对达不到要求者，根据实际情况，经双方协商，可按以下办法处理：</w:t>
      </w:r>
    </w:p>
    <w:p w14:paraId="08C1B393">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⑴重做：由乙方承担所发生的全部费用。</w:t>
      </w:r>
    </w:p>
    <w:p w14:paraId="70495385">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⑵贬值处理：由甲乙双方合议定价。</w:t>
      </w:r>
    </w:p>
    <w:p w14:paraId="157B04BF">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⑶解除合同。</w:t>
      </w:r>
    </w:p>
    <w:p w14:paraId="0A913D96">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3.如在使用过程中发生问题，乙方在接到甲方通知后在   小时内到达甲方现场。</w:t>
      </w:r>
    </w:p>
    <w:p w14:paraId="60A5BE83">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4.在服务质量保证期内，乙方应对出现的质量及安全问题负责处理解决并承担一切费用。</w:t>
      </w:r>
    </w:p>
    <w:p w14:paraId="79CE909D">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十</w:t>
      </w:r>
      <w:r>
        <w:rPr>
          <w:rFonts w:hint="eastAsia" w:ascii="宋体" w:hAnsi="宋体" w:eastAsia="宋体" w:cs="宋体"/>
          <w:color w:val="auto"/>
          <w:sz w:val="24"/>
          <w:szCs w:val="24"/>
          <w:highlight w:val="none"/>
          <w:lang w:val="en-US" w:eastAsia="zh-CN" w:bidi="ar"/>
        </w:rPr>
        <w:t>三</w:t>
      </w:r>
      <w:r>
        <w:rPr>
          <w:rFonts w:hint="eastAsia" w:ascii="宋体" w:hAnsi="宋体" w:eastAsia="宋体" w:cs="宋体"/>
          <w:color w:val="auto"/>
          <w:sz w:val="24"/>
          <w:szCs w:val="24"/>
          <w:highlight w:val="none"/>
          <w:lang w:bidi="ar"/>
        </w:rPr>
        <w:t>、违约责任</w:t>
      </w:r>
    </w:p>
    <w:p w14:paraId="40C64563">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1．甲方无正当理由拒收接受服务的，甲方向乙方偿付合同款项百分之五作为违约金。</w:t>
      </w:r>
    </w:p>
    <w:p w14:paraId="5B1F42D5">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返还已收的款项并支付合同总值5%的违约金，如造成甲方损失超过违约金的，超出部分由乙方继续承担赔偿责任。</w:t>
      </w:r>
    </w:p>
    <w:p w14:paraId="051C83F7">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十</w:t>
      </w:r>
      <w:r>
        <w:rPr>
          <w:rFonts w:hint="eastAsia" w:ascii="宋体" w:hAnsi="宋体" w:eastAsia="宋体" w:cs="宋体"/>
          <w:color w:val="auto"/>
          <w:sz w:val="24"/>
          <w:szCs w:val="24"/>
          <w:highlight w:val="none"/>
          <w:lang w:val="en-US" w:eastAsia="zh-CN" w:bidi="ar"/>
        </w:rPr>
        <w:t>四</w:t>
      </w:r>
      <w:r>
        <w:rPr>
          <w:rFonts w:hint="eastAsia" w:ascii="宋体" w:hAnsi="宋体" w:eastAsia="宋体" w:cs="宋体"/>
          <w:color w:val="auto"/>
          <w:sz w:val="24"/>
          <w:szCs w:val="24"/>
          <w:highlight w:val="none"/>
          <w:lang w:bidi="ar"/>
        </w:rPr>
        <w:t>、不可抗力事件处理</w:t>
      </w:r>
    </w:p>
    <w:p w14:paraId="052B78AE">
      <w:pPr>
        <w:keepNext w:val="0"/>
        <w:keepLines w:val="0"/>
        <w:pageBreakBefore w:val="0"/>
        <w:shd w:val="clear"/>
        <w:kinsoku/>
        <w:wordWrap/>
        <w:overflowPunct/>
        <w:topLinePunct w:val="0"/>
        <w:bidi w:val="0"/>
        <w:spacing w:line="570" w:lineRule="exact"/>
        <w:ind w:firstLine="480" w:firstLineChars="20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1.在合同有效期内，任何一方因不可抗力事件导致不能履行合同，则合同履行期可延长，其延长期与不可抗力影响期相同。</w:t>
      </w:r>
    </w:p>
    <w:p w14:paraId="38252955">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2.不可抗力事件发生后，应立即通知对方，并寄送有关权威机构出具的证明。</w:t>
      </w:r>
    </w:p>
    <w:p w14:paraId="3D65AA8C">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3.不可抗力事件延续120天以上，双方应通过友好协商，确定是否继续履行合同。</w:t>
      </w:r>
    </w:p>
    <w:p w14:paraId="705FE0DB">
      <w:pPr>
        <w:keepNext w:val="0"/>
        <w:keepLines w:val="0"/>
        <w:pageBreakBefore w:val="0"/>
        <w:shd w:val="clear"/>
        <w:kinsoku/>
        <w:wordWrap/>
        <w:overflowPunct/>
        <w:topLinePunct w:val="0"/>
        <w:bidi w:val="0"/>
        <w:spacing w:line="570" w:lineRule="exact"/>
        <w:ind w:firstLine="48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十</w:t>
      </w:r>
      <w:r>
        <w:rPr>
          <w:rFonts w:hint="eastAsia" w:ascii="宋体" w:hAnsi="宋体" w:eastAsia="宋体" w:cs="宋体"/>
          <w:color w:val="auto"/>
          <w:sz w:val="24"/>
          <w:szCs w:val="24"/>
          <w:highlight w:val="none"/>
          <w:lang w:val="en-US" w:eastAsia="zh-CN" w:bidi="ar"/>
        </w:rPr>
        <w:t>五</w:t>
      </w:r>
      <w:r>
        <w:rPr>
          <w:rFonts w:hint="eastAsia" w:ascii="宋体" w:hAnsi="宋体" w:eastAsia="宋体" w:cs="宋体"/>
          <w:color w:val="auto"/>
          <w:sz w:val="24"/>
          <w:szCs w:val="24"/>
          <w:highlight w:val="none"/>
          <w:lang w:bidi="ar"/>
        </w:rPr>
        <w:t>、解决争议的方法</w:t>
      </w:r>
    </w:p>
    <w:p w14:paraId="06048FCF">
      <w:pPr>
        <w:keepNext w:val="0"/>
        <w:keepLines w:val="0"/>
        <w:pageBreakBefore w:val="0"/>
        <w:widowControl w:val="0"/>
        <w:shd w:val="clear"/>
        <w:kinsoku/>
        <w:wordWrap/>
        <w:overflowPunct/>
        <w:topLinePunct w:val="0"/>
        <w:autoSpaceDE/>
        <w:autoSpaceDN/>
        <w:bidi w:val="0"/>
        <w:adjustRightInd/>
        <w:snapToGrid/>
        <w:spacing w:line="570" w:lineRule="exact"/>
        <w:ind w:firstLine="480" w:firstLineChars="20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1.如双方在履行合同时发生纠纷，应协商解决；协商不成时，可提请采购单位采购管理部门调解；调解不成的通过以下方式解决：</w:t>
      </w:r>
      <w:r>
        <w:rPr>
          <w:rFonts w:hint="eastAsia" w:ascii="宋体" w:hAnsi="宋体" w:eastAsia="宋体" w:cs="宋体"/>
          <w:color w:val="auto"/>
          <w:sz w:val="24"/>
          <w:szCs w:val="24"/>
          <w:highlight w:val="none"/>
          <w:lang w:bidi="ar"/>
        </w:rPr>
        <w:br w:type="textWrapping"/>
      </w:r>
      <w:r>
        <w:rPr>
          <w:rFonts w:hint="eastAsia" w:ascii="宋体" w:hAnsi="宋体" w:eastAsia="宋体" w:cs="宋体"/>
          <w:color w:val="auto"/>
          <w:sz w:val="24"/>
          <w:szCs w:val="24"/>
          <w:highlight w:val="none"/>
          <w:lang w:bidi="ar"/>
        </w:rPr>
        <w:t>（1）提交台州仲裁委员会仲裁。</w:t>
      </w:r>
    </w:p>
    <w:p w14:paraId="78B422FB">
      <w:pPr>
        <w:keepNext w:val="0"/>
        <w:keepLines w:val="0"/>
        <w:pageBreakBefore w:val="0"/>
        <w:widowControl w:val="0"/>
        <w:shd w:val="clear"/>
        <w:kinsoku/>
        <w:wordWrap/>
        <w:overflowPunct/>
        <w:topLinePunct w:val="0"/>
        <w:autoSpaceDE/>
        <w:autoSpaceDN/>
        <w:bidi w:val="0"/>
        <w:adjustRightInd/>
        <w:snapToGrid/>
        <w:spacing w:line="570" w:lineRule="exact"/>
        <w:ind w:firstLine="480" w:firstLineChars="20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十</w:t>
      </w:r>
      <w:r>
        <w:rPr>
          <w:rFonts w:hint="eastAsia" w:ascii="宋体" w:hAnsi="宋体" w:eastAsia="宋体" w:cs="宋体"/>
          <w:color w:val="auto"/>
          <w:sz w:val="24"/>
          <w:szCs w:val="24"/>
          <w:highlight w:val="none"/>
          <w:lang w:val="en-US" w:eastAsia="zh-CN" w:bidi="ar"/>
        </w:rPr>
        <w:t>六</w:t>
      </w:r>
      <w:r>
        <w:rPr>
          <w:rFonts w:hint="eastAsia" w:ascii="宋体" w:hAnsi="宋体" w:eastAsia="宋体" w:cs="宋体"/>
          <w:color w:val="auto"/>
          <w:sz w:val="24"/>
          <w:szCs w:val="24"/>
          <w:highlight w:val="none"/>
          <w:lang w:bidi="ar"/>
        </w:rPr>
        <w:t>、合同生效及其它</w:t>
      </w:r>
    </w:p>
    <w:p w14:paraId="49947EF1">
      <w:pPr>
        <w:keepNext w:val="0"/>
        <w:keepLines w:val="0"/>
        <w:pageBreakBefore w:val="0"/>
        <w:widowControl w:val="0"/>
        <w:shd w:val="clear"/>
        <w:kinsoku/>
        <w:wordWrap/>
        <w:overflowPunct/>
        <w:topLinePunct w:val="0"/>
        <w:autoSpaceDE/>
        <w:autoSpaceDN/>
        <w:bidi w:val="0"/>
        <w:adjustRightInd/>
        <w:snapToGrid/>
        <w:spacing w:line="570" w:lineRule="exact"/>
        <w:ind w:firstLine="480" w:firstLineChars="20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1.合同经双方法定代表人或授权代表签字并加盖单位公章后生效。</w:t>
      </w:r>
    </w:p>
    <w:p w14:paraId="22AC5BB3">
      <w:pPr>
        <w:keepNext w:val="0"/>
        <w:keepLines w:val="0"/>
        <w:pageBreakBefore w:val="0"/>
        <w:widowControl w:val="0"/>
        <w:shd w:val="clear"/>
        <w:kinsoku/>
        <w:wordWrap/>
        <w:overflowPunct/>
        <w:topLinePunct w:val="0"/>
        <w:autoSpaceDE/>
        <w:autoSpaceDN/>
        <w:bidi w:val="0"/>
        <w:adjustRightInd/>
        <w:snapToGrid/>
        <w:spacing w:line="570" w:lineRule="exact"/>
        <w:ind w:firstLine="480" w:firstLineChars="20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2.本合同未尽事宜，遵照《民法典》有关条文执行。</w:t>
      </w:r>
    </w:p>
    <w:p w14:paraId="0DC23C24">
      <w:pPr>
        <w:keepNext w:val="0"/>
        <w:keepLines w:val="0"/>
        <w:pageBreakBefore w:val="0"/>
        <w:widowControl w:val="0"/>
        <w:shd w:val="clear"/>
        <w:kinsoku/>
        <w:wordWrap/>
        <w:overflowPunct/>
        <w:topLinePunct w:val="0"/>
        <w:autoSpaceDE/>
        <w:autoSpaceDN/>
        <w:bidi w:val="0"/>
        <w:adjustRightInd/>
        <w:snapToGrid/>
        <w:spacing w:line="570" w:lineRule="exact"/>
        <w:ind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3.本合同一式六份。甲、乙各执</w:t>
      </w:r>
      <w:r>
        <w:rPr>
          <w:rFonts w:hint="eastAsia" w:ascii="宋体" w:hAnsi="宋体" w:eastAsia="宋体" w:cs="宋体"/>
          <w:color w:val="auto"/>
          <w:sz w:val="24"/>
          <w:szCs w:val="24"/>
          <w:highlight w:val="none"/>
          <w:lang w:val="en-US" w:eastAsia="zh-CN" w:bidi="ar"/>
        </w:rPr>
        <w:t>三</w:t>
      </w:r>
      <w:r>
        <w:rPr>
          <w:rFonts w:hint="eastAsia" w:ascii="宋体" w:hAnsi="宋体" w:eastAsia="宋体" w:cs="宋体"/>
          <w:color w:val="auto"/>
          <w:sz w:val="24"/>
          <w:szCs w:val="24"/>
          <w:highlight w:val="none"/>
          <w:lang w:bidi="ar"/>
        </w:rPr>
        <w:t>份。本项目未尽事宜以采购文件、响应文件及澄清文件等为准。</w:t>
      </w:r>
    </w:p>
    <w:p w14:paraId="286A73D8">
      <w:pPr>
        <w:keepNext w:val="0"/>
        <w:keepLines w:val="0"/>
        <w:pageBreakBefore w:val="0"/>
        <w:widowControl/>
        <w:shd w:val="clear"/>
        <w:kinsoku/>
        <w:wordWrap/>
        <w:overflowPunct/>
        <w:topLinePunct w:val="0"/>
        <w:bidi w:val="0"/>
        <w:spacing w:line="570" w:lineRule="exact"/>
        <w:textAlignment w:val="auto"/>
        <w:outlineLvl w:val="9"/>
        <w:rPr>
          <w:rFonts w:hint="eastAsia" w:ascii="宋体" w:hAnsi="宋体" w:eastAsia="宋体" w:cs="宋体"/>
          <w:b/>
          <w:color w:val="auto"/>
          <w:sz w:val="24"/>
          <w:szCs w:val="24"/>
          <w:highlight w:val="none"/>
        </w:rPr>
      </w:pPr>
    </w:p>
    <w:p w14:paraId="30764C49">
      <w:pPr>
        <w:keepNext w:val="0"/>
        <w:keepLines w:val="0"/>
        <w:pageBreakBefore w:val="0"/>
        <w:shd w:val="clear"/>
        <w:kinsoku/>
        <w:wordWrap/>
        <w:overflowPunct/>
        <w:topLinePunct w:val="0"/>
        <w:bidi w:val="0"/>
        <w:spacing w:line="57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甲方（公章）                                     乙方（公章）</w:t>
      </w:r>
    </w:p>
    <w:p w14:paraId="3265E466">
      <w:pPr>
        <w:keepNext w:val="0"/>
        <w:keepLines w:val="0"/>
        <w:pageBreakBefore w:val="0"/>
        <w:shd w:val="clear"/>
        <w:kinsoku/>
        <w:wordWrap/>
        <w:overflowPunct/>
        <w:topLinePunct w:val="0"/>
        <w:bidi w:val="0"/>
        <w:spacing w:line="57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法定代表人：                                     法定代表人：</w:t>
      </w:r>
    </w:p>
    <w:p w14:paraId="0EB0BA32">
      <w:pPr>
        <w:keepNext w:val="0"/>
        <w:keepLines w:val="0"/>
        <w:pageBreakBefore w:val="0"/>
        <w:shd w:val="clear"/>
        <w:kinsoku/>
        <w:wordWrap/>
        <w:overflowPunct/>
        <w:topLinePunct w:val="0"/>
        <w:bidi w:val="0"/>
        <w:spacing w:line="57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委托代理人：                                     委托代理人：</w:t>
      </w:r>
    </w:p>
    <w:p w14:paraId="0BA3DBFF">
      <w:pPr>
        <w:keepNext w:val="0"/>
        <w:keepLines w:val="0"/>
        <w:pageBreakBefore w:val="0"/>
        <w:shd w:val="clear"/>
        <w:kinsoku/>
        <w:wordWrap/>
        <w:overflowPunct/>
        <w:topLinePunct w:val="0"/>
        <w:bidi w:val="0"/>
        <w:spacing w:line="57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联系电话：                                       联系电话：</w:t>
      </w:r>
    </w:p>
    <w:p w14:paraId="4DC08241">
      <w:pPr>
        <w:keepNext w:val="0"/>
        <w:keepLines w:val="0"/>
        <w:pageBreakBefore w:val="0"/>
        <w:shd w:val="clear"/>
        <w:kinsoku/>
        <w:wordWrap/>
        <w:overflowPunct/>
        <w:topLinePunct w:val="0"/>
        <w:bidi w:val="0"/>
        <w:spacing w:line="57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开户银行：                                       开户银行：</w:t>
      </w:r>
    </w:p>
    <w:p w14:paraId="7CDE4983">
      <w:pPr>
        <w:keepNext w:val="0"/>
        <w:keepLines w:val="0"/>
        <w:pageBreakBefore w:val="0"/>
        <w:shd w:val="clear"/>
        <w:kinsoku/>
        <w:wordWrap/>
        <w:overflowPunct/>
        <w:topLinePunct w:val="0"/>
        <w:bidi w:val="0"/>
        <w:spacing w:line="57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帐号：                                           帐号：</w:t>
      </w:r>
    </w:p>
    <w:p w14:paraId="5EB09CD7">
      <w:pPr>
        <w:keepNext w:val="0"/>
        <w:keepLines w:val="0"/>
        <w:pageBreakBefore w:val="0"/>
        <w:shd w:val="clear"/>
        <w:kinsoku/>
        <w:wordWrap/>
        <w:overflowPunct/>
        <w:topLinePunct w:val="0"/>
        <w:bidi w:val="0"/>
        <w:spacing w:line="57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地址及邮编：                                     地址及邮编：</w:t>
      </w:r>
    </w:p>
    <w:p w14:paraId="3351E76F">
      <w:pPr>
        <w:pStyle w:val="9"/>
        <w:keepNext w:val="0"/>
        <w:keepLines w:val="0"/>
        <w:pageBreakBefore w:val="0"/>
        <w:widowControl w:val="0"/>
        <w:shd w:val="clear"/>
        <w:kinsoku/>
        <w:wordWrap/>
        <w:overflowPunct/>
        <w:topLinePunct w:val="0"/>
        <w:bidi w:val="0"/>
        <w:spacing w:before="0" w:beforeAutospacing="0" w:after="0" w:afterAutospacing="0" w:line="570" w:lineRule="exact"/>
        <w:ind w:firstLine="480" w:firstLineChars="200"/>
        <w:jc w:val="both"/>
        <w:textAlignment w:val="auto"/>
        <w:outlineLvl w:val="9"/>
        <w:rPr>
          <w:rFonts w:hint="eastAsia" w:ascii="宋体" w:hAnsi="宋体" w:eastAsia="宋体" w:cs="宋体"/>
          <w:color w:val="auto"/>
          <w:sz w:val="24"/>
          <w:szCs w:val="24"/>
          <w:highlight w:val="none"/>
        </w:rPr>
      </w:pPr>
    </w:p>
    <w:p w14:paraId="5DF10200">
      <w:pPr>
        <w:keepNext w:val="0"/>
        <w:keepLines w:val="0"/>
        <w:pageBreakBefore w:val="0"/>
        <w:shd w:val="clear"/>
        <w:kinsoku/>
        <w:wordWrap/>
        <w:overflowPunct/>
        <w:topLinePunct w:val="0"/>
        <w:bidi w:val="0"/>
        <w:spacing w:line="570" w:lineRule="exact"/>
        <w:ind w:firstLine="4920" w:firstLineChars="2050"/>
        <w:textAlignment w:val="auto"/>
        <w:outlineLvl w:val="9"/>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签订时间：    年   月    日</w:t>
      </w:r>
    </w:p>
    <w:p w14:paraId="3B346A61">
      <w:pPr>
        <w:shd w:val="clear"/>
        <w:rPr>
          <w:rFonts w:ascii="宋体" w:hAnsi="宋体" w:cs="宋体"/>
          <w:b/>
          <w:color w:val="auto"/>
          <w:sz w:val="36"/>
          <w:szCs w:val="36"/>
          <w:highlight w:val="none"/>
        </w:rPr>
        <w:sectPr>
          <w:headerReference r:id="rId4" w:type="default"/>
          <w:footerReference r:id="rId5" w:type="default"/>
          <w:pgSz w:w="11906" w:h="16838"/>
          <w:pgMar w:top="1440" w:right="1803" w:bottom="1440" w:left="1803" w:header="851" w:footer="992" w:gutter="0"/>
          <w:cols w:space="0" w:num="1"/>
          <w:docGrid w:type="lines" w:linePitch="319" w:charSpace="0"/>
        </w:sectPr>
      </w:pPr>
    </w:p>
    <w:p w14:paraId="64CBA6F3">
      <w:pPr>
        <w:numPr>
          <w:ilvl w:val="0"/>
          <w:numId w:val="12"/>
        </w:numPr>
        <w:shd w:val="clea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投标文件格式附件</w:t>
      </w:r>
    </w:p>
    <w:p w14:paraId="69706119">
      <w:pPr>
        <w:shd w:val="clear"/>
        <w:rPr>
          <w:rFonts w:ascii="宋体" w:hAnsi="宋体" w:cs="宋体"/>
          <w:b/>
          <w:color w:val="auto"/>
          <w:sz w:val="30"/>
          <w:szCs w:val="30"/>
          <w:highlight w:val="none"/>
        </w:rPr>
      </w:pPr>
      <w:r>
        <w:rPr>
          <w:rFonts w:hint="eastAsia" w:ascii="宋体" w:hAnsi="宋体" w:cs="宋体"/>
          <w:b/>
          <w:color w:val="auto"/>
          <w:kern w:val="0"/>
          <w:sz w:val="28"/>
          <w:szCs w:val="28"/>
          <w:highlight w:val="none"/>
        </w:rPr>
        <w:t>附件1</w:t>
      </w:r>
      <w:r>
        <w:rPr>
          <w:rFonts w:hint="eastAsia" w:ascii="宋体" w:hAnsi="宋体" w:cs="宋体"/>
          <w:color w:val="auto"/>
          <w:sz w:val="30"/>
          <w:szCs w:val="30"/>
          <w:highlight w:val="none"/>
        </w:rPr>
        <w:t xml:space="preserve"> 　　　</w:t>
      </w:r>
    </w:p>
    <w:p w14:paraId="5E206B06">
      <w:pPr>
        <w:shd w:val="clear"/>
        <w:spacing w:beforeLines="100" w:line="360" w:lineRule="auto"/>
        <w:ind w:right="-108"/>
        <w:jc w:val="center"/>
        <w:rPr>
          <w:rFonts w:ascii="宋体" w:hAnsi="宋体" w:cs="宋体"/>
          <w:color w:val="auto"/>
          <w:spacing w:val="40"/>
          <w:sz w:val="48"/>
          <w:szCs w:val="48"/>
          <w:highlight w:val="none"/>
        </w:rPr>
      </w:pPr>
      <w:r>
        <w:rPr>
          <w:rFonts w:hint="eastAsia" w:ascii="宋体" w:hAnsi="宋体" w:cs="宋体"/>
          <w:color w:val="auto"/>
          <w:spacing w:val="40"/>
          <w:sz w:val="48"/>
          <w:szCs w:val="48"/>
          <w:highlight w:val="none"/>
        </w:rPr>
        <w:t>项目名称</w:t>
      </w:r>
    </w:p>
    <w:p w14:paraId="3B375E31">
      <w:pPr>
        <w:shd w:val="clear"/>
        <w:spacing w:beforeLines="100" w:line="360" w:lineRule="auto"/>
        <w:ind w:right="-108"/>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14:paraId="214E4CEB">
      <w:pPr>
        <w:shd w:val="clear"/>
        <w:autoSpaceDE w:val="0"/>
        <w:autoSpaceDN w:val="0"/>
        <w:adjustRightInd w:val="0"/>
        <w:spacing w:line="360" w:lineRule="auto"/>
        <w:jc w:val="center"/>
        <w:rPr>
          <w:rFonts w:ascii="宋体" w:hAnsi="宋体" w:cs="宋体"/>
          <w:color w:val="auto"/>
          <w:sz w:val="84"/>
          <w:szCs w:val="84"/>
          <w:highlight w:val="none"/>
          <w:lang w:val="zh-CN"/>
        </w:rPr>
      </w:pPr>
    </w:p>
    <w:p w14:paraId="4CAE2601">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4F287070">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4E4F564F">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14:paraId="26643CB1">
      <w:pPr>
        <w:shd w:val="clea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55A7C20F">
      <w:pPr>
        <w:shd w:val="clear"/>
        <w:spacing w:after="100" w:afterAutospacing="1" w:line="360" w:lineRule="auto"/>
        <w:ind w:right="-108"/>
        <w:jc w:val="center"/>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14:paraId="4528796E">
      <w:pPr>
        <w:shd w:val="clea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投标人全称（公章或CA签章）：</w:t>
      </w:r>
    </w:p>
    <w:p w14:paraId="0F2109B0">
      <w:pPr>
        <w:shd w:val="clea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地    址：</w:t>
      </w:r>
    </w:p>
    <w:p w14:paraId="0CAB9396">
      <w:pPr>
        <w:shd w:val="clea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时    间：</w:t>
      </w:r>
    </w:p>
    <w:p w14:paraId="4F63341A">
      <w:pPr>
        <w:shd w:val="clear"/>
        <w:snapToGrid w:val="0"/>
        <w:spacing w:before="50" w:after="50" w:line="360" w:lineRule="auto"/>
        <w:rPr>
          <w:rFonts w:ascii="宋体" w:hAnsi="宋体" w:cs="宋体"/>
          <w:b/>
          <w:color w:val="auto"/>
          <w:sz w:val="36"/>
          <w:szCs w:val="36"/>
          <w:highlight w:val="none"/>
        </w:rPr>
      </w:pPr>
    </w:p>
    <w:p w14:paraId="492263A0">
      <w:pPr>
        <w:shd w:val="clear"/>
        <w:snapToGrid w:val="0"/>
        <w:spacing w:before="50" w:after="50" w:line="360" w:lineRule="auto"/>
        <w:rPr>
          <w:rFonts w:ascii="宋体" w:hAnsi="宋体" w:cs="宋体"/>
          <w:b/>
          <w:color w:val="auto"/>
          <w:sz w:val="36"/>
          <w:szCs w:val="36"/>
          <w:highlight w:val="none"/>
        </w:rPr>
      </w:pPr>
    </w:p>
    <w:p w14:paraId="08CEE0F8">
      <w:pPr>
        <w:shd w:val="clear"/>
        <w:snapToGrid w:val="0"/>
        <w:spacing w:before="50" w:after="50" w:line="360" w:lineRule="auto"/>
        <w:rPr>
          <w:rFonts w:ascii="宋体" w:hAnsi="宋体" w:cs="宋体"/>
          <w:b/>
          <w:color w:val="auto"/>
          <w:sz w:val="36"/>
          <w:szCs w:val="36"/>
          <w:highlight w:val="none"/>
        </w:rPr>
      </w:pPr>
    </w:p>
    <w:p w14:paraId="4C96EF38">
      <w:pPr>
        <w:shd w:val="clear"/>
        <w:snapToGrid w:val="0"/>
        <w:spacing w:before="50" w:after="50"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资格证明文件目录</w:t>
      </w:r>
    </w:p>
    <w:p w14:paraId="4D3C1C73">
      <w:pPr>
        <w:shd w:val="clear"/>
        <w:snapToGrid w:val="0"/>
        <w:spacing w:before="50" w:after="50" w:line="360" w:lineRule="auto"/>
        <w:jc w:val="center"/>
        <w:rPr>
          <w:rFonts w:ascii="宋体" w:hAnsi="宋体" w:cs="宋体"/>
          <w:b/>
          <w:bCs/>
          <w:color w:val="auto"/>
          <w:sz w:val="36"/>
          <w:szCs w:val="36"/>
          <w:highlight w:val="none"/>
        </w:rPr>
      </w:pPr>
    </w:p>
    <w:p w14:paraId="179F59FD">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（1）投标声明书（附件2）；</w:t>
      </w:r>
    </w:p>
    <w:p w14:paraId="6A2253AB">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（2）授权委托书（附件3）；</w:t>
      </w:r>
    </w:p>
    <w:p w14:paraId="0F1F72E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20CD81E3">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（4）具有良好的商业信誉和健全的财务会计制度的承诺（附件4）；</w:t>
      </w:r>
    </w:p>
    <w:p w14:paraId="08064ED5">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（5）依法缴纳税收和社会保障资金的承诺（附件5）；</w:t>
      </w:r>
    </w:p>
    <w:p w14:paraId="4D9C092A">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（6）参加政府采购活动前三年内，在经营活动中没有重大违法记录（附件6）；</w:t>
      </w:r>
    </w:p>
    <w:p w14:paraId="24F90476">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（7）招标公告中符合供应商特定条件的有效证书或证明资料扫描件（投标供应商特定条件中有要求的必须提供）；</w:t>
      </w:r>
    </w:p>
    <w:p w14:paraId="5E25FCE2">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（8）需要说明的其他资料。</w:t>
      </w:r>
    </w:p>
    <w:p w14:paraId="5816AC5D">
      <w:pPr>
        <w:pStyle w:val="43"/>
        <w:shd w:val="clear"/>
        <w:rPr>
          <w:rFonts w:ascii="宋体" w:hAnsi="宋体" w:cs="宋体"/>
          <w:color w:val="auto"/>
          <w:sz w:val="28"/>
          <w:highlight w:val="none"/>
        </w:rPr>
      </w:pPr>
    </w:p>
    <w:p w14:paraId="1DEE73A7">
      <w:pPr>
        <w:shd w:val="clear"/>
        <w:rPr>
          <w:rFonts w:ascii="宋体" w:hAnsi="宋体" w:cs="宋体"/>
          <w:b/>
          <w:color w:val="auto"/>
          <w:sz w:val="28"/>
          <w:highlight w:val="none"/>
        </w:rPr>
      </w:pPr>
    </w:p>
    <w:p w14:paraId="239F2DBE">
      <w:pPr>
        <w:pStyle w:val="43"/>
        <w:shd w:val="clear"/>
        <w:rPr>
          <w:rFonts w:ascii="宋体" w:hAnsi="宋体" w:cs="宋体"/>
          <w:color w:val="auto"/>
          <w:sz w:val="28"/>
          <w:highlight w:val="none"/>
        </w:rPr>
      </w:pPr>
    </w:p>
    <w:p w14:paraId="41232BD2">
      <w:pPr>
        <w:shd w:val="clear"/>
        <w:rPr>
          <w:color w:val="auto"/>
          <w:highlight w:val="none"/>
        </w:rPr>
      </w:pPr>
    </w:p>
    <w:p w14:paraId="434D8B28">
      <w:pPr>
        <w:shd w:val="clear"/>
        <w:spacing w:line="360" w:lineRule="auto"/>
        <w:ind w:left="420"/>
        <w:rPr>
          <w:rFonts w:ascii="宋体" w:hAnsi="宋体" w:cs="宋体"/>
          <w:b/>
          <w:color w:val="auto"/>
          <w:sz w:val="28"/>
          <w:highlight w:val="none"/>
        </w:rPr>
      </w:pPr>
    </w:p>
    <w:p w14:paraId="0D54A328">
      <w:pPr>
        <w:shd w:val="clear"/>
        <w:spacing w:line="360" w:lineRule="auto"/>
        <w:ind w:left="420"/>
        <w:rPr>
          <w:rFonts w:ascii="宋体" w:hAnsi="宋体" w:cs="宋体"/>
          <w:b/>
          <w:color w:val="auto"/>
          <w:sz w:val="28"/>
          <w:highlight w:val="none"/>
        </w:rPr>
      </w:pPr>
    </w:p>
    <w:p w14:paraId="58B5C000">
      <w:pPr>
        <w:shd w:val="clear"/>
        <w:spacing w:line="360" w:lineRule="auto"/>
        <w:ind w:left="420"/>
        <w:rPr>
          <w:rFonts w:ascii="宋体" w:hAnsi="宋体" w:cs="宋体"/>
          <w:b/>
          <w:color w:val="auto"/>
          <w:sz w:val="28"/>
          <w:highlight w:val="none"/>
        </w:rPr>
      </w:pPr>
    </w:p>
    <w:p w14:paraId="53016CF6">
      <w:pPr>
        <w:pStyle w:val="22"/>
        <w:shd w:val="clear"/>
        <w:rPr>
          <w:color w:val="auto"/>
          <w:highlight w:val="none"/>
        </w:rPr>
      </w:pPr>
    </w:p>
    <w:p w14:paraId="6543C970">
      <w:pPr>
        <w:shd w:val="clear"/>
        <w:spacing w:line="360" w:lineRule="auto"/>
        <w:ind w:left="420"/>
        <w:rPr>
          <w:rFonts w:ascii="宋体" w:hAnsi="宋体" w:cs="宋体"/>
          <w:b/>
          <w:color w:val="auto"/>
          <w:sz w:val="28"/>
          <w:highlight w:val="none"/>
        </w:rPr>
      </w:pPr>
    </w:p>
    <w:p w14:paraId="184393EA">
      <w:pPr>
        <w:pStyle w:val="6"/>
        <w:shd w:val="clear"/>
        <w:rPr>
          <w:color w:val="auto"/>
          <w:highlight w:val="none"/>
        </w:rPr>
      </w:pPr>
    </w:p>
    <w:p w14:paraId="68D17E93">
      <w:pPr>
        <w:pStyle w:val="59"/>
        <w:shd w:val="clear"/>
        <w:rPr>
          <w:color w:val="auto"/>
          <w:highlight w:val="none"/>
        </w:rPr>
      </w:pPr>
    </w:p>
    <w:p w14:paraId="71FBE261">
      <w:pPr>
        <w:pStyle w:val="59"/>
        <w:shd w:val="clear"/>
        <w:rPr>
          <w:color w:val="auto"/>
          <w:highlight w:val="none"/>
        </w:rPr>
      </w:pPr>
    </w:p>
    <w:p w14:paraId="1540AAE9">
      <w:pPr>
        <w:pStyle w:val="59"/>
        <w:shd w:val="clear"/>
        <w:rPr>
          <w:color w:val="auto"/>
          <w:highlight w:val="none"/>
        </w:rPr>
      </w:pPr>
    </w:p>
    <w:p w14:paraId="4B2AD14B">
      <w:pPr>
        <w:shd w:val="clear"/>
        <w:spacing w:line="360" w:lineRule="auto"/>
        <w:rPr>
          <w:rFonts w:ascii="宋体" w:hAnsi="宋体" w:cs="宋体"/>
          <w:b/>
          <w:color w:val="auto"/>
          <w:sz w:val="28"/>
          <w:highlight w:val="none"/>
        </w:rPr>
      </w:pPr>
      <w:r>
        <w:rPr>
          <w:rFonts w:hint="eastAsia" w:ascii="宋体" w:hAnsi="宋体" w:cs="宋体"/>
          <w:b/>
          <w:color w:val="auto"/>
          <w:sz w:val="28"/>
          <w:highlight w:val="none"/>
        </w:rPr>
        <w:t>附件2</w:t>
      </w:r>
    </w:p>
    <w:p w14:paraId="5975E0D7">
      <w:pPr>
        <w:shd w:val="clear"/>
        <w:adjustRightInd w:val="0"/>
        <w:snapToGrid w:val="0"/>
        <w:spacing w:line="360" w:lineRule="auto"/>
        <w:ind w:right="480"/>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投标声明书</w:t>
      </w:r>
    </w:p>
    <w:p w14:paraId="5A602C72">
      <w:pPr>
        <w:shd w:val="clear"/>
        <w:snapToGrid w:val="0"/>
        <w:spacing w:beforeLines="50" w:after="50" w:line="28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eastAsia="zh-CN"/>
        </w:rPr>
        <w:t>台州市建航工程管理有限公司</w:t>
      </w:r>
      <w:r>
        <w:rPr>
          <w:rFonts w:hint="eastAsia" w:ascii="宋体" w:hAnsi="宋体" w:cs="宋体"/>
          <w:color w:val="auto"/>
          <w:kern w:val="0"/>
          <w:szCs w:val="21"/>
          <w:highlight w:val="none"/>
        </w:rPr>
        <w:t>：</w:t>
      </w:r>
    </w:p>
    <w:p w14:paraId="0CFF15ED">
      <w:pPr>
        <w:shd w:val="clear"/>
        <w:snapToGrid w:val="0"/>
        <w:spacing w:beforeLines="50" w:after="50"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（投标人名称）系中华人民共和国合法企业，经营地址：。</w:t>
      </w:r>
    </w:p>
    <w:p w14:paraId="5C8604A4">
      <w:pPr>
        <w:shd w:val="clear"/>
        <w:snapToGrid w:val="0"/>
        <w:spacing w:beforeLines="50" w:after="5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w:t>
      </w:r>
      <w:r>
        <w:rPr>
          <w:rFonts w:hint="eastAsia" w:ascii="宋体" w:hAnsi="宋体" w:cs="宋体"/>
          <w:color w:val="auto"/>
          <w:kern w:val="0"/>
          <w:szCs w:val="21"/>
          <w:highlight w:val="none"/>
          <w:u w:val="single"/>
        </w:rPr>
        <w:t xml:space="preserve"> 姓名 </w:t>
      </w: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投标人名称 </w:t>
      </w:r>
      <w:r>
        <w:rPr>
          <w:rFonts w:hint="eastAsia" w:ascii="宋体" w:hAnsi="宋体" w:cs="宋体"/>
          <w:color w:val="auto"/>
          <w:kern w:val="0"/>
          <w:szCs w:val="21"/>
          <w:highlight w:val="none"/>
        </w:rPr>
        <w:t>）的法定代表人，我公司自愿参加贵方组织的</w:t>
      </w:r>
      <w:r>
        <w:rPr>
          <w:rFonts w:hint="eastAsia" w:ascii="宋体" w:hAnsi="宋体" w:cs="宋体"/>
          <w:color w:val="auto"/>
          <w:kern w:val="0"/>
          <w:szCs w:val="21"/>
          <w:highlight w:val="none"/>
          <w:lang w:eastAsia="zh-CN"/>
        </w:rPr>
        <w:t>2025年智慧城管中心服务项目</w:t>
      </w:r>
      <w:r>
        <w:rPr>
          <w:rFonts w:hint="eastAsia" w:ascii="宋体" w:hAnsi="宋体" w:cs="宋体"/>
          <w:color w:val="auto"/>
          <w:kern w:val="0"/>
          <w:szCs w:val="21"/>
          <w:highlight w:val="none"/>
        </w:rPr>
        <w:t>（编号为</w:t>
      </w:r>
      <w:r>
        <w:rPr>
          <w:rFonts w:hint="eastAsia" w:ascii="宋体" w:hAnsi="宋体" w:cs="宋体"/>
          <w:color w:val="auto"/>
          <w:szCs w:val="32"/>
          <w:highlight w:val="none"/>
          <w:u w:val="single"/>
          <w:lang w:eastAsia="zh-CN"/>
        </w:rPr>
        <w:t>TZJH-2025-036号</w:t>
      </w:r>
      <w:r>
        <w:rPr>
          <w:rFonts w:hint="eastAsia" w:ascii="宋体" w:hAnsi="宋体" w:cs="宋体"/>
          <w:color w:val="auto"/>
          <w:kern w:val="0"/>
          <w:szCs w:val="21"/>
          <w:highlight w:val="none"/>
        </w:rPr>
        <w:t>）的投标，为此，我公司就本次投标有关事项郑重声明如下：</w:t>
      </w:r>
    </w:p>
    <w:p w14:paraId="1EB764AC">
      <w:pPr>
        <w:shd w:val="clear"/>
        <w:snapToGrid w:val="0"/>
        <w:spacing w:beforeLines="50" w:after="50"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16629C60">
      <w:pPr>
        <w:shd w:val="clear"/>
        <w:snapToGrid w:val="0"/>
        <w:spacing w:beforeLines="50" w:after="5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我公司在参与投标前已详细审查了采购文件和所有相关资料，我方完全明白并认为此采购文件没有倾向性，也没有存在排斥潜在投标人的内容，我方同意采购文件的相关条款，放弃对采购文件提出误解和质疑的一切权利。</w:t>
      </w:r>
    </w:p>
    <w:p w14:paraId="31F709C9">
      <w:pPr>
        <w:numPr>
          <w:ilvl w:val="255"/>
          <w:numId w:val="0"/>
        </w:numPr>
        <w:shd w:val="clear"/>
        <w:snapToGrid w:val="0"/>
        <w:spacing w:beforeLines="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w:t>
      </w:r>
      <w:r>
        <w:rPr>
          <w:rFonts w:hint="eastAsia" w:ascii="宋体" w:hAnsi="宋体" w:cs="宋体"/>
          <w:color w:val="auto"/>
          <w:kern w:val="0"/>
          <w:szCs w:val="21"/>
          <w:highlight w:val="none"/>
          <w:lang w:val="zh-CN"/>
        </w:rPr>
        <w:t>公司</w:t>
      </w:r>
      <w:r>
        <w:rPr>
          <w:rFonts w:hint="eastAsia" w:ascii="宋体" w:hAnsi="宋体" w:cs="宋体"/>
          <w:color w:val="auto"/>
          <w:szCs w:val="21"/>
          <w:highlight w:val="none"/>
        </w:rPr>
        <w:t>不是采购人的附属机构；在获知本项目采购信息后，与采购人聘请的为此项目提供咨询服务的公司及其附属机构没有任何联系。</w:t>
      </w:r>
    </w:p>
    <w:p w14:paraId="5318729A">
      <w:pPr>
        <w:shd w:val="clear"/>
        <w:snapToGrid w:val="0"/>
        <w:spacing w:beforeLines="50" w:after="50" w:line="360" w:lineRule="auto"/>
        <w:ind w:firstLine="420" w:firstLineChars="200"/>
        <w:rPr>
          <w:rFonts w:ascii="宋体" w:hAnsi="宋体" w:cs="宋体"/>
          <w:color w:val="auto"/>
          <w:kern w:val="0"/>
          <w:szCs w:val="21"/>
          <w:highlight w:val="none"/>
          <w:lang w:val="af-ZA"/>
        </w:rPr>
      </w:pPr>
      <w:r>
        <w:rPr>
          <w:rFonts w:hint="eastAsia" w:ascii="宋体" w:hAnsi="宋体" w:cs="宋体"/>
          <w:color w:val="auto"/>
          <w:szCs w:val="21"/>
          <w:highlight w:val="none"/>
        </w:rPr>
        <w:t>4、</w:t>
      </w:r>
      <w:r>
        <w:rPr>
          <w:rFonts w:hint="eastAsia" w:ascii="宋体" w:hAnsi="宋体" w:cs="宋体"/>
          <w:color w:val="auto"/>
          <w:kern w:val="0"/>
          <w:szCs w:val="21"/>
          <w:highlight w:val="none"/>
        </w:rPr>
        <w:t>我</w:t>
      </w:r>
      <w:r>
        <w:rPr>
          <w:rFonts w:hint="eastAsia" w:ascii="宋体" w:hAnsi="宋体" w:cs="宋体"/>
          <w:color w:val="auto"/>
          <w:kern w:val="0"/>
          <w:szCs w:val="21"/>
          <w:highlight w:val="none"/>
          <w:lang w:val="zh-CN"/>
        </w:rPr>
        <w:t>公司</w:t>
      </w:r>
      <w:r>
        <w:rPr>
          <w:rFonts w:hint="eastAsia" w:ascii="宋体" w:hAnsi="宋体" w:cs="宋体"/>
          <w:color w:val="auto"/>
          <w:kern w:val="0"/>
          <w:szCs w:val="21"/>
          <w:highlight w:val="none"/>
        </w:rPr>
        <w:t>保证，</w:t>
      </w:r>
      <w:r>
        <w:rPr>
          <w:rFonts w:hint="eastAsia" w:ascii="宋体" w:hAnsi="宋体" w:cs="宋体"/>
          <w:color w:val="auto"/>
          <w:kern w:val="0"/>
          <w:szCs w:val="21"/>
          <w:highlight w:val="none"/>
          <w:lang w:val="af-ZA"/>
        </w:rPr>
        <w:t>采购人在中华人民共和国境内使用</w:t>
      </w:r>
      <w:r>
        <w:rPr>
          <w:rFonts w:hint="eastAsia" w:ascii="宋体" w:hAnsi="宋体" w:cs="宋体"/>
          <w:color w:val="auto"/>
          <w:kern w:val="0"/>
          <w:szCs w:val="21"/>
          <w:highlight w:val="none"/>
        </w:rPr>
        <w:t>我</w:t>
      </w:r>
      <w:r>
        <w:rPr>
          <w:rFonts w:hint="eastAsia" w:ascii="宋体" w:hAnsi="宋体" w:cs="宋体"/>
          <w:color w:val="auto"/>
          <w:kern w:val="0"/>
          <w:szCs w:val="21"/>
          <w:highlight w:val="none"/>
          <w:lang w:val="zh-CN"/>
        </w:rPr>
        <w:t>公司</w:t>
      </w:r>
      <w:r>
        <w:rPr>
          <w:rFonts w:hint="eastAsia" w:ascii="宋体" w:hAnsi="宋体" w:cs="宋体"/>
          <w:color w:val="auto"/>
          <w:kern w:val="0"/>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ECB4DC7">
      <w:pPr>
        <w:shd w:val="clear"/>
        <w:snapToGrid w:val="0"/>
        <w:spacing w:beforeLines="50" w:after="50"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af-ZA"/>
        </w:rPr>
        <w:t>5、我</w:t>
      </w:r>
      <w:r>
        <w:rPr>
          <w:rFonts w:hint="eastAsia" w:ascii="宋体" w:hAnsi="宋体" w:cs="宋体"/>
          <w:color w:val="auto"/>
          <w:kern w:val="0"/>
          <w:szCs w:val="21"/>
          <w:highlight w:val="none"/>
          <w:lang w:val="zh-CN"/>
        </w:rPr>
        <w:t>公司</w:t>
      </w:r>
      <w:r>
        <w:rPr>
          <w:rFonts w:hint="eastAsia" w:ascii="宋体" w:hAnsi="宋体" w:cs="宋体"/>
          <w:color w:val="auto"/>
          <w:kern w:val="0"/>
          <w:szCs w:val="21"/>
          <w:highlight w:val="none"/>
          <w:lang w:val="af-ZA"/>
        </w:rPr>
        <w:t>严格履行政府采购合同，不降低合同约定的产品质量和服务，不擅自变更、中止、终止合同，或拒绝履行合同义务；</w:t>
      </w:r>
    </w:p>
    <w:p w14:paraId="05B00564">
      <w:pPr>
        <w:shd w:val="clear"/>
        <w:snapToGrid w:val="0"/>
        <w:spacing w:beforeLines="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6、以上事项如有虚假或隐瞒，我</w:t>
      </w:r>
      <w:r>
        <w:rPr>
          <w:rFonts w:hint="eastAsia" w:ascii="宋体" w:hAnsi="宋体" w:cs="宋体"/>
          <w:color w:val="auto"/>
          <w:kern w:val="0"/>
          <w:szCs w:val="21"/>
          <w:highlight w:val="none"/>
          <w:lang w:val="zh-CN"/>
        </w:rPr>
        <w:t>公司</w:t>
      </w:r>
      <w:r>
        <w:rPr>
          <w:rFonts w:hint="eastAsia" w:ascii="宋体" w:hAnsi="宋体" w:cs="宋体"/>
          <w:color w:val="auto"/>
          <w:szCs w:val="21"/>
          <w:highlight w:val="none"/>
        </w:rPr>
        <w:t>愿意承担一切后果，并不再寻求任何旨在减轻或免除法律责任的辩解。</w:t>
      </w:r>
    </w:p>
    <w:p w14:paraId="4552A0FC">
      <w:pPr>
        <w:shd w:val="clear"/>
        <w:adjustRightInd w:val="0"/>
        <w:snapToGrid w:val="0"/>
        <w:spacing w:line="360" w:lineRule="auto"/>
        <w:ind w:firstLine="480"/>
        <w:rPr>
          <w:rFonts w:ascii="宋体" w:hAnsi="宋体" w:cs="宋体"/>
          <w:color w:val="auto"/>
          <w:kern w:val="0"/>
          <w:szCs w:val="21"/>
          <w:highlight w:val="none"/>
        </w:rPr>
      </w:pPr>
    </w:p>
    <w:p w14:paraId="6950A41D">
      <w:pPr>
        <w:shd w:val="clea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投标人名称（公章或CA签章）：</w:t>
      </w:r>
    </w:p>
    <w:p w14:paraId="01A1A788">
      <w:pPr>
        <w:shd w:val="clea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szCs w:val="21"/>
          <w:highlight w:val="none"/>
        </w:rPr>
        <w:t>法定代表人或授权委托人(签字或盖章)</w:t>
      </w:r>
      <w:r>
        <w:rPr>
          <w:rFonts w:hint="eastAsia" w:ascii="宋体" w:hAnsi="宋体" w:cs="宋体"/>
          <w:color w:val="auto"/>
          <w:kern w:val="0"/>
          <w:szCs w:val="21"/>
          <w:highlight w:val="none"/>
          <w:lang w:val="zh-CN"/>
        </w:rPr>
        <w:t>：</w:t>
      </w:r>
    </w:p>
    <w:p w14:paraId="17C94611">
      <w:pPr>
        <w:shd w:val="clear"/>
        <w:adjustRightInd w:val="0"/>
        <w:snapToGrid w:val="0"/>
        <w:spacing w:line="360" w:lineRule="auto"/>
        <w:ind w:right="480"/>
        <w:rPr>
          <w:rFonts w:ascii="宋体" w:hAnsi="宋体" w:cs="宋体"/>
          <w:color w:val="auto"/>
          <w:kern w:val="0"/>
          <w:sz w:val="24"/>
          <w:highlight w:val="none"/>
          <w:lang w:val="zh-CN"/>
        </w:rPr>
      </w:pPr>
      <w:r>
        <w:rPr>
          <w:rFonts w:hint="eastAsia" w:ascii="宋体" w:hAnsi="宋体" w:cs="宋体"/>
          <w:color w:val="auto"/>
          <w:kern w:val="0"/>
          <w:szCs w:val="21"/>
          <w:highlight w:val="none"/>
          <w:lang w:val="zh-CN"/>
        </w:rPr>
        <w:t>日期：年 月 日</w:t>
      </w:r>
    </w:p>
    <w:p w14:paraId="499177FF">
      <w:pPr>
        <w:shd w:val="clear"/>
        <w:adjustRightInd w:val="0"/>
        <w:snapToGrid w:val="0"/>
        <w:spacing w:line="360" w:lineRule="auto"/>
        <w:ind w:right="480"/>
        <w:rPr>
          <w:rFonts w:ascii="宋体" w:hAnsi="宋体" w:cs="宋体"/>
          <w:b/>
          <w:color w:val="auto"/>
          <w:sz w:val="28"/>
          <w:highlight w:val="none"/>
        </w:rPr>
      </w:pPr>
    </w:p>
    <w:p w14:paraId="2B39A87B">
      <w:pPr>
        <w:shd w:val="clea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附件3</w:t>
      </w:r>
    </w:p>
    <w:p w14:paraId="2FB85BAD">
      <w:pPr>
        <w:shd w:val="clear"/>
        <w:spacing w:line="360" w:lineRule="auto"/>
        <w:ind w:firstLine="321" w:firstLineChars="100"/>
        <w:jc w:val="center"/>
        <w:rPr>
          <w:rFonts w:ascii="宋体" w:hAnsi="宋体" w:cs="宋体"/>
          <w:b/>
          <w:color w:val="auto"/>
          <w:sz w:val="32"/>
          <w:szCs w:val="32"/>
          <w:highlight w:val="none"/>
          <w:u w:val="single"/>
        </w:rPr>
      </w:pPr>
      <w:r>
        <w:rPr>
          <w:rFonts w:hint="eastAsia" w:ascii="宋体" w:hAnsi="宋体" w:cs="宋体"/>
          <w:b/>
          <w:color w:val="auto"/>
          <w:sz w:val="32"/>
          <w:szCs w:val="32"/>
          <w:highlight w:val="none"/>
        </w:rPr>
        <w:t>授权委托书</w:t>
      </w:r>
    </w:p>
    <w:p w14:paraId="5BBB1A78">
      <w:pPr>
        <w:pStyle w:val="28"/>
        <w:shd w:val="clear"/>
        <w:spacing w:line="500" w:lineRule="exact"/>
        <w:rPr>
          <w:rFonts w:hAnsi="宋体" w:cs="宋体"/>
          <w:b/>
          <w:color w:val="auto"/>
          <w:sz w:val="24"/>
          <w:highlight w:val="none"/>
        </w:rPr>
      </w:pPr>
      <w:r>
        <w:rPr>
          <w:rFonts w:hint="eastAsia" w:hAnsi="宋体" w:cs="宋体"/>
          <w:color w:val="auto"/>
          <w:kern w:val="0"/>
          <w:sz w:val="24"/>
          <w:highlight w:val="none"/>
          <w:lang w:eastAsia="zh-CN"/>
        </w:rPr>
        <w:t>台州市建航工程管理有限公司</w:t>
      </w:r>
      <w:r>
        <w:rPr>
          <w:rFonts w:hint="eastAsia" w:hAnsi="宋体" w:cs="宋体"/>
          <w:b/>
          <w:color w:val="auto"/>
          <w:sz w:val="24"/>
          <w:highlight w:val="none"/>
        </w:rPr>
        <w:t>：</w:t>
      </w:r>
    </w:p>
    <w:p w14:paraId="3FEC440F">
      <w:pPr>
        <w:pStyle w:val="28"/>
        <w:shd w:val="clear"/>
        <w:spacing w:line="500" w:lineRule="exact"/>
        <w:ind w:left="240" w:hanging="240" w:hangingChars="100"/>
        <w:rPr>
          <w:rFonts w:hAnsi="宋体" w:cs="宋体"/>
          <w:color w:val="auto"/>
          <w:sz w:val="24"/>
          <w:highlight w:val="none"/>
        </w:rPr>
      </w:pPr>
      <w:r>
        <w:rPr>
          <w:rFonts w:hint="eastAsia" w:hAnsi="宋体" w:cs="宋体"/>
          <w:color w:val="auto"/>
          <w:sz w:val="24"/>
          <w:highlight w:val="none"/>
          <w:u w:val="single"/>
        </w:rPr>
        <w:t xml:space="preserve">  （投标人全称）  </w:t>
      </w:r>
      <w:r>
        <w:rPr>
          <w:rFonts w:hint="eastAsia" w:hAnsi="宋体" w:cs="宋体"/>
          <w:color w:val="auto"/>
          <w:sz w:val="24"/>
          <w:highlight w:val="none"/>
        </w:rPr>
        <w:t>法定代表人（或营业执照中单位负责人）</w:t>
      </w:r>
      <w:r>
        <w:rPr>
          <w:rFonts w:hint="eastAsia" w:hAnsi="宋体" w:cs="宋体"/>
          <w:color w:val="auto"/>
          <w:sz w:val="24"/>
          <w:highlight w:val="none"/>
          <w:u w:val="single"/>
        </w:rPr>
        <w:tab/>
      </w:r>
      <w:r>
        <w:rPr>
          <w:rFonts w:hint="eastAsia" w:hAnsi="宋体" w:cs="宋体"/>
          <w:color w:val="auto"/>
          <w:sz w:val="24"/>
          <w:highlight w:val="none"/>
          <w:u w:val="single"/>
        </w:rPr>
        <w:t xml:space="preserve">（法定代表人或营业执照中单位负责人姓名） </w:t>
      </w:r>
      <w:r>
        <w:rPr>
          <w:rFonts w:hint="eastAsia" w:hAnsi="宋体" w:cs="宋体"/>
          <w:color w:val="auto"/>
          <w:sz w:val="24"/>
          <w:highlight w:val="none"/>
        </w:rPr>
        <w:t>授权</w:t>
      </w:r>
      <w:r>
        <w:rPr>
          <w:rFonts w:hint="eastAsia" w:hAnsi="宋体" w:cs="宋体"/>
          <w:color w:val="auto"/>
          <w:sz w:val="24"/>
          <w:highlight w:val="none"/>
          <w:u w:val="single"/>
        </w:rPr>
        <w:t xml:space="preserve">   （全权代表姓名） </w:t>
      </w:r>
      <w:r>
        <w:rPr>
          <w:rFonts w:hint="eastAsia" w:hAnsi="宋体" w:cs="宋体"/>
          <w:color w:val="auto"/>
          <w:sz w:val="24"/>
          <w:highlight w:val="none"/>
        </w:rPr>
        <w:t>为全权代表，参加贵单位组织</w:t>
      </w:r>
      <w:r>
        <w:rPr>
          <w:rFonts w:hint="eastAsia" w:hAnsi="宋体" w:cs="宋体"/>
          <w:color w:val="auto"/>
          <w:kern w:val="0"/>
          <w:sz w:val="24"/>
          <w:highlight w:val="none"/>
        </w:rPr>
        <w:t>的</w:t>
      </w:r>
      <w:r>
        <w:rPr>
          <w:rFonts w:hint="eastAsia" w:hAnsi="宋体" w:cs="宋体"/>
          <w:color w:val="auto"/>
          <w:kern w:val="0"/>
          <w:sz w:val="24"/>
          <w:highlight w:val="none"/>
          <w:lang w:eastAsia="zh-CN"/>
        </w:rPr>
        <w:t>2025年智慧城管中心服务项目</w:t>
      </w:r>
      <w:r>
        <w:rPr>
          <w:rFonts w:hint="eastAsia" w:hAnsi="宋体" w:cs="宋体"/>
          <w:color w:val="auto"/>
          <w:sz w:val="24"/>
          <w:highlight w:val="none"/>
        </w:rPr>
        <w:t>的采购活动，并代表我方全权办理针对上述项目的投标、开标、评标、签约等具体事务和签署相关文件。我方对全权代表的签字事项负全部责任。</w:t>
      </w:r>
    </w:p>
    <w:p w14:paraId="39700283">
      <w:pPr>
        <w:pStyle w:val="28"/>
        <w:shd w:val="clear"/>
        <w:spacing w:line="500" w:lineRule="exact"/>
        <w:ind w:left="139" w:leftChars="66" w:firstLine="480" w:firstLineChars="200"/>
        <w:rPr>
          <w:rFonts w:hAnsi="宋体" w:cs="宋体"/>
          <w:color w:val="auto"/>
          <w:sz w:val="24"/>
          <w:highlight w:val="none"/>
        </w:rPr>
      </w:pPr>
      <w:r>
        <w:rPr>
          <w:rFonts w:hint="eastAsia" w:hAnsi="宋体" w:cs="宋体"/>
          <w:color w:val="auto"/>
          <w:sz w:val="24"/>
          <w:highlight w:val="none"/>
        </w:rPr>
        <w:t>在撤销授权的书面通知以前，本授权书一直有效。全权代表在授权委托书有效期内签署的所有文件不因授权的撤销而失效。</w:t>
      </w:r>
    </w:p>
    <w:p w14:paraId="73FD7F61">
      <w:pPr>
        <w:pStyle w:val="28"/>
        <w:shd w:val="clear"/>
        <w:spacing w:line="500" w:lineRule="exact"/>
        <w:ind w:left="139" w:leftChars="66" w:firstLine="480" w:firstLineChars="200"/>
        <w:rPr>
          <w:rFonts w:hAnsi="宋体" w:cs="宋体"/>
          <w:color w:val="auto"/>
          <w:sz w:val="24"/>
          <w:highlight w:val="none"/>
        </w:rPr>
      </w:pPr>
      <w:r>
        <w:rPr>
          <w:rFonts w:hint="eastAsia" w:hAnsi="宋体" w:cs="宋体"/>
          <w:color w:val="auto"/>
          <w:sz w:val="24"/>
          <w:highlight w:val="none"/>
        </w:rPr>
        <w:t>全权代表无转委托权，特此委托。</w:t>
      </w:r>
    </w:p>
    <w:p w14:paraId="6B8E8365">
      <w:pPr>
        <w:shd w:val="clear"/>
        <w:spacing w:line="360" w:lineRule="auto"/>
        <w:rPr>
          <w:rFonts w:ascii="宋体" w:hAnsi="宋体" w:cs="宋体"/>
          <w:color w:val="auto"/>
          <w:sz w:val="24"/>
          <w:highlight w:val="none"/>
        </w:rPr>
      </w:pPr>
    </w:p>
    <w:p w14:paraId="1842270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法定代表人（签字或盖章）：</w:t>
      </w:r>
    </w:p>
    <w:p w14:paraId="060C559D">
      <w:pPr>
        <w:shd w:val="clear"/>
        <w:spacing w:line="360" w:lineRule="auto"/>
        <w:rPr>
          <w:rFonts w:ascii="宋体" w:hAnsi="宋体" w:cs="宋体"/>
          <w:color w:val="auto"/>
          <w:sz w:val="24"/>
          <w:highlight w:val="none"/>
        </w:rPr>
      </w:pPr>
    </w:p>
    <w:p w14:paraId="72F26FF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投标人全称（公章或CA签章）：                         日期：</w:t>
      </w:r>
    </w:p>
    <w:p w14:paraId="27513E6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F8C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14:paraId="5CB92088">
            <w:pPr>
              <w:keepNext w:val="0"/>
              <w:keepLines w:val="0"/>
              <w:suppressLineNumbers w:val="0"/>
              <w:shd w:val="clear"/>
              <w:spacing w:before="0" w:beforeAutospacing="0" w:after="0" w:afterAutospacing="0" w:line="360" w:lineRule="auto"/>
              <w:ind w:left="0" w:right="0"/>
              <w:rPr>
                <w:rFonts w:hint="default" w:ascii="宋体" w:hAnsi="宋体" w:cs="宋体"/>
                <w:color w:val="auto"/>
                <w:sz w:val="24"/>
                <w:highlight w:val="none"/>
              </w:rPr>
            </w:pPr>
          </w:p>
          <w:p w14:paraId="53607A22">
            <w:pPr>
              <w:keepNext w:val="0"/>
              <w:keepLines w:val="0"/>
              <w:suppressLineNumbers w:val="0"/>
              <w:shd w:val="clear"/>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b/>
                <w:bCs/>
                <w:color w:val="auto"/>
                <w:sz w:val="24"/>
                <w:highlight w:val="none"/>
              </w:rPr>
              <w:t>法定代表人身份证复印件粘贴处</w:t>
            </w:r>
          </w:p>
        </w:tc>
      </w:tr>
    </w:tbl>
    <w:p w14:paraId="1EE9B64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法定代表人姓名：                                 </w:t>
      </w:r>
    </w:p>
    <w:p w14:paraId="61545ED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传真：</w:t>
      </w:r>
    </w:p>
    <w:p w14:paraId="088897D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电话：</w:t>
      </w:r>
    </w:p>
    <w:p w14:paraId="4DDFA0A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详细通讯地址：</w:t>
      </w:r>
    </w:p>
    <w:p w14:paraId="5A2101A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邮政编码：</w:t>
      </w:r>
    </w:p>
    <w:p w14:paraId="770219A5">
      <w:pPr>
        <w:shd w:val="clear"/>
        <w:spacing w:line="360" w:lineRule="auto"/>
        <w:rPr>
          <w:rFonts w:ascii="宋体" w:hAnsi="宋体" w:cs="宋体"/>
          <w:color w:val="auto"/>
          <w:sz w:val="24"/>
          <w:highlight w:val="none"/>
        </w:rPr>
      </w:pP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C39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14:paraId="54FB27DA">
            <w:pPr>
              <w:keepNext w:val="0"/>
              <w:keepLines w:val="0"/>
              <w:suppressLineNumbers w:val="0"/>
              <w:shd w:val="clear"/>
              <w:spacing w:before="0" w:beforeAutospacing="0" w:after="0" w:afterAutospacing="0" w:line="360" w:lineRule="auto"/>
              <w:ind w:left="0" w:right="0"/>
              <w:rPr>
                <w:rFonts w:hint="default" w:ascii="宋体" w:hAnsi="宋体" w:cs="宋体"/>
                <w:color w:val="auto"/>
                <w:sz w:val="24"/>
                <w:highlight w:val="none"/>
              </w:rPr>
            </w:pPr>
          </w:p>
          <w:p w14:paraId="208AE61D">
            <w:pPr>
              <w:keepNext w:val="0"/>
              <w:keepLines w:val="0"/>
              <w:suppressLineNumbers w:val="0"/>
              <w:shd w:val="clear"/>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b/>
                <w:bCs/>
                <w:color w:val="auto"/>
                <w:sz w:val="24"/>
                <w:highlight w:val="none"/>
              </w:rPr>
              <w:t>全权代表身份证复印件粘贴处</w:t>
            </w:r>
          </w:p>
        </w:tc>
      </w:tr>
    </w:tbl>
    <w:p w14:paraId="050CE5F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全权代表姓名：       </w:t>
      </w:r>
    </w:p>
    <w:p w14:paraId="65DCA4C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职务：                           </w:t>
      </w:r>
    </w:p>
    <w:p w14:paraId="2CD12C8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传真：</w:t>
      </w:r>
    </w:p>
    <w:p w14:paraId="1A7143B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电话：</w:t>
      </w:r>
    </w:p>
    <w:p w14:paraId="3BD2782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详细通讯地址：</w:t>
      </w:r>
    </w:p>
    <w:p w14:paraId="695D1748">
      <w:pPr>
        <w:shd w:val="clear"/>
        <w:spacing w:line="360" w:lineRule="auto"/>
        <w:rPr>
          <w:rFonts w:ascii="宋体" w:hAnsi="宋体" w:cs="宋体"/>
          <w:b/>
          <w:bCs/>
          <w:color w:val="auto"/>
          <w:sz w:val="32"/>
          <w:szCs w:val="32"/>
          <w:highlight w:val="none"/>
          <w:lang w:val="zh-CN"/>
        </w:rPr>
      </w:pPr>
      <w:r>
        <w:rPr>
          <w:rFonts w:hint="eastAsia" w:ascii="宋体" w:hAnsi="宋体" w:cs="宋体"/>
          <w:color w:val="auto"/>
          <w:sz w:val="24"/>
          <w:highlight w:val="none"/>
        </w:rPr>
        <w:t>邮政编码</w:t>
      </w:r>
      <w:r>
        <w:rPr>
          <w:rFonts w:hint="eastAsia" w:ascii="宋体" w:hAnsi="宋体" w:cs="宋体"/>
          <w:color w:val="auto"/>
          <w:highlight w:val="none"/>
        </w:rPr>
        <w:t>：</w:t>
      </w:r>
    </w:p>
    <w:p w14:paraId="13181B42">
      <w:pPr>
        <w:shd w:val="clear"/>
        <w:rPr>
          <w:rFonts w:ascii="宋体" w:hAnsi="宋体" w:cs="宋体"/>
          <w:b/>
          <w:color w:val="auto"/>
          <w:sz w:val="28"/>
          <w:highlight w:val="none"/>
        </w:rPr>
      </w:pPr>
      <w:r>
        <w:rPr>
          <w:rFonts w:hint="eastAsia" w:ascii="宋体" w:hAnsi="宋体" w:cs="宋体"/>
          <w:b/>
          <w:color w:val="auto"/>
          <w:sz w:val="28"/>
          <w:highlight w:val="none"/>
        </w:rPr>
        <w:br w:type="page"/>
      </w:r>
    </w:p>
    <w:p w14:paraId="148737F5">
      <w:pPr>
        <w:shd w:val="clear"/>
        <w:spacing w:line="360" w:lineRule="auto"/>
        <w:ind w:right="-110"/>
        <w:rPr>
          <w:rFonts w:ascii="宋体" w:hAnsi="宋体"/>
          <w:b/>
          <w:color w:val="auto"/>
          <w:sz w:val="32"/>
          <w:szCs w:val="32"/>
          <w:highlight w:val="none"/>
        </w:rPr>
      </w:pPr>
      <w:r>
        <w:rPr>
          <w:rFonts w:hint="eastAsia" w:ascii="宋体" w:hAnsi="宋体"/>
          <w:b/>
          <w:color w:val="auto"/>
          <w:sz w:val="32"/>
          <w:szCs w:val="32"/>
          <w:highlight w:val="none"/>
        </w:rPr>
        <w:t>附件4：</w:t>
      </w:r>
    </w:p>
    <w:p w14:paraId="22F50603">
      <w:pPr>
        <w:shd w:val="clear"/>
        <w:spacing w:afterLines="100" w:line="480" w:lineRule="auto"/>
        <w:ind w:firstLine="482"/>
        <w:jc w:val="center"/>
        <w:rPr>
          <w:rFonts w:asciiTheme="minorEastAsia" w:hAnsiTheme="minorEastAsia" w:eastAsiaTheme="minorEastAsia" w:cstheme="minorEastAsia"/>
          <w:color w:val="auto"/>
          <w:sz w:val="28"/>
          <w:szCs w:val="36"/>
          <w:highlight w:val="none"/>
        </w:rPr>
      </w:pPr>
      <w:r>
        <w:rPr>
          <w:rFonts w:hint="eastAsia" w:asciiTheme="minorEastAsia" w:hAnsiTheme="minorEastAsia" w:eastAsiaTheme="minorEastAsia" w:cstheme="minorEastAsia"/>
          <w:b/>
          <w:bCs/>
          <w:color w:val="auto"/>
          <w:kern w:val="0"/>
          <w:sz w:val="28"/>
          <w:szCs w:val="36"/>
          <w:highlight w:val="none"/>
          <w:lang w:val="zh-CN"/>
        </w:rPr>
        <w:t>具备健全的财务会计制度的承诺函</w:t>
      </w:r>
    </w:p>
    <w:p w14:paraId="298EB05E">
      <w:pPr>
        <w:widowControl/>
        <w:shd w:val="clear"/>
        <w:spacing w:line="600" w:lineRule="exact"/>
        <w:ind w:firstLine="480"/>
        <w:rPr>
          <w:rFonts w:asciiTheme="minorEastAsia" w:hAnsiTheme="minorEastAsia" w:eastAsiaTheme="minorEastAsia" w:cstheme="minorEastAsia"/>
          <w:color w:val="auto"/>
          <w:kern w:val="0"/>
          <w:highlight w:val="none"/>
        </w:rPr>
      </w:pPr>
    </w:p>
    <w:p w14:paraId="39B20A54">
      <w:pPr>
        <w:widowControl/>
        <w:shd w:val="clear"/>
        <w:spacing w:line="600" w:lineRule="exact"/>
        <w:ind w:firstLine="48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rPr>
        <w:t>致：</w:t>
      </w:r>
      <w:r>
        <w:rPr>
          <w:rFonts w:hint="eastAsia" w:asciiTheme="minorEastAsia" w:hAnsiTheme="minorEastAsia" w:eastAsiaTheme="minorEastAsia" w:cstheme="minorEastAsia"/>
          <w:color w:val="auto"/>
          <w:highlight w:val="none"/>
          <w:u w:val="single"/>
          <w:lang w:eastAsia="zh-CN"/>
        </w:rPr>
        <w:t>台州市建航工程管理有限公司</w:t>
      </w:r>
    </w:p>
    <w:p w14:paraId="5E8312D6">
      <w:pPr>
        <w:pStyle w:val="22"/>
        <w:shd w:val="clear"/>
        <w:spacing w:line="600" w:lineRule="exact"/>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w:t>
      </w:r>
      <w:r>
        <w:rPr>
          <w:rFonts w:hint="eastAsia" w:ascii="宋体" w:hAnsi="宋体" w:cs="宋体"/>
          <w:color w:val="auto"/>
          <w:highlight w:val="none"/>
        </w:rPr>
        <w:t>司参加</w:t>
      </w:r>
      <w:r>
        <w:rPr>
          <w:rFonts w:hint="eastAsia" w:ascii="宋体" w:hAnsi="宋体" w:cs="宋体"/>
          <w:color w:val="auto"/>
          <w:szCs w:val="32"/>
          <w:highlight w:val="none"/>
          <w:u w:val="single"/>
          <w:lang w:eastAsia="zh-CN"/>
        </w:rPr>
        <w:t>2025年智慧城管中心服务项目</w:t>
      </w:r>
      <w:r>
        <w:rPr>
          <w:rFonts w:hint="eastAsia" w:ascii="宋体" w:hAnsi="宋体" w:cs="宋体"/>
          <w:color w:val="auto"/>
          <w:highlight w:val="none"/>
          <w:u w:val="single"/>
        </w:rPr>
        <w:t>（编号为</w:t>
      </w:r>
      <w:r>
        <w:rPr>
          <w:rFonts w:hint="eastAsia" w:ascii="宋体" w:hAnsi="宋体" w:cs="宋体"/>
          <w:color w:val="auto"/>
          <w:szCs w:val="32"/>
          <w:highlight w:val="none"/>
          <w:u w:val="single"/>
          <w:lang w:eastAsia="zh-CN"/>
        </w:rPr>
        <w:t>TZJH-2025-036号</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r>
        <w:rPr>
          <w:rFonts w:hint="eastAsia" w:asciiTheme="minorEastAsia" w:hAnsiTheme="minorEastAsia" w:eastAsiaTheme="minorEastAsia" w:cstheme="minorEastAsia"/>
          <w:color w:val="auto"/>
          <w:highlight w:val="none"/>
        </w:rPr>
        <w:t>：</w:t>
      </w:r>
    </w:p>
    <w:p w14:paraId="10D50BD7">
      <w:pPr>
        <w:pStyle w:val="22"/>
        <w:shd w:val="clear"/>
        <w:spacing w:line="600" w:lineRule="exact"/>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我公司在参加本项目政府采购活动前，</w:t>
      </w:r>
      <w:r>
        <w:rPr>
          <w:rFonts w:hint="eastAsia" w:asciiTheme="minorEastAsia" w:hAnsiTheme="minorEastAsia" w:eastAsiaTheme="minorEastAsia" w:cstheme="minorEastAsia"/>
          <w:color w:val="auto"/>
          <w:kern w:val="0"/>
          <w:highlight w:val="none"/>
        </w:rPr>
        <w:t>没有处于被责令停产、财产被接管、冻结或破产状态，具有足够的流动资金，有能力履行合同；我公司</w:t>
      </w:r>
      <w:r>
        <w:rPr>
          <w:rFonts w:hint="eastAsia" w:asciiTheme="minorEastAsia" w:hAnsiTheme="minorEastAsia" w:eastAsiaTheme="minorEastAsia" w:cstheme="minorEastAsia"/>
          <w:color w:val="auto"/>
          <w:highlight w:val="none"/>
        </w:rPr>
        <w:t>具有良好的商业信誉和健全的财务会计制度。</w:t>
      </w:r>
    </w:p>
    <w:p w14:paraId="2C32D3F6">
      <w:pPr>
        <w:shd w:val="clear"/>
        <w:spacing w:line="600" w:lineRule="exact"/>
        <w:ind w:firstLine="48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如违反以上承诺，本公司愿承担一切法律责任。</w:t>
      </w:r>
    </w:p>
    <w:p w14:paraId="3E5BBF43">
      <w:pPr>
        <w:shd w:val="clear"/>
        <w:ind w:firstLine="480"/>
        <w:rPr>
          <w:rFonts w:asciiTheme="minorEastAsia" w:hAnsiTheme="minorEastAsia" w:eastAsiaTheme="minorEastAsia" w:cstheme="minorEastAsia"/>
          <w:color w:val="auto"/>
          <w:highlight w:val="none"/>
          <w:lang w:val="zh-CN"/>
        </w:rPr>
      </w:pPr>
    </w:p>
    <w:p w14:paraId="186E6981">
      <w:pPr>
        <w:pStyle w:val="22"/>
        <w:shd w:val="clear"/>
        <w:ind w:firstLine="480"/>
        <w:rPr>
          <w:rFonts w:asciiTheme="minorEastAsia" w:hAnsiTheme="minorEastAsia" w:eastAsiaTheme="minorEastAsia" w:cstheme="minorEastAsia"/>
          <w:color w:val="auto"/>
          <w:highlight w:val="none"/>
          <w:lang w:val="zh-CN"/>
        </w:rPr>
      </w:pPr>
    </w:p>
    <w:p w14:paraId="2313849E">
      <w:pPr>
        <w:pStyle w:val="22"/>
        <w:shd w:val="clear"/>
        <w:ind w:firstLine="480"/>
        <w:rPr>
          <w:rFonts w:asciiTheme="minorEastAsia" w:hAnsiTheme="minorEastAsia" w:eastAsiaTheme="minorEastAsia" w:cstheme="minorEastAsia"/>
          <w:color w:val="auto"/>
          <w:highlight w:val="none"/>
          <w:lang w:val="zh-CN"/>
        </w:rPr>
      </w:pPr>
    </w:p>
    <w:p w14:paraId="1886C022">
      <w:pPr>
        <w:pStyle w:val="22"/>
        <w:shd w:val="clear"/>
        <w:ind w:firstLine="480"/>
        <w:rPr>
          <w:rFonts w:asciiTheme="minorEastAsia" w:hAnsiTheme="minorEastAsia" w:eastAsiaTheme="minorEastAsia" w:cstheme="minorEastAsia"/>
          <w:color w:val="auto"/>
          <w:sz w:val="28"/>
          <w:szCs w:val="28"/>
          <w:highlight w:val="none"/>
          <w:lang w:val="zh-CN"/>
        </w:rPr>
      </w:pPr>
    </w:p>
    <w:p w14:paraId="299AFA06">
      <w:pPr>
        <w:widowControl/>
        <w:shd w:val="clear"/>
        <w:wordWrap w:val="0"/>
        <w:ind w:firstLine="480"/>
        <w:jc w:val="right"/>
        <w:rPr>
          <w:rFonts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sz w:val="24"/>
          <w:szCs w:val="32"/>
          <w:highlight w:val="none"/>
        </w:rPr>
        <w:t>投标人名称</w:t>
      </w:r>
      <w:r>
        <w:rPr>
          <w:rFonts w:hint="eastAsia" w:asciiTheme="minorEastAsia" w:hAnsiTheme="minorEastAsia" w:eastAsiaTheme="minorEastAsia" w:cstheme="minorEastAsia"/>
          <w:color w:val="auto"/>
          <w:kern w:val="0"/>
          <w:sz w:val="24"/>
          <w:szCs w:val="32"/>
          <w:highlight w:val="none"/>
        </w:rPr>
        <w:t>(</w:t>
      </w:r>
      <w:r>
        <w:rPr>
          <w:rFonts w:hint="eastAsia" w:asciiTheme="minorEastAsia" w:hAnsiTheme="minorEastAsia" w:eastAsiaTheme="minorEastAsia" w:cstheme="minorEastAsia"/>
          <w:color w:val="auto"/>
          <w:sz w:val="24"/>
          <w:szCs w:val="32"/>
          <w:highlight w:val="none"/>
        </w:rPr>
        <w:t xml:space="preserve">公章或CA签章)： </w:t>
      </w:r>
      <w:r>
        <w:rPr>
          <w:rFonts w:hint="eastAsia" w:asciiTheme="minorEastAsia" w:hAnsiTheme="minorEastAsia" w:eastAsiaTheme="minorEastAsia" w:cstheme="minorEastAsia"/>
          <w:color w:val="auto"/>
          <w:kern w:val="0"/>
          <w:sz w:val="24"/>
          <w:szCs w:val="32"/>
          <w:highlight w:val="none"/>
        </w:rPr>
        <w:t xml:space="preserve">            </w:t>
      </w:r>
    </w:p>
    <w:p w14:paraId="6759A739">
      <w:pPr>
        <w:widowControl/>
        <w:shd w:val="clear"/>
        <w:ind w:firstLine="480"/>
        <w:jc w:val="left"/>
        <w:rPr>
          <w:rFonts w:asciiTheme="minorEastAsia" w:hAnsiTheme="minorEastAsia" w:eastAsiaTheme="minorEastAsia" w:cstheme="minorEastAsia"/>
          <w:color w:val="auto"/>
          <w:kern w:val="0"/>
          <w:sz w:val="28"/>
          <w:szCs w:val="36"/>
          <w:highlight w:val="none"/>
        </w:rPr>
      </w:pPr>
    </w:p>
    <w:p w14:paraId="2051F31D">
      <w:pPr>
        <w:widowControl/>
        <w:shd w:val="clear"/>
        <w:ind w:firstLine="480"/>
        <w:jc w:val="right"/>
        <w:rPr>
          <w:rFonts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t>法定代表人(签字或盖章)或授权委托代理人(签字)：</w:t>
      </w:r>
    </w:p>
    <w:p w14:paraId="2592CF09">
      <w:pPr>
        <w:widowControl/>
        <w:shd w:val="clear"/>
        <w:ind w:firstLine="480"/>
        <w:jc w:val="left"/>
        <w:rPr>
          <w:rFonts w:asciiTheme="minorEastAsia" w:hAnsiTheme="minorEastAsia" w:eastAsiaTheme="minorEastAsia" w:cstheme="minorEastAsia"/>
          <w:color w:val="auto"/>
          <w:kern w:val="0"/>
          <w:sz w:val="24"/>
          <w:szCs w:val="32"/>
          <w:highlight w:val="none"/>
        </w:rPr>
      </w:pPr>
    </w:p>
    <w:p w14:paraId="54650DDE">
      <w:pPr>
        <w:shd w:val="clear"/>
        <w:ind w:firstLine="480"/>
        <w:jc w:val="right"/>
        <w:rPr>
          <w:rFonts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kern w:val="0"/>
          <w:sz w:val="24"/>
          <w:szCs w:val="32"/>
          <w:highlight w:val="none"/>
        </w:rPr>
        <w:t>日期：</w:t>
      </w:r>
      <w:r>
        <w:rPr>
          <w:rFonts w:hint="eastAsia" w:asciiTheme="minorEastAsia" w:hAnsiTheme="minorEastAsia" w:eastAsiaTheme="minorEastAsia" w:cstheme="minorEastAsia"/>
          <w:color w:val="auto"/>
          <w:sz w:val="24"/>
          <w:szCs w:val="32"/>
          <w:highlight w:val="none"/>
          <w:u w:val="single"/>
        </w:rPr>
        <w:t xml:space="preserve">     </w:t>
      </w:r>
      <w:r>
        <w:rPr>
          <w:rFonts w:hint="eastAsia" w:asciiTheme="minorEastAsia" w:hAnsiTheme="minorEastAsia" w:eastAsiaTheme="minorEastAsia" w:cstheme="minorEastAsia"/>
          <w:color w:val="auto"/>
          <w:kern w:val="0"/>
          <w:sz w:val="24"/>
          <w:szCs w:val="32"/>
          <w:highlight w:val="none"/>
          <w:lang w:val="zh-CN"/>
        </w:rPr>
        <w:t>年</w:t>
      </w:r>
      <w:r>
        <w:rPr>
          <w:rFonts w:hint="eastAsia" w:asciiTheme="minorEastAsia" w:hAnsiTheme="minorEastAsia" w:eastAsiaTheme="minorEastAsia" w:cstheme="minorEastAsia"/>
          <w:color w:val="auto"/>
          <w:sz w:val="24"/>
          <w:szCs w:val="32"/>
          <w:highlight w:val="none"/>
          <w:u w:val="single"/>
        </w:rPr>
        <w:t xml:space="preserve">     </w:t>
      </w:r>
      <w:r>
        <w:rPr>
          <w:rFonts w:hint="eastAsia" w:asciiTheme="minorEastAsia" w:hAnsiTheme="minorEastAsia" w:eastAsiaTheme="minorEastAsia" w:cstheme="minorEastAsia"/>
          <w:color w:val="auto"/>
          <w:kern w:val="0"/>
          <w:sz w:val="24"/>
          <w:szCs w:val="32"/>
          <w:highlight w:val="none"/>
          <w:lang w:val="zh-CN"/>
        </w:rPr>
        <w:t>月</w:t>
      </w:r>
      <w:r>
        <w:rPr>
          <w:rFonts w:hint="eastAsia" w:asciiTheme="minorEastAsia" w:hAnsiTheme="minorEastAsia" w:eastAsiaTheme="minorEastAsia" w:cstheme="minorEastAsia"/>
          <w:color w:val="auto"/>
          <w:sz w:val="24"/>
          <w:szCs w:val="32"/>
          <w:highlight w:val="none"/>
          <w:u w:val="single"/>
        </w:rPr>
        <w:t xml:space="preserve">     </w:t>
      </w:r>
      <w:r>
        <w:rPr>
          <w:rFonts w:hint="eastAsia" w:asciiTheme="minorEastAsia" w:hAnsiTheme="minorEastAsia" w:eastAsiaTheme="minorEastAsia" w:cstheme="minorEastAsia"/>
          <w:color w:val="auto"/>
          <w:kern w:val="0"/>
          <w:sz w:val="24"/>
          <w:szCs w:val="32"/>
          <w:highlight w:val="none"/>
          <w:lang w:val="zh-CN"/>
        </w:rPr>
        <w:t>日</w:t>
      </w:r>
    </w:p>
    <w:p w14:paraId="65B5A4C7">
      <w:pPr>
        <w:shd w:val="clear"/>
        <w:ind w:firstLine="562"/>
        <w:rPr>
          <w:b/>
          <w:bCs/>
          <w:color w:val="auto"/>
          <w:sz w:val="32"/>
          <w:szCs w:val="32"/>
          <w:highlight w:val="none"/>
        </w:rPr>
      </w:pPr>
    </w:p>
    <w:p w14:paraId="60831D99">
      <w:pPr>
        <w:shd w:val="clear"/>
        <w:ind w:firstLine="562"/>
        <w:rPr>
          <w:b/>
          <w:bCs/>
          <w:color w:val="auto"/>
          <w:sz w:val="28"/>
          <w:szCs w:val="28"/>
          <w:highlight w:val="none"/>
        </w:rPr>
      </w:pPr>
    </w:p>
    <w:p w14:paraId="454E65AB">
      <w:pPr>
        <w:shd w:val="clear"/>
        <w:ind w:firstLine="562"/>
        <w:rPr>
          <w:b/>
          <w:bCs/>
          <w:color w:val="auto"/>
          <w:sz w:val="28"/>
          <w:szCs w:val="28"/>
          <w:highlight w:val="none"/>
        </w:rPr>
      </w:pPr>
    </w:p>
    <w:p w14:paraId="0FCC7DEF">
      <w:pPr>
        <w:pStyle w:val="17"/>
        <w:shd w:val="clear"/>
        <w:rPr>
          <w:color w:val="auto"/>
          <w:highlight w:val="none"/>
        </w:rPr>
      </w:pPr>
    </w:p>
    <w:p w14:paraId="6C2E998E">
      <w:pPr>
        <w:shd w:val="clear"/>
        <w:ind w:firstLine="562"/>
        <w:rPr>
          <w:b/>
          <w:bCs/>
          <w:color w:val="auto"/>
          <w:sz w:val="28"/>
          <w:szCs w:val="28"/>
          <w:highlight w:val="none"/>
        </w:rPr>
      </w:pPr>
    </w:p>
    <w:p w14:paraId="6CD6383E">
      <w:pPr>
        <w:shd w:val="clear"/>
        <w:ind w:firstLine="562"/>
        <w:rPr>
          <w:b/>
          <w:bCs/>
          <w:color w:val="auto"/>
          <w:sz w:val="28"/>
          <w:szCs w:val="28"/>
          <w:highlight w:val="none"/>
        </w:rPr>
      </w:pPr>
    </w:p>
    <w:p w14:paraId="6A7BD051">
      <w:pPr>
        <w:shd w:val="clear"/>
        <w:ind w:firstLine="562"/>
        <w:rPr>
          <w:b/>
          <w:bCs/>
          <w:color w:val="auto"/>
          <w:sz w:val="28"/>
          <w:szCs w:val="28"/>
          <w:highlight w:val="none"/>
        </w:rPr>
      </w:pPr>
    </w:p>
    <w:p w14:paraId="7B3F0698">
      <w:pPr>
        <w:shd w:val="clear"/>
        <w:spacing w:line="360" w:lineRule="auto"/>
        <w:ind w:right="-110"/>
        <w:rPr>
          <w:rFonts w:ascii="宋体" w:hAnsi="宋体"/>
          <w:b/>
          <w:color w:val="auto"/>
          <w:sz w:val="32"/>
          <w:szCs w:val="32"/>
          <w:highlight w:val="none"/>
        </w:rPr>
      </w:pPr>
      <w:r>
        <w:rPr>
          <w:rFonts w:hint="eastAsia" w:ascii="宋体" w:hAnsi="宋体"/>
          <w:b/>
          <w:color w:val="auto"/>
          <w:sz w:val="32"/>
          <w:szCs w:val="32"/>
          <w:highlight w:val="none"/>
        </w:rPr>
        <w:t>附件5：</w:t>
      </w:r>
    </w:p>
    <w:p w14:paraId="64B3C53D">
      <w:pPr>
        <w:shd w:val="clear"/>
        <w:spacing w:afterLines="100" w:line="480" w:lineRule="auto"/>
        <w:ind w:firstLine="482"/>
        <w:jc w:val="center"/>
        <w:rPr>
          <w:rFonts w:asciiTheme="minorEastAsia" w:hAnsiTheme="minorEastAsia" w:eastAsiaTheme="minorEastAsia" w:cstheme="minorEastAsia"/>
          <w:color w:val="auto"/>
          <w:sz w:val="28"/>
          <w:szCs w:val="36"/>
          <w:highlight w:val="none"/>
        </w:rPr>
      </w:pPr>
      <w:r>
        <w:rPr>
          <w:rFonts w:hint="eastAsia" w:asciiTheme="minorEastAsia" w:hAnsiTheme="minorEastAsia" w:eastAsiaTheme="minorEastAsia" w:cstheme="minorEastAsia"/>
          <w:b/>
          <w:bCs/>
          <w:color w:val="auto"/>
          <w:kern w:val="0"/>
          <w:sz w:val="28"/>
          <w:szCs w:val="36"/>
          <w:highlight w:val="none"/>
          <w:lang w:val="zh-CN"/>
        </w:rPr>
        <w:t>无税收缴纳、社会保障等方面的失信记录的承诺函</w:t>
      </w:r>
    </w:p>
    <w:p w14:paraId="7F7F6A4C">
      <w:pPr>
        <w:widowControl/>
        <w:shd w:val="clear"/>
        <w:spacing w:line="600" w:lineRule="exact"/>
        <w:ind w:firstLine="480"/>
        <w:rPr>
          <w:rFonts w:ascii="宋体" w:hAnsi="宋体" w:cs="宋体"/>
          <w:color w:val="auto"/>
          <w:kern w:val="0"/>
          <w:highlight w:val="none"/>
        </w:rPr>
      </w:pPr>
    </w:p>
    <w:p w14:paraId="39D62492">
      <w:pPr>
        <w:widowControl/>
        <w:shd w:val="clear"/>
        <w:spacing w:line="480" w:lineRule="auto"/>
        <w:ind w:firstLine="48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致：</w:t>
      </w:r>
      <w:r>
        <w:rPr>
          <w:rFonts w:hint="eastAsia" w:ascii="宋体" w:hAnsi="宋体" w:cs="宋体"/>
          <w:color w:val="auto"/>
          <w:sz w:val="24"/>
          <w:highlight w:val="none"/>
          <w:u w:val="single"/>
          <w:lang w:eastAsia="zh-CN"/>
        </w:rPr>
        <w:t>台州市建航工程管理有限公司</w:t>
      </w:r>
    </w:p>
    <w:p w14:paraId="33409E7C">
      <w:pPr>
        <w:pStyle w:val="22"/>
        <w:shd w:val="clear"/>
        <w:spacing w:line="480" w:lineRule="auto"/>
        <w:ind w:firstLine="48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2025年智慧城管中心服务项目</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TZJH-2025-036号</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p>
    <w:p w14:paraId="27697571">
      <w:pPr>
        <w:pStyle w:val="22"/>
        <w:shd w:val="clear"/>
        <w:spacing w:line="480" w:lineRule="auto"/>
        <w:ind w:firstLine="480"/>
        <w:rPr>
          <w:rFonts w:ascii="宋体" w:hAnsi="宋体" w:cs="宋体"/>
          <w:color w:val="auto"/>
          <w:highlight w:val="none"/>
        </w:rPr>
      </w:pPr>
      <w:r>
        <w:rPr>
          <w:rFonts w:hint="eastAsia" w:ascii="宋体" w:hAnsi="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78BE8907">
      <w:pPr>
        <w:shd w:val="clear"/>
        <w:spacing w:line="48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如违反以上承诺，本公司愿承担一切法律责任。</w:t>
      </w:r>
    </w:p>
    <w:p w14:paraId="02C7CAD3">
      <w:pPr>
        <w:shd w:val="clear"/>
        <w:ind w:firstLine="480"/>
        <w:rPr>
          <w:rFonts w:asciiTheme="minorEastAsia" w:hAnsiTheme="minorEastAsia" w:eastAsiaTheme="minorEastAsia" w:cstheme="minorEastAsia"/>
          <w:color w:val="auto"/>
          <w:highlight w:val="none"/>
          <w:lang w:val="zh-CN"/>
        </w:rPr>
      </w:pPr>
    </w:p>
    <w:p w14:paraId="3A67AFA0">
      <w:pPr>
        <w:pStyle w:val="22"/>
        <w:shd w:val="clear"/>
        <w:ind w:firstLine="480"/>
        <w:rPr>
          <w:rFonts w:asciiTheme="minorEastAsia" w:hAnsiTheme="minorEastAsia" w:eastAsiaTheme="minorEastAsia" w:cstheme="minorEastAsia"/>
          <w:color w:val="auto"/>
          <w:highlight w:val="none"/>
          <w:lang w:val="zh-CN"/>
        </w:rPr>
      </w:pPr>
    </w:p>
    <w:p w14:paraId="16BC9361">
      <w:pPr>
        <w:pStyle w:val="22"/>
        <w:shd w:val="clear"/>
        <w:ind w:firstLine="480"/>
        <w:rPr>
          <w:rFonts w:asciiTheme="minorEastAsia" w:hAnsiTheme="minorEastAsia" w:eastAsiaTheme="minorEastAsia" w:cstheme="minorEastAsia"/>
          <w:color w:val="auto"/>
          <w:highlight w:val="none"/>
          <w:lang w:val="zh-CN"/>
        </w:rPr>
      </w:pPr>
    </w:p>
    <w:p w14:paraId="612DCC97">
      <w:pPr>
        <w:widowControl/>
        <w:shd w:val="clear"/>
        <w:wordWrap w:val="0"/>
        <w:ind w:firstLine="480"/>
        <w:jc w:val="right"/>
        <w:rPr>
          <w:rFonts w:asciiTheme="minorEastAsia" w:hAnsiTheme="minorEastAsia" w:eastAsiaTheme="minorEastAsia" w:cstheme="minorEastAsia"/>
          <w:color w:val="auto"/>
          <w:kern w:val="0"/>
          <w:sz w:val="22"/>
          <w:szCs w:val="28"/>
          <w:highlight w:val="none"/>
        </w:rPr>
      </w:pPr>
      <w:r>
        <w:rPr>
          <w:rFonts w:hint="eastAsia" w:asciiTheme="minorEastAsia" w:hAnsiTheme="minorEastAsia" w:eastAsiaTheme="minorEastAsia" w:cstheme="minorEastAsia"/>
          <w:color w:val="auto"/>
          <w:sz w:val="22"/>
          <w:szCs w:val="28"/>
          <w:highlight w:val="none"/>
        </w:rPr>
        <w:t xml:space="preserve">投标人名称(公章或CA签章)： </w:t>
      </w:r>
      <w:r>
        <w:rPr>
          <w:rFonts w:hint="eastAsia" w:asciiTheme="minorEastAsia" w:hAnsiTheme="minorEastAsia" w:eastAsiaTheme="minorEastAsia" w:cstheme="minorEastAsia"/>
          <w:color w:val="auto"/>
          <w:kern w:val="0"/>
          <w:sz w:val="22"/>
          <w:szCs w:val="28"/>
          <w:highlight w:val="none"/>
        </w:rPr>
        <w:t xml:space="preserve">            </w:t>
      </w:r>
    </w:p>
    <w:p w14:paraId="4C4BD93F">
      <w:pPr>
        <w:widowControl/>
        <w:shd w:val="clear"/>
        <w:ind w:firstLine="480"/>
        <w:jc w:val="left"/>
        <w:rPr>
          <w:rFonts w:asciiTheme="minorEastAsia" w:hAnsiTheme="minorEastAsia" w:eastAsiaTheme="minorEastAsia" w:cstheme="minorEastAsia"/>
          <w:color w:val="auto"/>
          <w:kern w:val="0"/>
          <w:sz w:val="22"/>
          <w:szCs w:val="28"/>
          <w:highlight w:val="none"/>
        </w:rPr>
      </w:pPr>
    </w:p>
    <w:p w14:paraId="47F54FF9">
      <w:pPr>
        <w:widowControl/>
        <w:shd w:val="clear"/>
        <w:ind w:firstLine="480"/>
        <w:jc w:val="right"/>
        <w:rPr>
          <w:rFonts w:asciiTheme="minorEastAsia" w:hAnsiTheme="minorEastAsia" w:eastAsiaTheme="minorEastAsia" w:cstheme="minorEastAsia"/>
          <w:color w:val="auto"/>
          <w:kern w:val="0"/>
          <w:sz w:val="22"/>
          <w:szCs w:val="28"/>
          <w:highlight w:val="none"/>
        </w:rPr>
      </w:pPr>
      <w:r>
        <w:rPr>
          <w:rFonts w:hint="eastAsia" w:asciiTheme="minorEastAsia" w:hAnsiTheme="minorEastAsia" w:eastAsiaTheme="minorEastAsia" w:cstheme="minorEastAsia"/>
          <w:color w:val="auto"/>
          <w:kern w:val="0"/>
          <w:sz w:val="22"/>
          <w:szCs w:val="28"/>
          <w:highlight w:val="none"/>
        </w:rPr>
        <w:t>法定代表人(签字或盖章)或授权委托代理人(签字)：</w:t>
      </w:r>
    </w:p>
    <w:p w14:paraId="0F661D1E">
      <w:pPr>
        <w:widowControl/>
        <w:shd w:val="clear"/>
        <w:ind w:firstLine="480"/>
        <w:jc w:val="left"/>
        <w:rPr>
          <w:rFonts w:asciiTheme="minorEastAsia" w:hAnsiTheme="minorEastAsia" w:eastAsiaTheme="minorEastAsia" w:cstheme="minorEastAsia"/>
          <w:color w:val="auto"/>
          <w:kern w:val="0"/>
          <w:sz w:val="22"/>
          <w:szCs w:val="28"/>
          <w:highlight w:val="none"/>
        </w:rPr>
      </w:pPr>
    </w:p>
    <w:p w14:paraId="48ED0305">
      <w:pPr>
        <w:shd w:val="clear"/>
        <w:ind w:firstLine="480"/>
        <w:jc w:val="right"/>
        <w:rPr>
          <w:rFonts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kern w:val="0"/>
          <w:sz w:val="22"/>
          <w:szCs w:val="28"/>
          <w:highlight w:val="none"/>
        </w:rPr>
        <w:t>日期：</w:t>
      </w:r>
      <w:r>
        <w:rPr>
          <w:rFonts w:hint="eastAsia" w:asciiTheme="minorEastAsia" w:hAnsiTheme="minorEastAsia" w:eastAsiaTheme="minorEastAsia" w:cstheme="minorEastAsia"/>
          <w:color w:val="auto"/>
          <w:sz w:val="22"/>
          <w:szCs w:val="28"/>
          <w:highlight w:val="none"/>
          <w:u w:val="single"/>
        </w:rPr>
        <w:t xml:space="preserve">     </w:t>
      </w:r>
      <w:r>
        <w:rPr>
          <w:rFonts w:hint="eastAsia" w:asciiTheme="minorEastAsia" w:hAnsiTheme="minorEastAsia" w:eastAsiaTheme="minorEastAsia" w:cstheme="minorEastAsia"/>
          <w:color w:val="auto"/>
          <w:kern w:val="0"/>
          <w:sz w:val="22"/>
          <w:szCs w:val="28"/>
          <w:highlight w:val="none"/>
          <w:lang w:val="zh-CN"/>
        </w:rPr>
        <w:t>年</w:t>
      </w:r>
      <w:r>
        <w:rPr>
          <w:rFonts w:hint="eastAsia" w:asciiTheme="minorEastAsia" w:hAnsiTheme="minorEastAsia" w:eastAsiaTheme="minorEastAsia" w:cstheme="minorEastAsia"/>
          <w:color w:val="auto"/>
          <w:sz w:val="22"/>
          <w:szCs w:val="28"/>
          <w:highlight w:val="none"/>
          <w:u w:val="single"/>
        </w:rPr>
        <w:t xml:space="preserve">     </w:t>
      </w:r>
      <w:r>
        <w:rPr>
          <w:rFonts w:hint="eastAsia" w:asciiTheme="minorEastAsia" w:hAnsiTheme="minorEastAsia" w:eastAsiaTheme="minorEastAsia" w:cstheme="minorEastAsia"/>
          <w:color w:val="auto"/>
          <w:kern w:val="0"/>
          <w:sz w:val="22"/>
          <w:szCs w:val="28"/>
          <w:highlight w:val="none"/>
          <w:lang w:val="zh-CN"/>
        </w:rPr>
        <w:t>月</w:t>
      </w:r>
      <w:r>
        <w:rPr>
          <w:rFonts w:hint="eastAsia" w:asciiTheme="minorEastAsia" w:hAnsiTheme="minorEastAsia" w:eastAsiaTheme="minorEastAsia" w:cstheme="minorEastAsia"/>
          <w:color w:val="auto"/>
          <w:sz w:val="22"/>
          <w:szCs w:val="28"/>
          <w:highlight w:val="none"/>
          <w:u w:val="single"/>
        </w:rPr>
        <w:t xml:space="preserve">     </w:t>
      </w:r>
      <w:r>
        <w:rPr>
          <w:rFonts w:hint="eastAsia" w:asciiTheme="minorEastAsia" w:hAnsiTheme="minorEastAsia" w:eastAsiaTheme="minorEastAsia" w:cstheme="minorEastAsia"/>
          <w:color w:val="auto"/>
          <w:kern w:val="0"/>
          <w:sz w:val="22"/>
          <w:szCs w:val="28"/>
          <w:highlight w:val="none"/>
          <w:lang w:val="zh-CN"/>
        </w:rPr>
        <w:t>日</w:t>
      </w:r>
    </w:p>
    <w:p w14:paraId="37C2A030">
      <w:pPr>
        <w:shd w:val="clear"/>
        <w:ind w:firstLine="562"/>
        <w:rPr>
          <w:b/>
          <w:bCs/>
          <w:color w:val="auto"/>
          <w:sz w:val="28"/>
          <w:szCs w:val="28"/>
          <w:highlight w:val="none"/>
        </w:rPr>
      </w:pPr>
    </w:p>
    <w:p w14:paraId="1E6A88D1">
      <w:pPr>
        <w:shd w:val="clear"/>
        <w:ind w:firstLine="562"/>
        <w:rPr>
          <w:b/>
          <w:bCs/>
          <w:color w:val="auto"/>
          <w:sz w:val="28"/>
          <w:szCs w:val="28"/>
          <w:highlight w:val="none"/>
        </w:rPr>
      </w:pPr>
    </w:p>
    <w:p w14:paraId="36D104A4">
      <w:pPr>
        <w:shd w:val="clear"/>
        <w:ind w:firstLine="562"/>
        <w:rPr>
          <w:b/>
          <w:bCs/>
          <w:color w:val="auto"/>
          <w:sz w:val="28"/>
          <w:szCs w:val="28"/>
          <w:highlight w:val="none"/>
        </w:rPr>
      </w:pPr>
    </w:p>
    <w:p w14:paraId="06034968">
      <w:pPr>
        <w:shd w:val="clear"/>
        <w:ind w:firstLine="562"/>
        <w:rPr>
          <w:b/>
          <w:bCs/>
          <w:color w:val="auto"/>
          <w:sz w:val="28"/>
          <w:szCs w:val="28"/>
          <w:highlight w:val="none"/>
        </w:rPr>
      </w:pPr>
    </w:p>
    <w:p w14:paraId="1E01282F">
      <w:pPr>
        <w:shd w:val="clear"/>
        <w:ind w:firstLine="562"/>
        <w:rPr>
          <w:b/>
          <w:bCs/>
          <w:color w:val="auto"/>
          <w:sz w:val="28"/>
          <w:szCs w:val="28"/>
          <w:highlight w:val="none"/>
        </w:rPr>
      </w:pPr>
    </w:p>
    <w:p w14:paraId="60C7C7A4">
      <w:pPr>
        <w:shd w:val="clear"/>
        <w:ind w:firstLine="562"/>
        <w:rPr>
          <w:b/>
          <w:bCs/>
          <w:color w:val="auto"/>
          <w:sz w:val="28"/>
          <w:szCs w:val="28"/>
          <w:highlight w:val="none"/>
        </w:rPr>
      </w:pPr>
    </w:p>
    <w:p w14:paraId="5985EC6C">
      <w:pPr>
        <w:shd w:val="clear"/>
        <w:spacing w:line="360" w:lineRule="auto"/>
        <w:ind w:right="-110"/>
        <w:rPr>
          <w:rFonts w:ascii="宋体" w:hAnsi="宋体"/>
          <w:b/>
          <w:color w:val="auto"/>
          <w:sz w:val="32"/>
          <w:szCs w:val="32"/>
          <w:highlight w:val="none"/>
        </w:rPr>
      </w:pPr>
    </w:p>
    <w:p w14:paraId="33185BE4">
      <w:pPr>
        <w:shd w:val="clear"/>
        <w:spacing w:line="360" w:lineRule="auto"/>
        <w:ind w:right="-110"/>
        <w:rPr>
          <w:rFonts w:ascii="宋体" w:hAnsi="宋体"/>
          <w:b/>
          <w:color w:val="auto"/>
          <w:sz w:val="32"/>
          <w:szCs w:val="32"/>
          <w:highlight w:val="none"/>
        </w:rPr>
      </w:pPr>
      <w:r>
        <w:rPr>
          <w:rFonts w:hint="eastAsia" w:ascii="宋体" w:hAnsi="宋体"/>
          <w:b/>
          <w:color w:val="auto"/>
          <w:sz w:val="32"/>
          <w:szCs w:val="32"/>
          <w:highlight w:val="none"/>
        </w:rPr>
        <w:t>附件6：</w:t>
      </w:r>
    </w:p>
    <w:p w14:paraId="7797C9F7">
      <w:pPr>
        <w:widowControl/>
        <w:shd w:val="clear"/>
        <w:spacing w:line="360" w:lineRule="auto"/>
        <w:ind w:firstLine="458"/>
        <w:jc w:val="center"/>
        <w:outlineLvl w:val="2"/>
        <w:rPr>
          <w:rFonts w:asciiTheme="minorEastAsia" w:hAnsiTheme="minorEastAsia" w:eastAsiaTheme="minorEastAsia" w:cstheme="minorEastAsia"/>
          <w:b/>
          <w:color w:val="auto"/>
          <w:spacing w:val="-6"/>
          <w:sz w:val="24"/>
          <w:szCs w:val="32"/>
          <w:highlight w:val="none"/>
        </w:rPr>
      </w:pPr>
      <w:r>
        <w:rPr>
          <w:rFonts w:hint="eastAsia" w:asciiTheme="minorEastAsia" w:hAnsiTheme="minorEastAsia" w:eastAsiaTheme="minorEastAsia" w:cstheme="minorEastAsia"/>
          <w:b/>
          <w:color w:val="auto"/>
          <w:spacing w:val="-6"/>
          <w:sz w:val="24"/>
          <w:szCs w:val="32"/>
          <w:highlight w:val="none"/>
        </w:rPr>
        <w:t>参加政府采购活动前3年内在经营活动中没有重大违法记录的书面声明</w:t>
      </w:r>
    </w:p>
    <w:p w14:paraId="7F1073B7">
      <w:pPr>
        <w:pStyle w:val="37"/>
        <w:shd w:val="clear"/>
        <w:spacing w:line="360" w:lineRule="auto"/>
        <w:ind w:left="199" w:hanging="199" w:hangingChars="74"/>
        <w:jc w:val="center"/>
        <w:rPr>
          <w:rFonts w:asciiTheme="minorEastAsia" w:hAnsiTheme="minorEastAsia" w:eastAsiaTheme="minorEastAsia" w:cstheme="minorEastAsia"/>
          <w:b/>
          <w:color w:val="auto"/>
          <w:spacing w:val="-6"/>
          <w:sz w:val="28"/>
          <w:szCs w:val="36"/>
          <w:highlight w:val="none"/>
        </w:rPr>
      </w:pPr>
      <w:r>
        <w:rPr>
          <w:rFonts w:hint="eastAsia" w:asciiTheme="minorEastAsia" w:hAnsiTheme="minorEastAsia" w:eastAsiaTheme="minorEastAsia" w:cstheme="minorEastAsia"/>
          <w:b/>
          <w:color w:val="auto"/>
          <w:spacing w:val="-6"/>
          <w:sz w:val="28"/>
          <w:szCs w:val="36"/>
          <w:highlight w:val="none"/>
        </w:rPr>
        <w:t>声明函</w:t>
      </w:r>
    </w:p>
    <w:p w14:paraId="22A4763F">
      <w:pPr>
        <w:shd w:val="clear"/>
        <w:spacing w:line="480" w:lineRule="auto"/>
        <w:ind w:firstLine="456"/>
        <w:rPr>
          <w:rFonts w:hint="eastAsia" w:asciiTheme="minorEastAsia" w:hAnsiTheme="minorEastAsia" w:eastAsiaTheme="minorEastAsia" w:cstheme="minorEastAsia"/>
          <w:color w:val="auto"/>
          <w:spacing w:val="-6"/>
          <w:sz w:val="24"/>
          <w:highlight w:val="none"/>
          <w:lang w:eastAsia="zh-CN"/>
        </w:rPr>
      </w:pPr>
      <w:r>
        <w:rPr>
          <w:rFonts w:hint="eastAsia" w:asciiTheme="minorEastAsia" w:hAnsiTheme="minorEastAsia" w:eastAsiaTheme="minorEastAsia" w:cstheme="minorEastAsia"/>
          <w:color w:val="auto"/>
          <w:spacing w:val="-6"/>
          <w:sz w:val="24"/>
          <w:highlight w:val="none"/>
        </w:rPr>
        <w:t>致：</w:t>
      </w:r>
      <w:r>
        <w:rPr>
          <w:rFonts w:hint="eastAsia" w:asciiTheme="minorEastAsia" w:hAnsiTheme="minorEastAsia" w:eastAsiaTheme="minorEastAsia" w:cstheme="minorEastAsia"/>
          <w:color w:val="auto"/>
          <w:spacing w:val="-6"/>
          <w:sz w:val="24"/>
          <w:highlight w:val="none"/>
          <w:u w:val="single"/>
          <w:lang w:eastAsia="zh-CN"/>
        </w:rPr>
        <w:t>台州市建航工程管理有限公司</w:t>
      </w:r>
    </w:p>
    <w:p w14:paraId="21BDD3FE">
      <w:pPr>
        <w:shd w:val="clear"/>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我公司郑重承诺在参加本项目政府采购活动前三年内，在经营活动中</w:t>
      </w:r>
      <w:r>
        <w:rPr>
          <w:rFonts w:hint="eastAsia" w:asciiTheme="minorEastAsia" w:hAnsiTheme="minorEastAsia" w:eastAsiaTheme="minorEastAsia" w:cstheme="minorEastAsia"/>
          <w:b/>
          <w:color w:val="auto"/>
          <w:spacing w:val="-6"/>
          <w:sz w:val="24"/>
          <w:highlight w:val="none"/>
          <w:u w:val="single"/>
        </w:rPr>
        <w:t xml:space="preserve">     </w:t>
      </w:r>
      <w:r>
        <w:rPr>
          <w:rFonts w:hint="eastAsia" w:asciiTheme="minorEastAsia" w:hAnsiTheme="minorEastAsia" w:eastAsiaTheme="minorEastAsia" w:cstheme="minorEastAsia"/>
          <w:b/>
          <w:color w:val="auto"/>
          <w:spacing w:val="-6"/>
          <w:sz w:val="24"/>
          <w:highlight w:val="none"/>
        </w:rPr>
        <w:t>（填写“有”或“没有”，如实填写，如不填写视同未提供本声明函）</w:t>
      </w:r>
      <w:r>
        <w:rPr>
          <w:rFonts w:hint="eastAsia" w:asciiTheme="minorEastAsia" w:hAnsiTheme="minorEastAsia" w:eastAsiaTheme="minorEastAsia" w:cstheme="minorEastAsia"/>
          <w:color w:val="auto"/>
          <w:spacing w:val="-6"/>
          <w:sz w:val="24"/>
          <w:highlight w:val="none"/>
        </w:rPr>
        <w:t>重大违法记录，重大违法记录是指供应商因违法经营受到刑事处罚或者责令停产停业、吊销许可证或者执照、较大数额罚款等行政处罚。</w:t>
      </w:r>
    </w:p>
    <w:p w14:paraId="5F703BD3">
      <w:pPr>
        <w:shd w:val="clear"/>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以上事项如有虚假或隐瞒，我方愿意承担一切后果和责任。</w:t>
      </w:r>
    </w:p>
    <w:p w14:paraId="0D23CF1B">
      <w:pPr>
        <w:shd w:val="clear"/>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特此声明。</w:t>
      </w:r>
    </w:p>
    <w:p w14:paraId="7FED974C">
      <w:pPr>
        <w:shd w:val="clear"/>
        <w:spacing w:line="480" w:lineRule="auto"/>
        <w:ind w:firstLine="456"/>
        <w:rPr>
          <w:rFonts w:asciiTheme="minorEastAsia" w:hAnsiTheme="minorEastAsia" w:eastAsiaTheme="minorEastAsia" w:cstheme="minorEastAsia"/>
          <w:color w:val="auto"/>
          <w:spacing w:val="-6"/>
          <w:sz w:val="24"/>
          <w:highlight w:val="none"/>
        </w:rPr>
      </w:pPr>
    </w:p>
    <w:p w14:paraId="05A42180">
      <w:pPr>
        <w:pStyle w:val="424"/>
        <w:shd w:val="clear"/>
        <w:spacing w:line="480" w:lineRule="auto"/>
        <w:rPr>
          <w:rFonts w:asciiTheme="minorEastAsia" w:hAnsiTheme="minorEastAsia" w:eastAsiaTheme="minorEastAsia" w:cstheme="minorEastAsia"/>
          <w:color w:val="auto"/>
          <w:spacing w:val="-6"/>
          <w:highlight w:val="none"/>
        </w:rPr>
      </w:pPr>
    </w:p>
    <w:p w14:paraId="55056616">
      <w:pPr>
        <w:pStyle w:val="425"/>
        <w:shd w:val="clear"/>
        <w:spacing w:line="480" w:lineRule="auto"/>
        <w:ind w:left="0"/>
        <w:rPr>
          <w:rFonts w:asciiTheme="minorEastAsia" w:hAnsiTheme="minorEastAsia" w:eastAsiaTheme="minorEastAsia" w:cstheme="minorEastAsia"/>
          <w:color w:val="auto"/>
          <w:sz w:val="24"/>
          <w:szCs w:val="24"/>
          <w:highlight w:val="none"/>
        </w:rPr>
      </w:pPr>
    </w:p>
    <w:p w14:paraId="0945E3FC">
      <w:pPr>
        <w:shd w:val="clear"/>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供应商名称（</w:t>
      </w:r>
      <w:r>
        <w:rPr>
          <w:rFonts w:hint="eastAsia" w:ascii="宋体" w:hAnsi="宋体" w:cs="宋体"/>
          <w:color w:val="auto"/>
          <w:sz w:val="24"/>
          <w:highlight w:val="none"/>
        </w:rPr>
        <w:t>公章或CA签章</w:t>
      </w:r>
      <w:r>
        <w:rPr>
          <w:rFonts w:hint="eastAsia" w:asciiTheme="minorEastAsia" w:hAnsiTheme="minorEastAsia" w:eastAsiaTheme="minorEastAsia" w:cstheme="minorEastAsia"/>
          <w:color w:val="auto"/>
          <w:spacing w:val="-6"/>
          <w:sz w:val="24"/>
          <w:highlight w:val="none"/>
        </w:rPr>
        <w:t>）：</w:t>
      </w:r>
    </w:p>
    <w:p w14:paraId="1BE0B9C7">
      <w:pPr>
        <w:shd w:val="clear"/>
        <w:spacing w:line="480" w:lineRule="auto"/>
        <w:ind w:firstLine="48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kern w:val="0"/>
          <w:sz w:val="24"/>
          <w:highlight w:val="none"/>
        </w:rPr>
        <w:t>法定代表人(签字或盖章)或授权委托代理人(签字)</w:t>
      </w:r>
      <w:r>
        <w:rPr>
          <w:rFonts w:hint="eastAsia" w:asciiTheme="minorEastAsia" w:hAnsiTheme="minorEastAsia" w:eastAsiaTheme="minorEastAsia" w:cstheme="minorEastAsia"/>
          <w:color w:val="auto"/>
          <w:spacing w:val="-6"/>
          <w:sz w:val="24"/>
          <w:highlight w:val="none"/>
        </w:rPr>
        <w:t>：</w:t>
      </w:r>
    </w:p>
    <w:p w14:paraId="7C6BE165">
      <w:pPr>
        <w:widowControl/>
        <w:shd w:val="clear"/>
        <w:tabs>
          <w:tab w:val="left" w:pos="3225"/>
        </w:tabs>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日期：     年   月   日</w:t>
      </w:r>
    </w:p>
    <w:p w14:paraId="086A8E44">
      <w:pPr>
        <w:shd w:val="clear"/>
        <w:snapToGrid w:val="0"/>
        <w:spacing w:beforeLines="50" w:after="50" w:line="360" w:lineRule="auto"/>
        <w:rPr>
          <w:rFonts w:ascii="宋体" w:hAnsi="宋体" w:cs="宋体"/>
          <w:b/>
          <w:color w:val="auto"/>
          <w:sz w:val="28"/>
          <w:highlight w:val="none"/>
        </w:rPr>
      </w:pPr>
    </w:p>
    <w:p w14:paraId="7374D6D4">
      <w:pPr>
        <w:shd w:val="clear"/>
        <w:snapToGrid w:val="0"/>
        <w:spacing w:beforeLines="50" w:after="50" w:line="360" w:lineRule="auto"/>
        <w:rPr>
          <w:rFonts w:ascii="宋体" w:hAnsi="宋体" w:cs="宋体"/>
          <w:b/>
          <w:color w:val="auto"/>
          <w:sz w:val="28"/>
          <w:highlight w:val="none"/>
        </w:rPr>
      </w:pPr>
    </w:p>
    <w:p w14:paraId="05363295">
      <w:pPr>
        <w:shd w:val="clear"/>
        <w:snapToGrid w:val="0"/>
        <w:spacing w:beforeLines="50" w:after="50" w:line="360" w:lineRule="auto"/>
        <w:rPr>
          <w:rFonts w:ascii="宋体" w:hAnsi="宋体" w:cs="宋体"/>
          <w:b/>
          <w:color w:val="auto"/>
          <w:sz w:val="28"/>
          <w:highlight w:val="none"/>
        </w:rPr>
      </w:pPr>
    </w:p>
    <w:p w14:paraId="704EE7AF">
      <w:pPr>
        <w:shd w:val="clear"/>
        <w:snapToGrid w:val="0"/>
        <w:spacing w:beforeLines="50" w:after="50" w:line="360" w:lineRule="auto"/>
        <w:rPr>
          <w:rFonts w:ascii="宋体" w:hAnsi="宋体" w:cs="宋体"/>
          <w:b/>
          <w:color w:val="auto"/>
          <w:sz w:val="28"/>
          <w:highlight w:val="none"/>
        </w:rPr>
      </w:pPr>
    </w:p>
    <w:p w14:paraId="253E6835">
      <w:pPr>
        <w:pStyle w:val="17"/>
        <w:shd w:val="clear"/>
        <w:rPr>
          <w:rFonts w:ascii="宋体" w:hAnsi="宋体" w:cs="宋体"/>
          <w:b/>
          <w:color w:val="auto"/>
          <w:sz w:val="28"/>
          <w:highlight w:val="none"/>
        </w:rPr>
      </w:pPr>
    </w:p>
    <w:p w14:paraId="49DBC89A">
      <w:pPr>
        <w:shd w:val="clear"/>
        <w:rPr>
          <w:color w:val="auto"/>
          <w:highlight w:val="none"/>
        </w:rPr>
      </w:pPr>
    </w:p>
    <w:p w14:paraId="0837526B">
      <w:pPr>
        <w:shd w:val="clear"/>
        <w:snapToGrid w:val="0"/>
        <w:spacing w:beforeLines="50" w:after="50" w:line="360" w:lineRule="auto"/>
        <w:rPr>
          <w:rFonts w:ascii="宋体" w:hAnsi="宋体" w:cs="宋体"/>
          <w:bCs/>
          <w:color w:val="auto"/>
          <w:sz w:val="30"/>
          <w:szCs w:val="30"/>
          <w:highlight w:val="none"/>
        </w:rPr>
      </w:pPr>
      <w:r>
        <w:rPr>
          <w:rFonts w:hint="eastAsia" w:ascii="宋体" w:hAnsi="宋体" w:cs="宋体"/>
          <w:b/>
          <w:color w:val="auto"/>
          <w:sz w:val="28"/>
          <w:highlight w:val="none"/>
        </w:rPr>
        <w:t>附件7</w:t>
      </w:r>
    </w:p>
    <w:p w14:paraId="235FB971">
      <w:pPr>
        <w:shd w:val="clear"/>
        <w:spacing w:line="360" w:lineRule="auto"/>
        <w:ind w:right="-110"/>
        <w:jc w:val="center"/>
        <w:rPr>
          <w:rFonts w:ascii="宋体" w:hAnsi="宋体" w:cs="宋体"/>
          <w:color w:val="auto"/>
          <w:spacing w:val="40"/>
          <w:sz w:val="48"/>
          <w:szCs w:val="48"/>
          <w:highlight w:val="none"/>
        </w:rPr>
      </w:pPr>
      <w:r>
        <w:rPr>
          <w:rFonts w:hint="eastAsia" w:ascii="宋体" w:hAnsi="宋体" w:cs="宋体"/>
          <w:color w:val="auto"/>
          <w:spacing w:val="40"/>
          <w:sz w:val="48"/>
          <w:szCs w:val="48"/>
          <w:highlight w:val="none"/>
        </w:rPr>
        <w:t>项目名称</w:t>
      </w:r>
    </w:p>
    <w:p w14:paraId="1956F42B">
      <w:pPr>
        <w:shd w:val="clear"/>
        <w:spacing w:beforeLines="100" w:line="360" w:lineRule="auto"/>
        <w:ind w:right="-108"/>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14:paraId="716B8DFD">
      <w:pPr>
        <w:shd w:val="clear"/>
        <w:autoSpaceDE w:val="0"/>
        <w:autoSpaceDN w:val="0"/>
        <w:adjustRightInd w:val="0"/>
        <w:spacing w:line="360" w:lineRule="auto"/>
        <w:jc w:val="center"/>
        <w:rPr>
          <w:rFonts w:ascii="宋体" w:hAnsi="宋体" w:cs="宋体"/>
          <w:color w:val="auto"/>
          <w:sz w:val="84"/>
          <w:szCs w:val="84"/>
          <w:highlight w:val="none"/>
          <w:lang w:val="zh-CN"/>
        </w:rPr>
      </w:pPr>
    </w:p>
    <w:p w14:paraId="084A58F2">
      <w:pPr>
        <w:pStyle w:val="56"/>
        <w:shd w:val="clear"/>
        <w:rPr>
          <w:color w:val="auto"/>
          <w:highlight w:val="none"/>
        </w:rPr>
      </w:pPr>
    </w:p>
    <w:p w14:paraId="32A8826E">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2A8651F2">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379992B7">
      <w:pPr>
        <w:shd w:val="clea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14:paraId="41EA658F">
      <w:pPr>
        <w:shd w:val="clea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4CA2B781">
      <w:pPr>
        <w:pStyle w:val="56"/>
        <w:shd w:val="clear"/>
        <w:rPr>
          <w:color w:val="auto"/>
          <w:highlight w:val="none"/>
        </w:rPr>
      </w:pPr>
    </w:p>
    <w:p w14:paraId="38ADCF85">
      <w:pPr>
        <w:shd w:val="clear"/>
        <w:spacing w:after="100" w:afterAutospacing="1" w:line="360" w:lineRule="auto"/>
        <w:ind w:right="-108"/>
        <w:jc w:val="center"/>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Cs/>
          <w:color w:val="auto"/>
          <w:sz w:val="24"/>
          <w:highlight w:val="none"/>
          <w:lang w:val="zh-CN"/>
        </w:rPr>
        <w:t>商务与技术文件</w:t>
      </w:r>
      <w:r>
        <w:rPr>
          <w:rFonts w:hint="eastAsia" w:ascii="宋体" w:hAnsi="宋体" w:cs="宋体"/>
          <w:b/>
          <w:color w:val="auto"/>
          <w:spacing w:val="40"/>
          <w:sz w:val="28"/>
          <w:szCs w:val="28"/>
          <w:highlight w:val="none"/>
        </w:rPr>
        <w:t>）</w:t>
      </w:r>
    </w:p>
    <w:p w14:paraId="479CC465">
      <w:pPr>
        <w:shd w:val="clea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投标人全称（公章或CA签章）：</w:t>
      </w:r>
    </w:p>
    <w:p w14:paraId="3EE378B7">
      <w:pPr>
        <w:shd w:val="clea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地    址：</w:t>
      </w:r>
    </w:p>
    <w:p w14:paraId="36A87F8C">
      <w:pPr>
        <w:shd w:val="clea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时    间：</w:t>
      </w:r>
    </w:p>
    <w:p w14:paraId="6516BE70">
      <w:pPr>
        <w:shd w:val="clear"/>
        <w:snapToGrid w:val="0"/>
        <w:spacing w:before="50" w:after="50" w:line="360" w:lineRule="auto"/>
        <w:rPr>
          <w:rFonts w:ascii="宋体" w:hAnsi="宋体" w:cs="宋体"/>
          <w:b/>
          <w:color w:val="auto"/>
          <w:sz w:val="36"/>
          <w:szCs w:val="36"/>
          <w:highlight w:val="none"/>
        </w:rPr>
      </w:pPr>
    </w:p>
    <w:p w14:paraId="0BEF24D5">
      <w:pPr>
        <w:shd w:val="clear"/>
        <w:rPr>
          <w:rFonts w:ascii="宋体" w:hAnsi="宋体" w:cs="宋体"/>
          <w:b/>
          <w:color w:val="auto"/>
          <w:sz w:val="28"/>
          <w:highlight w:val="none"/>
        </w:rPr>
      </w:pPr>
    </w:p>
    <w:p w14:paraId="0585648D">
      <w:pPr>
        <w:shd w:val="clear"/>
        <w:rPr>
          <w:rFonts w:ascii="宋体" w:hAnsi="宋体"/>
          <w:b/>
          <w:color w:val="auto"/>
          <w:sz w:val="28"/>
          <w:highlight w:val="none"/>
        </w:rPr>
      </w:pPr>
      <w:r>
        <w:rPr>
          <w:rFonts w:hint="eastAsia" w:ascii="宋体" w:hAnsi="宋体"/>
          <w:b/>
          <w:color w:val="auto"/>
          <w:sz w:val="28"/>
          <w:highlight w:val="none"/>
        </w:rPr>
        <w:t>附件8</w:t>
      </w:r>
    </w:p>
    <w:p w14:paraId="21126540">
      <w:pPr>
        <w:pStyle w:val="65"/>
        <w:shd w:val="clear" w:color="auto"/>
        <w:spacing w:before="0" w:beforeAutospacing="0" w:after="0" w:afterAutospacing="0"/>
        <w:jc w:val="center"/>
        <w:rPr>
          <w:b/>
          <w:bCs/>
          <w:color w:val="auto"/>
          <w:spacing w:val="21"/>
          <w:sz w:val="32"/>
          <w:szCs w:val="32"/>
          <w:highlight w:val="none"/>
        </w:rPr>
      </w:pPr>
      <w:r>
        <w:rPr>
          <w:rFonts w:hint="eastAsia"/>
          <w:b/>
          <w:color w:val="auto"/>
          <w:sz w:val="32"/>
          <w:szCs w:val="32"/>
          <w:highlight w:val="none"/>
        </w:rPr>
        <w:t>供应商</w:t>
      </w:r>
      <w:r>
        <w:rPr>
          <w:rFonts w:hint="eastAsia"/>
          <w:b/>
          <w:bCs/>
          <w:color w:val="auto"/>
          <w:spacing w:val="21"/>
          <w:sz w:val="32"/>
          <w:szCs w:val="32"/>
          <w:highlight w:val="none"/>
        </w:rPr>
        <w:t>基本情况表</w:t>
      </w:r>
    </w:p>
    <w:tbl>
      <w:tblPr>
        <w:tblStyle w:val="46"/>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70DD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noWrap/>
            <w:vAlign w:val="center"/>
          </w:tcPr>
          <w:p w14:paraId="08EDC266">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pacing w:val="27"/>
                <w:sz w:val="18"/>
                <w:szCs w:val="18"/>
                <w:highlight w:val="none"/>
              </w:rPr>
              <w:t>企业名称</w:t>
            </w:r>
          </w:p>
        </w:tc>
        <w:tc>
          <w:tcPr>
            <w:tcW w:w="3979" w:type="dxa"/>
            <w:gridSpan w:val="6"/>
            <w:noWrap/>
            <w:vAlign w:val="center"/>
          </w:tcPr>
          <w:p w14:paraId="2E4DBAA5">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2001" w:type="dxa"/>
            <w:gridSpan w:val="3"/>
            <w:noWrap/>
            <w:vAlign w:val="center"/>
          </w:tcPr>
          <w:p w14:paraId="42D3602A">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pacing w:val="16"/>
                <w:sz w:val="18"/>
                <w:szCs w:val="18"/>
                <w:highlight w:val="none"/>
              </w:rPr>
              <w:t>法人代表</w:t>
            </w:r>
          </w:p>
        </w:tc>
        <w:tc>
          <w:tcPr>
            <w:tcW w:w="2151" w:type="dxa"/>
            <w:gridSpan w:val="2"/>
            <w:noWrap/>
            <w:vAlign w:val="center"/>
          </w:tcPr>
          <w:p w14:paraId="186F8E92">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r>
      <w:tr w14:paraId="0051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noWrap/>
            <w:vAlign w:val="center"/>
          </w:tcPr>
          <w:p w14:paraId="291B4462">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27"/>
                <w:sz w:val="18"/>
                <w:szCs w:val="18"/>
                <w:highlight w:val="none"/>
              </w:rPr>
              <w:t>地址</w:t>
            </w:r>
          </w:p>
        </w:tc>
        <w:tc>
          <w:tcPr>
            <w:tcW w:w="3979" w:type="dxa"/>
            <w:gridSpan w:val="6"/>
            <w:tcBorders>
              <w:bottom w:val="single" w:color="auto" w:sz="4" w:space="0"/>
            </w:tcBorders>
            <w:noWrap/>
            <w:vAlign w:val="center"/>
          </w:tcPr>
          <w:p w14:paraId="0A188865">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c>
          <w:tcPr>
            <w:tcW w:w="2001" w:type="dxa"/>
            <w:gridSpan w:val="3"/>
            <w:noWrap/>
            <w:vAlign w:val="center"/>
          </w:tcPr>
          <w:p w14:paraId="55D44C17">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16"/>
                <w:sz w:val="18"/>
                <w:szCs w:val="18"/>
                <w:highlight w:val="none"/>
              </w:rPr>
              <w:t>企业性质</w:t>
            </w:r>
          </w:p>
        </w:tc>
        <w:tc>
          <w:tcPr>
            <w:tcW w:w="2151" w:type="dxa"/>
            <w:gridSpan w:val="2"/>
            <w:noWrap/>
            <w:vAlign w:val="center"/>
          </w:tcPr>
          <w:p w14:paraId="53894414">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r>
      <w:tr w14:paraId="373D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2" w:type="dxa"/>
            <w:tcBorders>
              <w:bottom w:val="single" w:color="auto" w:sz="4" w:space="0"/>
            </w:tcBorders>
            <w:noWrap/>
            <w:vAlign w:val="center"/>
          </w:tcPr>
          <w:p w14:paraId="41BC0865">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27"/>
                <w:sz w:val="18"/>
                <w:szCs w:val="18"/>
                <w:highlight w:val="none"/>
              </w:rPr>
              <w:t>股东姓名</w:t>
            </w:r>
          </w:p>
        </w:tc>
        <w:tc>
          <w:tcPr>
            <w:tcW w:w="701" w:type="dxa"/>
            <w:tcBorders>
              <w:bottom w:val="single" w:color="auto" w:sz="4" w:space="0"/>
            </w:tcBorders>
            <w:noWrap/>
            <w:vAlign w:val="center"/>
          </w:tcPr>
          <w:p w14:paraId="7318C42A">
            <w:pPr>
              <w:pStyle w:val="65"/>
              <w:keepNext w:val="0"/>
              <w:keepLines w:val="0"/>
              <w:suppressLineNumbers w:val="0"/>
              <w:shd w:val="clear" w:color="auto"/>
              <w:adjustRightInd w:val="0"/>
              <w:snapToGrid w:val="0"/>
              <w:spacing w:before="0" w:beforeAutospacing="0" w:after="0" w:afterAutospacing="0"/>
              <w:ind w:left="-105" w:leftChars="-50" w:right="-105" w:rightChars="-50"/>
              <w:jc w:val="center"/>
              <w:rPr>
                <w:rFonts w:hint="default"/>
                <w:bCs/>
                <w:color w:val="auto"/>
                <w:spacing w:val="16"/>
                <w:sz w:val="18"/>
                <w:szCs w:val="18"/>
                <w:highlight w:val="none"/>
              </w:rPr>
            </w:pPr>
          </w:p>
        </w:tc>
        <w:tc>
          <w:tcPr>
            <w:tcW w:w="910" w:type="dxa"/>
            <w:gridSpan w:val="2"/>
            <w:tcBorders>
              <w:bottom w:val="single" w:color="auto" w:sz="4" w:space="0"/>
            </w:tcBorders>
            <w:noWrap/>
            <w:vAlign w:val="center"/>
          </w:tcPr>
          <w:p w14:paraId="7C71E374">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16"/>
                <w:sz w:val="18"/>
                <w:szCs w:val="18"/>
                <w:highlight w:val="none"/>
              </w:rPr>
              <w:t>股权结构（%）</w:t>
            </w:r>
          </w:p>
        </w:tc>
        <w:tc>
          <w:tcPr>
            <w:tcW w:w="2368" w:type="dxa"/>
            <w:gridSpan w:val="3"/>
            <w:tcBorders>
              <w:bottom w:val="single" w:color="auto" w:sz="4" w:space="0"/>
            </w:tcBorders>
            <w:noWrap/>
            <w:vAlign w:val="center"/>
          </w:tcPr>
          <w:p w14:paraId="6917901B">
            <w:pPr>
              <w:keepNext w:val="0"/>
              <w:keepLines w:val="0"/>
              <w:widowControl/>
              <w:suppressLineNumbers w:val="0"/>
              <w:shd w:val="clear"/>
              <w:adjustRightInd w:val="0"/>
              <w:snapToGrid w:val="0"/>
              <w:spacing w:before="0" w:beforeAutospacing="0" w:after="0" w:afterAutospacing="0"/>
              <w:ind w:left="-105" w:leftChars="-50" w:right="-105" w:rightChars="-50"/>
              <w:jc w:val="center"/>
              <w:rPr>
                <w:rFonts w:hint="default" w:ascii="宋体" w:hAnsi="宋体" w:cs="宋体"/>
                <w:bCs/>
                <w:color w:val="auto"/>
                <w:spacing w:val="16"/>
                <w:kern w:val="0"/>
                <w:sz w:val="18"/>
                <w:szCs w:val="18"/>
                <w:highlight w:val="none"/>
              </w:rPr>
            </w:pPr>
          </w:p>
          <w:p w14:paraId="5EDAE501">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c>
          <w:tcPr>
            <w:tcW w:w="2001" w:type="dxa"/>
            <w:gridSpan w:val="3"/>
            <w:noWrap/>
            <w:vAlign w:val="center"/>
          </w:tcPr>
          <w:p w14:paraId="52117087">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16"/>
                <w:sz w:val="18"/>
                <w:szCs w:val="18"/>
                <w:highlight w:val="none"/>
              </w:rPr>
              <w:t>股东关系</w:t>
            </w:r>
          </w:p>
        </w:tc>
        <w:tc>
          <w:tcPr>
            <w:tcW w:w="2151" w:type="dxa"/>
            <w:gridSpan w:val="2"/>
            <w:noWrap/>
            <w:vAlign w:val="center"/>
          </w:tcPr>
          <w:p w14:paraId="7C5ACB61">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r>
      <w:tr w14:paraId="774B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2" w:type="dxa"/>
            <w:vMerge w:val="restart"/>
            <w:noWrap/>
            <w:vAlign w:val="center"/>
          </w:tcPr>
          <w:p w14:paraId="74230BB2">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12"/>
                <w:sz w:val="18"/>
                <w:szCs w:val="18"/>
                <w:highlight w:val="none"/>
              </w:rPr>
              <w:t>联系人</w:t>
            </w:r>
            <w:r>
              <w:rPr>
                <w:rFonts w:hint="eastAsia"/>
                <w:bCs/>
                <w:color w:val="auto"/>
                <w:spacing w:val="27"/>
                <w:sz w:val="18"/>
                <w:szCs w:val="18"/>
                <w:highlight w:val="none"/>
              </w:rPr>
              <w:t>姓名</w:t>
            </w:r>
          </w:p>
        </w:tc>
        <w:tc>
          <w:tcPr>
            <w:tcW w:w="701" w:type="dxa"/>
            <w:vMerge w:val="restart"/>
            <w:tcBorders>
              <w:top w:val="nil"/>
            </w:tcBorders>
            <w:noWrap/>
            <w:vAlign w:val="center"/>
          </w:tcPr>
          <w:p w14:paraId="0E6C3DDD">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c>
          <w:tcPr>
            <w:tcW w:w="910" w:type="dxa"/>
            <w:gridSpan w:val="2"/>
            <w:tcBorders>
              <w:top w:val="nil"/>
              <w:bottom w:val="single" w:color="auto" w:sz="4" w:space="0"/>
            </w:tcBorders>
            <w:noWrap/>
            <w:vAlign w:val="center"/>
          </w:tcPr>
          <w:p w14:paraId="0AC8DBC2">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16"/>
                <w:sz w:val="18"/>
                <w:szCs w:val="18"/>
                <w:highlight w:val="none"/>
              </w:rPr>
              <w:t>固定电话</w:t>
            </w:r>
          </w:p>
        </w:tc>
        <w:tc>
          <w:tcPr>
            <w:tcW w:w="2368" w:type="dxa"/>
            <w:gridSpan w:val="3"/>
            <w:tcBorders>
              <w:top w:val="nil"/>
              <w:bottom w:val="single" w:color="auto" w:sz="4" w:space="0"/>
            </w:tcBorders>
            <w:noWrap/>
            <w:vAlign w:val="center"/>
          </w:tcPr>
          <w:p w14:paraId="10F53522">
            <w:pPr>
              <w:pStyle w:val="65"/>
              <w:keepNext w:val="0"/>
              <w:keepLines w:val="0"/>
              <w:suppressLineNumbers w:val="0"/>
              <w:shd w:val="clear" w:color="auto"/>
              <w:adjustRightInd w:val="0"/>
              <w:snapToGrid w:val="0"/>
              <w:ind w:left="0" w:right="-105" w:rightChars="-50"/>
              <w:rPr>
                <w:rFonts w:hint="default"/>
                <w:bCs/>
                <w:color w:val="auto"/>
                <w:spacing w:val="16"/>
                <w:sz w:val="18"/>
                <w:szCs w:val="18"/>
                <w:highlight w:val="none"/>
              </w:rPr>
            </w:pPr>
          </w:p>
        </w:tc>
        <w:tc>
          <w:tcPr>
            <w:tcW w:w="2001" w:type="dxa"/>
            <w:gridSpan w:val="3"/>
            <w:vMerge w:val="restart"/>
            <w:noWrap/>
            <w:vAlign w:val="center"/>
          </w:tcPr>
          <w:p w14:paraId="00156761">
            <w:pPr>
              <w:pStyle w:val="65"/>
              <w:keepNext w:val="0"/>
              <w:keepLines w:val="0"/>
              <w:suppressLineNumbers w:val="0"/>
              <w:shd w:val="clear" w:color="auto"/>
              <w:adjustRightInd w:val="0"/>
              <w:snapToGrid w:val="0"/>
              <w:spacing w:before="0" w:beforeAutospacing="0" w:after="0" w:afterAutospacing="0"/>
              <w:ind w:left="-105" w:leftChars="-50" w:right="-105" w:rightChars="-50"/>
              <w:jc w:val="center"/>
              <w:rPr>
                <w:rFonts w:hint="default"/>
                <w:bCs/>
                <w:color w:val="auto"/>
                <w:spacing w:val="16"/>
                <w:sz w:val="18"/>
                <w:szCs w:val="18"/>
                <w:highlight w:val="none"/>
              </w:rPr>
            </w:pPr>
            <w:r>
              <w:rPr>
                <w:rFonts w:hint="eastAsia"/>
                <w:bCs/>
                <w:color w:val="auto"/>
                <w:spacing w:val="16"/>
                <w:sz w:val="18"/>
                <w:szCs w:val="18"/>
                <w:highlight w:val="none"/>
              </w:rPr>
              <w:t>传真</w:t>
            </w:r>
          </w:p>
        </w:tc>
        <w:tc>
          <w:tcPr>
            <w:tcW w:w="2151" w:type="dxa"/>
            <w:gridSpan w:val="2"/>
            <w:vMerge w:val="restart"/>
            <w:noWrap/>
            <w:vAlign w:val="center"/>
          </w:tcPr>
          <w:p w14:paraId="5482F136">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r>
      <w:tr w14:paraId="7D44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2" w:type="dxa"/>
            <w:vMerge w:val="continue"/>
            <w:tcBorders>
              <w:bottom w:val="single" w:color="auto" w:sz="4" w:space="0"/>
            </w:tcBorders>
            <w:noWrap/>
            <w:vAlign w:val="center"/>
          </w:tcPr>
          <w:p w14:paraId="732E6E2F">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701" w:type="dxa"/>
            <w:vMerge w:val="continue"/>
            <w:tcBorders>
              <w:bottom w:val="single" w:color="auto" w:sz="4" w:space="0"/>
            </w:tcBorders>
            <w:noWrap/>
            <w:vAlign w:val="center"/>
          </w:tcPr>
          <w:p w14:paraId="4008D4BC">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c>
          <w:tcPr>
            <w:tcW w:w="910" w:type="dxa"/>
            <w:gridSpan w:val="2"/>
            <w:tcBorders>
              <w:bottom w:val="single" w:color="auto" w:sz="4" w:space="0"/>
            </w:tcBorders>
            <w:noWrap/>
            <w:vAlign w:val="center"/>
          </w:tcPr>
          <w:p w14:paraId="769AF146">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27"/>
                <w:sz w:val="18"/>
                <w:szCs w:val="18"/>
                <w:highlight w:val="none"/>
              </w:rPr>
              <w:t>手机</w:t>
            </w:r>
          </w:p>
        </w:tc>
        <w:tc>
          <w:tcPr>
            <w:tcW w:w="2368" w:type="dxa"/>
            <w:gridSpan w:val="3"/>
            <w:tcBorders>
              <w:bottom w:val="single" w:color="auto" w:sz="4" w:space="0"/>
            </w:tcBorders>
            <w:noWrap/>
            <w:vAlign w:val="center"/>
          </w:tcPr>
          <w:p w14:paraId="62B13DD8">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c>
          <w:tcPr>
            <w:tcW w:w="2001" w:type="dxa"/>
            <w:gridSpan w:val="3"/>
            <w:vMerge w:val="continue"/>
            <w:noWrap/>
            <w:vAlign w:val="center"/>
          </w:tcPr>
          <w:p w14:paraId="32512145">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c>
          <w:tcPr>
            <w:tcW w:w="2151" w:type="dxa"/>
            <w:gridSpan w:val="2"/>
            <w:vMerge w:val="continue"/>
            <w:noWrap/>
            <w:vAlign w:val="center"/>
          </w:tcPr>
          <w:p w14:paraId="55228DFD">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r>
      <w:tr w14:paraId="3F92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82" w:type="dxa"/>
            <w:vMerge w:val="restart"/>
            <w:noWrap/>
            <w:vAlign w:val="center"/>
          </w:tcPr>
          <w:p w14:paraId="17250316">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default"/>
                <w:bCs/>
                <w:color w:val="auto"/>
                <w:sz w:val="18"/>
                <w:szCs w:val="18"/>
                <w:highlight w:val="none"/>
              </w:rPr>
              <w:t>1</w:t>
            </w:r>
            <w:r>
              <w:rPr>
                <w:rFonts w:hint="eastAsia"/>
                <w:bCs/>
                <w:color w:val="auto"/>
                <w:sz w:val="18"/>
                <w:szCs w:val="18"/>
                <w:highlight w:val="none"/>
              </w:rPr>
              <w:t>.</w:t>
            </w:r>
          </w:p>
          <w:p w14:paraId="40E0EC0B">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z w:val="18"/>
                <w:szCs w:val="18"/>
                <w:highlight w:val="none"/>
              </w:rPr>
              <w:t>企</w:t>
            </w:r>
          </w:p>
          <w:p w14:paraId="2C339C57">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z w:val="18"/>
                <w:szCs w:val="18"/>
                <w:highlight w:val="none"/>
              </w:rPr>
              <w:t>业</w:t>
            </w:r>
          </w:p>
          <w:p w14:paraId="5407DFE4">
            <w:pPr>
              <w:pStyle w:val="65"/>
              <w:keepNext w:val="0"/>
              <w:keepLines w:val="0"/>
              <w:suppressLineNumbers w:val="0"/>
              <w:shd w:val="clear" w:color="auto"/>
              <w:adjustRightInd w:val="0"/>
              <w:snapToGrid w:val="0"/>
              <w:ind w:left="-105" w:leftChars="-50" w:right="-105" w:rightChars="-50"/>
              <w:jc w:val="center"/>
              <w:rPr>
                <w:rFonts w:hint="default"/>
                <w:bCs/>
                <w:color w:val="auto"/>
                <w:spacing w:val="27"/>
                <w:sz w:val="18"/>
                <w:szCs w:val="18"/>
                <w:highlight w:val="none"/>
              </w:rPr>
            </w:pPr>
            <w:r>
              <w:rPr>
                <w:rFonts w:hint="eastAsia"/>
                <w:bCs/>
                <w:color w:val="auto"/>
                <w:spacing w:val="27"/>
                <w:sz w:val="18"/>
                <w:szCs w:val="18"/>
                <w:highlight w:val="none"/>
              </w:rPr>
              <w:t>概</w:t>
            </w:r>
          </w:p>
          <w:p w14:paraId="10D8139C">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pacing w:val="27"/>
                <w:sz w:val="18"/>
                <w:szCs w:val="18"/>
                <w:highlight w:val="none"/>
              </w:rPr>
              <w:t>况</w:t>
            </w:r>
          </w:p>
        </w:tc>
        <w:tc>
          <w:tcPr>
            <w:tcW w:w="701" w:type="dxa"/>
            <w:tcBorders>
              <w:top w:val="nil"/>
            </w:tcBorders>
            <w:noWrap/>
            <w:vAlign w:val="center"/>
          </w:tcPr>
          <w:p w14:paraId="2F817E24">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16"/>
                <w:sz w:val="18"/>
                <w:szCs w:val="18"/>
                <w:highlight w:val="none"/>
              </w:rPr>
              <w:t>职工人数</w:t>
            </w:r>
          </w:p>
        </w:tc>
        <w:tc>
          <w:tcPr>
            <w:tcW w:w="910" w:type="dxa"/>
            <w:gridSpan w:val="2"/>
            <w:tcBorders>
              <w:top w:val="nil"/>
            </w:tcBorders>
            <w:noWrap/>
            <w:vAlign w:val="center"/>
          </w:tcPr>
          <w:p w14:paraId="52210A75">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c>
          <w:tcPr>
            <w:tcW w:w="1163" w:type="dxa"/>
            <w:tcBorders>
              <w:top w:val="nil"/>
            </w:tcBorders>
            <w:noWrap/>
            <w:vAlign w:val="center"/>
          </w:tcPr>
          <w:p w14:paraId="40A03EE0">
            <w:pPr>
              <w:pStyle w:val="65"/>
              <w:keepNext w:val="0"/>
              <w:keepLines w:val="0"/>
              <w:suppressLineNumbers w:val="0"/>
              <w:shd w:val="clear" w:color="auto"/>
              <w:adjustRightInd w:val="0"/>
              <w:snapToGrid w:val="0"/>
              <w:spacing w:before="0" w:beforeAutospacing="0" w:after="0" w:afterAutospacing="0"/>
              <w:ind w:left="-105" w:leftChars="-50" w:right="-105" w:rightChars="-50"/>
              <w:jc w:val="center"/>
              <w:rPr>
                <w:rFonts w:hint="default"/>
                <w:bCs/>
                <w:color w:val="auto"/>
                <w:sz w:val="18"/>
                <w:szCs w:val="18"/>
                <w:highlight w:val="none"/>
              </w:rPr>
            </w:pPr>
            <w:r>
              <w:rPr>
                <w:rFonts w:hint="eastAsia"/>
                <w:bCs/>
                <w:color w:val="auto"/>
                <w:spacing w:val="18"/>
                <w:sz w:val="18"/>
                <w:szCs w:val="18"/>
                <w:highlight w:val="none"/>
              </w:rPr>
              <w:t>具备大专以</w:t>
            </w:r>
            <w:r>
              <w:rPr>
                <w:rFonts w:hint="eastAsia"/>
                <w:bCs/>
                <w:color w:val="auto"/>
                <w:spacing w:val="12"/>
                <w:sz w:val="18"/>
                <w:szCs w:val="18"/>
                <w:highlight w:val="none"/>
              </w:rPr>
              <w:t>上学历人数</w:t>
            </w:r>
          </w:p>
        </w:tc>
        <w:tc>
          <w:tcPr>
            <w:tcW w:w="1205" w:type="dxa"/>
            <w:gridSpan w:val="2"/>
            <w:tcBorders>
              <w:top w:val="nil"/>
            </w:tcBorders>
            <w:noWrap/>
            <w:vAlign w:val="center"/>
          </w:tcPr>
          <w:p w14:paraId="36D95442">
            <w:pPr>
              <w:keepNext w:val="0"/>
              <w:keepLines w:val="0"/>
              <w:widowControl/>
              <w:suppressLineNumbers w:val="0"/>
              <w:shd w:val="clear"/>
              <w:adjustRightInd w:val="0"/>
              <w:snapToGrid w:val="0"/>
              <w:spacing w:before="0" w:beforeAutospacing="0" w:after="0" w:afterAutospacing="0"/>
              <w:ind w:left="-105" w:leftChars="-50" w:right="-105" w:rightChars="-50"/>
              <w:jc w:val="center"/>
              <w:rPr>
                <w:rFonts w:hint="default" w:ascii="宋体" w:hAnsi="宋体" w:cs="宋体"/>
                <w:bCs/>
                <w:color w:val="auto"/>
                <w:spacing w:val="16"/>
                <w:kern w:val="0"/>
                <w:sz w:val="18"/>
                <w:szCs w:val="18"/>
                <w:highlight w:val="none"/>
              </w:rPr>
            </w:pPr>
          </w:p>
          <w:p w14:paraId="36CE1D07">
            <w:pPr>
              <w:keepNext w:val="0"/>
              <w:keepLines w:val="0"/>
              <w:widowControl/>
              <w:suppressLineNumbers w:val="0"/>
              <w:shd w:val="clear"/>
              <w:adjustRightInd w:val="0"/>
              <w:snapToGrid w:val="0"/>
              <w:spacing w:before="0" w:beforeAutospacing="0" w:after="0" w:afterAutospacing="0"/>
              <w:ind w:left="-105" w:leftChars="-50" w:right="-105" w:rightChars="-50"/>
              <w:jc w:val="center"/>
              <w:rPr>
                <w:rFonts w:hint="default" w:ascii="宋体" w:hAnsi="宋体" w:cs="宋体"/>
                <w:bCs/>
                <w:color w:val="auto"/>
                <w:spacing w:val="16"/>
                <w:kern w:val="0"/>
                <w:sz w:val="18"/>
                <w:szCs w:val="18"/>
                <w:highlight w:val="none"/>
              </w:rPr>
            </w:pPr>
          </w:p>
          <w:p w14:paraId="2A31DCDB">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c>
          <w:tcPr>
            <w:tcW w:w="2001" w:type="dxa"/>
            <w:gridSpan w:val="3"/>
            <w:noWrap/>
            <w:vAlign w:val="center"/>
          </w:tcPr>
          <w:p w14:paraId="283931F7">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65"/>
                <w:sz w:val="18"/>
                <w:szCs w:val="18"/>
                <w:highlight w:val="none"/>
              </w:rPr>
              <w:t>国家授予技</w:t>
            </w:r>
            <w:r>
              <w:rPr>
                <w:rFonts w:hint="eastAsia"/>
                <w:bCs/>
                <w:color w:val="auto"/>
                <w:spacing w:val="12"/>
                <w:sz w:val="18"/>
                <w:szCs w:val="18"/>
                <w:highlight w:val="none"/>
              </w:rPr>
              <w:t>术职称人数</w:t>
            </w:r>
          </w:p>
        </w:tc>
        <w:tc>
          <w:tcPr>
            <w:tcW w:w="2151" w:type="dxa"/>
            <w:gridSpan w:val="2"/>
            <w:noWrap/>
            <w:vAlign w:val="center"/>
          </w:tcPr>
          <w:p w14:paraId="1157906B">
            <w:pPr>
              <w:keepNext w:val="0"/>
              <w:keepLines w:val="0"/>
              <w:widowControl/>
              <w:suppressLineNumbers w:val="0"/>
              <w:shd w:val="clear"/>
              <w:adjustRightInd w:val="0"/>
              <w:snapToGrid w:val="0"/>
              <w:spacing w:before="0" w:beforeAutospacing="0" w:after="0" w:afterAutospacing="0"/>
              <w:ind w:left="-105" w:leftChars="-50" w:right="-105" w:rightChars="-50"/>
              <w:jc w:val="center"/>
              <w:rPr>
                <w:rFonts w:hint="default" w:ascii="宋体" w:hAnsi="宋体" w:cs="宋体"/>
                <w:bCs/>
                <w:color w:val="auto"/>
                <w:spacing w:val="16"/>
                <w:kern w:val="0"/>
                <w:sz w:val="18"/>
                <w:szCs w:val="18"/>
                <w:highlight w:val="none"/>
              </w:rPr>
            </w:pPr>
          </w:p>
          <w:p w14:paraId="058529D6">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r>
      <w:tr w14:paraId="6AB2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82" w:type="dxa"/>
            <w:vMerge w:val="continue"/>
            <w:noWrap/>
            <w:vAlign w:val="center"/>
          </w:tcPr>
          <w:p w14:paraId="5E7CF47B">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701" w:type="dxa"/>
            <w:noWrap/>
            <w:vAlign w:val="center"/>
          </w:tcPr>
          <w:p w14:paraId="3FDCC173">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pacing w:val="16"/>
                <w:sz w:val="18"/>
                <w:szCs w:val="18"/>
                <w:highlight w:val="none"/>
              </w:rPr>
              <w:t>占地面积</w:t>
            </w:r>
          </w:p>
        </w:tc>
        <w:tc>
          <w:tcPr>
            <w:tcW w:w="910" w:type="dxa"/>
            <w:gridSpan w:val="2"/>
            <w:noWrap/>
            <w:vAlign w:val="center"/>
          </w:tcPr>
          <w:p w14:paraId="44E9644E">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1163" w:type="dxa"/>
            <w:noWrap/>
            <w:vAlign w:val="center"/>
          </w:tcPr>
          <w:p w14:paraId="2E8F72F5">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pacing w:val="16"/>
                <w:sz w:val="18"/>
                <w:szCs w:val="18"/>
                <w:highlight w:val="none"/>
              </w:rPr>
              <w:t>建筑面积</w:t>
            </w:r>
          </w:p>
        </w:tc>
        <w:tc>
          <w:tcPr>
            <w:tcW w:w="1205" w:type="dxa"/>
            <w:gridSpan w:val="2"/>
            <w:noWrap/>
            <w:vAlign w:val="center"/>
          </w:tcPr>
          <w:p w14:paraId="01E76234">
            <w:pPr>
              <w:pStyle w:val="65"/>
              <w:keepNext w:val="0"/>
              <w:keepLines w:val="0"/>
              <w:suppressLineNumbers w:val="0"/>
              <w:shd w:val="clear" w:color="auto"/>
              <w:adjustRightInd w:val="0"/>
              <w:snapToGrid w:val="0"/>
              <w:ind w:left="-105" w:leftChars="-50" w:right="-105" w:rightChars="-50" w:firstLine="420"/>
              <w:jc w:val="center"/>
              <w:rPr>
                <w:rFonts w:hint="default"/>
                <w:bCs/>
                <w:color w:val="auto"/>
                <w:sz w:val="18"/>
                <w:szCs w:val="18"/>
                <w:highlight w:val="none"/>
              </w:rPr>
            </w:pPr>
            <w:r>
              <w:rPr>
                <w:rFonts w:hint="eastAsia"/>
                <w:bCs/>
                <w:color w:val="auto"/>
                <w:sz w:val="18"/>
                <w:szCs w:val="18"/>
                <w:highlight w:val="none"/>
              </w:rPr>
              <w:t>平方米</w:t>
            </w:r>
          </w:p>
          <w:p w14:paraId="6D6E357F">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pacing w:val="16"/>
                <w:sz w:val="18"/>
                <w:szCs w:val="18"/>
                <w:highlight w:val="none"/>
              </w:rPr>
              <w:t>□自有□租賃</w:t>
            </w:r>
          </w:p>
        </w:tc>
        <w:tc>
          <w:tcPr>
            <w:tcW w:w="2001" w:type="dxa"/>
            <w:gridSpan w:val="3"/>
            <w:noWrap/>
            <w:vAlign w:val="center"/>
          </w:tcPr>
          <w:p w14:paraId="2F3879F5">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pacing w:val="16"/>
                <w:sz w:val="18"/>
                <w:szCs w:val="18"/>
                <w:highlight w:val="none"/>
              </w:rPr>
              <w:t>生产经营场所及场所的设施与设备</w:t>
            </w:r>
          </w:p>
        </w:tc>
        <w:tc>
          <w:tcPr>
            <w:tcW w:w="2151" w:type="dxa"/>
            <w:gridSpan w:val="2"/>
            <w:noWrap/>
            <w:vAlign w:val="center"/>
          </w:tcPr>
          <w:p w14:paraId="28198F5C">
            <w:pPr>
              <w:pStyle w:val="65"/>
              <w:keepNext w:val="0"/>
              <w:keepLines w:val="0"/>
              <w:suppressLineNumbers w:val="0"/>
              <w:shd w:val="clear" w:color="auto"/>
              <w:adjustRightInd w:val="0"/>
              <w:snapToGrid w:val="0"/>
              <w:spacing w:before="0" w:beforeAutospacing="0" w:after="0" w:afterAutospacing="0"/>
              <w:ind w:left="-105" w:leftChars="-50" w:right="-105" w:rightChars="-50"/>
              <w:jc w:val="center"/>
              <w:rPr>
                <w:rFonts w:hint="default"/>
                <w:bCs/>
                <w:color w:val="auto"/>
                <w:spacing w:val="16"/>
                <w:sz w:val="18"/>
                <w:szCs w:val="18"/>
                <w:highlight w:val="none"/>
              </w:rPr>
            </w:pPr>
          </w:p>
        </w:tc>
      </w:tr>
      <w:tr w14:paraId="2493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noWrap/>
            <w:vAlign w:val="center"/>
          </w:tcPr>
          <w:p w14:paraId="4409944D">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701" w:type="dxa"/>
            <w:noWrap/>
            <w:vAlign w:val="center"/>
          </w:tcPr>
          <w:p w14:paraId="585368BE">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16"/>
                <w:sz w:val="18"/>
                <w:szCs w:val="18"/>
                <w:highlight w:val="none"/>
              </w:rPr>
              <w:t>注册资金</w:t>
            </w:r>
          </w:p>
        </w:tc>
        <w:tc>
          <w:tcPr>
            <w:tcW w:w="910" w:type="dxa"/>
            <w:gridSpan w:val="2"/>
            <w:noWrap/>
            <w:vAlign w:val="center"/>
          </w:tcPr>
          <w:p w14:paraId="56ADD696">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1163" w:type="dxa"/>
            <w:noWrap/>
            <w:vAlign w:val="center"/>
          </w:tcPr>
          <w:p w14:paraId="5BA3E58E">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pacing w:val="16"/>
                <w:sz w:val="18"/>
                <w:szCs w:val="18"/>
                <w:highlight w:val="none"/>
              </w:rPr>
              <w:t>注册发证</w:t>
            </w:r>
            <w:r>
              <w:rPr>
                <w:rFonts w:hint="eastAsia"/>
                <w:bCs/>
                <w:color w:val="auto"/>
                <w:spacing w:val="27"/>
                <w:sz w:val="18"/>
                <w:szCs w:val="18"/>
                <w:highlight w:val="none"/>
              </w:rPr>
              <w:t>机关</w:t>
            </w:r>
          </w:p>
        </w:tc>
        <w:tc>
          <w:tcPr>
            <w:tcW w:w="3206" w:type="dxa"/>
            <w:gridSpan w:val="5"/>
            <w:noWrap/>
            <w:vAlign w:val="center"/>
          </w:tcPr>
          <w:p w14:paraId="459F484E">
            <w:pPr>
              <w:keepNext w:val="0"/>
              <w:keepLines w:val="0"/>
              <w:widowControl/>
              <w:suppressLineNumbers w:val="0"/>
              <w:shd w:val="clear"/>
              <w:adjustRightInd w:val="0"/>
              <w:snapToGrid w:val="0"/>
              <w:spacing w:before="0" w:beforeAutospacing="0" w:after="0" w:afterAutospacing="0"/>
              <w:ind w:left="-105" w:leftChars="-50" w:right="-105" w:rightChars="-50"/>
              <w:jc w:val="center"/>
              <w:rPr>
                <w:rFonts w:hint="default" w:ascii="宋体" w:hAnsi="宋体" w:cs="宋体"/>
                <w:bCs/>
                <w:color w:val="auto"/>
                <w:kern w:val="0"/>
                <w:sz w:val="18"/>
                <w:szCs w:val="18"/>
                <w:highlight w:val="none"/>
              </w:rPr>
            </w:pPr>
          </w:p>
          <w:p w14:paraId="28350474">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1218" w:type="dxa"/>
            <w:noWrap/>
            <w:vAlign w:val="center"/>
          </w:tcPr>
          <w:p w14:paraId="40E1694E">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z w:val="18"/>
                <w:szCs w:val="18"/>
                <w:highlight w:val="none"/>
              </w:rPr>
              <w:t>公司成</w:t>
            </w:r>
            <w:r>
              <w:rPr>
                <w:rFonts w:hint="eastAsia"/>
                <w:bCs/>
                <w:color w:val="auto"/>
                <w:spacing w:val="12"/>
                <w:sz w:val="18"/>
                <w:szCs w:val="18"/>
                <w:highlight w:val="none"/>
              </w:rPr>
              <w:t>立时间</w:t>
            </w:r>
          </w:p>
        </w:tc>
        <w:tc>
          <w:tcPr>
            <w:tcW w:w="933" w:type="dxa"/>
            <w:noWrap/>
            <w:vAlign w:val="center"/>
          </w:tcPr>
          <w:p w14:paraId="0903B7D0">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r>
      <w:tr w14:paraId="7C6F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noWrap/>
            <w:vAlign w:val="center"/>
          </w:tcPr>
          <w:p w14:paraId="514E0092">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701" w:type="dxa"/>
            <w:noWrap/>
            <w:vAlign w:val="center"/>
          </w:tcPr>
          <w:p w14:paraId="0206FE6C">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z w:val="18"/>
                <w:szCs w:val="18"/>
                <w:highlight w:val="none"/>
              </w:rPr>
              <w:t>核准经营范围</w:t>
            </w:r>
          </w:p>
        </w:tc>
        <w:tc>
          <w:tcPr>
            <w:tcW w:w="7430" w:type="dxa"/>
            <w:gridSpan w:val="10"/>
            <w:noWrap/>
            <w:vAlign w:val="center"/>
          </w:tcPr>
          <w:p w14:paraId="74D43D1C">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r>
      <w:tr w14:paraId="07E6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82" w:type="dxa"/>
            <w:vMerge w:val="continue"/>
            <w:noWrap/>
            <w:vAlign w:val="center"/>
          </w:tcPr>
          <w:p w14:paraId="48936112">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8131" w:type="dxa"/>
            <w:gridSpan w:val="11"/>
            <w:noWrap/>
            <w:vAlign w:val="center"/>
          </w:tcPr>
          <w:p w14:paraId="0D72330F">
            <w:pPr>
              <w:pStyle w:val="65"/>
              <w:keepNext w:val="0"/>
              <w:keepLines w:val="0"/>
              <w:suppressLineNumbers w:val="0"/>
              <w:shd w:val="clear" w:color="auto"/>
              <w:adjustRightInd w:val="0"/>
              <w:snapToGrid w:val="0"/>
              <w:ind w:left="-105" w:leftChars="-50" w:right="-105" w:rightChars="-50"/>
              <w:rPr>
                <w:rFonts w:hint="default"/>
                <w:bCs/>
                <w:color w:val="auto"/>
                <w:spacing w:val="13"/>
                <w:sz w:val="18"/>
                <w:szCs w:val="18"/>
                <w:highlight w:val="none"/>
              </w:rPr>
            </w:pPr>
            <w:r>
              <w:rPr>
                <w:rFonts w:hint="eastAsia"/>
                <w:bCs/>
                <w:color w:val="auto"/>
                <w:spacing w:val="13"/>
                <w:sz w:val="18"/>
                <w:szCs w:val="18"/>
                <w:highlight w:val="none"/>
              </w:rPr>
              <w:t>发展历程及主要荣誉：</w:t>
            </w:r>
          </w:p>
        </w:tc>
      </w:tr>
      <w:tr w14:paraId="5410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noWrap/>
            <w:vAlign w:val="center"/>
          </w:tcPr>
          <w:p w14:paraId="35EA8B99">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default"/>
                <w:bCs/>
                <w:color w:val="auto"/>
                <w:sz w:val="18"/>
                <w:szCs w:val="18"/>
                <w:highlight w:val="none"/>
              </w:rPr>
              <w:t>2</w:t>
            </w:r>
            <w:r>
              <w:rPr>
                <w:rFonts w:hint="eastAsia"/>
                <w:bCs/>
                <w:color w:val="auto"/>
                <w:sz w:val="18"/>
                <w:szCs w:val="18"/>
                <w:highlight w:val="none"/>
              </w:rPr>
              <w:t>．</w:t>
            </w:r>
          </w:p>
          <w:p w14:paraId="78C45D98">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z w:val="18"/>
                <w:szCs w:val="18"/>
                <w:highlight w:val="none"/>
              </w:rPr>
              <w:t>企</w:t>
            </w:r>
            <w:r>
              <w:rPr>
                <w:rFonts w:hint="eastAsia"/>
                <w:bCs/>
                <w:color w:val="auto"/>
                <w:spacing w:val="12"/>
                <w:sz w:val="18"/>
                <w:szCs w:val="18"/>
                <w:highlight w:val="none"/>
              </w:rPr>
              <w:t>业有关资质获证情况</w:t>
            </w:r>
          </w:p>
        </w:tc>
        <w:tc>
          <w:tcPr>
            <w:tcW w:w="1553" w:type="dxa"/>
            <w:gridSpan w:val="2"/>
            <w:vMerge w:val="restart"/>
            <w:noWrap/>
            <w:vAlign w:val="center"/>
          </w:tcPr>
          <w:p w14:paraId="59BA8C0C">
            <w:pPr>
              <w:pStyle w:val="65"/>
              <w:keepNext w:val="0"/>
              <w:keepLines w:val="0"/>
              <w:suppressLineNumbers w:val="0"/>
              <w:shd w:val="clear" w:color="auto"/>
              <w:adjustRightInd w:val="0"/>
              <w:snapToGrid w:val="0"/>
              <w:spacing w:before="0" w:beforeAutospacing="0" w:after="0" w:afterAutospacing="0"/>
              <w:ind w:left="-105" w:leftChars="-50" w:right="-105" w:rightChars="-50"/>
              <w:jc w:val="center"/>
              <w:rPr>
                <w:rFonts w:hint="default"/>
                <w:bCs/>
                <w:color w:val="auto"/>
                <w:spacing w:val="16"/>
                <w:sz w:val="18"/>
                <w:szCs w:val="18"/>
                <w:highlight w:val="none"/>
              </w:rPr>
            </w:pPr>
            <w:r>
              <w:rPr>
                <w:rFonts w:hint="eastAsia"/>
                <w:bCs/>
                <w:color w:val="auto"/>
                <w:spacing w:val="12"/>
                <w:sz w:val="18"/>
                <w:szCs w:val="18"/>
                <w:highlight w:val="none"/>
              </w:rPr>
              <w:t>产品生产许可证情况</w:t>
            </w:r>
            <w:r>
              <w:rPr>
                <w:rFonts w:hint="eastAsia"/>
                <w:bCs/>
                <w:color w:val="auto"/>
                <w:spacing w:val="41"/>
                <w:sz w:val="18"/>
                <w:szCs w:val="18"/>
                <w:highlight w:val="none"/>
              </w:rPr>
              <w:t>（对需获得生产许可证的</w:t>
            </w:r>
            <w:r>
              <w:rPr>
                <w:rFonts w:hint="eastAsia"/>
                <w:bCs/>
                <w:color w:val="auto"/>
                <w:spacing w:val="11"/>
                <w:sz w:val="18"/>
                <w:szCs w:val="18"/>
                <w:highlight w:val="none"/>
              </w:rPr>
              <w:t>产品要填写此栏）</w:t>
            </w:r>
          </w:p>
        </w:tc>
        <w:tc>
          <w:tcPr>
            <w:tcW w:w="1333" w:type="dxa"/>
            <w:gridSpan w:val="3"/>
            <w:noWrap/>
            <w:vAlign w:val="center"/>
          </w:tcPr>
          <w:p w14:paraId="644B9833">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16"/>
                <w:sz w:val="18"/>
                <w:szCs w:val="18"/>
                <w:highlight w:val="none"/>
              </w:rPr>
              <w:t>产品名称</w:t>
            </w:r>
          </w:p>
        </w:tc>
        <w:tc>
          <w:tcPr>
            <w:tcW w:w="1418" w:type="dxa"/>
            <w:gridSpan w:val="2"/>
            <w:noWrap/>
            <w:vAlign w:val="center"/>
          </w:tcPr>
          <w:p w14:paraId="74769128">
            <w:pPr>
              <w:pStyle w:val="65"/>
              <w:keepNext w:val="0"/>
              <w:keepLines w:val="0"/>
              <w:suppressLineNumbers w:val="0"/>
              <w:shd w:val="clear" w:color="auto"/>
              <w:adjustRightInd w:val="0"/>
              <w:snapToGrid w:val="0"/>
              <w:spacing w:before="0" w:beforeAutospacing="0" w:after="0" w:afterAutospacing="0"/>
              <w:ind w:left="-105" w:leftChars="-50" w:right="-105" w:rightChars="-50"/>
              <w:jc w:val="center"/>
              <w:rPr>
                <w:rFonts w:hint="default"/>
                <w:bCs/>
                <w:color w:val="auto"/>
                <w:sz w:val="18"/>
                <w:szCs w:val="18"/>
                <w:highlight w:val="none"/>
              </w:rPr>
            </w:pPr>
            <w:r>
              <w:rPr>
                <w:rFonts w:hint="eastAsia"/>
                <w:bCs/>
                <w:color w:val="auto"/>
                <w:spacing w:val="16"/>
                <w:sz w:val="18"/>
                <w:szCs w:val="18"/>
                <w:highlight w:val="none"/>
              </w:rPr>
              <w:t>发证机关</w:t>
            </w:r>
          </w:p>
        </w:tc>
        <w:tc>
          <w:tcPr>
            <w:tcW w:w="1276" w:type="dxa"/>
            <w:noWrap/>
            <w:vAlign w:val="center"/>
          </w:tcPr>
          <w:p w14:paraId="7DE58102">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pacing w:val="27"/>
                <w:sz w:val="18"/>
                <w:szCs w:val="18"/>
                <w:highlight w:val="none"/>
              </w:rPr>
              <w:t>编号</w:t>
            </w:r>
          </w:p>
        </w:tc>
        <w:tc>
          <w:tcPr>
            <w:tcW w:w="1618" w:type="dxa"/>
            <w:gridSpan w:val="2"/>
            <w:noWrap/>
            <w:vAlign w:val="center"/>
          </w:tcPr>
          <w:p w14:paraId="72BC21D5">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r>
              <w:rPr>
                <w:rFonts w:hint="eastAsia"/>
                <w:bCs/>
                <w:color w:val="auto"/>
                <w:spacing w:val="16"/>
                <w:sz w:val="18"/>
                <w:szCs w:val="18"/>
                <w:highlight w:val="none"/>
              </w:rPr>
              <w:t>发证时间</w:t>
            </w:r>
          </w:p>
        </w:tc>
        <w:tc>
          <w:tcPr>
            <w:tcW w:w="933" w:type="dxa"/>
            <w:noWrap/>
            <w:vAlign w:val="center"/>
          </w:tcPr>
          <w:p w14:paraId="58034F0A">
            <w:pPr>
              <w:pStyle w:val="65"/>
              <w:keepNext w:val="0"/>
              <w:keepLines w:val="0"/>
              <w:suppressLineNumbers w:val="0"/>
              <w:shd w:val="clear" w:color="auto"/>
              <w:adjustRightInd w:val="0"/>
              <w:snapToGrid w:val="0"/>
              <w:spacing w:before="0" w:beforeAutospacing="0" w:after="0" w:afterAutospacing="0"/>
              <w:ind w:left="-105" w:leftChars="-50" w:right="-105" w:rightChars="-50"/>
              <w:jc w:val="center"/>
              <w:rPr>
                <w:rFonts w:hint="default"/>
                <w:bCs/>
                <w:color w:val="auto"/>
                <w:sz w:val="18"/>
                <w:szCs w:val="18"/>
                <w:highlight w:val="none"/>
              </w:rPr>
            </w:pPr>
            <w:r>
              <w:rPr>
                <w:rFonts w:hint="eastAsia"/>
                <w:bCs/>
                <w:color w:val="auto"/>
                <w:spacing w:val="27"/>
                <w:sz w:val="18"/>
                <w:szCs w:val="18"/>
                <w:highlight w:val="none"/>
              </w:rPr>
              <w:t>期限</w:t>
            </w:r>
          </w:p>
        </w:tc>
      </w:tr>
      <w:tr w14:paraId="1783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noWrap/>
            <w:vAlign w:val="center"/>
          </w:tcPr>
          <w:p w14:paraId="370ADBB8">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1553" w:type="dxa"/>
            <w:gridSpan w:val="2"/>
            <w:vMerge w:val="continue"/>
            <w:noWrap/>
            <w:vAlign w:val="center"/>
          </w:tcPr>
          <w:p w14:paraId="36B0EE73">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1333" w:type="dxa"/>
            <w:gridSpan w:val="3"/>
            <w:noWrap/>
            <w:vAlign w:val="center"/>
          </w:tcPr>
          <w:p w14:paraId="055AA425">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1418" w:type="dxa"/>
            <w:gridSpan w:val="2"/>
            <w:noWrap/>
            <w:vAlign w:val="center"/>
          </w:tcPr>
          <w:p w14:paraId="195C47B2">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1276" w:type="dxa"/>
            <w:noWrap/>
            <w:vAlign w:val="center"/>
          </w:tcPr>
          <w:p w14:paraId="60D8843B">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c>
          <w:tcPr>
            <w:tcW w:w="2551" w:type="dxa"/>
            <w:gridSpan w:val="3"/>
            <w:noWrap/>
            <w:vAlign w:val="center"/>
          </w:tcPr>
          <w:p w14:paraId="657EDD79">
            <w:pPr>
              <w:pStyle w:val="65"/>
              <w:keepNext w:val="0"/>
              <w:keepLines w:val="0"/>
              <w:suppressLineNumbers w:val="0"/>
              <w:shd w:val="clear" w:color="auto"/>
              <w:adjustRightInd w:val="0"/>
              <w:snapToGrid w:val="0"/>
              <w:ind w:left="-105" w:leftChars="-50" w:right="-105" w:rightChars="-50"/>
              <w:jc w:val="center"/>
              <w:rPr>
                <w:rFonts w:hint="default"/>
                <w:bCs/>
                <w:color w:val="auto"/>
                <w:sz w:val="18"/>
                <w:szCs w:val="18"/>
                <w:highlight w:val="none"/>
              </w:rPr>
            </w:pPr>
          </w:p>
        </w:tc>
      </w:tr>
      <w:tr w14:paraId="010D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noWrap/>
            <w:vAlign w:val="center"/>
          </w:tcPr>
          <w:p w14:paraId="6351E234">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c>
          <w:tcPr>
            <w:tcW w:w="1553" w:type="dxa"/>
            <w:gridSpan w:val="2"/>
            <w:noWrap/>
            <w:vAlign w:val="center"/>
          </w:tcPr>
          <w:p w14:paraId="01993295">
            <w:pPr>
              <w:pStyle w:val="65"/>
              <w:keepNext w:val="0"/>
              <w:keepLines w:val="0"/>
              <w:suppressLineNumbers w:val="0"/>
              <w:shd w:val="clear" w:color="auto"/>
              <w:adjustRightInd w:val="0"/>
              <w:snapToGrid w:val="0"/>
              <w:spacing w:before="0" w:beforeAutospacing="0" w:after="0" w:afterAutospacing="0"/>
              <w:ind w:left="-105" w:leftChars="-50" w:right="-105" w:rightChars="-50"/>
              <w:jc w:val="center"/>
              <w:rPr>
                <w:rFonts w:hint="default"/>
                <w:bCs/>
                <w:color w:val="auto"/>
                <w:spacing w:val="41"/>
                <w:sz w:val="18"/>
                <w:szCs w:val="18"/>
                <w:highlight w:val="none"/>
              </w:rPr>
            </w:pPr>
            <w:r>
              <w:rPr>
                <w:rFonts w:hint="eastAsia"/>
                <w:bCs/>
                <w:color w:val="auto"/>
                <w:spacing w:val="41"/>
                <w:sz w:val="18"/>
                <w:szCs w:val="18"/>
                <w:highlight w:val="none"/>
              </w:rPr>
              <w:t>企业通过质量体系、环保</w:t>
            </w:r>
            <w:r>
              <w:rPr>
                <w:rFonts w:hint="eastAsia"/>
                <w:bCs/>
                <w:color w:val="auto"/>
                <w:spacing w:val="11"/>
                <w:sz w:val="18"/>
                <w:szCs w:val="18"/>
                <w:highlight w:val="none"/>
              </w:rPr>
              <w:t>体系、计量等认证情况</w:t>
            </w:r>
          </w:p>
        </w:tc>
        <w:tc>
          <w:tcPr>
            <w:tcW w:w="6578" w:type="dxa"/>
            <w:gridSpan w:val="9"/>
            <w:noWrap/>
            <w:vAlign w:val="center"/>
          </w:tcPr>
          <w:p w14:paraId="03FB5FE9">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r>
      <w:tr w14:paraId="69CA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noWrap/>
            <w:vAlign w:val="center"/>
          </w:tcPr>
          <w:p w14:paraId="55902856">
            <w:pPr>
              <w:pStyle w:val="65"/>
              <w:keepNext w:val="0"/>
              <w:keepLines w:val="0"/>
              <w:suppressLineNumbers w:val="0"/>
              <w:shd w:val="clear" w:color="auto"/>
              <w:adjustRightInd w:val="0"/>
              <w:snapToGrid w:val="0"/>
              <w:ind w:left="-105" w:leftChars="-50" w:right="-105" w:rightChars="-50"/>
              <w:jc w:val="center"/>
              <w:rPr>
                <w:rFonts w:hint="default"/>
                <w:bCs/>
                <w:color w:val="auto"/>
                <w:spacing w:val="27"/>
                <w:sz w:val="18"/>
                <w:szCs w:val="18"/>
                <w:highlight w:val="none"/>
              </w:rPr>
            </w:pPr>
          </w:p>
        </w:tc>
        <w:tc>
          <w:tcPr>
            <w:tcW w:w="1553" w:type="dxa"/>
            <w:gridSpan w:val="2"/>
            <w:noWrap/>
            <w:vAlign w:val="center"/>
          </w:tcPr>
          <w:p w14:paraId="33250950">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r>
              <w:rPr>
                <w:rFonts w:hint="eastAsia"/>
                <w:bCs/>
                <w:color w:val="auto"/>
                <w:spacing w:val="10"/>
                <w:sz w:val="18"/>
                <w:szCs w:val="18"/>
                <w:highlight w:val="none"/>
              </w:rPr>
              <w:t>企业获得专利情况</w:t>
            </w:r>
          </w:p>
        </w:tc>
        <w:tc>
          <w:tcPr>
            <w:tcW w:w="6578" w:type="dxa"/>
            <w:gridSpan w:val="9"/>
            <w:noWrap/>
            <w:vAlign w:val="center"/>
          </w:tcPr>
          <w:p w14:paraId="010EC60D">
            <w:pPr>
              <w:pStyle w:val="65"/>
              <w:keepNext w:val="0"/>
              <w:keepLines w:val="0"/>
              <w:suppressLineNumbers w:val="0"/>
              <w:shd w:val="clear" w:color="auto"/>
              <w:adjustRightInd w:val="0"/>
              <w:snapToGrid w:val="0"/>
              <w:ind w:left="-105" w:leftChars="-50" w:right="-105" w:rightChars="-50"/>
              <w:jc w:val="center"/>
              <w:rPr>
                <w:rFonts w:hint="default"/>
                <w:bCs/>
                <w:color w:val="auto"/>
                <w:spacing w:val="16"/>
                <w:sz w:val="18"/>
                <w:szCs w:val="18"/>
                <w:highlight w:val="none"/>
              </w:rPr>
            </w:pPr>
          </w:p>
        </w:tc>
      </w:tr>
    </w:tbl>
    <w:p w14:paraId="157C710F">
      <w:pPr>
        <w:pStyle w:val="69"/>
        <w:shd w:val="clear"/>
        <w:tabs>
          <w:tab w:val="left" w:pos="1050"/>
        </w:tabs>
        <w:spacing w:line="360" w:lineRule="auto"/>
        <w:ind w:firstLine="422"/>
        <w:rPr>
          <w:rFonts w:ascii="宋体" w:hAnsi="宋体"/>
          <w:color w:val="auto"/>
          <w:szCs w:val="21"/>
          <w:highlight w:val="none"/>
        </w:rPr>
      </w:pPr>
      <w:r>
        <w:rPr>
          <w:rFonts w:hint="eastAsia" w:ascii="宋体" w:hAnsi="宋体"/>
          <w:b/>
          <w:color w:val="auto"/>
          <w:szCs w:val="21"/>
          <w:highlight w:val="none"/>
        </w:rPr>
        <w:t>要求：</w:t>
      </w:r>
      <w:r>
        <w:rPr>
          <w:rFonts w:hint="eastAsia" w:ascii="宋体" w:hAnsi="宋体"/>
          <w:color w:val="auto"/>
          <w:szCs w:val="21"/>
          <w:highlight w:val="none"/>
        </w:rPr>
        <w:t>在填写时，如本表格不适合响应单位的实际情况，可根据本表格式自行划表填写。</w:t>
      </w:r>
    </w:p>
    <w:p w14:paraId="2660899C">
      <w:pPr>
        <w:shd w:val="clea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14:paraId="4E6DB10B">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14:paraId="0E94A7CA">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14:paraId="2E1C356D">
      <w:pPr>
        <w:shd w:val="clear"/>
        <w:rPr>
          <w:rFonts w:ascii="宋体" w:hAnsi="宋体" w:cs="宋体"/>
          <w:b/>
          <w:color w:val="auto"/>
          <w:sz w:val="28"/>
          <w:highlight w:val="none"/>
        </w:rPr>
      </w:pPr>
    </w:p>
    <w:p w14:paraId="701EFB4F">
      <w:pPr>
        <w:shd w:val="clea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附件9</w:t>
      </w:r>
    </w:p>
    <w:p w14:paraId="29F38CF9">
      <w:pPr>
        <w:shd w:val="clear"/>
        <w:spacing w:line="360" w:lineRule="auto"/>
        <w:ind w:left="480"/>
        <w:jc w:val="center"/>
        <w:rPr>
          <w:rFonts w:ascii="宋体" w:cs="宋体"/>
          <w:b/>
          <w:bCs/>
          <w:color w:val="auto"/>
          <w:sz w:val="24"/>
          <w:highlight w:val="none"/>
        </w:rPr>
      </w:pPr>
      <w:r>
        <w:rPr>
          <w:rFonts w:hint="eastAsia" w:ascii="宋体" w:cs="宋体"/>
          <w:b/>
          <w:bCs/>
          <w:color w:val="auto"/>
          <w:kern w:val="0"/>
          <w:sz w:val="32"/>
          <w:szCs w:val="32"/>
          <w:highlight w:val="none"/>
        </w:rPr>
        <w:t>技术需求响应表</w:t>
      </w:r>
    </w:p>
    <w:tbl>
      <w:tblPr>
        <w:tblStyle w:val="46"/>
        <w:tblW w:w="90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372"/>
        <w:gridCol w:w="2073"/>
        <w:gridCol w:w="1862"/>
        <w:gridCol w:w="1814"/>
      </w:tblGrid>
      <w:tr w14:paraId="3E92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976" w:type="dxa"/>
            <w:vAlign w:val="center"/>
          </w:tcPr>
          <w:p w14:paraId="2F3ADEF7">
            <w:pPr>
              <w:keepNext w:val="0"/>
              <w:keepLines w:val="0"/>
              <w:suppressLineNumbers w:val="0"/>
              <w:shd w:val="clear"/>
              <w:spacing w:before="0" w:beforeAutospacing="0" w:after="0" w:afterAutospacing="0" w:line="360" w:lineRule="auto"/>
              <w:ind w:left="0" w:right="0"/>
              <w:rPr>
                <w:rFonts w:hint="default" w:ascii="宋体" w:cs="宋体"/>
                <w:b/>
                <w:color w:val="auto"/>
                <w:sz w:val="24"/>
                <w:highlight w:val="none"/>
              </w:rPr>
            </w:pPr>
            <w:r>
              <w:rPr>
                <w:rFonts w:hint="eastAsia" w:ascii="宋体" w:cs="宋体"/>
                <w:b/>
                <w:color w:val="auto"/>
                <w:sz w:val="24"/>
                <w:highlight w:val="none"/>
              </w:rPr>
              <w:t>序号</w:t>
            </w:r>
          </w:p>
        </w:tc>
        <w:tc>
          <w:tcPr>
            <w:tcW w:w="2372" w:type="dxa"/>
            <w:vAlign w:val="center"/>
          </w:tcPr>
          <w:p w14:paraId="52CDC96E">
            <w:pPr>
              <w:keepNext w:val="0"/>
              <w:keepLines w:val="0"/>
              <w:suppressLineNumbers w:val="0"/>
              <w:shd w:val="clear"/>
              <w:spacing w:before="0" w:beforeAutospacing="0" w:after="0" w:afterAutospacing="0" w:line="360" w:lineRule="auto"/>
              <w:ind w:left="13" w:leftChars="6" w:right="0" w:firstLine="482" w:firstLineChars="200"/>
              <w:rPr>
                <w:rFonts w:hint="default" w:ascii="宋体" w:cs="宋体"/>
                <w:b/>
                <w:color w:val="auto"/>
                <w:sz w:val="24"/>
                <w:highlight w:val="none"/>
              </w:rPr>
            </w:pPr>
            <w:r>
              <w:rPr>
                <w:rFonts w:hint="eastAsia" w:ascii="宋体" w:cs="宋体"/>
                <w:b/>
                <w:color w:val="auto"/>
                <w:sz w:val="24"/>
                <w:highlight w:val="none"/>
              </w:rPr>
              <w:t>产品名称</w:t>
            </w:r>
          </w:p>
        </w:tc>
        <w:tc>
          <w:tcPr>
            <w:tcW w:w="2073" w:type="dxa"/>
            <w:vAlign w:val="center"/>
          </w:tcPr>
          <w:p w14:paraId="05BB2F88">
            <w:pPr>
              <w:keepNext w:val="0"/>
              <w:keepLines w:val="0"/>
              <w:suppressLineNumbers w:val="0"/>
              <w:shd w:val="clear"/>
              <w:spacing w:before="0" w:beforeAutospacing="0" w:after="0" w:afterAutospacing="0" w:line="360" w:lineRule="auto"/>
              <w:ind w:left="152" w:right="0"/>
              <w:rPr>
                <w:rFonts w:hint="default" w:ascii="宋体" w:cs="宋体"/>
                <w:b/>
                <w:color w:val="auto"/>
                <w:sz w:val="24"/>
                <w:highlight w:val="none"/>
              </w:rPr>
            </w:pPr>
            <w:r>
              <w:rPr>
                <w:rFonts w:hint="eastAsia" w:ascii="宋体" w:cs="宋体"/>
                <w:b/>
                <w:color w:val="auto"/>
                <w:sz w:val="24"/>
                <w:highlight w:val="none"/>
              </w:rPr>
              <w:t>招标参数</w:t>
            </w:r>
          </w:p>
        </w:tc>
        <w:tc>
          <w:tcPr>
            <w:tcW w:w="1862" w:type="dxa"/>
            <w:vAlign w:val="center"/>
          </w:tcPr>
          <w:p w14:paraId="2191B1CB">
            <w:pPr>
              <w:keepNext w:val="0"/>
              <w:keepLines w:val="0"/>
              <w:suppressLineNumbers w:val="0"/>
              <w:shd w:val="clear"/>
              <w:spacing w:before="0" w:beforeAutospacing="0" w:after="0" w:afterAutospacing="0" w:line="360" w:lineRule="auto"/>
              <w:ind w:left="0" w:right="0"/>
              <w:rPr>
                <w:rFonts w:hint="default" w:ascii="宋体" w:cs="宋体"/>
                <w:b/>
                <w:color w:val="auto"/>
                <w:sz w:val="24"/>
                <w:highlight w:val="none"/>
              </w:rPr>
            </w:pPr>
            <w:r>
              <w:rPr>
                <w:rFonts w:hint="eastAsia" w:ascii="宋体" w:cs="宋体"/>
                <w:b/>
                <w:color w:val="auto"/>
                <w:sz w:val="24"/>
                <w:highlight w:val="none"/>
              </w:rPr>
              <w:t>投标参数</w:t>
            </w:r>
          </w:p>
        </w:tc>
        <w:tc>
          <w:tcPr>
            <w:tcW w:w="1814" w:type="dxa"/>
            <w:vAlign w:val="center"/>
          </w:tcPr>
          <w:p w14:paraId="7AB34743">
            <w:pPr>
              <w:keepNext w:val="0"/>
              <w:keepLines w:val="0"/>
              <w:suppressLineNumbers w:val="0"/>
              <w:shd w:val="clear"/>
              <w:spacing w:before="0" w:beforeAutospacing="0" w:after="0" w:afterAutospacing="0" w:line="360" w:lineRule="auto"/>
              <w:ind w:left="0" w:right="0"/>
              <w:rPr>
                <w:rFonts w:hint="default" w:ascii="宋体" w:cs="宋体"/>
                <w:b/>
                <w:color w:val="auto"/>
                <w:sz w:val="24"/>
                <w:highlight w:val="none"/>
              </w:rPr>
            </w:pPr>
            <w:r>
              <w:rPr>
                <w:rFonts w:hint="eastAsia" w:ascii="宋体" w:cs="宋体"/>
                <w:b/>
                <w:color w:val="auto"/>
                <w:sz w:val="24"/>
                <w:highlight w:val="none"/>
              </w:rPr>
              <w:t>偏离说明</w:t>
            </w:r>
          </w:p>
        </w:tc>
      </w:tr>
      <w:tr w14:paraId="1C84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976" w:type="dxa"/>
            <w:vAlign w:val="center"/>
          </w:tcPr>
          <w:p w14:paraId="60B0E785">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372" w:type="dxa"/>
            <w:vAlign w:val="center"/>
          </w:tcPr>
          <w:p w14:paraId="5397C5BA">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073" w:type="dxa"/>
            <w:vAlign w:val="center"/>
          </w:tcPr>
          <w:p w14:paraId="2D8EDA1E">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62" w:type="dxa"/>
            <w:vAlign w:val="center"/>
          </w:tcPr>
          <w:p w14:paraId="1321203F">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14" w:type="dxa"/>
            <w:vAlign w:val="center"/>
          </w:tcPr>
          <w:p w14:paraId="472EB173">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r>
      <w:tr w14:paraId="1B13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976" w:type="dxa"/>
            <w:vAlign w:val="center"/>
          </w:tcPr>
          <w:p w14:paraId="4C773A2F">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372" w:type="dxa"/>
            <w:vAlign w:val="center"/>
          </w:tcPr>
          <w:p w14:paraId="5C7D4C05">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073" w:type="dxa"/>
            <w:vAlign w:val="center"/>
          </w:tcPr>
          <w:p w14:paraId="38A870B2">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62" w:type="dxa"/>
            <w:vAlign w:val="center"/>
          </w:tcPr>
          <w:p w14:paraId="781AF264">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14" w:type="dxa"/>
            <w:vAlign w:val="center"/>
          </w:tcPr>
          <w:p w14:paraId="460BC973">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r>
      <w:tr w14:paraId="11F33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76" w:type="dxa"/>
            <w:vAlign w:val="center"/>
          </w:tcPr>
          <w:p w14:paraId="09E6F00E">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372" w:type="dxa"/>
            <w:vAlign w:val="center"/>
          </w:tcPr>
          <w:p w14:paraId="4B114248">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073" w:type="dxa"/>
            <w:vAlign w:val="center"/>
          </w:tcPr>
          <w:p w14:paraId="6C369DC9">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62" w:type="dxa"/>
            <w:vAlign w:val="center"/>
          </w:tcPr>
          <w:p w14:paraId="58BF5867">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14" w:type="dxa"/>
            <w:vAlign w:val="center"/>
          </w:tcPr>
          <w:p w14:paraId="2B44E0BA">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r>
      <w:tr w14:paraId="0794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76" w:type="dxa"/>
            <w:vAlign w:val="center"/>
          </w:tcPr>
          <w:p w14:paraId="19C88A80">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372" w:type="dxa"/>
            <w:vAlign w:val="center"/>
          </w:tcPr>
          <w:p w14:paraId="496B6A84">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073" w:type="dxa"/>
            <w:vAlign w:val="center"/>
          </w:tcPr>
          <w:p w14:paraId="2A814B1E">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62" w:type="dxa"/>
            <w:vAlign w:val="center"/>
          </w:tcPr>
          <w:p w14:paraId="0D916A76">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14" w:type="dxa"/>
            <w:vAlign w:val="center"/>
          </w:tcPr>
          <w:p w14:paraId="7F3524FC">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r>
      <w:tr w14:paraId="5C08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976" w:type="dxa"/>
            <w:vAlign w:val="center"/>
          </w:tcPr>
          <w:p w14:paraId="0C745736">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372" w:type="dxa"/>
            <w:vAlign w:val="center"/>
          </w:tcPr>
          <w:p w14:paraId="6A0804DF">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073" w:type="dxa"/>
            <w:vAlign w:val="center"/>
          </w:tcPr>
          <w:p w14:paraId="06A3FC8F">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62" w:type="dxa"/>
            <w:vAlign w:val="center"/>
          </w:tcPr>
          <w:p w14:paraId="4C1A893F">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14" w:type="dxa"/>
            <w:vAlign w:val="center"/>
          </w:tcPr>
          <w:p w14:paraId="70027B35">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r>
      <w:tr w14:paraId="01FD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6" w:type="dxa"/>
            <w:vAlign w:val="center"/>
          </w:tcPr>
          <w:p w14:paraId="1ED19AAC">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372" w:type="dxa"/>
            <w:vAlign w:val="center"/>
          </w:tcPr>
          <w:p w14:paraId="67C9DD03">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073" w:type="dxa"/>
            <w:vAlign w:val="center"/>
          </w:tcPr>
          <w:p w14:paraId="68579800">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62" w:type="dxa"/>
            <w:vAlign w:val="center"/>
          </w:tcPr>
          <w:p w14:paraId="3D38D1F5">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14" w:type="dxa"/>
            <w:vAlign w:val="center"/>
          </w:tcPr>
          <w:p w14:paraId="065AACFD">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r>
      <w:tr w14:paraId="23F2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976" w:type="dxa"/>
            <w:vAlign w:val="center"/>
          </w:tcPr>
          <w:p w14:paraId="5962BF45">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372" w:type="dxa"/>
            <w:vAlign w:val="center"/>
          </w:tcPr>
          <w:p w14:paraId="28F785E4">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2073" w:type="dxa"/>
            <w:vAlign w:val="center"/>
          </w:tcPr>
          <w:p w14:paraId="3FC99263">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62" w:type="dxa"/>
            <w:vAlign w:val="center"/>
          </w:tcPr>
          <w:p w14:paraId="1D7A340A">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c>
          <w:tcPr>
            <w:tcW w:w="1814" w:type="dxa"/>
            <w:vAlign w:val="center"/>
          </w:tcPr>
          <w:p w14:paraId="59EF1162">
            <w:pPr>
              <w:keepNext w:val="0"/>
              <w:keepLines w:val="0"/>
              <w:suppressLineNumbers w:val="0"/>
              <w:shd w:val="clear"/>
              <w:spacing w:before="0" w:beforeAutospacing="0" w:after="0" w:afterAutospacing="0" w:line="360" w:lineRule="auto"/>
              <w:ind w:left="0" w:right="0"/>
              <w:rPr>
                <w:rFonts w:hint="default" w:ascii="宋体" w:cs="宋体"/>
                <w:color w:val="auto"/>
                <w:sz w:val="24"/>
                <w:highlight w:val="none"/>
              </w:rPr>
            </w:pPr>
          </w:p>
        </w:tc>
      </w:tr>
    </w:tbl>
    <w:p w14:paraId="26791ABA">
      <w:pPr>
        <w:pStyle w:val="67"/>
        <w:shd w:val="clear"/>
        <w:tabs>
          <w:tab w:val="left" w:pos="360"/>
        </w:tabs>
        <w:spacing w:line="360" w:lineRule="auto"/>
        <w:ind w:right="84" w:rightChars="40"/>
        <w:rPr>
          <w:rFonts w:ascii="宋体" w:cs="宋体"/>
          <w:b/>
          <w:color w:val="auto"/>
          <w:szCs w:val="21"/>
          <w:highlight w:val="none"/>
        </w:rPr>
      </w:pPr>
      <w:r>
        <w:rPr>
          <w:rFonts w:hint="eastAsia" w:ascii="宋体" w:cs="宋体"/>
          <w:b/>
          <w:color w:val="auto"/>
          <w:szCs w:val="21"/>
          <w:highlight w:val="none"/>
        </w:rPr>
        <w:t>要求：</w:t>
      </w:r>
    </w:p>
    <w:p w14:paraId="29F6244D">
      <w:pPr>
        <w:pStyle w:val="23"/>
        <w:shd w:val="clear"/>
        <w:ind w:firstLine="0" w:firstLineChars="0"/>
        <w:rPr>
          <w:color w:val="auto"/>
          <w:highlight w:val="none"/>
        </w:rPr>
      </w:pPr>
    </w:p>
    <w:p w14:paraId="5F55B02F">
      <w:pPr>
        <w:shd w:val="clea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14:paraId="553D6622">
      <w:pPr>
        <w:shd w:val="clear"/>
        <w:spacing w:line="360" w:lineRule="auto"/>
        <w:ind w:left="420"/>
        <w:rPr>
          <w:rFonts w:ascii="宋体" w:hAnsi="宋体" w:cs="宋体"/>
          <w:color w:val="auto"/>
          <w:sz w:val="24"/>
          <w:highlight w:val="none"/>
        </w:rPr>
      </w:pPr>
    </w:p>
    <w:p w14:paraId="393E0963">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14:paraId="178C4B29">
      <w:pPr>
        <w:shd w:val="clear"/>
        <w:spacing w:line="360" w:lineRule="auto"/>
        <w:ind w:firstLine="435"/>
        <w:rPr>
          <w:rFonts w:ascii="宋体" w:hAnsi="宋体" w:cs="宋体"/>
          <w:color w:val="auto"/>
          <w:sz w:val="24"/>
          <w:highlight w:val="none"/>
        </w:rPr>
      </w:pPr>
    </w:p>
    <w:p w14:paraId="31AEB10C">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14:paraId="2E1D5FD9">
      <w:pPr>
        <w:shd w:val="clear"/>
        <w:rPr>
          <w:rFonts w:ascii="宋体" w:hAnsi="宋体" w:cs="宋体"/>
          <w:b/>
          <w:color w:val="auto"/>
          <w:sz w:val="28"/>
          <w:highlight w:val="none"/>
        </w:rPr>
      </w:pPr>
      <w:r>
        <w:rPr>
          <w:rFonts w:hint="eastAsia" w:ascii="宋体" w:hAnsi="宋体" w:cs="宋体"/>
          <w:b/>
          <w:color w:val="auto"/>
          <w:sz w:val="28"/>
          <w:highlight w:val="none"/>
        </w:rPr>
        <w:br w:type="page"/>
      </w:r>
    </w:p>
    <w:p w14:paraId="0EC3756F">
      <w:pPr>
        <w:pStyle w:val="69"/>
        <w:shd w:val="clear"/>
        <w:tabs>
          <w:tab w:val="left" w:pos="1050"/>
        </w:tabs>
        <w:spacing w:line="360" w:lineRule="auto"/>
        <w:rPr>
          <w:rFonts w:ascii="宋体" w:hAnsi="宋体" w:cs="Arial"/>
          <w:color w:val="auto"/>
          <w:sz w:val="28"/>
          <w:szCs w:val="28"/>
          <w:highlight w:val="none"/>
        </w:rPr>
      </w:pPr>
      <w:r>
        <w:rPr>
          <w:rFonts w:hint="eastAsia" w:ascii="宋体" w:hAnsi="宋体" w:cs="宋体"/>
          <w:b/>
          <w:color w:val="auto"/>
          <w:sz w:val="28"/>
          <w:highlight w:val="none"/>
        </w:rPr>
        <w:t>附件10</w:t>
      </w:r>
    </w:p>
    <w:p w14:paraId="2B119537">
      <w:pPr>
        <w:shd w:val="clear"/>
        <w:spacing w:line="360" w:lineRule="auto"/>
        <w:ind w:left="549" w:hanging="549" w:hangingChars="171"/>
        <w:jc w:val="center"/>
        <w:rPr>
          <w:rFonts w:ascii="宋体" w:hAnsi="宋体" w:cs="宋体"/>
          <w:b/>
          <w:color w:val="auto"/>
          <w:sz w:val="18"/>
          <w:szCs w:val="18"/>
          <w:highlight w:val="none"/>
        </w:rPr>
      </w:pPr>
      <w:r>
        <w:rPr>
          <w:rFonts w:hint="eastAsia" w:ascii="宋体" w:hAnsi="宋体" w:cs="宋体"/>
          <w:b/>
          <w:color w:val="auto"/>
          <w:sz w:val="32"/>
          <w:szCs w:val="32"/>
          <w:highlight w:val="none"/>
        </w:rPr>
        <w:t xml:space="preserve">资信及商务需求响应表 </w:t>
      </w:r>
    </w:p>
    <w:tbl>
      <w:tblPr>
        <w:tblStyle w:val="4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6F88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619B327C">
            <w:pPr>
              <w:keepNext w:val="0"/>
              <w:keepLines w:val="0"/>
              <w:suppressLineNumbers w:val="0"/>
              <w:shd w:val="clear"/>
              <w:spacing w:before="0" w:beforeAutospacing="0" w:after="0" w:afterAutospacing="0"/>
              <w:ind w:left="0" w:right="0"/>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4035A9DA">
            <w:pPr>
              <w:keepNext w:val="0"/>
              <w:keepLines w:val="0"/>
              <w:suppressLineNumbers w:val="0"/>
              <w:shd w:val="clear"/>
              <w:spacing w:before="0" w:beforeAutospacing="0" w:after="0" w:afterAutospacing="0"/>
              <w:ind w:left="0" w:right="0"/>
              <w:rPr>
                <w:rFonts w:hint="default"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vAlign w:val="center"/>
          </w:tcPr>
          <w:p w14:paraId="08380CD3">
            <w:pPr>
              <w:keepNext w:val="0"/>
              <w:keepLines w:val="0"/>
              <w:suppressLineNumbers w:val="0"/>
              <w:shd w:val="clear"/>
              <w:spacing w:before="0" w:beforeAutospacing="0" w:after="0" w:afterAutospacing="0"/>
              <w:ind w:left="53" w:leftChars="25" w:right="0" w:firstLine="241" w:firstLineChars="100"/>
              <w:rPr>
                <w:rFonts w:hint="default"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14:paraId="7735CB93">
            <w:pPr>
              <w:keepNext w:val="0"/>
              <w:keepLines w:val="0"/>
              <w:suppressLineNumbers w:val="0"/>
              <w:shd w:val="clear"/>
              <w:spacing w:before="0" w:beforeAutospacing="0" w:after="0" w:afterAutospacing="0"/>
              <w:ind w:left="152" w:right="0"/>
              <w:rPr>
                <w:rFonts w:hint="default"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14:paraId="2FA63CDC">
            <w:pPr>
              <w:keepNext w:val="0"/>
              <w:keepLines w:val="0"/>
              <w:suppressLineNumbers w:val="0"/>
              <w:shd w:val="clear"/>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投标人的承诺或说明</w:t>
            </w:r>
          </w:p>
        </w:tc>
      </w:tr>
      <w:tr w14:paraId="79F9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6D85365">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785" w:type="dxa"/>
          </w:tcPr>
          <w:p w14:paraId="79DCDA32">
            <w:pPr>
              <w:keepNext w:val="0"/>
              <w:keepLines w:val="0"/>
              <w:suppressLineNumbers w:val="0"/>
              <w:shd w:val="clear"/>
              <w:snapToGrid w:val="0"/>
              <w:spacing w:before="0" w:beforeAutospacing="0" w:after="0" w:afterAutospacing="0"/>
              <w:ind w:left="0" w:right="0"/>
              <w:rPr>
                <w:rFonts w:hint="default" w:ascii="宋体" w:cs="宋体"/>
                <w:color w:val="auto"/>
                <w:sz w:val="24"/>
                <w:highlight w:val="none"/>
              </w:rPr>
            </w:pPr>
            <w:r>
              <w:rPr>
                <w:rFonts w:hint="eastAsia" w:ascii="宋体" w:cs="宋体"/>
                <w:color w:val="auto"/>
                <w:sz w:val="24"/>
                <w:highlight w:val="none"/>
              </w:rPr>
              <w:t>服务期</w:t>
            </w:r>
          </w:p>
        </w:tc>
        <w:tc>
          <w:tcPr>
            <w:tcW w:w="1785" w:type="dxa"/>
            <w:vAlign w:val="center"/>
          </w:tcPr>
          <w:p w14:paraId="7B7E6EBE">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365" w:type="dxa"/>
            <w:vAlign w:val="center"/>
          </w:tcPr>
          <w:p w14:paraId="14F4BA3F">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2625" w:type="dxa"/>
            <w:vAlign w:val="center"/>
          </w:tcPr>
          <w:p w14:paraId="46E878BB">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r>
      <w:tr w14:paraId="7C16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4C55D54">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785" w:type="dxa"/>
          </w:tcPr>
          <w:p w14:paraId="3DF9374D">
            <w:pPr>
              <w:keepNext w:val="0"/>
              <w:keepLines w:val="0"/>
              <w:suppressLineNumbers w:val="0"/>
              <w:shd w:val="clear"/>
              <w:snapToGrid w:val="0"/>
              <w:spacing w:before="0" w:beforeAutospacing="0" w:after="0" w:afterAutospacing="0"/>
              <w:ind w:left="0" w:right="0"/>
              <w:rPr>
                <w:rFonts w:hint="default" w:ascii="宋体" w:cs="宋体"/>
                <w:color w:val="auto"/>
                <w:sz w:val="24"/>
                <w:highlight w:val="none"/>
              </w:rPr>
            </w:pPr>
            <w:r>
              <w:rPr>
                <w:rFonts w:hint="eastAsia" w:ascii="宋体" w:cs="宋体"/>
                <w:color w:val="auto"/>
                <w:sz w:val="24"/>
                <w:highlight w:val="none"/>
              </w:rPr>
              <w:t>付款方式</w:t>
            </w:r>
          </w:p>
        </w:tc>
        <w:tc>
          <w:tcPr>
            <w:tcW w:w="1785" w:type="dxa"/>
            <w:vAlign w:val="center"/>
          </w:tcPr>
          <w:p w14:paraId="738F4251">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365" w:type="dxa"/>
            <w:vAlign w:val="center"/>
          </w:tcPr>
          <w:p w14:paraId="13D3E5C5">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2625" w:type="dxa"/>
            <w:vAlign w:val="center"/>
          </w:tcPr>
          <w:p w14:paraId="7E78406E">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r>
      <w:tr w14:paraId="5CD2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C10F8F6">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785" w:type="dxa"/>
          </w:tcPr>
          <w:p w14:paraId="108771F0">
            <w:pPr>
              <w:keepNext w:val="0"/>
              <w:keepLines w:val="0"/>
              <w:suppressLineNumbers w:val="0"/>
              <w:shd w:val="clear"/>
              <w:snapToGrid w:val="0"/>
              <w:spacing w:before="0" w:beforeAutospacing="0" w:after="0" w:afterAutospacing="0"/>
              <w:ind w:left="0" w:right="0"/>
              <w:rPr>
                <w:rFonts w:hint="default" w:ascii="宋体" w:cs="宋体"/>
                <w:color w:val="auto"/>
                <w:sz w:val="24"/>
                <w:highlight w:val="none"/>
              </w:rPr>
            </w:pPr>
          </w:p>
        </w:tc>
        <w:tc>
          <w:tcPr>
            <w:tcW w:w="1785" w:type="dxa"/>
            <w:vAlign w:val="center"/>
          </w:tcPr>
          <w:p w14:paraId="27CC0E8E">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365" w:type="dxa"/>
            <w:vAlign w:val="center"/>
          </w:tcPr>
          <w:p w14:paraId="28CD9D62">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2625" w:type="dxa"/>
            <w:vAlign w:val="center"/>
          </w:tcPr>
          <w:p w14:paraId="1D9517F4">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r>
      <w:tr w14:paraId="342B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6FBC6FC">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785" w:type="dxa"/>
          </w:tcPr>
          <w:p w14:paraId="79BFEF76">
            <w:pPr>
              <w:keepNext w:val="0"/>
              <w:keepLines w:val="0"/>
              <w:suppressLineNumbers w:val="0"/>
              <w:shd w:val="clear"/>
              <w:snapToGrid w:val="0"/>
              <w:spacing w:before="0" w:beforeAutospacing="0" w:after="0" w:afterAutospacing="0"/>
              <w:ind w:left="0" w:right="0"/>
              <w:rPr>
                <w:rFonts w:hint="default" w:ascii="宋体" w:cs="宋体"/>
                <w:color w:val="auto"/>
                <w:sz w:val="24"/>
                <w:highlight w:val="none"/>
              </w:rPr>
            </w:pPr>
          </w:p>
        </w:tc>
        <w:tc>
          <w:tcPr>
            <w:tcW w:w="1785" w:type="dxa"/>
            <w:vAlign w:val="center"/>
          </w:tcPr>
          <w:p w14:paraId="5BB9C8A3">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365" w:type="dxa"/>
            <w:vAlign w:val="center"/>
          </w:tcPr>
          <w:p w14:paraId="17D41974">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2625" w:type="dxa"/>
            <w:vAlign w:val="center"/>
          </w:tcPr>
          <w:p w14:paraId="1CE10F3C">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r>
      <w:tr w14:paraId="19DB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348DABB7">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785" w:type="dxa"/>
          </w:tcPr>
          <w:p w14:paraId="6331EE8C">
            <w:pPr>
              <w:keepNext w:val="0"/>
              <w:keepLines w:val="0"/>
              <w:suppressLineNumbers w:val="0"/>
              <w:shd w:val="clear"/>
              <w:snapToGrid w:val="0"/>
              <w:spacing w:before="0" w:beforeAutospacing="0" w:after="0" w:afterAutospacing="0"/>
              <w:ind w:left="0" w:right="0"/>
              <w:rPr>
                <w:rFonts w:hint="default" w:ascii="宋体" w:cs="宋体"/>
                <w:color w:val="auto"/>
                <w:sz w:val="24"/>
                <w:highlight w:val="none"/>
              </w:rPr>
            </w:pPr>
          </w:p>
        </w:tc>
        <w:tc>
          <w:tcPr>
            <w:tcW w:w="1785" w:type="dxa"/>
            <w:vAlign w:val="center"/>
          </w:tcPr>
          <w:p w14:paraId="732945EB">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365" w:type="dxa"/>
            <w:vAlign w:val="center"/>
          </w:tcPr>
          <w:p w14:paraId="5917EA77">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2625" w:type="dxa"/>
            <w:vAlign w:val="center"/>
          </w:tcPr>
          <w:p w14:paraId="29CC525C">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r>
      <w:tr w14:paraId="1BAC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7CB419D9">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785" w:type="dxa"/>
          </w:tcPr>
          <w:p w14:paraId="0A872CE0">
            <w:pPr>
              <w:keepNext w:val="0"/>
              <w:keepLines w:val="0"/>
              <w:suppressLineNumbers w:val="0"/>
              <w:shd w:val="clear"/>
              <w:snapToGrid w:val="0"/>
              <w:spacing w:before="0" w:beforeAutospacing="0" w:after="0" w:afterAutospacing="0"/>
              <w:ind w:left="0" w:right="0"/>
              <w:rPr>
                <w:rFonts w:hint="default" w:ascii="宋体" w:cs="宋体"/>
                <w:color w:val="auto"/>
                <w:sz w:val="24"/>
                <w:highlight w:val="none"/>
              </w:rPr>
            </w:pPr>
          </w:p>
        </w:tc>
        <w:tc>
          <w:tcPr>
            <w:tcW w:w="1785" w:type="dxa"/>
            <w:vAlign w:val="center"/>
          </w:tcPr>
          <w:p w14:paraId="6F65155D">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365" w:type="dxa"/>
            <w:vAlign w:val="center"/>
          </w:tcPr>
          <w:p w14:paraId="03EC7E1A">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2625" w:type="dxa"/>
            <w:vAlign w:val="center"/>
          </w:tcPr>
          <w:p w14:paraId="5ADA3463">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r>
      <w:tr w14:paraId="6E27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D30C587">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785" w:type="dxa"/>
          </w:tcPr>
          <w:p w14:paraId="48DFD21B">
            <w:pPr>
              <w:keepNext w:val="0"/>
              <w:keepLines w:val="0"/>
              <w:suppressLineNumbers w:val="0"/>
              <w:shd w:val="clear"/>
              <w:snapToGrid w:val="0"/>
              <w:spacing w:before="0" w:beforeAutospacing="0" w:after="0" w:afterAutospacing="0"/>
              <w:ind w:left="0" w:right="0"/>
              <w:rPr>
                <w:rFonts w:hint="default" w:ascii="宋体" w:cs="宋体"/>
                <w:color w:val="auto"/>
                <w:sz w:val="24"/>
                <w:highlight w:val="none"/>
              </w:rPr>
            </w:pPr>
          </w:p>
        </w:tc>
        <w:tc>
          <w:tcPr>
            <w:tcW w:w="1785" w:type="dxa"/>
            <w:vAlign w:val="center"/>
          </w:tcPr>
          <w:p w14:paraId="2AE4447E">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365" w:type="dxa"/>
            <w:vAlign w:val="center"/>
          </w:tcPr>
          <w:p w14:paraId="73A57245">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2625" w:type="dxa"/>
            <w:vAlign w:val="center"/>
          </w:tcPr>
          <w:p w14:paraId="00281B4C">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r>
      <w:tr w14:paraId="4B4D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28C72BEA">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785" w:type="dxa"/>
          </w:tcPr>
          <w:p w14:paraId="33D5AF20">
            <w:pPr>
              <w:keepNext w:val="0"/>
              <w:keepLines w:val="0"/>
              <w:suppressLineNumbers w:val="0"/>
              <w:shd w:val="clear"/>
              <w:snapToGrid w:val="0"/>
              <w:spacing w:before="0" w:beforeAutospacing="0" w:after="0" w:afterAutospacing="0"/>
              <w:ind w:left="0" w:right="0"/>
              <w:rPr>
                <w:rFonts w:hint="default" w:ascii="宋体" w:cs="宋体"/>
                <w:color w:val="auto"/>
                <w:sz w:val="24"/>
                <w:highlight w:val="none"/>
              </w:rPr>
            </w:pPr>
          </w:p>
        </w:tc>
        <w:tc>
          <w:tcPr>
            <w:tcW w:w="1785" w:type="dxa"/>
            <w:vAlign w:val="center"/>
          </w:tcPr>
          <w:p w14:paraId="479D5485">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1365" w:type="dxa"/>
            <w:vAlign w:val="center"/>
          </w:tcPr>
          <w:p w14:paraId="0039FB6E">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c>
          <w:tcPr>
            <w:tcW w:w="2625" w:type="dxa"/>
            <w:vAlign w:val="center"/>
          </w:tcPr>
          <w:p w14:paraId="71C08C8D">
            <w:pPr>
              <w:keepNext w:val="0"/>
              <w:keepLines w:val="0"/>
              <w:suppressLineNumbers w:val="0"/>
              <w:shd w:val="clear"/>
              <w:spacing w:before="0" w:beforeAutospacing="0" w:after="0" w:afterAutospacing="0"/>
              <w:ind w:left="0" w:right="0"/>
              <w:rPr>
                <w:rFonts w:hint="default" w:ascii="宋体" w:hAnsi="宋体" w:cs="宋体"/>
                <w:color w:val="auto"/>
                <w:sz w:val="24"/>
                <w:highlight w:val="none"/>
              </w:rPr>
            </w:pPr>
          </w:p>
        </w:tc>
      </w:tr>
    </w:tbl>
    <w:p w14:paraId="28237A5B">
      <w:pPr>
        <w:shd w:val="clear"/>
        <w:spacing w:line="360" w:lineRule="auto"/>
        <w:rPr>
          <w:rFonts w:ascii="宋体" w:hAnsi="宋体" w:cs="宋体"/>
          <w:color w:val="auto"/>
          <w:sz w:val="24"/>
          <w:highlight w:val="none"/>
        </w:rPr>
      </w:pPr>
    </w:p>
    <w:p w14:paraId="7CAF9399">
      <w:pPr>
        <w:shd w:val="clea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14:paraId="4D0977ED">
      <w:pPr>
        <w:shd w:val="clear"/>
        <w:spacing w:line="360" w:lineRule="auto"/>
        <w:ind w:left="420"/>
        <w:rPr>
          <w:rFonts w:ascii="宋体" w:hAnsi="宋体" w:cs="宋体"/>
          <w:color w:val="auto"/>
          <w:sz w:val="24"/>
          <w:highlight w:val="none"/>
        </w:rPr>
      </w:pPr>
    </w:p>
    <w:p w14:paraId="3559A9AC">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14:paraId="04B7D56D">
      <w:pPr>
        <w:shd w:val="clear"/>
        <w:spacing w:line="360" w:lineRule="auto"/>
        <w:ind w:firstLine="435"/>
        <w:rPr>
          <w:rFonts w:ascii="宋体" w:hAnsi="宋体" w:cs="宋体"/>
          <w:color w:val="auto"/>
          <w:sz w:val="24"/>
          <w:highlight w:val="none"/>
        </w:rPr>
      </w:pPr>
    </w:p>
    <w:p w14:paraId="67297803">
      <w:pPr>
        <w:shd w:val="clear"/>
        <w:spacing w:line="360" w:lineRule="auto"/>
        <w:ind w:firstLine="435"/>
        <w:rPr>
          <w:rFonts w:ascii="宋体" w:hAnsi="宋体" w:cs="宋体"/>
          <w:color w:val="auto"/>
          <w:sz w:val="24"/>
          <w:highlight w:val="none"/>
          <w:u w:val="single"/>
        </w:rPr>
      </w:pPr>
      <w:r>
        <w:rPr>
          <w:rFonts w:hint="eastAsia" w:ascii="宋体" w:hAnsi="宋体" w:cs="宋体"/>
          <w:color w:val="auto"/>
          <w:sz w:val="24"/>
          <w:highlight w:val="none"/>
        </w:rPr>
        <w:t>日        期：</w:t>
      </w:r>
    </w:p>
    <w:p w14:paraId="46EFFB75">
      <w:pPr>
        <w:shd w:val="clear"/>
        <w:rPr>
          <w:rFonts w:ascii="宋体" w:hAnsi="宋体" w:cs="宋体"/>
          <w:b/>
          <w:color w:val="auto"/>
          <w:sz w:val="28"/>
          <w:highlight w:val="none"/>
        </w:rPr>
      </w:pPr>
      <w:r>
        <w:rPr>
          <w:rFonts w:hint="eastAsia" w:ascii="宋体" w:hAnsi="宋体" w:cs="宋体"/>
          <w:b/>
          <w:color w:val="auto"/>
          <w:sz w:val="28"/>
          <w:highlight w:val="none"/>
        </w:rPr>
        <w:br w:type="page"/>
      </w:r>
    </w:p>
    <w:p w14:paraId="162678BA">
      <w:pPr>
        <w:shd w:val="clear"/>
        <w:spacing w:line="360" w:lineRule="auto"/>
        <w:rPr>
          <w:rFonts w:ascii="宋体" w:hAnsi="宋体"/>
          <w:b/>
          <w:color w:val="auto"/>
          <w:sz w:val="28"/>
          <w:highlight w:val="none"/>
        </w:rPr>
      </w:pPr>
      <w:r>
        <w:rPr>
          <w:rFonts w:hint="eastAsia" w:ascii="宋体" w:hAnsi="宋体"/>
          <w:b/>
          <w:color w:val="auto"/>
          <w:sz w:val="28"/>
          <w:highlight w:val="none"/>
        </w:rPr>
        <w:t>附件11</w:t>
      </w:r>
    </w:p>
    <w:p w14:paraId="052552FB">
      <w:pPr>
        <w:shd w:val="clear"/>
        <w:snapToGrid w:val="0"/>
        <w:spacing w:beforeLines="50" w:after="50" w:line="360" w:lineRule="auto"/>
        <w:jc w:val="center"/>
        <w:rPr>
          <w:rFonts w:ascii="宋体" w:hAnsi="宋体"/>
          <w:b/>
          <w:color w:val="auto"/>
          <w:sz w:val="36"/>
          <w:szCs w:val="36"/>
          <w:highlight w:val="none"/>
        </w:rPr>
      </w:pPr>
      <w:r>
        <w:rPr>
          <w:rFonts w:hint="eastAsia" w:ascii="宋体" w:hAnsi="宋体"/>
          <w:b/>
          <w:color w:val="auto"/>
          <w:sz w:val="32"/>
          <w:szCs w:val="32"/>
          <w:highlight w:val="none"/>
        </w:rPr>
        <w:t>项目实施人员一览表</w:t>
      </w:r>
    </w:p>
    <w:p w14:paraId="7B2A8743">
      <w:pPr>
        <w:shd w:val="clear"/>
        <w:snapToGrid w:val="0"/>
        <w:spacing w:beforeLines="50" w:after="50"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46"/>
        <w:tblW w:w="86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3"/>
        <w:gridCol w:w="591"/>
        <w:gridCol w:w="1097"/>
        <w:gridCol w:w="867"/>
        <w:gridCol w:w="1649"/>
        <w:gridCol w:w="1135"/>
        <w:gridCol w:w="1390"/>
        <w:gridCol w:w="1390"/>
      </w:tblGrid>
      <w:tr w14:paraId="6B2F2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noWrap/>
            <w:vAlign w:val="center"/>
          </w:tcPr>
          <w:p w14:paraId="60ADFBA6">
            <w:pPr>
              <w:keepNext w:val="0"/>
              <w:keepLines w:val="0"/>
              <w:suppressLineNumbers w:val="0"/>
              <w:shd w:val="clear"/>
              <w:snapToGrid w:val="0"/>
              <w:spacing w:before="0" w:beforeLines="50" w:beforeAutospacing="0" w:after="50" w:afterAutospacing="0" w:line="360" w:lineRule="auto"/>
              <w:ind w:left="-105" w:leftChars="-50" w:right="-105" w:rightChars="-50"/>
              <w:jc w:val="center"/>
              <w:rPr>
                <w:rFonts w:hint="default" w:ascii="宋体" w:hAnsi="宋体"/>
                <w:b/>
                <w:color w:val="auto"/>
                <w:szCs w:val="21"/>
                <w:highlight w:val="none"/>
              </w:rPr>
            </w:pPr>
            <w:r>
              <w:rPr>
                <w:rFonts w:hint="eastAsia" w:ascii="宋体" w:hAnsi="宋体"/>
                <w:b/>
                <w:color w:val="auto"/>
                <w:szCs w:val="21"/>
                <w:highlight w:val="none"/>
              </w:rPr>
              <w:t>序号</w:t>
            </w:r>
          </w:p>
        </w:tc>
        <w:tc>
          <w:tcPr>
            <w:tcW w:w="591" w:type="dxa"/>
            <w:tcBorders>
              <w:top w:val="single" w:color="auto" w:sz="4" w:space="0"/>
              <w:left w:val="single" w:color="auto" w:sz="4" w:space="0"/>
              <w:bottom w:val="single" w:color="auto" w:sz="4" w:space="0"/>
              <w:right w:val="single" w:color="auto" w:sz="4" w:space="0"/>
            </w:tcBorders>
            <w:noWrap/>
            <w:vAlign w:val="center"/>
          </w:tcPr>
          <w:p w14:paraId="3A88C8A0">
            <w:pPr>
              <w:keepNext w:val="0"/>
              <w:keepLines w:val="0"/>
              <w:suppressLineNumbers w:val="0"/>
              <w:shd w:val="clear"/>
              <w:snapToGrid w:val="0"/>
              <w:spacing w:before="0" w:beforeLines="50" w:beforeAutospacing="0" w:after="50" w:afterAutospacing="0" w:line="360" w:lineRule="auto"/>
              <w:ind w:left="-105" w:leftChars="-50" w:right="-105" w:rightChars="-50"/>
              <w:jc w:val="center"/>
              <w:rPr>
                <w:rFonts w:hint="default" w:ascii="宋体" w:hAnsi="宋体"/>
                <w:b/>
                <w:color w:val="auto"/>
                <w:szCs w:val="21"/>
                <w:highlight w:val="none"/>
              </w:rPr>
            </w:pPr>
            <w:r>
              <w:rPr>
                <w:rFonts w:hint="eastAsia" w:ascii="宋体" w:hAnsi="宋体"/>
                <w:b/>
                <w:color w:val="auto"/>
                <w:szCs w:val="21"/>
                <w:highlight w:val="none"/>
              </w:rPr>
              <w:t>姓名</w:t>
            </w:r>
          </w:p>
        </w:tc>
        <w:tc>
          <w:tcPr>
            <w:tcW w:w="1097" w:type="dxa"/>
            <w:tcBorders>
              <w:top w:val="single" w:color="auto" w:sz="4" w:space="0"/>
              <w:left w:val="single" w:color="auto" w:sz="4" w:space="0"/>
              <w:bottom w:val="single" w:color="auto" w:sz="4" w:space="0"/>
              <w:right w:val="single" w:color="auto" w:sz="4" w:space="0"/>
            </w:tcBorders>
            <w:noWrap/>
            <w:vAlign w:val="center"/>
          </w:tcPr>
          <w:p w14:paraId="477087C5">
            <w:pPr>
              <w:keepNext w:val="0"/>
              <w:keepLines w:val="0"/>
              <w:suppressLineNumbers w:val="0"/>
              <w:shd w:val="clear"/>
              <w:snapToGrid w:val="0"/>
              <w:spacing w:before="0" w:beforeLines="50" w:beforeAutospacing="0" w:after="50" w:afterAutospacing="0" w:line="360" w:lineRule="auto"/>
              <w:ind w:left="-105" w:leftChars="-50" w:right="-105" w:rightChars="-50"/>
              <w:jc w:val="center"/>
              <w:rPr>
                <w:rFonts w:hint="default" w:ascii="宋体" w:hAnsi="宋体"/>
                <w:b/>
                <w:color w:val="auto"/>
                <w:szCs w:val="21"/>
                <w:highlight w:val="none"/>
              </w:rPr>
            </w:pPr>
            <w:r>
              <w:rPr>
                <w:rFonts w:hint="eastAsia" w:ascii="宋体" w:hAnsi="宋体"/>
                <w:b/>
                <w:color w:val="auto"/>
                <w:szCs w:val="21"/>
                <w:highlight w:val="none"/>
              </w:rPr>
              <w:t>职务</w:t>
            </w:r>
          </w:p>
        </w:tc>
        <w:tc>
          <w:tcPr>
            <w:tcW w:w="867" w:type="dxa"/>
            <w:tcBorders>
              <w:top w:val="single" w:color="auto" w:sz="4" w:space="0"/>
              <w:left w:val="single" w:color="auto" w:sz="4" w:space="0"/>
              <w:bottom w:val="single" w:color="auto" w:sz="4" w:space="0"/>
              <w:right w:val="single" w:color="auto" w:sz="4" w:space="0"/>
            </w:tcBorders>
            <w:noWrap/>
            <w:vAlign w:val="center"/>
          </w:tcPr>
          <w:p w14:paraId="4282D192">
            <w:pPr>
              <w:keepNext w:val="0"/>
              <w:keepLines w:val="0"/>
              <w:suppressLineNumbers w:val="0"/>
              <w:shd w:val="clear"/>
              <w:snapToGrid w:val="0"/>
              <w:spacing w:before="0" w:beforeLines="50" w:beforeAutospacing="0" w:after="50" w:afterAutospacing="0" w:line="360" w:lineRule="auto"/>
              <w:ind w:left="-105" w:leftChars="-50" w:right="-105" w:rightChars="-50"/>
              <w:jc w:val="center"/>
              <w:rPr>
                <w:rFonts w:hint="default" w:ascii="宋体" w:hAnsi="宋体"/>
                <w:b/>
                <w:color w:val="auto"/>
                <w:szCs w:val="21"/>
                <w:highlight w:val="none"/>
              </w:rPr>
            </w:pPr>
            <w:r>
              <w:rPr>
                <w:rFonts w:hint="eastAsia" w:ascii="宋体" w:hAnsi="宋体"/>
                <w:b/>
                <w:color w:val="auto"/>
                <w:szCs w:val="21"/>
                <w:highlight w:val="none"/>
              </w:rPr>
              <w:t>职责</w:t>
            </w:r>
          </w:p>
        </w:tc>
        <w:tc>
          <w:tcPr>
            <w:tcW w:w="1649" w:type="dxa"/>
            <w:tcBorders>
              <w:top w:val="single" w:color="auto" w:sz="4" w:space="0"/>
              <w:left w:val="single" w:color="auto" w:sz="4" w:space="0"/>
              <w:bottom w:val="single" w:color="auto" w:sz="4" w:space="0"/>
              <w:right w:val="single" w:color="auto" w:sz="4" w:space="0"/>
            </w:tcBorders>
            <w:noWrap/>
            <w:vAlign w:val="center"/>
          </w:tcPr>
          <w:p w14:paraId="2073A44C">
            <w:pPr>
              <w:keepNext w:val="0"/>
              <w:keepLines w:val="0"/>
              <w:suppressLineNumbers w:val="0"/>
              <w:shd w:val="clear"/>
              <w:snapToGrid w:val="0"/>
              <w:spacing w:before="0" w:beforeLines="50" w:beforeAutospacing="0" w:after="50" w:afterAutospacing="0" w:line="360" w:lineRule="auto"/>
              <w:ind w:left="-105" w:leftChars="-50" w:right="-105" w:rightChars="-50"/>
              <w:jc w:val="center"/>
              <w:rPr>
                <w:rFonts w:hint="default" w:ascii="宋体" w:hAnsi="宋体"/>
                <w:b/>
                <w:color w:val="auto"/>
                <w:szCs w:val="21"/>
                <w:highlight w:val="none"/>
              </w:rPr>
            </w:pPr>
            <w:r>
              <w:rPr>
                <w:rFonts w:hint="eastAsia" w:ascii="宋体" w:hAnsi="宋体"/>
                <w:b/>
                <w:color w:val="auto"/>
                <w:szCs w:val="21"/>
                <w:highlight w:val="none"/>
              </w:rPr>
              <w:t>专业技术资格</w:t>
            </w:r>
          </w:p>
        </w:tc>
        <w:tc>
          <w:tcPr>
            <w:tcW w:w="1135" w:type="dxa"/>
            <w:tcBorders>
              <w:top w:val="single" w:color="auto" w:sz="4" w:space="0"/>
              <w:left w:val="single" w:color="auto" w:sz="4" w:space="0"/>
              <w:bottom w:val="single" w:color="auto" w:sz="4" w:space="0"/>
              <w:right w:val="single" w:color="auto" w:sz="4" w:space="0"/>
            </w:tcBorders>
            <w:noWrap/>
            <w:vAlign w:val="center"/>
          </w:tcPr>
          <w:p w14:paraId="7DA0E12C">
            <w:pPr>
              <w:keepNext w:val="0"/>
              <w:keepLines w:val="0"/>
              <w:suppressLineNumbers w:val="0"/>
              <w:shd w:val="clear"/>
              <w:snapToGrid w:val="0"/>
              <w:spacing w:before="0" w:beforeLines="50" w:beforeAutospacing="0" w:after="50" w:afterAutospacing="0" w:line="360" w:lineRule="auto"/>
              <w:ind w:left="-105" w:leftChars="-50" w:right="-105" w:rightChars="-50"/>
              <w:jc w:val="center"/>
              <w:rPr>
                <w:rFonts w:hint="default" w:ascii="宋体" w:hAnsi="宋体"/>
                <w:b/>
                <w:color w:val="auto"/>
                <w:szCs w:val="21"/>
                <w:highlight w:val="none"/>
              </w:rPr>
            </w:pPr>
            <w:r>
              <w:rPr>
                <w:rFonts w:hint="eastAsia" w:ascii="宋体" w:hAnsi="宋体"/>
                <w:b/>
                <w:color w:val="auto"/>
                <w:szCs w:val="21"/>
                <w:highlight w:val="none"/>
              </w:rPr>
              <w:t>证书编号</w:t>
            </w:r>
          </w:p>
        </w:tc>
        <w:tc>
          <w:tcPr>
            <w:tcW w:w="1390" w:type="dxa"/>
            <w:tcBorders>
              <w:top w:val="single" w:color="auto" w:sz="4" w:space="0"/>
              <w:left w:val="single" w:color="auto" w:sz="4" w:space="0"/>
              <w:bottom w:val="single" w:color="auto" w:sz="4" w:space="0"/>
              <w:right w:val="single" w:color="auto" w:sz="4" w:space="0"/>
            </w:tcBorders>
            <w:noWrap/>
            <w:vAlign w:val="center"/>
          </w:tcPr>
          <w:p w14:paraId="6EB3F389">
            <w:pPr>
              <w:keepNext w:val="0"/>
              <w:keepLines w:val="0"/>
              <w:suppressLineNumbers w:val="0"/>
              <w:shd w:val="clear"/>
              <w:snapToGrid w:val="0"/>
              <w:spacing w:before="0" w:beforeLines="50" w:beforeAutospacing="0" w:after="50" w:afterAutospacing="0" w:line="360" w:lineRule="auto"/>
              <w:ind w:left="-105" w:leftChars="-50" w:right="-105" w:rightChars="-50"/>
              <w:jc w:val="center"/>
              <w:rPr>
                <w:rFonts w:hint="default" w:ascii="宋体" w:hAnsi="宋体"/>
                <w:b/>
                <w:color w:val="auto"/>
                <w:szCs w:val="21"/>
                <w:highlight w:val="none"/>
              </w:rPr>
            </w:pPr>
            <w:r>
              <w:rPr>
                <w:rFonts w:hint="default" w:ascii="宋体" w:hAnsi="宋体"/>
                <w:b/>
                <w:color w:val="auto"/>
                <w:szCs w:val="21"/>
                <w:highlight w:val="none"/>
              </w:rPr>
              <w:t>荣誉</w:t>
            </w:r>
          </w:p>
        </w:tc>
        <w:tc>
          <w:tcPr>
            <w:tcW w:w="1390" w:type="dxa"/>
            <w:tcBorders>
              <w:top w:val="single" w:color="auto" w:sz="4" w:space="0"/>
              <w:left w:val="single" w:color="auto" w:sz="4" w:space="0"/>
              <w:bottom w:val="single" w:color="auto" w:sz="4" w:space="0"/>
              <w:right w:val="single" w:color="auto" w:sz="4" w:space="0"/>
            </w:tcBorders>
            <w:noWrap/>
            <w:vAlign w:val="center"/>
          </w:tcPr>
          <w:p w14:paraId="6516D0C6">
            <w:pPr>
              <w:keepNext w:val="0"/>
              <w:keepLines w:val="0"/>
              <w:suppressLineNumbers w:val="0"/>
              <w:shd w:val="clear"/>
              <w:snapToGrid w:val="0"/>
              <w:spacing w:before="0" w:beforeLines="50" w:beforeAutospacing="0" w:after="50" w:afterAutospacing="0" w:line="360" w:lineRule="auto"/>
              <w:ind w:left="-105" w:leftChars="-50" w:right="-105" w:rightChars="-50"/>
              <w:jc w:val="center"/>
              <w:rPr>
                <w:rFonts w:hint="default" w:ascii="宋体" w:hAnsi="宋体"/>
                <w:b/>
                <w:color w:val="auto"/>
                <w:szCs w:val="21"/>
                <w:highlight w:val="none"/>
              </w:rPr>
            </w:pPr>
            <w:r>
              <w:rPr>
                <w:rFonts w:hint="default" w:ascii="宋体" w:hAnsi="宋体"/>
                <w:b/>
                <w:color w:val="auto"/>
                <w:szCs w:val="21"/>
                <w:highlight w:val="none"/>
              </w:rPr>
              <w:t>本专业工作年限</w:t>
            </w:r>
          </w:p>
        </w:tc>
      </w:tr>
      <w:tr w14:paraId="0D3FE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noWrap/>
          </w:tcPr>
          <w:p w14:paraId="240A0943">
            <w:pPr>
              <w:keepNext w:val="0"/>
              <w:keepLines w:val="0"/>
              <w:suppressLineNumbers w:val="0"/>
              <w:shd w:val="clear"/>
              <w:snapToGrid w:val="0"/>
              <w:spacing w:before="0" w:beforeLines="50" w:beforeAutospacing="0" w:after="50" w:afterAutospacing="0" w:line="360" w:lineRule="auto"/>
              <w:ind w:left="0" w:right="0"/>
              <w:rPr>
                <w:rFonts w:hint="default"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noWrap/>
          </w:tcPr>
          <w:p w14:paraId="6FB197F8">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noWrap/>
          </w:tcPr>
          <w:p w14:paraId="786AA8FD">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noWrap/>
          </w:tcPr>
          <w:p w14:paraId="37287934">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noWrap/>
          </w:tcPr>
          <w:p w14:paraId="15CB4884">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09A69F8A">
            <w:pPr>
              <w:keepNext w:val="0"/>
              <w:keepLines w:val="0"/>
              <w:suppressLineNumbers w:val="0"/>
              <w:shd w:val="clear"/>
              <w:snapToGrid w:val="0"/>
              <w:spacing w:before="0" w:beforeLines="50" w:beforeAutospacing="0" w:after="50" w:afterAutospacing="0" w:line="360" w:lineRule="auto"/>
              <w:ind w:left="0" w:right="0"/>
              <w:jc w:val="center"/>
              <w:rPr>
                <w:rFonts w:hint="default"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noWrap/>
          </w:tcPr>
          <w:p w14:paraId="3ED45404">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14:paraId="6C0D5897">
            <w:pPr>
              <w:keepNext w:val="0"/>
              <w:keepLines w:val="0"/>
              <w:suppressLineNumbers w:val="0"/>
              <w:shd w:val="clear"/>
              <w:snapToGrid w:val="0"/>
              <w:spacing w:before="0" w:beforeLines="50" w:beforeAutospacing="0" w:after="50" w:afterAutospacing="0" w:line="360" w:lineRule="auto"/>
              <w:ind w:left="0" w:right="0"/>
              <w:jc w:val="center"/>
              <w:rPr>
                <w:rFonts w:hint="default" w:ascii="宋体" w:hAnsi="宋体"/>
                <w:b/>
                <w:color w:val="auto"/>
                <w:kern w:val="44"/>
                <w:sz w:val="24"/>
                <w:szCs w:val="20"/>
                <w:highlight w:val="none"/>
              </w:rPr>
            </w:pPr>
          </w:p>
        </w:tc>
      </w:tr>
      <w:tr w14:paraId="1EBB0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noWrap/>
          </w:tcPr>
          <w:p w14:paraId="523817D4">
            <w:pPr>
              <w:keepNext w:val="0"/>
              <w:keepLines w:val="0"/>
              <w:suppressLineNumbers w:val="0"/>
              <w:shd w:val="clear"/>
              <w:snapToGrid w:val="0"/>
              <w:spacing w:before="0" w:beforeLines="50" w:beforeAutospacing="0" w:after="50" w:afterAutospacing="0" w:line="360" w:lineRule="auto"/>
              <w:ind w:left="0" w:right="0"/>
              <w:rPr>
                <w:rFonts w:hint="default"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noWrap/>
          </w:tcPr>
          <w:p w14:paraId="16B9717D">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noWrap/>
          </w:tcPr>
          <w:p w14:paraId="702CD7F4">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noWrap/>
          </w:tcPr>
          <w:p w14:paraId="5DDE4B4A">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noWrap/>
          </w:tcPr>
          <w:p w14:paraId="5864AB61">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3552C6F">
            <w:pPr>
              <w:keepNext w:val="0"/>
              <w:keepLines w:val="0"/>
              <w:suppressLineNumbers w:val="0"/>
              <w:shd w:val="clear"/>
              <w:snapToGrid w:val="0"/>
              <w:spacing w:before="0" w:beforeLines="50" w:beforeAutospacing="0" w:after="50" w:afterAutospacing="0" w:line="360" w:lineRule="auto"/>
              <w:ind w:left="0" w:right="0"/>
              <w:jc w:val="center"/>
              <w:rPr>
                <w:rFonts w:hint="default"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noWrap/>
          </w:tcPr>
          <w:p w14:paraId="2CF90681">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14:paraId="0CA930AF">
            <w:pPr>
              <w:keepNext w:val="0"/>
              <w:keepLines w:val="0"/>
              <w:suppressLineNumbers w:val="0"/>
              <w:shd w:val="clear"/>
              <w:snapToGrid w:val="0"/>
              <w:spacing w:before="0" w:beforeLines="50" w:beforeAutospacing="0" w:after="50" w:afterAutospacing="0" w:line="360" w:lineRule="auto"/>
              <w:ind w:left="0" w:right="0"/>
              <w:jc w:val="center"/>
              <w:rPr>
                <w:rFonts w:hint="default" w:ascii="宋体" w:hAnsi="宋体"/>
                <w:b/>
                <w:color w:val="auto"/>
                <w:kern w:val="44"/>
                <w:sz w:val="24"/>
                <w:szCs w:val="20"/>
                <w:highlight w:val="none"/>
              </w:rPr>
            </w:pPr>
          </w:p>
        </w:tc>
      </w:tr>
      <w:tr w14:paraId="56B04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noWrap/>
          </w:tcPr>
          <w:p w14:paraId="5CAD0124">
            <w:pPr>
              <w:keepNext w:val="0"/>
              <w:keepLines w:val="0"/>
              <w:suppressLineNumbers w:val="0"/>
              <w:shd w:val="clear"/>
              <w:snapToGrid w:val="0"/>
              <w:spacing w:before="0" w:beforeLines="50" w:beforeAutospacing="0" w:after="50" w:afterAutospacing="0" w:line="360" w:lineRule="auto"/>
              <w:ind w:left="0" w:right="0"/>
              <w:rPr>
                <w:rFonts w:hint="default"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noWrap/>
          </w:tcPr>
          <w:p w14:paraId="03E7451B">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noWrap/>
          </w:tcPr>
          <w:p w14:paraId="49B27D3B">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noWrap/>
          </w:tcPr>
          <w:p w14:paraId="7AABDE15">
            <w:pPr>
              <w:pStyle w:val="29"/>
              <w:keepNext w:val="0"/>
              <w:keepLines w:val="0"/>
              <w:suppressLineNumbers w:val="0"/>
              <w:shd w:val="clear"/>
              <w:snapToGrid w:val="0"/>
              <w:spacing w:before="0" w:beforeLines="50" w:beforeAutospacing="0" w:after="50" w:afterAutospacing="0" w:line="360" w:lineRule="auto"/>
              <w:ind w:left="5250" w:right="0"/>
              <w:rPr>
                <w:rFonts w:hint="default" w:ascii="宋体" w:hAnsi="宋体" w:eastAsia="宋体"/>
                <w:b/>
                <w:color w:val="auto"/>
                <w:kern w:val="44"/>
                <w:sz w:val="24"/>
                <w:szCs w:val="24"/>
                <w:highlight w:val="none"/>
              </w:rPr>
            </w:pPr>
          </w:p>
        </w:tc>
        <w:tc>
          <w:tcPr>
            <w:tcW w:w="1649" w:type="dxa"/>
            <w:tcBorders>
              <w:top w:val="single" w:color="auto" w:sz="4" w:space="0"/>
              <w:left w:val="single" w:color="auto" w:sz="4" w:space="0"/>
              <w:bottom w:val="single" w:color="auto" w:sz="4" w:space="0"/>
              <w:right w:val="single" w:color="auto" w:sz="4" w:space="0"/>
            </w:tcBorders>
            <w:noWrap/>
          </w:tcPr>
          <w:p w14:paraId="603AAAB4">
            <w:pPr>
              <w:pStyle w:val="29"/>
              <w:keepNext w:val="0"/>
              <w:keepLines w:val="0"/>
              <w:suppressLineNumbers w:val="0"/>
              <w:shd w:val="clear"/>
              <w:snapToGrid w:val="0"/>
              <w:spacing w:before="0" w:beforeLines="50" w:beforeAutospacing="0" w:after="50" w:afterAutospacing="0" w:line="360" w:lineRule="auto"/>
              <w:ind w:left="5250" w:right="0"/>
              <w:rPr>
                <w:rFonts w:hint="default" w:ascii="宋体" w:hAnsi="宋体" w:eastAsia="宋体"/>
                <w:b/>
                <w:color w:val="auto"/>
                <w:kern w:val="44"/>
                <w:sz w:val="24"/>
                <w:szCs w:val="24"/>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42ED650D">
            <w:pPr>
              <w:pStyle w:val="29"/>
              <w:keepNext w:val="0"/>
              <w:keepLines w:val="0"/>
              <w:suppressLineNumbers w:val="0"/>
              <w:shd w:val="clear"/>
              <w:spacing w:before="0" w:beforeAutospacing="0" w:after="0" w:afterAutospacing="0" w:line="360" w:lineRule="auto"/>
              <w:ind w:left="5250" w:right="0"/>
              <w:jc w:val="center"/>
              <w:rPr>
                <w:rFonts w:hint="default" w:ascii="宋体" w:hAnsi="宋体"/>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noWrap/>
          </w:tcPr>
          <w:p w14:paraId="6ECD4823">
            <w:pPr>
              <w:pStyle w:val="29"/>
              <w:keepNext w:val="0"/>
              <w:keepLines w:val="0"/>
              <w:suppressLineNumbers w:val="0"/>
              <w:shd w:val="clear"/>
              <w:spacing w:before="0" w:beforeAutospacing="0" w:after="0" w:afterAutospacing="0" w:line="360" w:lineRule="auto"/>
              <w:ind w:left="5250" w:right="0"/>
              <w:rPr>
                <w:rFonts w:hint="default" w:ascii="宋体" w:hAnsi="宋体"/>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14:paraId="5E8A98CB">
            <w:pPr>
              <w:pStyle w:val="29"/>
              <w:keepNext w:val="0"/>
              <w:keepLines w:val="0"/>
              <w:suppressLineNumbers w:val="0"/>
              <w:shd w:val="clear"/>
              <w:spacing w:before="0" w:beforeAutospacing="0" w:after="0" w:afterAutospacing="0" w:line="360" w:lineRule="auto"/>
              <w:ind w:left="5250" w:right="0"/>
              <w:jc w:val="center"/>
              <w:rPr>
                <w:rFonts w:hint="default" w:ascii="宋体" w:hAnsi="宋体"/>
                <w:color w:val="auto"/>
                <w:sz w:val="24"/>
                <w:highlight w:val="none"/>
              </w:rPr>
            </w:pPr>
          </w:p>
        </w:tc>
      </w:tr>
      <w:tr w14:paraId="27186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noWrap/>
          </w:tcPr>
          <w:p w14:paraId="30695F88">
            <w:pPr>
              <w:keepNext w:val="0"/>
              <w:keepLines w:val="0"/>
              <w:suppressLineNumbers w:val="0"/>
              <w:shd w:val="clear"/>
              <w:snapToGrid w:val="0"/>
              <w:spacing w:before="0" w:beforeLines="50" w:beforeAutospacing="0" w:after="50" w:afterAutospacing="0" w:line="360" w:lineRule="auto"/>
              <w:ind w:left="0" w:right="0"/>
              <w:rPr>
                <w:rFonts w:hint="default"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noWrap/>
          </w:tcPr>
          <w:p w14:paraId="275CF28F">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noWrap/>
          </w:tcPr>
          <w:p w14:paraId="16A007A4">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noWrap/>
          </w:tcPr>
          <w:p w14:paraId="3F764BD0">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noWrap/>
          </w:tcPr>
          <w:p w14:paraId="1E12721E">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2A1824C">
            <w:pPr>
              <w:keepNext w:val="0"/>
              <w:keepLines w:val="0"/>
              <w:suppressLineNumbers w:val="0"/>
              <w:shd w:val="clear"/>
              <w:snapToGrid w:val="0"/>
              <w:spacing w:before="0" w:beforeLines="50" w:beforeAutospacing="0" w:after="50" w:afterAutospacing="0" w:line="360" w:lineRule="auto"/>
              <w:ind w:left="0" w:right="0"/>
              <w:jc w:val="center"/>
              <w:rPr>
                <w:rFonts w:hint="default"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noWrap/>
          </w:tcPr>
          <w:p w14:paraId="2CD5A097">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14:paraId="5222626A">
            <w:pPr>
              <w:keepNext w:val="0"/>
              <w:keepLines w:val="0"/>
              <w:suppressLineNumbers w:val="0"/>
              <w:shd w:val="clear"/>
              <w:snapToGrid w:val="0"/>
              <w:spacing w:before="0" w:beforeLines="50" w:beforeAutospacing="0" w:after="50" w:afterAutospacing="0" w:line="360" w:lineRule="auto"/>
              <w:ind w:left="0" w:right="0"/>
              <w:jc w:val="center"/>
              <w:rPr>
                <w:rFonts w:hint="default" w:ascii="宋体" w:hAnsi="宋体"/>
                <w:b/>
                <w:color w:val="auto"/>
                <w:kern w:val="44"/>
                <w:sz w:val="24"/>
                <w:szCs w:val="20"/>
                <w:highlight w:val="none"/>
              </w:rPr>
            </w:pPr>
          </w:p>
        </w:tc>
      </w:tr>
      <w:tr w14:paraId="7CF54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noWrap/>
          </w:tcPr>
          <w:p w14:paraId="015B15B5">
            <w:pPr>
              <w:keepNext w:val="0"/>
              <w:keepLines w:val="0"/>
              <w:suppressLineNumbers w:val="0"/>
              <w:shd w:val="clear"/>
              <w:snapToGrid w:val="0"/>
              <w:spacing w:before="0" w:beforeLines="50" w:beforeAutospacing="0" w:after="50" w:afterAutospacing="0" w:line="360" w:lineRule="auto"/>
              <w:ind w:left="0" w:right="0"/>
              <w:rPr>
                <w:rFonts w:hint="default"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noWrap/>
          </w:tcPr>
          <w:p w14:paraId="223A152B">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noWrap/>
          </w:tcPr>
          <w:p w14:paraId="434EB2C8">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noWrap/>
          </w:tcPr>
          <w:p w14:paraId="1A9EB568">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noWrap/>
          </w:tcPr>
          <w:p w14:paraId="4A132675">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46DD94AD">
            <w:pPr>
              <w:keepNext w:val="0"/>
              <w:keepLines w:val="0"/>
              <w:suppressLineNumbers w:val="0"/>
              <w:shd w:val="clear"/>
              <w:snapToGrid w:val="0"/>
              <w:spacing w:before="0" w:beforeLines="50" w:beforeAutospacing="0" w:after="50" w:afterAutospacing="0" w:line="360" w:lineRule="auto"/>
              <w:ind w:left="0" w:right="0"/>
              <w:jc w:val="center"/>
              <w:rPr>
                <w:rFonts w:hint="default"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noWrap/>
          </w:tcPr>
          <w:p w14:paraId="2F1177F5">
            <w:pPr>
              <w:keepNext w:val="0"/>
              <w:keepLines w:val="0"/>
              <w:suppressLineNumbers w:val="0"/>
              <w:shd w:val="clear"/>
              <w:snapToGrid w:val="0"/>
              <w:spacing w:before="0" w:beforeLines="50" w:beforeAutospacing="0" w:after="50" w:afterAutospacing="0" w:line="360" w:lineRule="auto"/>
              <w:ind w:left="0" w:right="0"/>
              <w:rPr>
                <w:rFonts w:hint="default"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noWrap/>
            <w:vAlign w:val="center"/>
          </w:tcPr>
          <w:p w14:paraId="57E92E4E">
            <w:pPr>
              <w:keepNext w:val="0"/>
              <w:keepLines w:val="0"/>
              <w:suppressLineNumbers w:val="0"/>
              <w:shd w:val="clear"/>
              <w:snapToGrid w:val="0"/>
              <w:spacing w:before="0" w:beforeLines="50" w:beforeAutospacing="0" w:after="50" w:afterAutospacing="0" w:line="360" w:lineRule="auto"/>
              <w:ind w:left="0" w:right="0"/>
              <w:jc w:val="center"/>
              <w:rPr>
                <w:rFonts w:hint="default" w:ascii="宋体" w:hAnsi="宋体"/>
                <w:b/>
                <w:color w:val="auto"/>
                <w:kern w:val="44"/>
                <w:sz w:val="24"/>
                <w:szCs w:val="20"/>
                <w:highlight w:val="none"/>
              </w:rPr>
            </w:pPr>
          </w:p>
        </w:tc>
      </w:tr>
    </w:tbl>
    <w:p w14:paraId="5BE6EE04">
      <w:pPr>
        <w:shd w:val="clear"/>
        <w:spacing w:line="360" w:lineRule="auto"/>
        <w:rPr>
          <w:rFonts w:ascii="宋体" w:hAnsi="宋体"/>
          <w:b/>
          <w:color w:val="auto"/>
          <w:szCs w:val="21"/>
          <w:highlight w:val="none"/>
        </w:rPr>
      </w:pPr>
      <w:r>
        <w:rPr>
          <w:rFonts w:hint="eastAsia" w:ascii="宋体" w:hAnsi="宋体"/>
          <w:b/>
          <w:color w:val="auto"/>
          <w:szCs w:val="21"/>
          <w:highlight w:val="none"/>
        </w:rPr>
        <w:t>要求：</w:t>
      </w:r>
    </w:p>
    <w:p w14:paraId="4188976E">
      <w:pPr>
        <w:shd w:val="clear"/>
        <w:spacing w:line="360" w:lineRule="auto"/>
        <w:ind w:left="437"/>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在填写时，如本表格不适合供应商的实际情况，可根据本表格式自行划表填写。</w:t>
      </w:r>
    </w:p>
    <w:p w14:paraId="619E0674">
      <w:pPr>
        <w:pStyle w:val="66"/>
        <w:shd w:val="clear"/>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2.附人员证书原件扫描件、证明材料等；</w:t>
      </w:r>
    </w:p>
    <w:p w14:paraId="4D901F38">
      <w:pPr>
        <w:shd w:val="clear"/>
        <w:spacing w:line="320" w:lineRule="exact"/>
        <w:ind w:left="420"/>
        <w:rPr>
          <w:rFonts w:ascii="宋体" w:hAnsi="宋体"/>
          <w:color w:val="auto"/>
          <w:szCs w:val="21"/>
          <w:highlight w:val="none"/>
        </w:rPr>
      </w:pPr>
    </w:p>
    <w:p w14:paraId="58BED328">
      <w:pPr>
        <w:shd w:val="clear"/>
        <w:spacing w:line="480" w:lineRule="exact"/>
        <w:ind w:firstLine="435"/>
        <w:rPr>
          <w:rFonts w:ascii="宋体" w:hAnsi="宋体"/>
          <w:color w:val="auto"/>
          <w:sz w:val="24"/>
          <w:highlight w:val="none"/>
        </w:rPr>
      </w:pPr>
    </w:p>
    <w:p w14:paraId="312729BA">
      <w:pPr>
        <w:shd w:val="clear"/>
        <w:spacing w:line="360" w:lineRule="auto"/>
        <w:ind w:firstLine="424" w:firstLineChars="177"/>
        <w:rPr>
          <w:rFonts w:ascii="宋体" w:hAnsi="宋体"/>
          <w:color w:val="auto"/>
          <w:sz w:val="24"/>
          <w:highlight w:val="none"/>
        </w:rPr>
      </w:pPr>
    </w:p>
    <w:p w14:paraId="174069DC">
      <w:pPr>
        <w:shd w:val="clea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14:paraId="5CC4EFB0">
      <w:pPr>
        <w:shd w:val="clear"/>
        <w:spacing w:line="360" w:lineRule="auto"/>
        <w:ind w:left="420"/>
        <w:rPr>
          <w:rFonts w:ascii="宋体" w:hAnsi="宋体" w:cs="宋体"/>
          <w:color w:val="auto"/>
          <w:sz w:val="24"/>
          <w:highlight w:val="none"/>
        </w:rPr>
      </w:pPr>
    </w:p>
    <w:p w14:paraId="714FA2A1">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14:paraId="43803016">
      <w:pPr>
        <w:shd w:val="clear"/>
        <w:spacing w:line="360" w:lineRule="auto"/>
        <w:ind w:firstLine="435"/>
        <w:rPr>
          <w:rFonts w:ascii="宋体" w:hAnsi="宋体" w:cs="宋体"/>
          <w:color w:val="auto"/>
          <w:sz w:val="24"/>
          <w:highlight w:val="none"/>
        </w:rPr>
      </w:pPr>
    </w:p>
    <w:p w14:paraId="487DFC80">
      <w:pPr>
        <w:shd w:val="clear"/>
        <w:spacing w:line="360" w:lineRule="auto"/>
        <w:ind w:firstLine="435"/>
        <w:rPr>
          <w:rFonts w:ascii="宋体" w:hAnsi="宋体" w:cs="宋体"/>
          <w:color w:val="auto"/>
          <w:sz w:val="24"/>
          <w:highlight w:val="none"/>
          <w:u w:val="single"/>
        </w:rPr>
      </w:pPr>
      <w:r>
        <w:rPr>
          <w:rFonts w:hint="eastAsia" w:ascii="宋体" w:hAnsi="宋体" w:cs="宋体"/>
          <w:color w:val="auto"/>
          <w:sz w:val="24"/>
          <w:highlight w:val="none"/>
        </w:rPr>
        <w:t>日        期：</w:t>
      </w:r>
    </w:p>
    <w:p w14:paraId="2DB2678A">
      <w:pPr>
        <w:shd w:val="clear"/>
        <w:spacing w:line="360" w:lineRule="auto"/>
        <w:rPr>
          <w:rFonts w:ascii="宋体" w:hAnsi="宋体"/>
          <w:b/>
          <w:color w:val="auto"/>
          <w:sz w:val="28"/>
          <w:highlight w:val="none"/>
        </w:rPr>
      </w:pPr>
    </w:p>
    <w:p w14:paraId="08CD9DDA">
      <w:pPr>
        <w:pStyle w:val="4"/>
        <w:shd w:val="clear"/>
        <w:tabs>
          <w:tab w:val="left" w:pos="8280"/>
        </w:tabs>
        <w:rPr>
          <w:color w:val="auto"/>
          <w:highlight w:val="none"/>
        </w:rPr>
      </w:pPr>
      <w:r>
        <w:rPr>
          <w:color w:val="auto"/>
          <w:highlight w:val="none"/>
        </w:rPr>
        <w:br w:type="page"/>
      </w:r>
    </w:p>
    <w:p w14:paraId="4533361E">
      <w:pPr>
        <w:shd w:val="clear"/>
        <w:spacing w:line="360" w:lineRule="auto"/>
        <w:rPr>
          <w:rFonts w:ascii="宋体" w:hAnsi="宋体"/>
          <w:b/>
          <w:color w:val="auto"/>
          <w:sz w:val="28"/>
          <w:highlight w:val="none"/>
        </w:rPr>
      </w:pPr>
      <w:r>
        <w:rPr>
          <w:rFonts w:hint="eastAsia" w:ascii="宋体" w:hAnsi="宋体"/>
          <w:b/>
          <w:color w:val="auto"/>
          <w:sz w:val="28"/>
          <w:highlight w:val="none"/>
        </w:rPr>
        <w:t>附件12</w:t>
      </w:r>
    </w:p>
    <w:p w14:paraId="61D9C5C2">
      <w:pPr>
        <w:pStyle w:val="69"/>
        <w:shd w:val="clea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14:paraId="563F168A">
      <w:pPr>
        <w:pStyle w:val="69"/>
        <w:shd w:val="clear"/>
        <w:spacing w:line="360" w:lineRule="auto"/>
        <w:jc w:val="center"/>
        <w:rPr>
          <w:rFonts w:ascii="宋体" w:hAnsi="宋体" w:cs="Arial"/>
          <w:color w:val="auto"/>
          <w:sz w:val="28"/>
          <w:szCs w:val="28"/>
          <w:highlight w:val="none"/>
        </w:rPr>
      </w:pPr>
    </w:p>
    <w:tbl>
      <w:tblPr>
        <w:tblStyle w:val="4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FBE6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tcPr>
          <w:p w14:paraId="0FEF3AD3">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noWrap/>
          </w:tcPr>
          <w:p w14:paraId="6498E79F">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noWrap/>
          </w:tcPr>
          <w:p w14:paraId="089B8D04">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noWrap/>
          </w:tcPr>
          <w:p w14:paraId="2BC34CC5">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证书有效期</w:t>
            </w:r>
          </w:p>
        </w:tc>
      </w:tr>
      <w:tr w14:paraId="1A5A31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tcPr>
          <w:p w14:paraId="4F0307D2">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58" w:type="dxa"/>
            <w:tcBorders>
              <w:top w:val="single" w:color="auto" w:sz="4" w:space="0"/>
            </w:tcBorders>
            <w:noWrap/>
          </w:tcPr>
          <w:p w14:paraId="58E85E39">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60" w:type="dxa"/>
            <w:tcBorders>
              <w:top w:val="single" w:color="auto" w:sz="4" w:space="0"/>
            </w:tcBorders>
            <w:noWrap/>
          </w:tcPr>
          <w:p w14:paraId="06E5D05C">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047" w:type="dxa"/>
            <w:tcBorders>
              <w:top w:val="single" w:color="auto" w:sz="4" w:space="0"/>
              <w:right w:val="single" w:color="auto" w:sz="4" w:space="0"/>
            </w:tcBorders>
            <w:noWrap/>
          </w:tcPr>
          <w:p w14:paraId="460C0C65">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r>
      <w:tr w14:paraId="6DB72E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tcPr>
          <w:p w14:paraId="38B7FD0E">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58" w:type="dxa"/>
            <w:noWrap/>
          </w:tcPr>
          <w:p w14:paraId="5A14AEDA">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60" w:type="dxa"/>
            <w:noWrap/>
          </w:tcPr>
          <w:p w14:paraId="5202A7E7">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047" w:type="dxa"/>
            <w:tcBorders>
              <w:right w:val="single" w:color="auto" w:sz="4" w:space="0"/>
            </w:tcBorders>
            <w:noWrap/>
          </w:tcPr>
          <w:p w14:paraId="4D5AFC77">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r>
      <w:tr w14:paraId="18691B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tcPr>
          <w:p w14:paraId="338C4573">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58" w:type="dxa"/>
            <w:noWrap/>
          </w:tcPr>
          <w:p w14:paraId="35B0C812">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60" w:type="dxa"/>
            <w:noWrap/>
          </w:tcPr>
          <w:p w14:paraId="656507B9">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047" w:type="dxa"/>
            <w:tcBorders>
              <w:right w:val="single" w:color="auto" w:sz="4" w:space="0"/>
            </w:tcBorders>
            <w:noWrap/>
          </w:tcPr>
          <w:p w14:paraId="2D6844C6">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r>
      <w:tr w14:paraId="0218C3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tcPr>
          <w:p w14:paraId="42966E27">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58" w:type="dxa"/>
            <w:noWrap/>
          </w:tcPr>
          <w:p w14:paraId="5FBA7F24">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60" w:type="dxa"/>
            <w:noWrap/>
          </w:tcPr>
          <w:p w14:paraId="33C0CF7B">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047" w:type="dxa"/>
            <w:tcBorders>
              <w:right w:val="single" w:color="auto" w:sz="4" w:space="0"/>
            </w:tcBorders>
            <w:noWrap/>
          </w:tcPr>
          <w:p w14:paraId="0CB642C3">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r>
      <w:tr w14:paraId="787EF6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tcPr>
          <w:p w14:paraId="6B8EE3F2">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58" w:type="dxa"/>
            <w:noWrap/>
          </w:tcPr>
          <w:p w14:paraId="7B8BA9A2">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60" w:type="dxa"/>
            <w:noWrap/>
          </w:tcPr>
          <w:p w14:paraId="5DED2322">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047" w:type="dxa"/>
            <w:tcBorders>
              <w:right w:val="single" w:color="auto" w:sz="4" w:space="0"/>
            </w:tcBorders>
            <w:noWrap/>
          </w:tcPr>
          <w:p w14:paraId="15571150">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r>
      <w:tr w14:paraId="54368C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tcPr>
          <w:p w14:paraId="66397F0F">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58" w:type="dxa"/>
            <w:noWrap/>
          </w:tcPr>
          <w:p w14:paraId="5B1B53B5">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60" w:type="dxa"/>
            <w:noWrap/>
          </w:tcPr>
          <w:p w14:paraId="187F0188">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047" w:type="dxa"/>
            <w:tcBorders>
              <w:right w:val="single" w:color="auto" w:sz="4" w:space="0"/>
            </w:tcBorders>
            <w:noWrap/>
          </w:tcPr>
          <w:p w14:paraId="2D1B317C">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r>
      <w:tr w14:paraId="3B96A5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tcPr>
          <w:p w14:paraId="1808E3F1">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58" w:type="dxa"/>
            <w:tcBorders>
              <w:bottom w:val="single" w:color="auto" w:sz="4" w:space="0"/>
            </w:tcBorders>
            <w:noWrap/>
          </w:tcPr>
          <w:p w14:paraId="480D273A">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260" w:type="dxa"/>
            <w:tcBorders>
              <w:bottom w:val="single" w:color="auto" w:sz="4" w:space="0"/>
            </w:tcBorders>
            <w:noWrap/>
          </w:tcPr>
          <w:p w14:paraId="137EF801">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c>
          <w:tcPr>
            <w:tcW w:w="2047" w:type="dxa"/>
            <w:tcBorders>
              <w:bottom w:val="single" w:color="auto" w:sz="4" w:space="0"/>
              <w:right w:val="single" w:color="auto" w:sz="4" w:space="0"/>
            </w:tcBorders>
            <w:noWrap/>
          </w:tcPr>
          <w:p w14:paraId="78292340">
            <w:pPr>
              <w:pStyle w:val="69"/>
              <w:keepNext w:val="0"/>
              <w:keepLines w:val="0"/>
              <w:suppressLineNumbers w:val="0"/>
              <w:shd w:val="clear"/>
              <w:spacing w:before="0" w:beforeAutospacing="0" w:after="0" w:afterAutospacing="0" w:line="360" w:lineRule="auto"/>
              <w:ind w:left="0" w:right="0"/>
              <w:jc w:val="center"/>
              <w:rPr>
                <w:rFonts w:hint="default" w:ascii="宋体" w:hAnsi="宋体" w:cs="Arial"/>
                <w:color w:val="auto"/>
                <w:szCs w:val="21"/>
                <w:highlight w:val="none"/>
              </w:rPr>
            </w:pPr>
          </w:p>
        </w:tc>
      </w:tr>
    </w:tbl>
    <w:p w14:paraId="3F3BFAEC">
      <w:pPr>
        <w:pStyle w:val="69"/>
        <w:shd w:val="clear"/>
        <w:tabs>
          <w:tab w:val="left" w:pos="1050"/>
        </w:tabs>
        <w:spacing w:line="360" w:lineRule="auto"/>
        <w:rPr>
          <w:rFonts w:ascii="仿宋_GB2312" w:hAnsi="宋体" w:eastAsia="仿宋_GB2312"/>
          <w:color w:val="auto"/>
          <w:sz w:val="24"/>
          <w:highlight w:val="none"/>
        </w:rPr>
      </w:pPr>
    </w:p>
    <w:p w14:paraId="206E6FBC">
      <w:pPr>
        <w:pStyle w:val="69"/>
        <w:shd w:val="clear"/>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21914514">
      <w:pPr>
        <w:pStyle w:val="69"/>
        <w:shd w:val="clear"/>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1.填写投标供应商获得资质、认证或企业荣誉证书；</w:t>
      </w:r>
    </w:p>
    <w:p w14:paraId="5292D2C8">
      <w:pPr>
        <w:pStyle w:val="69"/>
        <w:shd w:val="clear"/>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2.附所列证书扫描件或影印件或其他证明材料。</w:t>
      </w:r>
    </w:p>
    <w:p w14:paraId="4DC6F81D">
      <w:pPr>
        <w:widowControl/>
        <w:shd w:val="clear"/>
        <w:jc w:val="left"/>
        <w:rPr>
          <w:rFonts w:ascii="宋体" w:hAnsi="宋体"/>
          <w:b/>
          <w:color w:val="auto"/>
          <w:sz w:val="28"/>
          <w:highlight w:val="none"/>
        </w:rPr>
      </w:pPr>
    </w:p>
    <w:p w14:paraId="7F960282">
      <w:pPr>
        <w:shd w:val="clea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14:paraId="77841F65">
      <w:pPr>
        <w:shd w:val="clear"/>
        <w:spacing w:line="360" w:lineRule="auto"/>
        <w:ind w:left="420"/>
        <w:rPr>
          <w:rFonts w:ascii="宋体" w:hAnsi="宋体" w:cs="宋体"/>
          <w:color w:val="auto"/>
          <w:sz w:val="24"/>
          <w:highlight w:val="none"/>
        </w:rPr>
      </w:pPr>
    </w:p>
    <w:p w14:paraId="13E11A9A">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14:paraId="290855C4">
      <w:pPr>
        <w:shd w:val="clear"/>
        <w:spacing w:line="360" w:lineRule="auto"/>
        <w:ind w:firstLine="435"/>
        <w:rPr>
          <w:rFonts w:ascii="宋体" w:hAnsi="宋体" w:cs="宋体"/>
          <w:color w:val="auto"/>
          <w:sz w:val="24"/>
          <w:highlight w:val="none"/>
        </w:rPr>
      </w:pPr>
    </w:p>
    <w:p w14:paraId="194DB313">
      <w:pPr>
        <w:shd w:val="clear"/>
        <w:spacing w:line="360" w:lineRule="auto"/>
        <w:ind w:firstLine="435"/>
        <w:rPr>
          <w:rFonts w:ascii="宋体" w:hAnsi="宋体" w:cs="宋体"/>
          <w:color w:val="auto"/>
          <w:sz w:val="24"/>
          <w:highlight w:val="none"/>
          <w:u w:val="single"/>
        </w:rPr>
      </w:pPr>
      <w:r>
        <w:rPr>
          <w:rFonts w:hint="eastAsia" w:ascii="宋体" w:hAnsi="宋体" w:cs="宋体"/>
          <w:color w:val="auto"/>
          <w:sz w:val="24"/>
          <w:highlight w:val="none"/>
        </w:rPr>
        <w:t>日        期：</w:t>
      </w:r>
    </w:p>
    <w:p w14:paraId="66CABDA8">
      <w:pPr>
        <w:widowControl/>
        <w:shd w:val="clear"/>
        <w:jc w:val="left"/>
        <w:rPr>
          <w:rFonts w:ascii="宋体" w:hAnsi="宋体"/>
          <w:b/>
          <w:color w:val="auto"/>
          <w:sz w:val="28"/>
          <w:highlight w:val="none"/>
        </w:rPr>
      </w:pPr>
      <w:r>
        <w:rPr>
          <w:rFonts w:ascii="宋体" w:hAnsi="宋体"/>
          <w:b/>
          <w:color w:val="auto"/>
          <w:sz w:val="28"/>
          <w:highlight w:val="none"/>
        </w:rPr>
        <w:br w:type="page"/>
      </w:r>
    </w:p>
    <w:p w14:paraId="3E971F54">
      <w:pPr>
        <w:pStyle w:val="69"/>
        <w:shd w:val="clear"/>
        <w:tabs>
          <w:tab w:val="left" w:pos="1050"/>
        </w:tabs>
        <w:spacing w:line="360" w:lineRule="auto"/>
        <w:rPr>
          <w:rFonts w:ascii="仿宋_GB2312" w:hAnsi="宋体"/>
          <w:color w:val="auto"/>
          <w:sz w:val="24"/>
          <w:highlight w:val="none"/>
        </w:rPr>
      </w:pPr>
      <w:r>
        <w:rPr>
          <w:rFonts w:hint="eastAsia" w:ascii="宋体" w:hAnsi="宋体"/>
          <w:b/>
          <w:color w:val="auto"/>
          <w:sz w:val="28"/>
          <w:highlight w:val="none"/>
        </w:rPr>
        <w:t>附件13</w:t>
      </w:r>
    </w:p>
    <w:p w14:paraId="3BF40A27">
      <w:pPr>
        <w:pStyle w:val="68"/>
        <w:shd w:val="clea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供应商类似项目实施情况一览表</w:t>
      </w:r>
    </w:p>
    <w:p w14:paraId="551D6AE7">
      <w:pPr>
        <w:pStyle w:val="68"/>
        <w:shd w:val="clear"/>
        <w:spacing w:line="360" w:lineRule="auto"/>
        <w:jc w:val="center"/>
        <w:rPr>
          <w:rFonts w:ascii="仿宋_GB2312" w:eastAsia="仿宋_GB2312"/>
          <w:b/>
          <w:color w:val="auto"/>
          <w:sz w:val="28"/>
          <w:szCs w:val="28"/>
          <w:highlight w:val="none"/>
        </w:rPr>
      </w:pPr>
    </w:p>
    <w:tbl>
      <w:tblPr>
        <w:tblStyle w:val="4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A1E9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ign w:val="center"/>
          </w:tcPr>
          <w:p w14:paraId="35159792">
            <w:pPr>
              <w:pStyle w:val="68"/>
              <w:keepNext w:val="0"/>
              <w:keepLines w:val="0"/>
              <w:suppressLineNumbers w:val="0"/>
              <w:shd w:val="clear"/>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noWrap/>
            <w:vAlign w:val="center"/>
          </w:tcPr>
          <w:p w14:paraId="74BF58E9">
            <w:pPr>
              <w:pStyle w:val="68"/>
              <w:keepNext w:val="0"/>
              <w:keepLines w:val="0"/>
              <w:suppressLineNumbers w:val="0"/>
              <w:shd w:val="clear"/>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ign w:val="center"/>
          </w:tcPr>
          <w:p w14:paraId="72A115B6">
            <w:pPr>
              <w:pStyle w:val="68"/>
              <w:keepNext w:val="0"/>
              <w:keepLines w:val="0"/>
              <w:suppressLineNumbers w:val="0"/>
              <w:shd w:val="clear"/>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ign w:val="center"/>
          </w:tcPr>
          <w:p w14:paraId="206A6FB6">
            <w:pPr>
              <w:pStyle w:val="68"/>
              <w:keepNext w:val="0"/>
              <w:keepLines w:val="0"/>
              <w:suppressLineNumbers w:val="0"/>
              <w:shd w:val="clear"/>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合同内容</w:t>
            </w:r>
          </w:p>
        </w:tc>
        <w:tc>
          <w:tcPr>
            <w:tcW w:w="1452" w:type="dxa"/>
            <w:tcBorders>
              <w:top w:val="single" w:color="auto" w:sz="6" w:space="0"/>
              <w:left w:val="single" w:color="auto" w:sz="6" w:space="0"/>
              <w:bottom w:val="single" w:color="auto" w:sz="6" w:space="0"/>
              <w:right w:val="single" w:color="auto" w:sz="6" w:space="0"/>
            </w:tcBorders>
            <w:noWrap/>
            <w:vAlign w:val="center"/>
          </w:tcPr>
          <w:p w14:paraId="661DDBA5">
            <w:pPr>
              <w:pStyle w:val="68"/>
              <w:keepNext w:val="0"/>
              <w:keepLines w:val="0"/>
              <w:suppressLineNumbers w:val="0"/>
              <w:shd w:val="clear"/>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noWrap/>
            <w:vAlign w:val="center"/>
          </w:tcPr>
          <w:p w14:paraId="397BD200">
            <w:pPr>
              <w:pStyle w:val="68"/>
              <w:keepNext w:val="0"/>
              <w:keepLines w:val="0"/>
              <w:suppressLineNumbers w:val="0"/>
              <w:shd w:val="clear"/>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noWrap/>
            <w:vAlign w:val="center"/>
          </w:tcPr>
          <w:p w14:paraId="72285495">
            <w:pPr>
              <w:pStyle w:val="68"/>
              <w:keepNext w:val="0"/>
              <w:keepLines w:val="0"/>
              <w:suppressLineNumbers w:val="0"/>
              <w:shd w:val="clear"/>
              <w:spacing w:before="0" w:beforeAutospacing="0" w:after="0" w:afterAutospacing="0" w:line="360" w:lineRule="auto"/>
              <w:ind w:left="0" w:right="0"/>
              <w:jc w:val="center"/>
              <w:rPr>
                <w:rFonts w:hint="default"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14:paraId="6AD2B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206D0511">
            <w:pPr>
              <w:pStyle w:val="68"/>
              <w:keepNext w:val="0"/>
              <w:keepLines w:val="0"/>
              <w:suppressLineNumbers w:val="0"/>
              <w:shd w:val="clear"/>
              <w:spacing w:before="0" w:beforeAutospacing="0" w:after="0" w:afterAutospacing="0" w:line="360" w:lineRule="auto"/>
              <w:ind w:left="0" w:right="0"/>
              <w:jc w:val="center"/>
              <w:rPr>
                <w:rFonts w:hint="default"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noWrap/>
          </w:tcPr>
          <w:p w14:paraId="659720AC">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tcPr>
          <w:p w14:paraId="665757A0">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3F6E8FEC">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tcPr>
          <w:p w14:paraId="44D32227">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tcPr>
          <w:p w14:paraId="0EC034B0">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tcPr>
          <w:p w14:paraId="5ED45702">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r>
      <w:tr w14:paraId="5F6E4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13805E1A">
            <w:pPr>
              <w:pStyle w:val="68"/>
              <w:keepNext w:val="0"/>
              <w:keepLines w:val="0"/>
              <w:suppressLineNumbers w:val="0"/>
              <w:shd w:val="clear"/>
              <w:spacing w:before="0" w:beforeAutospacing="0" w:after="0" w:afterAutospacing="0" w:line="360" w:lineRule="auto"/>
              <w:ind w:left="0" w:right="0"/>
              <w:jc w:val="center"/>
              <w:rPr>
                <w:rFonts w:hint="default"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noWrap/>
          </w:tcPr>
          <w:p w14:paraId="17CB9D13">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tcPr>
          <w:p w14:paraId="1474FEAA">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2CD1A2E8">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tcPr>
          <w:p w14:paraId="6415152C">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tcPr>
          <w:p w14:paraId="12EFD06C">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tcPr>
          <w:p w14:paraId="3C2EBE4D">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r>
      <w:tr w14:paraId="6B7D2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4CDCB34A">
            <w:pPr>
              <w:pStyle w:val="68"/>
              <w:keepNext w:val="0"/>
              <w:keepLines w:val="0"/>
              <w:suppressLineNumbers w:val="0"/>
              <w:shd w:val="clear"/>
              <w:spacing w:before="0" w:beforeAutospacing="0" w:after="0" w:afterAutospacing="0" w:line="360" w:lineRule="auto"/>
              <w:ind w:left="0" w:right="0"/>
              <w:jc w:val="center"/>
              <w:rPr>
                <w:rFonts w:hint="default"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noWrap/>
          </w:tcPr>
          <w:p w14:paraId="1E5C27A6">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tcPr>
          <w:p w14:paraId="7549DE0E">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29F2A9CD">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tcPr>
          <w:p w14:paraId="2B381874">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tcPr>
          <w:p w14:paraId="13670A00">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tcPr>
          <w:p w14:paraId="5F4E904F">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r>
      <w:tr w14:paraId="164CF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360E7E7A">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noWrap/>
          </w:tcPr>
          <w:p w14:paraId="03240832">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tcPr>
          <w:p w14:paraId="7C3CB4B8">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43B8E5F8">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tcPr>
          <w:p w14:paraId="3331ABAF">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tcPr>
          <w:p w14:paraId="01786AEB">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tcPr>
          <w:p w14:paraId="196DB09C">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r>
      <w:tr w14:paraId="3A6FE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4228CE31">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tcPr>
          <w:p w14:paraId="11371225">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tcPr>
          <w:p w14:paraId="6548CD54">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65F86B82">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tcPr>
          <w:p w14:paraId="2D0E14FA">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tcPr>
          <w:p w14:paraId="509F3DE9">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tcPr>
          <w:p w14:paraId="2F6BA4E0">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r>
      <w:tr w14:paraId="72141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652D6FEE">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tcPr>
          <w:p w14:paraId="206056B1">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tcPr>
          <w:p w14:paraId="0972DA51">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1EAB9F15">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tcPr>
          <w:p w14:paraId="68402763">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tcPr>
          <w:p w14:paraId="0246DC1A">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tcPr>
          <w:p w14:paraId="77444190">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r>
      <w:tr w14:paraId="1C763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tcPr>
          <w:p w14:paraId="56501A9C">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tcPr>
          <w:p w14:paraId="7CC35BCA">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tcPr>
          <w:p w14:paraId="7B517301">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60DAF226">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tcPr>
          <w:p w14:paraId="6D713C61">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tcPr>
          <w:p w14:paraId="734192C8">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tcPr>
          <w:p w14:paraId="0C08EF4B">
            <w:pPr>
              <w:pStyle w:val="68"/>
              <w:keepNext w:val="0"/>
              <w:keepLines w:val="0"/>
              <w:suppressLineNumbers w:val="0"/>
              <w:shd w:val="clear"/>
              <w:spacing w:before="0" w:beforeAutospacing="0" w:after="0" w:afterAutospacing="0" w:line="360" w:lineRule="auto"/>
              <w:ind w:left="0" w:right="0"/>
              <w:rPr>
                <w:rFonts w:hint="default" w:ascii="宋体" w:hAnsi="宋体" w:cs="Arial"/>
                <w:color w:val="auto"/>
                <w:sz w:val="24"/>
                <w:highlight w:val="none"/>
              </w:rPr>
            </w:pPr>
          </w:p>
        </w:tc>
      </w:tr>
    </w:tbl>
    <w:p w14:paraId="0A281F72">
      <w:pPr>
        <w:shd w:val="clear"/>
        <w:autoSpaceDE w:val="0"/>
        <w:autoSpaceDN w:val="0"/>
        <w:adjustRightInd w:val="0"/>
        <w:spacing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7CAC4E2F">
      <w:pPr>
        <w:shd w:val="clear"/>
        <w:autoSpaceDE w:val="0"/>
        <w:autoSpaceDN w:val="0"/>
        <w:adjustRightInd w:val="0"/>
        <w:spacing w:beforeLines="50" w:line="360" w:lineRule="auto"/>
        <w:ind w:firstLine="424" w:firstLineChars="202"/>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扫描件或影印件并加盖投标供应商电子印章</w:t>
      </w:r>
      <w:r>
        <w:rPr>
          <w:rFonts w:ascii="宋体" w:hAnsi="宋体" w:cs="Arial"/>
          <w:color w:val="auto"/>
          <w:szCs w:val="21"/>
          <w:highlight w:val="none"/>
        </w:rPr>
        <w:t>）；</w:t>
      </w:r>
    </w:p>
    <w:p w14:paraId="6F87AFBF">
      <w:pPr>
        <w:shd w:val="clea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.投标供应商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4EA900C7">
      <w:pPr>
        <w:widowControl/>
        <w:shd w:val="clear"/>
        <w:spacing w:line="360" w:lineRule="auto"/>
        <w:jc w:val="left"/>
        <w:rPr>
          <w:rFonts w:ascii="宋体" w:hAnsi="宋体"/>
          <w:b/>
          <w:color w:val="auto"/>
          <w:sz w:val="28"/>
          <w:highlight w:val="none"/>
        </w:rPr>
      </w:pPr>
    </w:p>
    <w:p w14:paraId="235B8FEA">
      <w:pPr>
        <w:shd w:val="clea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14:paraId="3EA1E2F9">
      <w:pPr>
        <w:shd w:val="clear"/>
        <w:spacing w:line="360" w:lineRule="auto"/>
        <w:ind w:left="420"/>
        <w:rPr>
          <w:rFonts w:ascii="宋体" w:hAnsi="宋体" w:cs="宋体"/>
          <w:color w:val="auto"/>
          <w:sz w:val="24"/>
          <w:highlight w:val="none"/>
        </w:rPr>
      </w:pPr>
    </w:p>
    <w:p w14:paraId="746C83FB">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14:paraId="1CABBC39">
      <w:pPr>
        <w:shd w:val="clear"/>
        <w:spacing w:line="360" w:lineRule="auto"/>
        <w:ind w:firstLine="435"/>
        <w:rPr>
          <w:rFonts w:ascii="宋体" w:hAnsi="宋体" w:cs="宋体"/>
          <w:color w:val="auto"/>
          <w:sz w:val="24"/>
          <w:highlight w:val="none"/>
        </w:rPr>
      </w:pPr>
    </w:p>
    <w:p w14:paraId="2B0B06FD">
      <w:pPr>
        <w:shd w:val="clear"/>
        <w:spacing w:line="360" w:lineRule="auto"/>
        <w:ind w:firstLine="435"/>
        <w:rPr>
          <w:rFonts w:ascii="宋体" w:hAnsi="宋体" w:cs="宋体"/>
          <w:color w:val="auto"/>
          <w:sz w:val="24"/>
          <w:highlight w:val="none"/>
          <w:u w:val="single"/>
        </w:rPr>
      </w:pPr>
      <w:r>
        <w:rPr>
          <w:rFonts w:hint="eastAsia" w:ascii="宋体" w:hAnsi="宋体" w:cs="宋体"/>
          <w:color w:val="auto"/>
          <w:sz w:val="24"/>
          <w:highlight w:val="none"/>
        </w:rPr>
        <w:t>日        期：</w:t>
      </w:r>
    </w:p>
    <w:p w14:paraId="1612D619">
      <w:pPr>
        <w:shd w:val="clear"/>
        <w:spacing w:line="360" w:lineRule="auto"/>
        <w:ind w:right="-110"/>
        <w:jc w:val="left"/>
        <w:rPr>
          <w:rFonts w:ascii="宋体" w:hAnsi="宋体" w:cs="宋体"/>
          <w:color w:val="auto"/>
          <w:spacing w:val="40"/>
          <w:sz w:val="52"/>
          <w:szCs w:val="52"/>
          <w:highlight w:val="none"/>
        </w:rPr>
      </w:pPr>
      <w:r>
        <w:rPr>
          <w:rFonts w:ascii="宋体" w:hAnsi="宋体"/>
          <w:b/>
          <w:color w:val="auto"/>
          <w:sz w:val="28"/>
          <w:highlight w:val="none"/>
        </w:rPr>
        <w:br w:type="page"/>
      </w:r>
      <w:r>
        <w:rPr>
          <w:rFonts w:hint="eastAsia" w:ascii="宋体" w:hAnsi="宋体" w:cs="宋体"/>
          <w:b/>
          <w:color w:val="auto"/>
          <w:sz w:val="28"/>
          <w:highlight w:val="none"/>
        </w:rPr>
        <w:t>附件14</w:t>
      </w:r>
    </w:p>
    <w:p w14:paraId="40D138E2">
      <w:pPr>
        <w:shd w:val="clear"/>
        <w:spacing w:beforeLines="100" w:line="360" w:lineRule="auto"/>
        <w:ind w:right="-108"/>
        <w:jc w:val="center"/>
        <w:rPr>
          <w:rFonts w:ascii="宋体" w:hAnsi="宋体" w:cs="宋体"/>
          <w:color w:val="auto"/>
          <w:spacing w:val="40"/>
          <w:sz w:val="48"/>
          <w:szCs w:val="48"/>
          <w:highlight w:val="none"/>
        </w:rPr>
      </w:pPr>
      <w:r>
        <w:rPr>
          <w:rFonts w:hint="eastAsia" w:ascii="宋体" w:hAnsi="宋体" w:cs="宋体"/>
          <w:color w:val="auto"/>
          <w:spacing w:val="40"/>
          <w:sz w:val="48"/>
          <w:szCs w:val="48"/>
          <w:highlight w:val="none"/>
        </w:rPr>
        <w:t>项目名称</w:t>
      </w:r>
    </w:p>
    <w:p w14:paraId="5E073CDF">
      <w:pPr>
        <w:shd w:val="clear"/>
        <w:spacing w:beforeLines="100" w:line="360" w:lineRule="auto"/>
        <w:ind w:right="-108"/>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14:paraId="2177CF51">
      <w:pPr>
        <w:shd w:val="clear"/>
        <w:spacing w:after="100" w:afterAutospacing="1" w:line="360" w:lineRule="auto"/>
        <w:ind w:right="-108"/>
        <w:jc w:val="center"/>
        <w:rPr>
          <w:rFonts w:ascii="宋体" w:hAnsi="宋体" w:cs="宋体"/>
          <w:b/>
          <w:color w:val="auto"/>
          <w:spacing w:val="40"/>
          <w:sz w:val="84"/>
          <w:szCs w:val="84"/>
          <w:highlight w:val="none"/>
        </w:rPr>
      </w:pPr>
    </w:p>
    <w:p w14:paraId="30C4A926">
      <w:pPr>
        <w:shd w:val="clea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652E453E">
      <w:pPr>
        <w:shd w:val="clea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3067062E">
      <w:pPr>
        <w:shd w:val="clea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2EF957B2">
      <w:pPr>
        <w:shd w:val="clea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01B85F0C">
      <w:pPr>
        <w:shd w:val="clear"/>
        <w:spacing w:line="360" w:lineRule="auto"/>
        <w:ind w:right="532"/>
        <w:jc w:val="center"/>
        <w:rPr>
          <w:rFonts w:ascii="宋体" w:hAnsi="宋体" w:cs="宋体"/>
          <w:color w:val="auto"/>
          <w:sz w:val="36"/>
          <w:szCs w:val="36"/>
          <w:highlight w:val="none"/>
        </w:rPr>
      </w:pPr>
    </w:p>
    <w:p w14:paraId="603CD230">
      <w:pPr>
        <w:shd w:val="clea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供应商全称（公章或CA签章）：</w:t>
      </w:r>
    </w:p>
    <w:p w14:paraId="1434665A">
      <w:pPr>
        <w:shd w:val="clear"/>
        <w:spacing w:line="360" w:lineRule="auto"/>
        <w:ind w:right="-108"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地    址：</w:t>
      </w:r>
    </w:p>
    <w:p w14:paraId="1B1EFF0D">
      <w:pPr>
        <w:shd w:val="clear"/>
        <w:spacing w:line="360" w:lineRule="auto"/>
        <w:ind w:right="-108"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时    间：</w:t>
      </w:r>
    </w:p>
    <w:p w14:paraId="2929B339">
      <w:pPr>
        <w:shd w:val="clear"/>
        <w:spacing w:line="360" w:lineRule="auto"/>
        <w:ind w:right="-108"/>
        <w:jc w:val="center"/>
        <w:rPr>
          <w:rFonts w:ascii="宋体" w:hAnsi="宋体" w:cs="宋体"/>
          <w:b/>
          <w:color w:val="auto"/>
          <w:sz w:val="36"/>
          <w:szCs w:val="36"/>
          <w:highlight w:val="none"/>
        </w:rPr>
      </w:pPr>
    </w:p>
    <w:p w14:paraId="02B5F78B">
      <w:pPr>
        <w:shd w:val="clear"/>
        <w:spacing w:line="360" w:lineRule="auto"/>
        <w:ind w:right="-108"/>
        <w:jc w:val="center"/>
        <w:rPr>
          <w:rFonts w:ascii="宋体" w:hAnsi="宋体" w:cs="宋体"/>
          <w:b/>
          <w:color w:val="auto"/>
          <w:sz w:val="32"/>
          <w:szCs w:val="32"/>
          <w:highlight w:val="none"/>
        </w:rPr>
      </w:pPr>
    </w:p>
    <w:p w14:paraId="50136C8D">
      <w:pPr>
        <w:shd w:val="clear"/>
        <w:spacing w:line="360" w:lineRule="auto"/>
        <w:ind w:right="-108"/>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报价文件目录</w:t>
      </w:r>
    </w:p>
    <w:p w14:paraId="6DA5CBAA">
      <w:pPr>
        <w:shd w:val="clear"/>
        <w:spacing w:line="360" w:lineRule="auto"/>
        <w:ind w:right="-108"/>
        <w:jc w:val="center"/>
        <w:rPr>
          <w:rFonts w:ascii="宋体" w:hAnsi="宋体" w:cs="宋体"/>
          <w:b/>
          <w:color w:val="auto"/>
          <w:sz w:val="36"/>
          <w:szCs w:val="36"/>
          <w:highlight w:val="none"/>
        </w:rPr>
      </w:pPr>
    </w:p>
    <w:p w14:paraId="18BCEE23">
      <w:pPr>
        <w:shd w:val="clea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（1）开标一览表；</w:t>
      </w:r>
    </w:p>
    <w:p w14:paraId="54C93904">
      <w:pPr>
        <w:shd w:val="clea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（2）报价明细表；</w:t>
      </w:r>
    </w:p>
    <w:p w14:paraId="71898505">
      <w:pPr>
        <w:shd w:val="clea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olor w:val="auto"/>
          <w:kern w:val="0"/>
          <w:sz w:val="24"/>
          <w:highlight w:val="none"/>
        </w:rPr>
        <w:t>（3）政府采购优惠政策相关资料（如有）</w:t>
      </w:r>
      <w:r>
        <w:rPr>
          <w:rFonts w:hint="eastAsia" w:ascii="宋体" w:hAnsi="宋体" w:cs="宋体"/>
          <w:color w:val="auto"/>
          <w:sz w:val="24"/>
          <w:highlight w:val="none"/>
        </w:rPr>
        <w:t>；</w:t>
      </w:r>
    </w:p>
    <w:p w14:paraId="6DE9FEC4">
      <w:pPr>
        <w:shd w:val="clea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（4）针对报价投标供应商认为其他需要说明的内容（如有）。</w:t>
      </w:r>
    </w:p>
    <w:p w14:paraId="45FB8271">
      <w:pPr>
        <w:shd w:val="clear"/>
        <w:spacing w:line="360" w:lineRule="auto"/>
        <w:ind w:left="480"/>
        <w:rPr>
          <w:rFonts w:ascii="宋体" w:hAnsi="宋体" w:cs="宋体"/>
          <w:b/>
          <w:color w:val="auto"/>
          <w:sz w:val="28"/>
          <w:highlight w:val="none"/>
        </w:rPr>
      </w:pPr>
    </w:p>
    <w:p w14:paraId="35338971">
      <w:pPr>
        <w:shd w:val="clear"/>
        <w:spacing w:line="360" w:lineRule="auto"/>
        <w:ind w:left="480"/>
        <w:rPr>
          <w:rFonts w:ascii="宋体" w:hAnsi="宋体" w:cs="宋体"/>
          <w:b/>
          <w:color w:val="auto"/>
          <w:sz w:val="28"/>
          <w:highlight w:val="none"/>
        </w:rPr>
      </w:pPr>
    </w:p>
    <w:p w14:paraId="74DA5234">
      <w:pPr>
        <w:shd w:val="clear"/>
        <w:spacing w:line="360" w:lineRule="auto"/>
        <w:ind w:left="480"/>
        <w:rPr>
          <w:rFonts w:ascii="宋体" w:hAnsi="宋体" w:cs="宋体"/>
          <w:b/>
          <w:color w:val="auto"/>
          <w:sz w:val="28"/>
          <w:highlight w:val="none"/>
        </w:rPr>
      </w:pPr>
    </w:p>
    <w:p w14:paraId="2C68F20C">
      <w:pPr>
        <w:shd w:val="clear"/>
        <w:spacing w:line="360" w:lineRule="auto"/>
        <w:ind w:left="480"/>
        <w:rPr>
          <w:rFonts w:ascii="宋体" w:hAnsi="宋体" w:cs="宋体"/>
          <w:b/>
          <w:color w:val="auto"/>
          <w:sz w:val="28"/>
          <w:highlight w:val="none"/>
        </w:rPr>
      </w:pPr>
    </w:p>
    <w:p w14:paraId="1A6055B4">
      <w:pPr>
        <w:shd w:val="clear"/>
        <w:spacing w:line="360" w:lineRule="auto"/>
        <w:ind w:left="480"/>
        <w:rPr>
          <w:rFonts w:ascii="宋体" w:hAnsi="宋体" w:cs="宋体"/>
          <w:b/>
          <w:color w:val="auto"/>
          <w:sz w:val="28"/>
          <w:highlight w:val="none"/>
        </w:rPr>
      </w:pPr>
    </w:p>
    <w:p w14:paraId="7E1F7E36">
      <w:pPr>
        <w:shd w:val="clear"/>
        <w:spacing w:line="360" w:lineRule="auto"/>
        <w:ind w:left="480"/>
        <w:rPr>
          <w:rFonts w:ascii="宋体" w:hAnsi="宋体" w:cs="宋体"/>
          <w:b/>
          <w:color w:val="auto"/>
          <w:sz w:val="28"/>
          <w:highlight w:val="none"/>
        </w:rPr>
      </w:pPr>
    </w:p>
    <w:p w14:paraId="7D04152E">
      <w:pPr>
        <w:shd w:val="clear"/>
        <w:spacing w:line="360" w:lineRule="auto"/>
        <w:ind w:left="480"/>
        <w:rPr>
          <w:rFonts w:ascii="宋体" w:hAnsi="宋体" w:cs="宋体"/>
          <w:b/>
          <w:color w:val="auto"/>
          <w:sz w:val="28"/>
          <w:highlight w:val="none"/>
        </w:rPr>
      </w:pPr>
    </w:p>
    <w:p w14:paraId="0E93CA75">
      <w:pPr>
        <w:shd w:val="clear"/>
        <w:spacing w:line="360" w:lineRule="auto"/>
        <w:ind w:left="480"/>
        <w:rPr>
          <w:rFonts w:ascii="宋体" w:hAnsi="宋体" w:cs="宋体"/>
          <w:b/>
          <w:color w:val="auto"/>
          <w:sz w:val="28"/>
          <w:highlight w:val="none"/>
        </w:rPr>
      </w:pPr>
    </w:p>
    <w:p w14:paraId="0CB94658">
      <w:pPr>
        <w:shd w:val="clear"/>
        <w:spacing w:line="360" w:lineRule="auto"/>
        <w:ind w:left="480"/>
        <w:rPr>
          <w:rFonts w:ascii="宋体" w:hAnsi="宋体" w:cs="宋体"/>
          <w:b/>
          <w:color w:val="auto"/>
          <w:sz w:val="28"/>
          <w:highlight w:val="none"/>
        </w:rPr>
      </w:pPr>
    </w:p>
    <w:p w14:paraId="302ED531">
      <w:pPr>
        <w:shd w:val="clear"/>
        <w:spacing w:line="360" w:lineRule="auto"/>
        <w:ind w:left="480"/>
        <w:rPr>
          <w:rFonts w:ascii="宋体" w:hAnsi="宋体" w:cs="宋体"/>
          <w:b/>
          <w:color w:val="auto"/>
          <w:sz w:val="28"/>
          <w:highlight w:val="none"/>
        </w:rPr>
      </w:pPr>
    </w:p>
    <w:p w14:paraId="2D30C48B">
      <w:pPr>
        <w:shd w:val="clear"/>
        <w:spacing w:line="360" w:lineRule="auto"/>
        <w:ind w:left="480"/>
        <w:rPr>
          <w:rFonts w:ascii="宋体" w:hAnsi="宋体" w:cs="宋体"/>
          <w:b/>
          <w:color w:val="auto"/>
          <w:sz w:val="28"/>
          <w:highlight w:val="none"/>
        </w:rPr>
      </w:pPr>
    </w:p>
    <w:p w14:paraId="44F72419">
      <w:pPr>
        <w:shd w:val="clear"/>
        <w:spacing w:line="360" w:lineRule="auto"/>
        <w:ind w:left="480"/>
        <w:rPr>
          <w:rFonts w:ascii="宋体" w:hAnsi="宋体" w:cs="宋体"/>
          <w:b/>
          <w:color w:val="auto"/>
          <w:sz w:val="28"/>
          <w:highlight w:val="none"/>
        </w:rPr>
      </w:pPr>
    </w:p>
    <w:p w14:paraId="5853F917">
      <w:pPr>
        <w:shd w:val="clear"/>
        <w:rPr>
          <w:rFonts w:ascii="宋体" w:hAnsi="宋体" w:cs="宋体"/>
          <w:b/>
          <w:color w:val="auto"/>
          <w:sz w:val="28"/>
          <w:highlight w:val="none"/>
        </w:rPr>
      </w:pPr>
      <w:r>
        <w:rPr>
          <w:rFonts w:hint="eastAsia" w:ascii="宋体" w:hAnsi="宋体" w:cs="宋体"/>
          <w:b/>
          <w:color w:val="auto"/>
          <w:sz w:val="28"/>
          <w:highlight w:val="none"/>
        </w:rPr>
        <w:br w:type="page"/>
      </w:r>
    </w:p>
    <w:p w14:paraId="421B01BD">
      <w:pPr>
        <w:shd w:val="clear"/>
        <w:spacing w:line="360" w:lineRule="auto"/>
        <w:rPr>
          <w:rFonts w:ascii="宋体" w:hAnsi="宋体" w:cs="宋体"/>
          <w:b/>
          <w:color w:val="auto"/>
          <w:sz w:val="28"/>
          <w:highlight w:val="none"/>
        </w:rPr>
      </w:pPr>
      <w:r>
        <w:rPr>
          <w:rFonts w:hint="eastAsia" w:ascii="宋体" w:hAnsi="宋体" w:cs="宋体"/>
          <w:b/>
          <w:color w:val="auto"/>
          <w:sz w:val="28"/>
          <w:highlight w:val="none"/>
        </w:rPr>
        <w:t>附件15</w:t>
      </w:r>
    </w:p>
    <w:p w14:paraId="5CBBB7CE">
      <w:pPr>
        <w:pStyle w:val="74"/>
        <w:shd w:val="clear"/>
        <w:spacing w:line="360" w:lineRule="auto"/>
        <w:ind w:right="480"/>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开标一览表 </w:t>
      </w:r>
    </w:p>
    <w:p w14:paraId="250AA63C">
      <w:pPr>
        <w:pStyle w:val="74"/>
        <w:shd w:val="clear"/>
        <w:spacing w:line="360" w:lineRule="auto"/>
        <w:ind w:right="480"/>
        <w:jc w:val="right"/>
        <w:rPr>
          <w:rFonts w:ascii="宋体" w:hAnsi="宋体" w:cs="宋体"/>
          <w:color w:val="auto"/>
          <w:sz w:val="24"/>
          <w:highlight w:val="none"/>
        </w:rPr>
      </w:pPr>
      <w:r>
        <w:rPr>
          <w:rFonts w:hint="eastAsia" w:ascii="宋体" w:hAnsi="宋体" w:cs="宋体"/>
          <w:color w:val="auto"/>
          <w:sz w:val="24"/>
          <w:highlight w:val="none"/>
        </w:rPr>
        <w:t>[货币单位：人民币元]</w:t>
      </w:r>
    </w:p>
    <w:tbl>
      <w:tblPr>
        <w:tblStyle w:val="46"/>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8C695E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771186CA">
            <w:pPr>
              <w:keepNext w:val="0"/>
              <w:keepLines w:val="0"/>
              <w:suppressLineNumbers w:val="0"/>
              <w:shd w:val="clear"/>
              <w:autoSpaceDE w:val="0"/>
              <w:autoSpaceDN w:val="0"/>
              <w:spacing w:before="0" w:beforeAutospacing="0" w:after="0" w:afterAutospacing="0" w:line="450" w:lineRule="exact"/>
              <w:ind w:left="0" w:right="0"/>
              <w:jc w:val="center"/>
              <w:textAlignment w:val="bottom"/>
              <w:rPr>
                <w:rFonts w:hint="default" w:ascii="宋体" w:cs="宋体"/>
                <w:color w:val="auto"/>
                <w:sz w:val="24"/>
                <w:highlight w:val="none"/>
              </w:rPr>
            </w:pPr>
            <w:r>
              <w:rPr>
                <w:rFonts w:hint="eastAsia" w:ascii="宋体" w:cs="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02341E92">
            <w:pPr>
              <w:keepNext w:val="0"/>
              <w:keepLines w:val="0"/>
              <w:suppressLineNumbers w:val="0"/>
              <w:shd w:val="clear"/>
              <w:autoSpaceDE w:val="0"/>
              <w:autoSpaceDN w:val="0"/>
              <w:spacing w:before="0" w:beforeAutospacing="0" w:after="0" w:afterAutospacing="0" w:line="450" w:lineRule="exact"/>
              <w:ind w:left="0" w:right="0"/>
              <w:jc w:val="center"/>
              <w:textAlignment w:val="bottom"/>
              <w:rPr>
                <w:rFonts w:hint="default" w:ascii="宋体" w:cs="宋体"/>
                <w:color w:val="auto"/>
                <w:sz w:val="24"/>
                <w:highlight w:val="none"/>
              </w:rPr>
            </w:pPr>
            <w:r>
              <w:rPr>
                <w:rFonts w:hint="eastAsia" w:ascii="宋体" w:cs="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6ACD80CB">
            <w:pPr>
              <w:keepNext w:val="0"/>
              <w:keepLines w:val="0"/>
              <w:suppressLineNumbers w:val="0"/>
              <w:shd w:val="clear"/>
              <w:autoSpaceDE w:val="0"/>
              <w:autoSpaceDN w:val="0"/>
              <w:spacing w:before="0" w:beforeAutospacing="0" w:after="0" w:afterAutospacing="0" w:line="450" w:lineRule="exact"/>
              <w:ind w:left="0" w:right="0"/>
              <w:jc w:val="center"/>
              <w:textAlignment w:val="bottom"/>
              <w:rPr>
                <w:rFonts w:hint="default" w:ascii="宋体" w:cs="宋体"/>
                <w:color w:val="auto"/>
                <w:sz w:val="24"/>
                <w:highlight w:val="none"/>
              </w:rPr>
            </w:pPr>
          </w:p>
        </w:tc>
      </w:tr>
      <w:tr w14:paraId="72A3107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072691E4">
            <w:pPr>
              <w:keepNext w:val="0"/>
              <w:keepLines w:val="0"/>
              <w:suppressLineNumbers w:val="0"/>
              <w:shd w:val="clear"/>
              <w:spacing w:before="0" w:beforeAutospacing="0" w:after="0" w:afterAutospacing="0"/>
              <w:ind w:left="0" w:right="0"/>
              <w:rPr>
                <w:rFonts w:hint="default"/>
                <w:color w:val="auto"/>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546D2571">
            <w:pPr>
              <w:keepNext w:val="0"/>
              <w:keepLines w:val="0"/>
              <w:suppressLineNumbers w:val="0"/>
              <w:shd w:val="clear"/>
              <w:autoSpaceDE w:val="0"/>
              <w:autoSpaceDN w:val="0"/>
              <w:spacing w:before="0" w:beforeAutospacing="0" w:after="0" w:afterAutospacing="0" w:line="450" w:lineRule="exact"/>
              <w:ind w:left="0" w:right="0"/>
              <w:jc w:val="center"/>
              <w:textAlignment w:val="bottom"/>
              <w:rPr>
                <w:rFonts w:hint="default" w:ascii="宋体" w:cs="宋体"/>
                <w:color w:val="auto"/>
                <w:sz w:val="24"/>
                <w:highlight w:val="none"/>
              </w:rPr>
            </w:pPr>
            <w:r>
              <w:rPr>
                <w:rFonts w:hint="eastAsia" w:ascii="宋体" w:cs="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225A1553">
            <w:pPr>
              <w:keepNext w:val="0"/>
              <w:keepLines w:val="0"/>
              <w:suppressLineNumbers w:val="0"/>
              <w:shd w:val="clear"/>
              <w:autoSpaceDE w:val="0"/>
              <w:autoSpaceDN w:val="0"/>
              <w:spacing w:before="0" w:beforeAutospacing="0" w:after="0" w:afterAutospacing="0" w:line="450" w:lineRule="exact"/>
              <w:ind w:left="0" w:right="0"/>
              <w:jc w:val="center"/>
              <w:textAlignment w:val="bottom"/>
              <w:rPr>
                <w:rFonts w:hint="default" w:ascii="宋体" w:cs="宋体"/>
                <w:color w:val="auto"/>
                <w:sz w:val="24"/>
                <w:highlight w:val="none"/>
              </w:rPr>
            </w:pPr>
          </w:p>
        </w:tc>
      </w:tr>
    </w:tbl>
    <w:p w14:paraId="674DA2EB">
      <w:pPr>
        <w:shd w:val="clear"/>
        <w:spacing w:line="360" w:lineRule="auto"/>
        <w:ind w:left="480"/>
        <w:rPr>
          <w:rFonts w:ascii="宋体" w:hAnsi="宋体" w:cs="宋体"/>
          <w:b/>
          <w:color w:val="auto"/>
          <w:sz w:val="30"/>
          <w:highlight w:val="none"/>
        </w:rPr>
      </w:pPr>
    </w:p>
    <w:p w14:paraId="01FACA3B">
      <w:pPr>
        <w:shd w:val="clear"/>
        <w:spacing w:line="360" w:lineRule="auto"/>
        <w:rPr>
          <w:rFonts w:ascii="宋体" w:hAnsi="宋体" w:cs="宋体"/>
          <w:color w:val="auto"/>
          <w:sz w:val="24"/>
          <w:highlight w:val="none"/>
        </w:rPr>
      </w:pPr>
      <w:r>
        <w:rPr>
          <w:rFonts w:hint="eastAsia" w:ascii="宋体" w:hAnsi="宋体" w:cs="宋体"/>
          <w:b/>
          <w:color w:val="auto"/>
          <w:szCs w:val="21"/>
          <w:highlight w:val="none"/>
        </w:rPr>
        <w:t>填报要求：</w:t>
      </w:r>
    </w:p>
    <w:p w14:paraId="5441B7D6">
      <w:pPr>
        <w:pStyle w:val="17"/>
        <w:shd w:val="clear"/>
        <w:spacing w:line="360" w:lineRule="auto"/>
        <w:ind w:firstLineChars="200"/>
        <w:rPr>
          <w:rFonts w:ascii="宋体" w:cs="宋体"/>
          <w:color w:val="auto"/>
          <w:kern w:val="0"/>
          <w:szCs w:val="21"/>
          <w:highlight w:val="none"/>
        </w:rPr>
      </w:pPr>
      <w:r>
        <w:rPr>
          <w:rFonts w:hint="eastAsia" w:ascii="宋体" w:cs="宋体"/>
          <w:color w:val="auto"/>
          <w:kern w:val="0"/>
          <w:szCs w:val="21"/>
          <w:highlight w:val="none"/>
        </w:rPr>
        <w:t>1.投标总报价</w:t>
      </w:r>
      <w:r>
        <w:rPr>
          <w:rFonts w:hint="eastAsia" w:ascii="宋体" w:cs="宋体"/>
          <w:color w:val="auto"/>
          <w:kern w:val="0"/>
          <w:szCs w:val="21"/>
          <w:highlight w:val="none"/>
          <w:lang w:val="en-US" w:eastAsia="zh-CN"/>
        </w:rPr>
        <w:t>包括</w:t>
      </w:r>
      <w:r>
        <w:rPr>
          <w:rFonts w:hint="eastAsia" w:ascii="宋体" w:cs="宋体"/>
          <w:color w:val="auto"/>
          <w:kern w:val="0"/>
          <w:szCs w:val="21"/>
          <w:highlight w:val="none"/>
        </w:rPr>
        <w:t>但不仅限于项目相关的人员、设备、调试集成费用、培训费、验收费等。供应商应充分考虑安装、培训、对接、验收等工作时各环节所发生的费用，以及合同包含的所有风险责任等各项费用及不可预见费等所需的全部费用已包含在投标报价中</w:t>
      </w:r>
      <w:r>
        <w:rPr>
          <w:rFonts w:hint="eastAsia" w:hAnsi="宋体" w:cs="宋体"/>
          <w:color w:val="auto"/>
          <w:kern w:val="0"/>
          <w:szCs w:val="21"/>
          <w:highlight w:val="none"/>
        </w:rPr>
        <w:t>。</w:t>
      </w:r>
    </w:p>
    <w:p w14:paraId="5818F324">
      <w:pPr>
        <w:shd w:val="clear"/>
        <w:spacing w:line="360" w:lineRule="auto"/>
        <w:ind w:firstLine="420" w:firstLineChars="200"/>
        <w:rPr>
          <w:rFonts w:ascii="宋体" w:cs="宋体"/>
          <w:b/>
          <w:i/>
          <w:color w:val="auto"/>
          <w:szCs w:val="21"/>
          <w:highlight w:val="none"/>
          <w:u w:val="single"/>
        </w:rPr>
      </w:pPr>
      <w:r>
        <w:rPr>
          <w:rFonts w:hint="eastAsia" w:ascii="宋体" w:cs="宋体"/>
          <w:color w:val="auto"/>
          <w:kern w:val="0"/>
          <w:szCs w:val="21"/>
          <w:highlight w:val="none"/>
        </w:rPr>
        <w:t>2.报价一经涂改，应在涂改处加盖单位公章，或者由法定代表人或授权委托代理人签字或盖章，否则其投标作无效标处理。</w:t>
      </w:r>
    </w:p>
    <w:p w14:paraId="7B1992B8">
      <w:pPr>
        <w:shd w:val="clear"/>
        <w:spacing w:line="360" w:lineRule="auto"/>
        <w:rPr>
          <w:rFonts w:ascii="宋体" w:hAnsi="宋体" w:cs="宋体"/>
          <w:color w:val="auto"/>
          <w:sz w:val="24"/>
          <w:highlight w:val="none"/>
        </w:rPr>
      </w:pPr>
    </w:p>
    <w:p w14:paraId="31255DE5">
      <w:pPr>
        <w:shd w:val="clea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14:paraId="584E5972">
      <w:pPr>
        <w:shd w:val="clear"/>
        <w:spacing w:line="360" w:lineRule="auto"/>
        <w:ind w:left="420"/>
        <w:rPr>
          <w:rFonts w:ascii="宋体" w:hAnsi="宋体" w:cs="宋体"/>
          <w:color w:val="auto"/>
          <w:sz w:val="24"/>
          <w:highlight w:val="none"/>
        </w:rPr>
      </w:pPr>
    </w:p>
    <w:p w14:paraId="2D03A0C5">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14:paraId="06F48DFC">
      <w:pPr>
        <w:shd w:val="clear"/>
        <w:spacing w:line="360" w:lineRule="auto"/>
        <w:ind w:firstLine="435"/>
        <w:rPr>
          <w:rFonts w:ascii="宋体" w:hAnsi="宋体" w:cs="宋体"/>
          <w:color w:val="auto"/>
          <w:sz w:val="24"/>
          <w:highlight w:val="none"/>
        </w:rPr>
      </w:pPr>
    </w:p>
    <w:p w14:paraId="189CA556">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14:paraId="5CF97A5E">
      <w:pPr>
        <w:shd w:val="clear"/>
        <w:spacing w:line="360" w:lineRule="auto"/>
        <w:rPr>
          <w:color w:val="auto"/>
          <w:highlight w:val="none"/>
        </w:rPr>
        <w:sectPr>
          <w:pgSz w:w="11906" w:h="16838"/>
          <w:pgMar w:top="1440" w:right="1803" w:bottom="1440" w:left="1803" w:header="851" w:footer="992" w:gutter="0"/>
          <w:cols w:space="0" w:num="1"/>
          <w:docGrid w:type="lines" w:linePitch="319" w:charSpace="0"/>
        </w:sectPr>
      </w:pPr>
    </w:p>
    <w:p w14:paraId="45D8969E">
      <w:pPr>
        <w:widowControl/>
        <w:shd w:val="clear"/>
        <w:jc w:val="left"/>
        <w:rPr>
          <w:rFonts w:ascii="宋体" w:hAnsi="宋体"/>
          <w:b/>
          <w:color w:val="auto"/>
          <w:sz w:val="28"/>
          <w:highlight w:val="none"/>
        </w:rPr>
      </w:pPr>
    </w:p>
    <w:p w14:paraId="046528F0">
      <w:pPr>
        <w:shd w:val="clear"/>
        <w:spacing w:line="360" w:lineRule="auto"/>
        <w:rPr>
          <w:rFonts w:ascii="宋体" w:hAnsi="宋体"/>
          <w:b/>
          <w:color w:val="auto"/>
          <w:sz w:val="28"/>
          <w:highlight w:val="none"/>
        </w:rPr>
      </w:pPr>
      <w:r>
        <w:rPr>
          <w:rFonts w:hint="eastAsia" w:ascii="宋体" w:hAnsi="宋体"/>
          <w:b/>
          <w:color w:val="auto"/>
          <w:sz w:val="28"/>
          <w:highlight w:val="none"/>
        </w:rPr>
        <w:t>附件16</w:t>
      </w:r>
    </w:p>
    <w:p w14:paraId="55D524CF">
      <w:pPr>
        <w:shd w:val="clear"/>
        <w:spacing w:line="360" w:lineRule="auto"/>
        <w:ind w:left="480"/>
        <w:jc w:val="center"/>
        <w:rPr>
          <w:rFonts w:ascii="宋体" w:hAnsi="宋体"/>
          <w:color w:val="auto"/>
          <w:highlight w:val="none"/>
        </w:rPr>
      </w:pPr>
      <w:r>
        <w:rPr>
          <w:rFonts w:hint="eastAsia" w:ascii="宋体" w:hAnsi="宋体"/>
          <w:b/>
          <w:color w:val="auto"/>
          <w:sz w:val="32"/>
          <w:szCs w:val="32"/>
          <w:highlight w:val="none"/>
        </w:rPr>
        <w:t xml:space="preserve">报价明细表 </w:t>
      </w:r>
    </w:p>
    <w:p w14:paraId="76298A3C">
      <w:pPr>
        <w:pStyle w:val="74"/>
        <w:shd w:val="clear"/>
        <w:spacing w:line="360" w:lineRule="auto"/>
        <w:ind w:right="480"/>
        <w:jc w:val="right"/>
        <w:rPr>
          <w:rFonts w:ascii="宋体" w:hAnsi="宋体"/>
          <w:color w:val="auto"/>
          <w:sz w:val="24"/>
          <w:highlight w:val="none"/>
        </w:rPr>
      </w:pPr>
      <w:r>
        <w:rPr>
          <w:rFonts w:hint="eastAsia" w:ascii="宋体" w:hAnsi="宋体"/>
          <w:color w:val="auto"/>
          <w:sz w:val="24"/>
          <w:highlight w:val="none"/>
        </w:rPr>
        <w:t>[货币单位：人民币元]</w:t>
      </w:r>
    </w:p>
    <w:tbl>
      <w:tblPr>
        <w:tblStyle w:val="4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2316"/>
        <w:gridCol w:w="857"/>
        <w:gridCol w:w="858"/>
        <w:gridCol w:w="1893"/>
        <w:gridCol w:w="1422"/>
      </w:tblGrid>
      <w:tr w14:paraId="79E4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176" w:type="dxa"/>
            <w:noWrap/>
            <w:vAlign w:val="center"/>
          </w:tcPr>
          <w:p w14:paraId="7613E8C5">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序号</w:t>
            </w:r>
          </w:p>
        </w:tc>
        <w:tc>
          <w:tcPr>
            <w:tcW w:w="2316" w:type="dxa"/>
            <w:noWrap/>
            <w:vAlign w:val="center"/>
          </w:tcPr>
          <w:p w14:paraId="681F9A72">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jc w:val="center"/>
              <w:rPr>
                <w:rFonts w:hint="default"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报价项目</w:t>
            </w:r>
          </w:p>
        </w:tc>
        <w:tc>
          <w:tcPr>
            <w:tcW w:w="857" w:type="dxa"/>
            <w:noWrap/>
            <w:vAlign w:val="center"/>
          </w:tcPr>
          <w:p w14:paraId="5A1FD076">
            <w:pPr>
              <w:keepNext w:val="0"/>
              <w:keepLines w:val="0"/>
              <w:suppressLineNumbers w:val="0"/>
              <w:shd w:val="clear"/>
              <w:tabs>
                <w:tab w:val="left" w:pos="8280"/>
              </w:tabs>
              <w:autoSpaceDE w:val="0"/>
              <w:autoSpaceDN w:val="0"/>
              <w:adjustRightInd w:val="0"/>
              <w:spacing w:before="0" w:beforeAutospacing="0" w:after="0" w:afterAutospacing="0" w:line="360" w:lineRule="auto"/>
              <w:ind w:left="0" w:right="25"/>
              <w:jc w:val="center"/>
              <w:rPr>
                <w:rFonts w:hint="default"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单位</w:t>
            </w:r>
          </w:p>
        </w:tc>
        <w:tc>
          <w:tcPr>
            <w:tcW w:w="858" w:type="dxa"/>
            <w:noWrap/>
            <w:vAlign w:val="center"/>
          </w:tcPr>
          <w:p w14:paraId="2EEC0711">
            <w:pPr>
              <w:keepNext w:val="0"/>
              <w:keepLines w:val="0"/>
              <w:suppressLineNumbers w:val="0"/>
              <w:shd w:val="clear"/>
              <w:spacing w:before="0" w:beforeAutospacing="0" w:after="0" w:afterAutospacing="0" w:line="360" w:lineRule="auto"/>
              <w:ind w:left="152" w:right="0"/>
              <w:jc w:val="center"/>
              <w:rPr>
                <w:rFonts w:hint="default"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数量</w:t>
            </w:r>
          </w:p>
        </w:tc>
        <w:tc>
          <w:tcPr>
            <w:tcW w:w="1893" w:type="dxa"/>
            <w:noWrap/>
            <w:vAlign w:val="center"/>
          </w:tcPr>
          <w:p w14:paraId="41C54260">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单价（元）</w:t>
            </w:r>
          </w:p>
        </w:tc>
        <w:tc>
          <w:tcPr>
            <w:tcW w:w="1422" w:type="dxa"/>
            <w:noWrap/>
            <w:vAlign w:val="center"/>
          </w:tcPr>
          <w:p w14:paraId="3D3F3EC4">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小计（元）</w:t>
            </w:r>
          </w:p>
        </w:tc>
      </w:tr>
      <w:tr w14:paraId="68F2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1176" w:type="dxa"/>
            <w:noWrap/>
            <w:vAlign w:val="center"/>
          </w:tcPr>
          <w:p w14:paraId="472EAF17">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2316" w:type="dxa"/>
            <w:noWrap/>
            <w:vAlign w:val="center"/>
          </w:tcPr>
          <w:p w14:paraId="6CD4346C">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c>
          <w:tcPr>
            <w:tcW w:w="857" w:type="dxa"/>
            <w:noWrap/>
            <w:vAlign w:val="center"/>
          </w:tcPr>
          <w:p w14:paraId="491E4BAA">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c>
          <w:tcPr>
            <w:tcW w:w="858" w:type="dxa"/>
            <w:noWrap/>
            <w:vAlign w:val="center"/>
          </w:tcPr>
          <w:p w14:paraId="7DA58FDE">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c>
          <w:tcPr>
            <w:tcW w:w="1893" w:type="dxa"/>
            <w:noWrap/>
            <w:vAlign w:val="center"/>
          </w:tcPr>
          <w:p w14:paraId="415CA32E">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c>
          <w:tcPr>
            <w:tcW w:w="1422" w:type="dxa"/>
            <w:noWrap/>
            <w:vAlign w:val="center"/>
          </w:tcPr>
          <w:p w14:paraId="139E97C2">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r>
      <w:tr w14:paraId="1A5E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1176" w:type="dxa"/>
            <w:noWrap/>
            <w:vAlign w:val="center"/>
          </w:tcPr>
          <w:p w14:paraId="620B8F74">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2316" w:type="dxa"/>
            <w:noWrap/>
            <w:vAlign w:val="center"/>
          </w:tcPr>
          <w:p w14:paraId="60178C08">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kern w:val="0"/>
                <w:sz w:val="24"/>
                <w:highlight w:val="none"/>
                <w:lang w:bidi="en-US"/>
              </w:rPr>
            </w:pPr>
          </w:p>
        </w:tc>
        <w:tc>
          <w:tcPr>
            <w:tcW w:w="857" w:type="dxa"/>
            <w:noWrap/>
            <w:vAlign w:val="center"/>
          </w:tcPr>
          <w:p w14:paraId="16CC7861">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kern w:val="0"/>
                <w:sz w:val="24"/>
                <w:highlight w:val="none"/>
                <w:lang w:bidi="en-US"/>
              </w:rPr>
            </w:pPr>
          </w:p>
        </w:tc>
        <w:tc>
          <w:tcPr>
            <w:tcW w:w="858" w:type="dxa"/>
            <w:noWrap/>
            <w:vAlign w:val="center"/>
          </w:tcPr>
          <w:p w14:paraId="2BA7F384">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c>
          <w:tcPr>
            <w:tcW w:w="1893" w:type="dxa"/>
            <w:noWrap/>
            <w:vAlign w:val="center"/>
          </w:tcPr>
          <w:p w14:paraId="7C73F9B4">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c>
          <w:tcPr>
            <w:tcW w:w="1422" w:type="dxa"/>
            <w:noWrap/>
            <w:vAlign w:val="center"/>
          </w:tcPr>
          <w:p w14:paraId="7DBC5DC6">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r>
      <w:tr w14:paraId="69DA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1176" w:type="dxa"/>
            <w:noWrap/>
            <w:vAlign w:val="center"/>
          </w:tcPr>
          <w:p w14:paraId="7A07EAAB">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2316" w:type="dxa"/>
            <w:noWrap/>
            <w:vAlign w:val="center"/>
          </w:tcPr>
          <w:p w14:paraId="141B12EE">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c>
          <w:tcPr>
            <w:tcW w:w="857" w:type="dxa"/>
            <w:noWrap/>
            <w:vAlign w:val="center"/>
          </w:tcPr>
          <w:p w14:paraId="353748DD">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c>
          <w:tcPr>
            <w:tcW w:w="858" w:type="dxa"/>
            <w:noWrap/>
            <w:vAlign w:val="center"/>
          </w:tcPr>
          <w:p w14:paraId="2BC2B34F">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c>
          <w:tcPr>
            <w:tcW w:w="1893" w:type="dxa"/>
            <w:noWrap/>
            <w:vAlign w:val="center"/>
          </w:tcPr>
          <w:p w14:paraId="4B942B43">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c>
          <w:tcPr>
            <w:tcW w:w="1422" w:type="dxa"/>
            <w:noWrap/>
            <w:vAlign w:val="center"/>
          </w:tcPr>
          <w:p w14:paraId="745FB338">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r>
      <w:tr w14:paraId="6524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176" w:type="dxa"/>
            <w:vMerge w:val="restart"/>
            <w:noWrap/>
            <w:vAlign w:val="center"/>
          </w:tcPr>
          <w:p w14:paraId="1B849D18">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费用总计</w:t>
            </w:r>
          </w:p>
        </w:tc>
        <w:tc>
          <w:tcPr>
            <w:tcW w:w="7346" w:type="dxa"/>
            <w:gridSpan w:val="5"/>
            <w:noWrap/>
            <w:vAlign w:val="center"/>
          </w:tcPr>
          <w:p w14:paraId="02ECEE11">
            <w:pPr>
              <w:keepNext w:val="0"/>
              <w:keepLines w:val="0"/>
              <w:suppressLineNumbers w:val="0"/>
              <w:shd w:val="clear"/>
              <w:spacing w:before="0" w:beforeAutospacing="0" w:after="0" w:afterAutospacing="0" w:line="360" w:lineRule="auto"/>
              <w:ind w:left="0" w:right="0"/>
              <w:jc w:val="left"/>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大写：</w:t>
            </w:r>
          </w:p>
        </w:tc>
      </w:tr>
      <w:tr w14:paraId="0DFA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1176" w:type="dxa"/>
            <w:vMerge w:val="continue"/>
            <w:noWrap/>
            <w:vAlign w:val="center"/>
          </w:tcPr>
          <w:p w14:paraId="256175BB">
            <w:pPr>
              <w:keepNext w:val="0"/>
              <w:keepLines w:val="0"/>
              <w:suppressLineNumbers w:val="0"/>
              <w:shd w:val="clear"/>
              <w:spacing w:before="0" w:beforeAutospacing="0" w:after="0" w:afterAutospacing="0" w:line="360" w:lineRule="auto"/>
              <w:ind w:left="0" w:right="0"/>
              <w:jc w:val="center"/>
              <w:rPr>
                <w:rFonts w:hint="default" w:asciiTheme="majorEastAsia" w:hAnsiTheme="majorEastAsia" w:eastAsiaTheme="majorEastAsia" w:cstheme="majorEastAsia"/>
                <w:color w:val="auto"/>
                <w:sz w:val="24"/>
                <w:highlight w:val="none"/>
              </w:rPr>
            </w:pPr>
          </w:p>
        </w:tc>
        <w:tc>
          <w:tcPr>
            <w:tcW w:w="7346" w:type="dxa"/>
            <w:gridSpan w:val="5"/>
            <w:noWrap/>
            <w:vAlign w:val="center"/>
          </w:tcPr>
          <w:p w14:paraId="265D1B67">
            <w:pPr>
              <w:keepNext w:val="0"/>
              <w:keepLines w:val="0"/>
              <w:suppressLineNumbers w:val="0"/>
              <w:shd w:val="clear"/>
              <w:spacing w:before="0" w:beforeAutospacing="0" w:after="0" w:afterAutospacing="0" w:line="360" w:lineRule="auto"/>
              <w:ind w:left="0" w:right="0"/>
              <w:jc w:val="left"/>
              <w:rPr>
                <w:rFonts w:hint="default"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小写：</w:t>
            </w:r>
          </w:p>
        </w:tc>
      </w:tr>
    </w:tbl>
    <w:p w14:paraId="4C7EBAE9">
      <w:pPr>
        <w:shd w:val="clear"/>
        <w:spacing w:line="360" w:lineRule="auto"/>
        <w:rPr>
          <w:rFonts w:ascii="宋体" w:hAnsi="宋体"/>
          <w:b/>
          <w:color w:val="auto"/>
          <w:szCs w:val="21"/>
          <w:highlight w:val="none"/>
        </w:rPr>
      </w:pPr>
      <w:r>
        <w:rPr>
          <w:rFonts w:hint="eastAsia" w:ascii="宋体" w:hAnsi="宋体"/>
          <w:b/>
          <w:color w:val="auto"/>
          <w:szCs w:val="21"/>
          <w:highlight w:val="none"/>
        </w:rPr>
        <w:t>要求：</w:t>
      </w:r>
    </w:p>
    <w:p w14:paraId="504FB282">
      <w:pPr>
        <w:shd w:val="clear"/>
        <w:spacing w:line="360" w:lineRule="auto"/>
        <w:ind w:left="435"/>
        <w:rPr>
          <w:rFonts w:ascii="宋体" w:hAnsi="宋体"/>
          <w:color w:val="auto"/>
          <w:szCs w:val="21"/>
          <w:highlight w:val="none"/>
        </w:rPr>
      </w:pPr>
      <w:r>
        <w:rPr>
          <w:rFonts w:hint="eastAsia" w:ascii="宋体" w:hAnsi="宋体"/>
          <w:color w:val="auto"/>
          <w:szCs w:val="21"/>
          <w:highlight w:val="none"/>
        </w:rPr>
        <w:t>1. 本表为《开标一览表》的报价明细表，如有缺项、漏项，视为投标报价中已包含相关费用，采购人无需另外支付任何费用。</w:t>
      </w:r>
    </w:p>
    <w:p w14:paraId="443996E8">
      <w:pPr>
        <w:shd w:val="clear"/>
        <w:spacing w:line="360" w:lineRule="auto"/>
        <w:ind w:left="435"/>
        <w:rPr>
          <w:rFonts w:ascii="宋体"/>
          <w:color w:val="auto"/>
          <w:szCs w:val="21"/>
          <w:highlight w:val="none"/>
          <w:lang w:val="zh-CN"/>
        </w:rPr>
      </w:pPr>
      <w:r>
        <w:rPr>
          <w:rFonts w:hint="eastAsia" w:ascii="宋体" w:hAnsi="宋体"/>
          <w:color w:val="auto"/>
          <w:szCs w:val="21"/>
          <w:highlight w:val="none"/>
        </w:rPr>
        <w:t>2.</w:t>
      </w:r>
      <w:r>
        <w:rPr>
          <w:rFonts w:hint="eastAsia" w:ascii="宋体"/>
          <w:color w:val="auto"/>
          <w:szCs w:val="21"/>
          <w:highlight w:val="none"/>
          <w:lang w:val="zh-CN"/>
        </w:rPr>
        <w:t>“报价明细表”中的报价总计应与“开标一览表”中的投标总报价相一致，不一致时，以开标一览表为准调整分项价格。</w:t>
      </w:r>
    </w:p>
    <w:p w14:paraId="0181F333">
      <w:pPr>
        <w:shd w:val="clear"/>
        <w:spacing w:line="360" w:lineRule="auto"/>
        <w:ind w:left="435"/>
        <w:rPr>
          <w:rFonts w:ascii="宋体" w:hAnsi="宋体"/>
          <w:color w:val="auto"/>
          <w:szCs w:val="21"/>
          <w:highlight w:val="none"/>
        </w:rPr>
      </w:pPr>
      <w:r>
        <w:rPr>
          <w:rFonts w:hint="eastAsia" w:ascii="宋体" w:hAnsi="宋体"/>
          <w:color w:val="auto"/>
          <w:szCs w:val="21"/>
          <w:highlight w:val="none"/>
        </w:rPr>
        <w:t>3.本表须每页盖章。</w:t>
      </w:r>
    </w:p>
    <w:p w14:paraId="10D808E2">
      <w:pPr>
        <w:shd w:val="clear"/>
        <w:spacing w:line="360" w:lineRule="auto"/>
        <w:ind w:firstLine="424" w:firstLineChars="177"/>
        <w:rPr>
          <w:rFonts w:ascii="宋体" w:hAnsi="宋体"/>
          <w:color w:val="auto"/>
          <w:sz w:val="24"/>
          <w:highlight w:val="none"/>
        </w:rPr>
      </w:pPr>
    </w:p>
    <w:p w14:paraId="05953D3D">
      <w:pPr>
        <w:shd w:val="clea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14:paraId="5432AEF3">
      <w:pPr>
        <w:shd w:val="clear"/>
        <w:spacing w:line="360" w:lineRule="auto"/>
        <w:ind w:left="420"/>
        <w:rPr>
          <w:rFonts w:ascii="宋体" w:hAnsi="宋体" w:cs="宋体"/>
          <w:color w:val="auto"/>
          <w:sz w:val="24"/>
          <w:highlight w:val="none"/>
        </w:rPr>
      </w:pPr>
    </w:p>
    <w:p w14:paraId="4C7C8CFF">
      <w:pPr>
        <w:shd w:val="clea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14:paraId="585E0827">
      <w:pPr>
        <w:shd w:val="clear"/>
        <w:spacing w:line="360" w:lineRule="auto"/>
        <w:ind w:firstLine="435"/>
        <w:rPr>
          <w:rFonts w:ascii="宋体" w:hAnsi="宋体" w:cs="宋体"/>
          <w:color w:val="auto"/>
          <w:sz w:val="24"/>
          <w:highlight w:val="none"/>
        </w:rPr>
      </w:pPr>
    </w:p>
    <w:p w14:paraId="1F183853">
      <w:pPr>
        <w:shd w:val="clear"/>
        <w:spacing w:line="360" w:lineRule="auto"/>
        <w:ind w:firstLine="435"/>
        <w:rPr>
          <w:rFonts w:ascii="宋体" w:hAnsi="宋体"/>
          <w:b/>
          <w:color w:val="auto"/>
          <w:sz w:val="28"/>
          <w:highlight w:val="none"/>
        </w:rPr>
      </w:pPr>
      <w:r>
        <w:rPr>
          <w:rFonts w:hint="eastAsia" w:ascii="宋体" w:hAnsi="宋体" w:cs="宋体"/>
          <w:color w:val="auto"/>
          <w:sz w:val="24"/>
          <w:highlight w:val="none"/>
        </w:rPr>
        <w:t>日        期：</w:t>
      </w:r>
    </w:p>
    <w:p w14:paraId="0E777267">
      <w:pPr>
        <w:widowControl/>
        <w:shd w:val="clear"/>
        <w:jc w:val="left"/>
        <w:rPr>
          <w:color w:val="auto"/>
          <w:kern w:val="0"/>
          <w:sz w:val="20"/>
          <w:szCs w:val="20"/>
          <w:highlight w:val="none"/>
        </w:rPr>
      </w:pPr>
      <w:r>
        <w:rPr>
          <w:color w:val="auto"/>
          <w:kern w:val="0"/>
          <w:sz w:val="20"/>
          <w:szCs w:val="20"/>
          <w:highlight w:val="none"/>
        </w:rPr>
        <w:br w:type="page"/>
      </w:r>
    </w:p>
    <w:p w14:paraId="3E41252B">
      <w:pPr>
        <w:shd w:val="clear"/>
        <w:snapToGrid w:val="0"/>
        <w:spacing w:beforeLines="50" w:after="50" w:line="360" w:lineRule="auto"/>
        <w:rPr>
          <w:rFonts w:ascii="宋体" w:hAnsi="宋体"/>
          <w:b/>
          <w:color w:val="auto"/>
          <w:sz w:val="28"/>
          <w:szCs w:val="28"/>
          <w:highlight w:val="none"/>
        </w:rPr>
      </w:pPr>
      <w:r>
        <w:rPr>
          <w:rFonts w:hint="eastAsia" w:ascii="宋体" w:hAnsi="宋体"/>
          <w:b/>
          <w:color w:val="auto"/>
          <w:sz w:val="28"/>
          <w:highlight w:val="none"/>
        </w:rPr>
        <w:t>附件17</w:t>
      </w:r>
    </w:p>
    <w:p w14:paraId="13532C87">
      <w:pPr>
        <w:pStyle w:val="75"/>
        <w:shd w:val="clear"/>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14:paraId="42710F37">
      <w:pPr>
        <w:pStyle w:val="75"/>
        <w:shd w:val="clear"/>
        <w:spacing w:line="360" w:lineRule="auto"/>
        <w:jc w:val="center"/>
        <w:rPr>
          <w:rFonts w:ascii="宋体" w:hAnsi="宋体"/>
          <w:b/>
          <w:color w:val="auto"/>
          <w:sz w:val="24"/>
          <w:highlight w:val="none"/>
          <w:lang w:val="en-GB"/>
        </w:rPr>
      </w:pPr>
    </w:p>
    <w:p w14:paraId="0756975A">
      <w:pPr>
        <w:pStyle w:val="75"/>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5C0423A6">
      <w:pPr>
        <w:pStyle w:val="75"/>
        <w:numPr>
          <w:ilvl w:val="0"/>
          <w:numId w:val="32"/>
        </w:numPr>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（标的名称），属于</w:t>
      </w:r>
      <w:r>
        <w:rPr>
          <w:rFonts w:hint="eastAsia" w:ascii="宋体" w:hAnsi="宋体"/>
          <w:color w:val="auto"/>
          <w:sz w:val="24"/>
          <w:highlight w:val="none"/>
          <w:u w:val="single"/>
        </w:rPr>
        <w:t xml:space="preserve"> 软件和信息技术服务业  </w:t>
      </w:r>
      <w:r>
        <w:rPr>
          <w:rFonts w:hint="eastAsia" w:ascii="宋体" w:hAnsi="宋体"/>
          <w:color w:val="auto"/>
          <w:sz w:val="24"/>
          <w:highlight w:val="none"/>
        </w:rPr>
        <w:t>（招标文件中明确的所属行业）；承建（承接）企业为</w:t>
      </w:r>
      <w:r>
        <w:rPr>
          <w:rFonts w:hint="eastAsia" w:ascii="宋体" w:hAnsi="宋体"/>
          <w:color w:val="auto"/>
          <w:sz w:val="24"/>
          <w:highlight w:val="none"/>
          <w:u w:val="single"/>
        </w:rPr>
        <w:t xml:space="preserve">       </w:t>
      </w:r>
      <w:r>
        <w:rPr>
          <w:rFonts w:hint="eastAsia" w:ascii="宋体" w:hAnsi="宋体"/>
          <w:color w:val="auto"/>
          <w:sz w:val="24"/>
          <w:highlight w:val="none"/>
        </w:rPr>
        <w:t>（企业名称），从业人员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z w:val="24"/>
          <w:highlight w:val="none"/>
        </w:rPr>
        <w:t>，属于（中型企业、小型企业、微型企业）；</w:t>
      </w:r>
    </w:p>
    <w:p w14:paraId="630AAF6D">
      <w:pPr>
        <w:pStyle w:val="75"/>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 xml:space="preserve">       </w:t>
      </w:r>
      <w:r>
        <w:rPr>
          <w:rFonts w:hint="eastAsia" w:ascii="宋体" w:hAnsi="宋体"/>
          <w:color w:val="auto"/>
          <w:sz w:val="24"/>
          <w:highlight w:val="none"/>
        </w:rPr>
        <w:t>（标的名称），属于</w:t>
      </w:r>
      <w:r>
        <w:rPr>
          <w:rFonts w:hint="eastAsia" w:ascii="宋体" w:hAnsi="宋体"/>
          <w:color w:val="auto"/>
          <w:sz w:val="24"/>
          <w:highlight w:val="none"/>
          <w:u w:val="single"/>
        </w:rPr>
        <w:t xml:space="preserve">        </w:t>
      </w:r>
      <w:r>
        <w:rPr>
          <w:rFonts w:hint="eastAsia" w:ascii="宋体" w:hAnsi="宋体"/>
          <w:color w:val="auto"/>
          <w:sz w:val="24"/>
          <w:highlight w:val="none"/>
        </w:rPr>
        <w:t>（招标文件中明确的所属行业）；承建（承接）企业为</w:t>
      </w:r>
      <w:r>
        <w:rPr>
          <w:rFonts w:hint="eastAsia" w:ascii="宋体" w:hAnsi="宋体"/>
          <w:color w:val="auto"/>
          <w:sz w:val="24"/>
          <w:highlight w:val="none"/>
          <w:u w:val="single"/>
        </w:rPr>
        <w:t xml:space="preserve">        </w:t>
      </w:r>
      <w:r>
        <w:rPr>
          <w:rFonts w:hint="eastAsia" w:ascii="宋体" w:hAnsi="宋体"/>
          <w:color w:val="auto"/>
          <w:sz w:val="24"/>
          <w:highlight w:val="none"/>
        </w:rPr>
        <w:t>（企业名称），从业人员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万元，属于（中型企业、小型企业、微型企业）；</w:t>
      </w:r>
    </w:p>
    <w:p w14:paraId="26500D76">
      <w:pPr>
        <w:pStyle w:val="75"/>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141CE115">
      <w:pPr>
        <w:pStyle w:val="75"/>
        <w:shd w:val="clea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4A3B3E4A">
      <w:pPr>
        <w:pStyle w:val="75"/>
        <w:shd w:val="clear"/>
        <w:spacing w:line="360" w:lineRule="auto"/>
        <w:ind w:firstLine="480" w:firstLineChars="200"/>
        <w:rPr>
          <w:rFonts w:ascii="宋体" w:hAnsi="宋体" w:cs="Arial"/>
          <w:bCs/>
          <w:color w:val="auto"/>
          <w:sz w:val="24"/>
          <w:highlight w:val="none"/>
        </w:rPr>
      </w:pPr>
      <w:r>
        <w:rPr>
          <w:rFonts w:ascii="宋体" w:hAnsi="宋体" w:cs="Arial"/>
          <w:bCs/>
          <w:color w:val="auto"/>
          <w:sz w:val="24"/>
          <w:highlight w:val="none"/>
        </w:rPr>
        <w:t>信息查询</w:t>
      </w:r>
      <w:r>
        <w:rPr>
          <w:rFonts w:hint="eastAsia" w:ascii="宋体" w:hAnsi="宋体" w:cs="Arial"/>
          <w:bCs/>
          <w:color w:val="auto"/>
          <w:sz w:val="24"/>
          <w:highlight w:val="none"/>
        </w:rPr>
        <w:t>网址为：</w:t>
      </w:r>
    </w:p>
    <w:p w14:paraId="04022CF0">
      <w:pPr>
        <w:pStyle w:val="75"/>
        <w:shd w:val="clear"/>
        <w:spacing w:line="360" w:lineRule="auto"/>
        <w:rPr>
          <w:rFonts w:ascii="宋体" w:hAnsi="宋体"/>
          <w:color w:val="auto"/>
          <w:spacing w:val="6"/>
          <w:sz w:val="24"/>
          <w:highlight w:val="none"/>
        </w:rPr>
      </w:pPr>
    </w:p>
    <w:p w14:paraId="1CDC5241">
      <w:pPr>
        <w:pStyle w:val="75"/>
        <w:shd w:val="clear"/>
        <w:spacing w:line="360" w:lineRule="auto"/>
        <w:ind w:firstLine="480" w:firstLineChars="200"/>
        <w:rPr>
          <w:rFonts w:ascii="宋体" w:hAnsi="宋体" w:cs="Arial"/>
          <w:bCs/>
          <w:color w:val="auto"/>
          <w:sz w:val="24"/>
          <w:highlight w:val="none"/>
        </w:rPr>
      </w:pPr>
    </w:p>
    <w:p w14:paraId="72D554CD">
      <w:pPr>
        <w:pStyle w:val="75"/>
        <w:shd w:val="clear"/>
        <w:spacing w:line="360" w:lineRule="auto"/>
        <w:rPr>
          <w:rFonts w:ascii="宋体" w:hAnsi="宋体"/>
          <w:color w:val="auto"/>
          <w:sz w:val="24"/>
          <w:highlight w:val="none"/>
        </w:rPr>
      </w:pPr>
    </w:p>
    <w:p w14:paraId="0E98A3F6">
      <w:pPr>
        <w:pStyle w:val="75"/>
        <w:shd w:val="clear"/>
        <w:spacing w:line="360" w:lineRule="auto"/>
        <w:ind w:firstLine="4800" w:firstLineChars="2000"/>
        <w:rPr>
          <w:rFonts w:ascii="宋体" w:hAnsi="宋体"/>
          <w:color w:val="auto"/>
          <w:sz w:val="24"/>
          <w:highlight w:val="none"/>
        </w:rPr>
      </w:pPr>
      <w:r>
        <w:rPr>
          <w:rFonts w:hint="eastAsia" w:ascii="宋体" w:hAnsi="宋体"/>
          <w:color w:val="auto"/>
          <w:sz w:val="24"/>
          <w:highlight w:val="none"/>
        </w:rPr>
        <w:t>企业名称（盖章）：</w:t>
      </w:r>
    </w:p>
    <w:p w14:paraId="442C8699">
      <w:pPr>
        <w:pStyle w:val="75"/>
        <w:shd w:val="clear"/>
        <w:spacing w:line="360" w:lineRule="auto"/>
        <w:ind w:firstLine="4800" w:firstLineChars="2000"/>
        <w:rPr>
          <w:rFonts w:ascii="宋体" w:hAnsi="宋体"/>
          <w:color w:val="auto"/>
          <w:sz w:val="24"/>
          <w:highlight w:val="none"/>
        </w:rPr>
      </w:pPr>
      <w:r>
        <w:rPr>
          <w:rFonts w:hint="eastAsia" w:ascii="宋体" w:hAnsi="宋体"/>
          <w:color w:val="auto"/>
          <w:sz w:val="24"/>
          <w:highlight w:val="none"/>
        </w:rPr>
        <w:t>日期：××年××月××日</w:t>
      </w:r>
    </w:p>
    <w:p w14:paraId="0EE2043D">
      <w:pPr>
        <w:pStyle w:val="17"/>
        <w:shd w:val="clear"/>
        <w:rPr>
          <w:rFonts w:ascii="宋体" w:hAnsi="宋体" w:cs="宋体"/>
          <w:color w:val="auto"/>
          <w:sz w:val="24"/>
          <w:szCs w:val="24"/>
          <w:highlight w:val="none"/>
        </w:rPr>
      </w:pPr>
    </w:p>
    <w:p w14:paraId="3D8E88D3">
      <w:pPr>
        <w:pStyle w:val="17"/>
        <w:shd w:val="clear"/>
        <w:rPr>
          <w:rFonts w:ascii="宋体" w:hAnsi="宋体" w:cs="宋体"/>
          <w:color w:val="auto"/>
          <w:sz w:val="24"/>
          <w:szCs w:val="24"/>
          <w:highlight w:val="none"/>
        </w:rPr>
      </w:pPr>
    </w:p>
    <w:p w14:paraId="0D8E424F">
      <w:pPr>
        <w:shd w:val="clea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1" name="直接连接符 1"/>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0.4pt;margin-top:16.5pt;height:0pt;width:235pt;z-index:251661312;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0UqpXTAAAABgEAAA8AAAAAAAAAAQAgAAAAIgAAAGRycy9kb3ducmV2Lnht&#10;bFBLAQIUABQAAAAIAIdO4kCs/fHU/gEAAP0DAAAOAAAAAAAAAAEAIAAAACIBAABkcnMvZTJvRG9j&#10;LnhtbFBLBQYAAAAABgAGAFkBAACSBQAAAAA=&#10;">
                <v:fill on="f" focussize="0,0"/>
                <v:stroke weight="1.25pt" color="#000000" joinstyle="miter"/>
                <v:imagedata o:title=""/>
                <o:lock v:ext="edit" aspectratio="f"/>
              </v:line>
            </w:pict>
          </mc:Fallback>
        </mc:AlternateContent>
      </w:r>
    </w:p>
    <w:p w14:paraId="1B0594D0">
      <w:pPr>
        <w:shd w:val="clea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71C45A35">
      <w:pPr>
        <w:widowControl/>
        <w:shd w:val="clear"/>
        <w:jc w:val="left"/>
        <w:rPr>
          <w:color w:val="auto"/>
          <w:kern w:val="0"/>
          <w:sz w:val="20"/>
          <w:szCs w:val="20"/>
          <w:highlight w:val="none"/>
        </w:rPr>
      </w:pPr>
      <w:r>
        <w:rPr>
          <w:color w:val="auto"/>
          <w:kern w:val="0"/>
          <w:sz w:val="20"/>
          <w:szCs w:val="20"/>
          <w:highlight w:val="none"/>
        </w:rPr>
        <w:br w:type="page"/>
      </w:r>
    </w:p>
    <w:p w14:paraId="51FA9124">
      <w:pPr>
        <w:pStyle w:val="28"/>
        <w:shd w:val="clear"/>
        <w:spacing w:line="360" w:lineRule="auto"/>
        <w:jc w:val="center"/>
        <w:outlineLvl w:val="1"/>
        <w:rPr>
          <w:rFonts w:hAnsi="宋体" w:cs="宋体"/>
          <w:b/>
          <w:color w:val="auto"/>
          <w:sz w:val="32"/>
          <w:szCs w:val="32"/>
          <w:highlight w:val="none"/>
          <w:lang w:val="en-GB"/>
        </w:rPr>
      </w:pPr>
    </w:p>
    <w:p w14:paraId="56A58F38">
      <w:pPr>
        <w:pStyle w:val="28"/>
        <w:shd w:val="clear"/>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GB"/>
        </w:rPr>
        <w:t>残疾人福利性单位声明函</w:t>
      </w:r>
    </w:p>
    <w:p w14:paraId="407582E2">
      <w:pPr>
        <w:shd w:val="clear"/>
        <w:spacing w:line="360" w:lineRule="auto"/>
        <w:ind w:firstLine="480" w:firstLineChars="200"/>
        <w:rPr>
          <w:rFonts w:ascii="宋体" w:hAnsi="宋体" w:cs="宋体"/>
          <w:color w:val="auto"/>
          <w:sz w:val="24"/>
          <w:highlight w:val="none"/>
        </w:rPr>
      </w:pPr>
    </w:p>
    <w:p w14:paraId="4B17217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41E221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B4277D8">
      <w:pPr>
        <w:shd w:val="clea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657B00DC">
      <w:pPr>
        <w:shd w:val="clea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单位名称（盖章）：</w:t>
      </w:r>
    </w:p>
    <w:p w14:paraId="72EA84DC">
      <w:pPr>
        <w:shd w:val="clea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35FD8C61">
      <w:pPr>
        <w:shd w:val="clea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  ：</w:t>
      </w:r>
    </w:p>
    <w:p w14:paraId="415C5F8E">
      <w:pPr>
        <w:shd w:val="clear"/>
        <w:spacing w:line="360" w:lineRule="auto"/>
        <w:rPr>
          <w:rFonts w:ascii="宋体" w:hAnsi="宋体" w:cs="宋体"/>
          <w:b/>
          <w:color w:val="auto"/>
          <w:sz w:val="28"/>
          <w:highlight w:val="none"/>
        </w:rPr>
      </w:pPr>
    </w:p>
    <w:p w14:paraId="703C14FD">
      <w:pPr>
        <w:shd w:val="clear"/>
        <w:spacing w:line="360" w:lineRule="auto"/>
        <w:rPr>
          <w:rFonts w:ascii="宋体" w:hAnsi="宋体" w:cs="宋体"/>
          <w:b/>
          <w:color w:val="auto"/>
          <w:sz w:val="28"/>
          <w:highlight w:val="none"/>
        </w:rPr>
      </w:pPr>
    </w:p>
    <w:p w14:paraId="2D70B271">
      <w:pPr>
        <w:shd w:val="clear"/>
        <w:spacing w:line="360" w:lineRule="auto"/>
        <w:rPr>
          <w:rFonts w:ascii="宋体" w:hAnsi="宋体" w:cs="宋体"/>
          <w:b/>
          <w:color w:val="auto"/>
          <w:sz w:val="28"/>
          <w:highlight w:val="none"/>
        </w:rPr>
      </w:pPr>
    </w:p>
    <w:p w14:paraId="329D6FD9">
      <w:pPr>
        <w:shd w:val="clear"/>
        <w:spacing w:line="360" w:lineRule="auto"/>
        <w:rPr>
          <w:rFonts w:ascii="宋体" w:hAnsi="宋体" w:cs="宋体"/>
          <w:b/>
          <w:color w:val="auto"/>
          <w:sz w:val="28"/>
          <w:highlight w:val="none"/>
        </w:rPr>
      </w:pPr>
    </w:p>
    <w:p w14:paraId="204291C8">
      <w:pPr>
        <w:shd w:val="clear"/>
        <w:spacing w:line="360" w:lineRule="auto"/>
        <w:rPr>
          <w:rFonts w:ascii="宋体" w:hAnsi="宋体" w:cs="宋体"/>
          <w:b/>
          <w:color w:val="auto"/>
          <w:sz w:val="28"/>
          <w:highlight w:val="none"/>
        </w:rPr>
      </w:pPr>
    </w:p>
    <w:p w14:paraId="6C6866F8">
      <w:pPr>
        <w:shd w:val="clear"/>
        <w:spacing w:line="360" w:lineRule="auto"/>
        <w:rPr>
          <w:rFonts w:ascii="宋体" w:hAnsi="宋体" w:cs="宋体"/>
          <w:b/>
          <w:color w:val="auto"/>
          <w:sz w:val="28"/>
          <w:highlight w:val="none"/>
        </w:rPr>
      </w:pPr>
    </w:p>
    <w:p w14:paraId="4F07140C">
      <w:pPr>
        <w:shd w:val="clear"/>
        <w:spacing w:line="360" w:lineRule="auto"/>
        <w:rPr>
          <w:rFonts w:ascii="宋体" w:hAnsi="宋体" w:cs="宋体"/>
          <w:b/>
          <w:color w:val="auto"/>
          <w:sz w:val="28"/>
          <w:highlight w:val="none"/>
        </w:rPr>
      </w:pPr>
    </w:p>
    <w:p w14:paraId="5988638D">
      <w:pPr>
        <w:shd w:val="clear"/>
        <w:spacing w:line="360" w:lineRule="auto"/>
        <w:rPr>
          <w:rFonts w:ascii="宋体" w:hAnsi="宋体" w:cs="宋体"/>
          <w:b/>
          <w:color w:val="auto"/>
          <w:sz w:val="28"/>
          <w:highlight w:val="none"/>
        </w:rPr>
      </w:pPr>
    </w:p>
    <w:p w14:paraId="148FA254">
      <w:pPr>
        <w:shd w:val="clear"/>
        <w:spacing w:line="360" w:lineRule="auto"/>
        <w:rPr>
          <w:rFonts w:ascii="宋体" w:hAnsi="宋体" w:cs="宋体"/>
          <w:b/>
          <w:color w:val="auto"/>
          <w:sz w:val="28"/>
          <w:highlight w:val="none"/>
        </w:rPr>
      </w:pPr>
    </w:p>
    <w:p w14:paraId="5CC20985">
      <w:pPr>
        <w:shd w:val="clear"/>
        <w:spacing w:line="360" w:lineRule="auto"/>
        <w:rPr>
          <w:rFonts w:ascii="宋体" w:hAnsi="宋体" w:cs="宋体"/>
          <w:b/>
          <w:color w:val="auto"/>
          <w:sz w:val="28"/>
          <w:highlight w:val="none"/>
        </w:rPr>
      </w:pPr>
    </w:p>
    <w:p w14:paraId="5BB0EA80">
      <w:pPr>
        <w:shd w:val="clear"/>
        <w:spacing w:line="360" w:lineRule="auto"/>
        <w:rPr>
          <w:rFonts w:ascii="宋体" w:hAnsi="宋体" w:cs="宋体"/>
          <w:b/>
          <w:color w:val="auto"/>
          <w:sz w:val="28"/>
          <w:highlight w:val="none"/>
        </w:rPr>
      </w:pPr>
    </w:p>
    <w:p w14:paraId="749DD150">
      <w:pPr>
        <w:shd w:val="clear"/>
        <w:spacing w:line="360" w:lineRule="auto"/>
        <w:rPr>
          <w:rFonts w:ascii="宋体" w:hAnsi="宋体" w:cs="宋体"/>
          <w:b/>
          <w:color w:val="auto"/>
          <w:sz w:val="28"/>
          <w:highlight w:val="none"/>
        </w:rPr>
      </w:pPr>
      <w:r>
        <w:rPr>
          <w:rFonts w:hint="eastAsia" w:ascii="宋体" w:hAnsi="宋体" w:cs="宋体"/>
          <w:b/>
          <w:color w:val="auto"/>
          <w:sz w:val="28"/>
          <w:highlight w:val="none"/>
        </w:rPr>
        <w:t>附件18</w:t>
      </w:r>
    </w:p>
    <w:p w14:paraId="4059DE85">
      <w:pPr>
        <w:shd w:val="clear"/>
        <w:spacing w:line="420" w:lineRule="exact"/>
        <w:jc w:val="center"/>
        <w:rPr>
          <w:rFonts w:ascii="宋体" w:hAnsi="宋体" w:cs="宋体"/>
          <w:b/>
          <w:bCs/>
          <w:color w:val="auto"/>
          <w:sz w:val="28"/>
          <w:szCs w:val="36"/>
          <w:highlight w:val="none"/>
          <w:lang w:val="en-GB"/>
        </w:rPr>
      </w:pPr>
      <w:r>
        <w:rPr>
          <w:rFonts w:hint="eastAsia" w:ascii="宋体" w:hAnsi="宋体" w:cs="宋体"/>
          <w:b/>
          <w:bCs/>
          <w:color w:val="auto"/>
          <w:sz w:val="28"/>
          <w:szCs w:val="36"/>
          <w:highlight w:val="none"/>
          <w:lang w:val="en-GB"/>
        </w:rPr>
        <w:t>政府采购活动确认声明书</w:t>
      </w:r>
    </w:p>
    <w:p w14:paraId="6241E0AD">
      <w:pPr>
        <w:shd w:val="clea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u w:val="single"/>
          <w:lang w:eastAsia="zh-CN"/>
        </w:rPr>
        <w:t>台州市建航工程管理有限公司</w:t>
      </w:r>
      <w:r>
        <w:rPr>
          <w:rFonts w:hint="eastAsia" w:ascii="宋体" w:hAnsi="宋体" w:cs="宋体"/>
          <w:color w:val="auto"/>
          <w:sz w:val="22"/>
          <w:szCs w:val="22"/>
          <w:highlight w:val="none"/>
        </w:rPr>
        <w:t>（采购组织机构名称）：</w:t>
      </w:r>
    </w:p>
    <w:p w14:paraId="0608C845">
      <w:pPr>
        <w:shd w:val="clear"/>
        <w:spacing w:line="420" w:lineRule="exact"/>
        <w:ind w:firstLine="440" w:firstLineChars="20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本人经由</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单位</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（法人代表）合法授权参加</w:t>
      </w:r>
      <w:r>
        <w:rPr>
          <w:rFonts w:hint="eastAsia" w:ascii="宋体" w:hAnsi="宋体" w:cs="宋体"/>
          <w:color w:val="auto"/>
          <w:sz w:val="22"/>
          <w:szCs w:val="22"/>
          <w:highlight w:val="none"/>
          <w:u w:val="single"/>
          <w:lang w:val="zh-CN"/>
        </w:rPr>
        <w:t>2025年智慧城管中心服务项目</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项目</w:t>
      </w:r>
      <w:r>
        <w:rPr>
          <w:rFonts w:hint="eastAsia" w:ascii="宋体" w:hAnsi="宋体" w:cs="宋体"/>
          <w:color w:val="auto"/>
          <w:sz w:val="22"/>
          <w:szCs w:val="22"/>
          <w:highlight w:val="none"/>
          <w:lang w:val="zh-CN"/>
        </w:rPr>
        <w:t>编号：</w:t>
      </w:r>
      <w:r>
        <w:rPr>
          <w:rFonts w:hint="eastAsia" w:ascii="宋体" w:hAnsi="宋体" w:cs="宋体"/>
          <w:color w:val="auto"/>
          <w:sz w:val="22"/>
          <w:szCs w:val="22"/>
          <w:highlight w:val="none"/>
          <w:u w:val="single"/>
          <w:lang w:val="zh-CN"/>
        </w:rPr>
        <w:t>TZJH-2025-036号</w:t>
      </w:r>
      <w:r>
        <w:rPr>
          <w:rFonts w:hint="eastAsia" w:ascii="宋体" w:hAnsi="宋体" w:cs="宋体"/>
          <w:color w:val="auto"/>
          <w:sz w:val="22"/>
          <w:szCs w:val="22"/>
          <w:highlight w:val="none"/>
          <w:lang w:val="zh-CN"/>
        </w:rPr>
        <w:t>）政府采购活动，经与本单位法人代表（负责人）联系确认，现就有关公平竞争事项郑重声明如下：</w:t>
      </w:r>
    </w:p>
    <w:p w14:paraId="7EC87760">
      <w:pPr>
        <w:shd w:val="clea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一、本单位与采购人之间 □不存在利害关系 □存在下列利害关系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42AF0CCF">
      <w:pPr>
        <w:shd w:val="clea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A.投资关系    B.行政隶属关系    C.业务指导关系</w:t>
      </w:r>
    </w:p>
    <w:p w14:paraId="0AAB0376">
      <w:pPr>
        <w:shd w:val="clea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D.其他可能影响采购公正的利害关系（如有，请如实说明）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4B3A121D">
      <w:pPr>
        <w:shd w:val="clea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二、现已清楚知道参加本项目采购活动的其他所有供应商名称，本单位 □与其他所有供应商之间均不存在利害关系 □与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（供应商名称）之间存在下列利害关系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2FD2E0E1">
      <w:pPr>
        <w:shd w:val="clea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A.法定代表人或负责人或实际控制人是同一人</w:t>
      </w:r>
    </w:p>
    <w:p w14:paraId="53E90AA8">
      <w:pPr>
        <w:shd w:val="clea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B.法定代表人或负责人或实际控制人是夫妻关系</w:t>
      </w:r>
    </w:p>
    <w:p w14:paraId="500B901C">
      <w:pPr>
        <w:shd w:val="clea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C.法定代表人或负责人或实际控制人是直系血亲关系</w:t>
      </w:r>
    </w:p>
    <w:p w14:paraId="164D8237">
      <w:pPr>
        <w:shd w:val="clea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D.法定代表人或负责人或实际控制人存在三代以内旁系血亲关系</w:t>
      </w:r>
    </w:p>
    <w:p w14:paraId="01307687">
      <w:pPr>
        <w:shd w:val="clea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E.法定代表人或负责人或实际控制人存在近姻亲关系</w:t>
      </w:r>
    </w:p>
    <w:p w14:paraId="7660D5A0">
      <w:pPr>
        <w:shd w:val="clea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F.法定代表人或负责人或实际控制人存在股份控制或实际控制关系</w:t>
      </w:r>
    </w:p>
    <w:p w14:paraId="101ABC49">
      <w:pPr>
        <w:shd w:val="clea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G.存在共同直接或间接投资设立子公司、联营企业和合营企业情况</w:t>
      </w:r>
    </w:p>
    <w:p w14:paraId="32F1C782">
      <w:pPr>
        <w:shd w:val="clea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H.存在分级代理或代销关系、同一生产制造商关系、管理关系、重要业务（占主营业务收入50%以上）或重要财务往来关系（如融资）等其他实质性控制关系</w:t>
      </w:r>
    </w:p>
    <w:p w14:paraId="409A0D49">
      <w:pPr>
        <w:shd w:val="clea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I.其他利害关系情况</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73D6DF12">
      <w:pPr>
        <w:shd w:val="clea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三、现已清楚知道并严格遵守政府采购法律法规和现场纪律。</w:t>
      </w:r>
    </w:p>
    <w:p w14:paraId="71652035">
      <w:pPr>
        <w:shd w:val="clea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四、我发现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供应商之间存在或可能存在上述第二条第</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项利害关系。</w:t>
      </w:r>
    </w:p>
    <w:p w14:paraId="1921BB44">
      <w:pPr>
        <w:shd w:val="clea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五、本单位若有违反诚信投标、采购法律法规等行为，愿意按照招标文件规定接受投标担保的处理。如已中标，自动放弃中标资格；给招标人造成损失的，依法承担赔偿责任。</w:t>
      </w:r>
    </w:p>
    <w:p w14:paraId="326B480A">
      <w:pPr>
        <w:shd w:val="clear"/>
        <w:spacing w:line="420" w:lineRule="exact"/>
        <w:ind w:firstLine="4417" w:firstLineChars="2000"/>
        <w:rPr>
          <w:rFonts w:ascii="宋体" w:hAnsi="宋体" w:cs="宋体"/>
          <w:b/>
          <w:bCs/>
          <w:color w:val="auto"/>
          <w:sz w:val="22"/>
          <w:szCs w:val="22"/>
          <w:highlight w:val="none"/>
        </w:rPr>
      </w:pPr>
      <w:r>
        <w:rPr>
          <w:rFonts w:hint="eastAsia" w:ascii="宋体" w:hAnsi="宋体" w:cs="宋体"/>
          <w:b/>
          <w:bCs/>
          <w:color w:val="auto"/>
          <w:sz w:val="22"/>
          <w:szCs w:val="22"/>
          <w:highlight w:val="none"/>
        </w:rPr>
        <w:t>供应商代表签名：</w:t>
      </w:r>
    </w:p>
    <w:p w14:paraId="08451F52">
      <w:pPr>
        <w:shd w:val="clear"/>
        <w:spacing w:line="42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2022年  月  日</w:t>
      </w:r>
    </w:p>
    <w:p w14:paraId="30E1656B">
      <w:pPr>
        <w:shd w:val="clear"/>
        <w:spacing w:line="420" w:lineRule="exact"/>
        <w:rPr>
          <w:color w:val="auto"/>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 w:val="22"/>
          <w:szCs w:val="22"/>
          <w:highlight w:val="none"/>
        </w:rPr>
        <w:t>说明：商务技术文件开启后30分钟内，供应商通过邮件形式将经授权代表签署的《</w:t>
      </w:r>
      <w:r>
        <w:rPr>
          <w:rFonts w:hint="eastAsia" w:ascii="宋体" w:hAnsi="宋体" w:cs="宋体"/>
          <w:color w:val="auto"/>
          <w:sz w:val="22"/>
          <w:szCs w:val="22"/>
          <w:highlight w:val="none"/>
          <w:lang w:val="en-GB"/>
        </w:rPr>
        <w:t>政府采购活动确认声明书</w:t>
      </w:r>
      <w:r>
        <w:rPr>
          <w:rFonts w:hint="eastAsia" w:ascii="宋体" w:hAnsi="宋体" w:cs="宋体"/>
          <w:color w:val="auto"/>
          <w:sz w:val="22"/>
          <w:szCs w:val="22"/>
          <w:highlight w:val="none"/>
        </w:rPr>
        <w:t>》扫描件发至代理机构经办人邮箱（邮箱地址：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color w:val="auto"/>
          <w:kern w:val="0"/>
          <w:sz w:val="22"/>
          <w:szCs w:val="22"/>
          <w:highlight w:val="none"/>
        </w:rPr>
        <w:t>451350540@qq.com</w:t>
      </w:r>
      <w:r>
        <w:rPr>
          <w:rFonts w:hint="eastAsia" w:ascii="宋体" w:hAnsi="宋体" w:cs="宋体"/>
          <w:color w:val="auto"/>
          <w:sz w:val="22"/>
          <w:szCs w:val="22"/>
          <w:highlight w:val="none"/>
        </w:rPr>
        <w:t>）；</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不填写或未按规定发出邮件的，视同默认不存在确认声明书中的相关违规情形。</w:t>
      </w:r>
    </w:p>
    <w:tbl>
      <w:tblPr>
        <w:tblStyle w:val="46"/>
        <w:tblW w:w="14966" w:type="dxa"/>
        <w:tblInd w:w="-176" w:type="dxa"/>
        <w:tblLayout w:type="fixed"/>
        <w:tblCellMar>
          <w:top w:w="0" w:type="dxa"/>
          <w:left w:w="108" w:type="dxa"/>
          <w:bottom w:w="0" w:type="dxa"/>
          <w:right w:w="108" w:type="dxa"/>
        </w:tblCellMar>
      </w:tblPr>
      <w:tblGrid>
        <w:gridCol w:w="2307"/>
        <w:gridCol w:w="1387"/>
        <w:gridCol w:w="1600"/>
        <w:gridCol w:w="1575"/>
        <w:gridCol w:w="1338"/>
        <w:gridCol w:w="1500"/>
        <w:gridCol w:w="1725"/>
        <w:gridCol w:w="1375"/>
        <w:gridCol w:w="1030"/>
        <w:gridCol w:w="1129"/>
      </w:tblGrid>
      <w:tr w14:paraId="58561884">
        <w:tblPrEx>
          <w:tblCellMar>
            <w:top w:w="0" w:type="dxa"/>
            <w:left w:w="108" w:type="dxa"/>
            <w:bottom w:w="0" w:type="dxa"/>
            <w:right w:w="108" w:type="dxa"/>
          </w:tblCellMar>
        </w:tblPrEx>
        <w:trPr>
          <w:trHeight w:val="231" w:hRule="atLeast"/>
        </w:trPr>
        <w:tc>
          <w:tcPr>
            <w:tcW w:w="14966" w:type="dxa"/>
            <w:gridSpan w:val="10"/>
            <w:tcBorders>
              <w:top w:val="nil"/>
              <w:left w:val="nil"/>
              <w:bottom w:val="nil"/>
              <w:right w:val="nil"/>
            </w:tcBorders>
            <w:vAlign w:val="bottom"/>
          </w:tcPr>
          <w:p w14:paraId="0DAE11A1">
            <w:pPr>
              <w:keepNext w:val="0"/>
              <w:keepLines w:val="0"/>
              <w:widowControl/>
              <w:suppressLineNumbers w:val="0"/>
              <w:shd w:val="clear"/>
              <w:spacing w:before="0" w:beforeAutospacing="0" w:after="0" w:afterAutospacing="0"/>
              <w:ind w:left="0" w:right="0"/>
              <w:jc w:val="center"/>
              <w:rPr>
                <w:rFonts w:hint="default" w:ascii="宋体" w:hAnsi="宋体" w:cs="宋体"/>
                <w:b/>
                <w:bCs/>
                <w:color w:val="auto"/>
                <w:kern w:val="0"/>
                <w:sz w:val="18"/>
                <w:szCs w:val="18"/>
                <w:highlight w:val="none"/>
              </w:rPr>
            </w:pPr>
            <w:bookmarkStart w:id="6" w:name="_Toc19634"/>
            <w:bookmarkEnd w:id="6"/>
            <w:r>
              <w:rPr>
                <w:rFonts w:hint="eastAsia" w:ascii="宋体" w:hAnsi="宋体" w:cs="宋体"/>
                <w:b/>
                <w:bCs/>
                <w:color w:val="auto"/>
                <w:kern w:val="0"/>
                <w:sz w:val="18"/>
                <w:szCs w:val="18"/>
                <w:highlight w:val="none"/>
              </w:rPr>
              <w:t>中小微行业划型标准规定（根据工信部联企业〔</w:t>
            </w:r>
            <w:r>
              <w:rPr>
                <w:rFonts w:hint="default" w:ascii="宋体" w:hAnsi="宋体" w:cs="宋体"/>
                <w:b/>
                <w:bCs/>
                <w:color w:val="auto"/>
                <w:kern w:val="0"/>
                <w:sz w:val="18"/>
                <w:szCs w:val="18"/>
                <w:highlight w:val="none"/>
              </w:rPr>
              <w:t>2011</w:t>
            </w:r>
            <w:r>
              <w:rPr>
                <w:rFonts w:hint="eastAsia" w:ascii="宋体" w:hAnsi="宋体" w:cs="宋体"/>
                <w:b/>
                <w:bCs/>
                <w:color w:val="auto"/>
                <w:kern w:val="0"/>
                <w:sz w:val="18"/>
                <w:szCs w:val="18"/>
                <w:highlight w:val="none"/>
              </w:rPr>
              <w:t>〕</w:t>
            </w:r>
            <w:r>
              <w:rPr>
                <w:rFonts w:hint="default" w:ascii="宋体" w:hAnsi="宋体" w:cs="宋体"/>
                <w:b/>
                <w:bCs/>
                <w:color w:val="auto"/>
                <w:kern w:val="0"/>
                <w:sz w:val="18"/>
                <w:szCs w:val="18"/>
                <w:highlight w:val="none"/>
              </w:rPr>
              <w:t>300</w:t>
            </w:r>
            <w:r>
              <w:rPr>
                <w:rFonts w:hint="eastAsia" w:ascii="宋体" w:hAnsi="宋体" w:cs="宋体"/>
                <w:b/>
                <w:bCs/>
                <w:color w:val="auto"/>
                <w:kern w:val="0"/>
                <w:sz w:val="18"/>
                <w:szCs w:val="18"/>
                <w:highlight w:val="none"/>
              </w:rPr>
              <w:t>号制定）</w:t>
            </w:r>
          </w:p>
        </w:tc>
      </w:tr>
      <w:tr w14:paraId="6ED44C51">
        <w:tblPrEx>
          <w:tblCellMar>
            <w:top w:w="0" w:type="dxa"/>
            <w:left w:w="108" w:type="dxa"/>
            <w:bottom w:w="0" w:type="dxa"/>
            <w:right w:w="108" w:type="dxa"/>
          </w:tblCellMar>
        </w:tblPrEx>
        <w:trPr>
          <w:trHeight w:val="346" w:hRule="atLeast"/>
        </w:trPr>
        <w:tc>
          <w:tcPr>
            <w:tcW w:w="2307" w:type="dxa"/>
            <w:vMerge w:val="restart"/>
            <w:tcBorders>
              <w:top w:val="single" w:color="auto" w:sz="8" w:space="0"/>
              <w:left w:val="single" w:color="auto" w:sz="8" w:space="0"/>
              <w:bottom w:val="single" w:color="000000" w:sz="4" w:space="0"/>
              <w:right w:val="single" w:color="auto" w:sz="8" w:space="0"/>
            </w:tcBorders>
            <w:vAlign w:val="center"/>
          </w:tcPr>
          <w:p w14:paraId="68B4A50D">
            <w:pPr>
              <w:keepNext w:val="0"/>
              <w:keepLines w:val="0"/>
              <w:widowControl/>
              <w:suppressLineNumbers w:val="0"/>
              <w:shd w:val="clear"/>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行业</w:t>
            </w:r>
          </w:p>
        </w:tc>
        <w:tc>
          <w:tcPr>
            <w:tcW w:w="4562" w:type="dxa"/>
            <w:gridSpan w:val="3"/>
            <w:tcBorders>
              <w:top w:val="single" w:color="auto" w:sz="8" w:space="0"/>
              <w:left w:val="nil"/>
              <w:bottom w:val="single" w:color="auto" w:sz="4" w:space="0"/>
              <w:right w:val="single" w:color="000000" w:sz="8" w:space="0"/>
            </w:tcBorders>
            <w:vAlign w:val="bottom"/>
          </w:tcPr>
          <w:p w14:paraId="4CFA9F07">
            <w:pPr>
              <w:keepNext w:val="0"/>
              <w:keepLines w:val="0"/>
              <w:widowControl/>
              <w:suppressLineNumbers w:val="0"/>
              <w:shd w:val="clear"/>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中型企业（两个指标的，必须同时满足）</w:t>
            </w:r>
          </w:p>
        </w:tc>
        <w:tc>
          <w:tcPr>
            <w:tcW w:w="4563" w:type="dxa"/>
            <w:gridSpan w:val="3"/>
            <w:tcBorders>
              <w:top w:val="single" w:color="auto" w:sz="8" w:space="0"/>
              <w:left w:val="nil"/>
              <w:bottom w:val="single" w:color="auto" w:sz="4" w:space="0"/>
              <w:right w:val="single" w:color="000000" w:sz="8" w:space="0"/>
            </w:tcBorders>
            <w:vAlign w:val="bottom"/>
          </w:tcPr>
          <w:p w14:paraId="6FD5C8FE">
            <w:pPr>
              <w:keepNext w:val="0"/>
              <w:keepLines w:val="0"/>
              <w:widowControl/>
              <w:suppressLineNumbers w:val="0"/>
              <w:shd w:val="clear"/>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小型企业（两个指标的，必须同时满足，除中型企业外）</w:t>
            </w:r>
          </w:p>
        </w:tc>
        <w:tc>
          <w:tcPr>
            <w:tcW w:w="3534" w:type="dxa"/>
            <w:gridSpan w:val="3"/>
            <w:tcBorders>
              <w:top w:val="single" w:color="auto" w:sz="8" w:space="0"/>
              <w:left w:val="nil"/>
              <w:bottom w:val="single" w:color="auto" w:sz="4" w:space="0"/>
              <w:right w:val="single" w:color="000000" w:sz="8" w:space="0"/>
            </w:tcBorders>
            <w:vAlign w:val="bottom"/>
          </w:tcPr>
          <w:p w14:paraId="551A1DC2">
            <w:pPr>
              <w:keepNext w:val="0"/>
              <w:keepLines w:val="0"/>
              <w:widowControl/>
              <w:suppressLineNumbers w:val="0"/>
              <w:shd w:val="clear"/>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微型企业（两个指标的，满足其中之一）</w:t>
            </w:r>
          </w:p>
        </w:tc>
      </w:tr>
      <w:tr w14:paraId="63A1C656">
        <w:tblPrEx>
          <w:tblCellMar>
            <w:top w:w="0" w:type="dxa"/>
            <w:left w:w="108" w:type="dxa"/>
            <w:bottom w:w="0" w:type="dxa"/>
            <w:right w:w="108" w:type="dxa"/>
          </w:tblCellMar>
        </w:tblPrEx>
        <w:trPr>
          <w:trHeight w:val="475" w:hRule="atLeast"/>
        </w:trPr>
        <w:tc>
          <w:tcPr>
            <w:tcW w:w="2307" w:type="dxa"/>
            <w:vMerge w:val="continue"/>
            <w:tcBorders>
              <w:top w:val="single" w:color="auto" w:sz="8" w:space="0"/>
              <w:left w:val="single" w:color="auto" w:sz="8" w:space="0"/>
              <w:bottom w:val="single" w:color="000000" w:sz="4" w:space="0"/>
              <w:right w:val="single" w:color="auto" w:sz="8" w:space="0"/>
            </w:tcBorders>
            <w:vAlign w:val="center"/>
          </w:tcPr>
          <w:p w14:paraId="27A0CDAA">
            <w:pPr>
              <w:keepNext w:val="0"/>
              <w:keepLines w:val="0"/>
              <w:widowControl/>
              <w:suppressLineNumbers w:val="0"/>
              <w:shd w:val="clear"/>
              <w:spacing w:before="0" w:beforeAutospacing="0" w:after="0" w:afterAutospacing="0"/>
              <w:ind w:left="0" w:right="0"/>
              <w:jc w:val="left"/>
              <w:rPr>
                <w:rFonts w:hint="default" w:ascii="宋体" w:hAnsi="宋体" w:cs="宋体"/>
                <w:b/>
                <w:bCs/>
                <w:color w:val="auto"/>
                <w:kern w:val="0"/>
                <w:sz w:val="18"/>
                <w:szCs w:val="18"/>
                <w:highlight w:val="none"/>
              </w:rPr>
            </w:pPr>
          </w:p>
        </w:tc>
        <w:tc>
          <w:tcPr>
            <w:tcW w:w="1387" w:type="dxa"/>
            <w:tcBorders>
              <w:top w:val="nil"/>
              <w:left w:val="nil"/>
              <w:bottom w:val="single" w:color="auto" w:sz="4" w:space="0"/>
              <w:right w:val="single" w:color="auto" w:sz="4" w:space="0"/>
            </w:tcBorders>
            <w:vAlign w:val="bottom"/>
          </w:tcPr>
          <w:p w14:paraId="3A85DA1E">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（人）</w:t>
            </w:r>
          </w:p>
        </w:tc>
        <w:tc>
          <w:tcPr>
            <w:tcW w:w="1600" w:type="dxa"/>
            <w:tcBorders>
              <w:top w:val="nil"/>
              <w:left w:val="nil"/>
              <w:bottom w:val="single" w:color="auto" w:sz="4" w:space="0"/>
              <w:right w:val="single" w:color="auto" w:sz="4" w:space="0"/>
            </w:tcBorders>
            <w:vAlign w:val="bottom"/>
          </w:tcPr>
          <w:p w14:paraId="5BF96F83">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hint="default" w:ascii="宋体" w:hAnsi="宋体" w:cs="宋体"/>
                <w:color w:val="auto"/>
                <w:kern w:val="0"/>
                <w:sz w:val="18"/>
                <w:szCs w:val="18"/>
                <w:highlight w:val="none"/>
              </w:rPr>
              <w:t>Y</w:t>
            </w:r>
          </w:p>
          <w:p w14:paraId="768CC352">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575" w:type="dxa"/>
            <w:tcBorders>
              <w:top w:val="nil"/>
              <w:left w:val="nil"/>
              <w:bottom w:val="single" w:color="auto" w:sz="4" w:space="0"/>
              <w:right w:val="single" w:color="auto" w:sz="8" w:space="0"/>
            </w:tcBorders>
            <w:vAlign w:val="bottom"/>
          </w:tcPr>
          <w:p w14:paraId="1A1939B5">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hint="default" w:ascii="宋体" w:hAnsi="宋体" w:cs="宋体"/>
                <w:color w:val="auto"/>
                <w:kern w:val="0"/>
                <w:sz w:val="18"/>
                <w:szCs w:val="18"/>
                <w:highlight w:val="none"/>
              </w:rPr>
              <w:t>Z</w:t>
            </w:r>
          </w:p>
          <w:p w14:paraId="617880B3">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338" w:type="dxa"/>
            <w:tcBorders>
              <w:top w:val="nil"/>
              <w:left w:val="nil"/>
              <w:bottom w:val="single" w:color="auto" w:sz="4" w:space="0"/>
              <w:right w:val="single" w:color="auto" w:sz="4" w:space="0"/>
            </w:tcBorders>
            <w:vAlign w:val="bottom"/>
          </w:tcPr>
          <w:p w14:paraId="4A929EB1">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（人）</w:t>
            </w:r>
          </w:p>
        </w:tc>
        <w:tc>
          <w:tcPr>
            <w:tcW w:w="1500" w:type="dxa"/>
            <w:tcBorders>
              <w:top w:val="nil"/>
              <w:left w:val="nil"/>
              <w:bottom w:val="single" w:color="auto" w:sz="4" w:space="0"/>
              <w:right w:val="single" w:color="auto" w:sz="4" w:space="0"/>
            </w:tcBorders>
            <w:vAlign w:val="bottom"/>
          </w:tcPr>
          <w:p w14:paraId="007FCD19">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hint="default" w:ascii="宋体" w:hAnsi="宋体" w:cs="宋体"/>
                <w:color w:val="auto"/>
                <w:kern w:val="0"/>
                <w:sz w:val="18"/>
                <w:szCs w:val="18"/>
                <w:highlight w:val="none"/>
              </w:rPr>
              <w:t>Y</w:t>
            </w:r>
          </w:p>
          <w:p w14:paraId="5EBB012A">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725" w:type="dxa"/>
            <w:tcBorders>
              <w:top w:val="nil"/>
              <w:left w:val="nil"/>
              <w:bottom w:val="single" w:color="auto" w:sz="4" w:space="0"/>
              <w:right w:val="single" w:color="auto" w:sz="8" w:space="0"/>
            </w:tcBorders>
            <w:vAlign w:val="bottom"/>
          </w:tcPr>
          <w:p w14:paraId="2CFCC497">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hint="default" w:ascii="宋体" w:hAnsi="宋体" w:cs="宋体"/>
                <w:color w:val="auto"/>
                <w:kern w:val="0"/>
                <w:sz w:val="18"/>
                <w:szCs w:val="18"/>
                <w:highlight w:val="none"/>
              </w:rPr>
              <w:t>Z</w:t>
            </w:r>
          </w:p>
          <w:p w14:paraId="3E3CADAE">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375" w:type="dxa"/>
            <w:tcBorders>
              <w:top w:val="nil"/>
              <w:left w:val="nil"/>
              <w:bottom w:val="single" w:color="auto" w:sz="4" w:space="0"/>
              <w:right w:val="single" w:color="auto" w:sz="4" w:space="0"/>
            </w:tcBorders>
            <w:vAlign w:val="bottom"/>
          </w:tcPr>
          <w:p w14:paraId="30046FC9">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（人）</w:t>
            </w:r>
          </w:p>
        </w:tc>
        <w:tc>
          <w:tcPr>
            <w:tcW w:w="1030" w:type="dxa"/>
            <w:tcBorders>
              <w:top w:val="nil"/>
              <w:left w:val="nil"/>
              <w:bottom w:val="single" w:color="auto" w:sz="4" w:space="0"/>
              <w:right w:val="single" w:color="auto" w:sz="4" w:space="0"/>
            </w:tcBorders>
            <w:vAlign w:val="bottom"/>
          </w:tcPr>
          <w:p w14:paraId="38BADAB7">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（万元）</w:t>
            </w:r>
          </w:p>
        </w:tc>
        <w:tc>
          <w:tcPr>
            <w:tcW w:w="1129" w:type="dxa"/>
            <w:tcBorders>
              <w:top w:val="nil"/>
              <w:left w:val="nil"/>
              <w:bottom w:val="single" w:color="auto" w:sz="4" w:space="0"/>
              <w:right w:val="single" w:color="auto" w:sz="8" w:space="0"/>
            </w:tcBorders>
            <w:vAlign w:val="bottom"/>
          </w:tcPr>
          <w:p w14:paraId="0A76BAA8">
            <w:pPr>
              <w:keepNext w:val="0"/>
              <w:keepLines w:val="0"/>
              <w:widowControl/>
              <w:suppressLineNumbers w:val="0"/>
              <w:shd w:val="clear"/>
              <w:spacing w:before="0" w:beforeAutospacing="0" w:after="0" w:afterAutospacing="0"/>
              <w:ind w:left="0" w:right="0"/>
              <w:jc w:val="center"/>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hint="default" w:ascii="宋体" w:hAnsi="宋体" w:cs="宋体"/>
                <w:color w:val="auto"/>
                <w:kern w:val="0"/>
                <w:sz w:val="18"/>
                <w:szCs w:val="18"/>
                <w:highlight w:val="none"/>
              </w:rPr>
              <w:t>Z</w:t>
            </w:r>
            <w:r>
              <w:rPr>
                <w:rFonts w:hint="eastAsia" w:ascii="宋体" w:hAnsi="宋体" w:cs="宋体"/>
                <w:color w:val="auto"/>
                <w:kern w:val="0"/>
                <w:sz w:val="18"/>
                <w:szCs w:val="18"/>
                <w:highlight w:val="none"/>
              </w:rPr>
              <w:t>（万元）</w:t>
            </w:r>
          </w:p>
        </w:tc>
      </w:tr>
      <w:tr w14:paraId="7B1FC0B2">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14:paraId="5F25BD5D">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1</w:t>
            </w:r>
            <w:r>
              <w:rPr>
                <w:rFonts w:hint="eastAsia" w:ascii="宋体" w:hAnsi="宋体" w:cs="宋体"/>
                <w:color w:val="auto"/>
                <w:kern w:val="0"/>
                <w:sz w:val="18"/>
                <w:szCs w:val="18"/>
                <w:highlight w:val="none"/>
              </w:rPr>
              <w:t>、农林牧渔业</w:t>
            </w:r>
          </w:p>
        </w:tc>
        <w:tc>
          <w:tcPr>
            <w:tcW w:w="1387" w:type="dxa"/>
            <w:tcBorders>
              <w:top w:val="nil"/>
              <w:left w:val="nil"/>
              <w:bottom w:val="single" w:color="auto" w:sz="4" w:space="0"/>
              <w:right w:val="single" w:color="auto" w:sz="4" w:space="0"/>
            </w:tcBorders>
            <w:vAlign w:val="center"/>
          </w:tcPr>
          <w:p w14:paraId="176A9DAB">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00" w:type="dxa"/>
            <w:tcBorders>
              <w:top w:val="nil"/>
              <w:left w:val="nil"/>
              <w:bottom w:val="single" w:color="auto" w:sz="4" w:space="0"/>
              <w:right w:val="single" w:color="auto" w:sz="4" w:space="0"/>
            </w:tcBorders>
            <w:vAlign w:val="center"/>
          </w:tcPr>
          <w:p w14:paraId="427EEBB5">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500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20000</w:t>
            </w:r>
          </w:p>
        </w:tc>
        <w:tc>
          <w:tcPr>
            <w:tcW w:w="1575" w:type="dxa"/>
            <w:tcBorders>
              <w:top w:val="nil"/>
              <w:left w:val="nil"/>
              <w:bottom w:val="single" w:color="auto" w:sz="4" w:space="0"/>
              <w:right w:val="single" w:color="auto" w:sz="8" w:space="0"/>
            </w:tcBorders>
            <w:vAlign w:val="center"/>
          </w:tcPr>
          <w:p w14:paraId="1B7CEDA7">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14:paraId="07C73A2B">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00" w:type="dxa"/>
            <w:tcBorders>
              <w:top w:val="nil"/>
              <w:left w:val="nil"/>
              <w:bottom w:val="single" w:color="auto" w:sz="4" w:space="0"/>
              <w:right w:val="single" w:color="auto" w:sz="4" w:space="0"/>
            </w:tcBorders>
            <w:vAlign w:val="center"/>
          </w:tcPr>
          <w:p w14:paraId="0EB15A5C">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50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500</w:t>
            </w:r>
          </w:p>
        </w:tc>
        <w:tc>
          <w:tcPr>
            <w:tcW w:w="1725" w:type="dxa"/>
            <w:tcBorders>
              <w:top w:val="nil"/>
              <w:left w:val="nil"/>
              <w:bottom w:val="single" w:color="auto" w:sz="4" w:space="0"/>
              <w:right w:val="single" w:color="auto" w:sz="8" w:space="0"/>
            </w:tcBorders>
            <w:vAlign w:val="center"/>
          </w:tcPr>
          <w:p w14:paraId="3B040350">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4" w:space="0"/>
              <w:right w:val="single" w:color="auto" w:sz="4" w:space="0"/>
            </w:tcBorders>
            <w:vAlign w:val="center"/>
          </w:tcPr>
          <w:p w14:paraId="3E0A489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30" w:type="dxa"/>
            <w:tcBorders>
              <w:top w:val="nil"/>
              <w:left w:val="nil"/>
              <w:bottom w:val="single" w:color="auto" w:sz="4" w:space="0"/>
              <w:right w:val="single" w:color="auto" w:sz="4" w:space="0"/>
            </w:tcBorders>
            <w:vAlign w:val="center"/>
          </w:tcPr>
          <w:p w14:paraId="7BBDC089">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50</w:t>
            </w:r>
          </w:p>
        </w:tc>
        <w:tc>
          <w:tcPr>
            <w:tcW w:w="1129" w:type="dxa"/>
            <w:tcBorders>
              <w:top w:val="nil"/>
              <w:left w:val="nil"/>
              <w:bottom w:val="single" w:color="auto" w:sz="4" w:space="0"/>
              <w:right w:val="single" w:color="auto" w:sz="8" w:space="0"/>
            </w:tcBorders>
            <w:vAlign w:val="center"/>
          </w:tcPr>
          <w:p w14:paraId="4BD61F5A">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42F6BD18">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14:paraId="7A33D848">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2</w:t>
            </w:r>
            <w:r>
              <w:rPr>
                <w:rFonts w:hint="eastAsia" w:ascii="宋体" w:hAnsi="宋体" w:cs="宋体"/>
                <w:color w:val="auto"/>
                <w:kern w:val="0"/>
                <w:sz w:val="18"/>
                <w:szCs w:val="18"/>
                <w:highlight w:val="none"/>
              </w:rPr>
              <w:t>、工业</w:t>
            </w:r>
          </w:p>
        </w:tc>
        <w:tc>
          <w:tcPr>
            <w:tcW w:w="1387" w:type="dxa"/>
            <w:tcBorders>
              <w:top w:val="nil"/>
              <w:left w:val="nil"/>
              <w:bottom w:val="single" w:color="auto" w:sz="4" w:space="0"/>
              <w:right w:val="single" w:color="auto" w:sz="4" w:space="0"/>
            </w:tcBorders>
            <w:vAlign w:val="center"/>
          </w:tcPr>
          <w:p w14:paraId="6D54CE1D">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1000</w:t>
            </w:r>
          </w:p>
        </w:tc>
        <w:tc>
          <w:tcPr>
            <w:tcW w:w="1600" w:type="dxa"/>
            <w:tcBorders>
              <w:top w:val="nil"/>
              <w:left w:val="nil"/>
              <w:bottom w:val="single" w:color="auto" w:sz="4" w:space="0"/>
              <w:right w:val="single" w:color="auto" w:sz="4" w:space="0"/>
            </w:tcBorders>
            <w:vAlign w:val="center"/>
          </w:tcPr>
          <w:p w14:paraId="307558E2">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40000</w:t>
            </w:r>
          </w:p>
        </w:tc>
        <w:tc>
          <w:tcPr>
            <w:tcW w:w="1575" w:type="dxa"/>
            <w:tcBorders>
              <w:top w:val="nil"/>
              <w:left w:val="nil"/>
              <w:bottom w:val="single" w:color="auto" w:sz="4" w:space="0"/>
              <w:right w:val="single" w:color="auto" w:sz="8" w:space="0"/>
            </w:tcBorders>
            <w:vAlign w:val="center"/>
          </w:tcPr>
          <w:p w14:paraId="0D3944E1">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14:paraId="58637143">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＜1000</w:t>
            </w:r>
          </w:p>
        </w:tc>
        <w:tc>
          <w:tcPr>
            <w:tcW w:w="1500" w:type="dxa"/>
            <w:tcBorders>
              <w:top w:val="nil"/>
              <w:left w:val="nil"/>
              <w:bottom w:val="single" w:color="auto" w:sz="4" w:space="0"/>
              <w:right w:val="single" w:color="auto" w:sz="4" w:space="0"/>
            </w:tcBorders>
            <w:vAlign w:val="center"/>
          </w:tcPr>
          <w:p w14:paraId="6B9885CA">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＜40</w:t>
            </w:r>
            <w:r>
              <w:rPr>
                <w:rFonts w:hint="default" w:ascii="宋体" w:hAnsi="宋体" w:cs="宋体"/>
                <w:color w:val="auto"/>
                <w:kern w:val="0"/>
                <w:sz w:val="18"/>
                <w:szCs w:val="18"/>
                <w:highlight w:val="none"/>
              </w:rPr>
              <w:t>000</w:t>
            </w:r>
          </w:p>
        </w:tc>
        <w:tc>
          <w:tcPr>
            <w:tcW w:w="1725" w:type="dxa"/>
            <w:tcBorders>
              <w:top w:val="nil"/>
              <w:left w:val="nil"/>
              <w:bottom w:val="single" w:color="auto" w:sz="4" w:space="0"/>
              <w:right w:val="single" w:color="auto" w:sz="8" w:space="0"/>
            </w:tcBorders>
            <w:vAlign w:val="center"/>
          </w:tcPr>
          <w:p w14:paraId="27A525DB">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4" w:space="0"/>
              <w:right w:val="single" w:color="auto" w:sz="4" w:space="0"/>
            </w:tcBorders>
            <w:vAlign w:val="center"/>
          </w:tcPr>
          <w:p w14:paraId="54D9EB50">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w:t>
            </w:r>
          </w:p>
        </w:tc>
        <w:tc>
          <w:tcPr>
            <w:tcW w:w="1030" w:type="dxa"/>
            <w:tcBorders>
              <w:top w:val="nil"/>
              <w:left w:val="nil"/>
              <w:bottom w:val="single" w:color="auto" w:sz="4" w:space="0"/>
              <w:right w:val="single" w:color="auto" w:sz="4" w:space="0"/>
            </w:tcBorders>
            <w:vAlign w:val="center"/>
          </w:tcPr>
          <w:p w14:paraId="68F3345F">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300</w:t>
            </w:r>
          </w:p>
        </w:tc>
        <w:tc>
          <w:tcPr>
            <w:tcW w:w="1129" w:type="dxa"/>
            <w:tcBorders>
              <w:top w:val="nil"/>
              <w:left w:val="nil"/>
              <w:bottom w:val="single" w:color="auto" w:sz="4" w:space="0"/>
              <w:right w:val="single" w:color="auto" w:sz="8" w:space="0"/>
            </w:tcBorders>
            <w:vAlign w:val="center"/>
          </w:tcPr>
          <w:p w14:paraId="281E0961">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7E587959">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14:paraId="0BC5C2C5">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3</w:t>
            </w:r>
            <w:r>
              <w:rPr>
                <w:rFonts w:hint="eastAsia" w:ascii="宋体" w:hAnsi="宋体" w:cs="宋体"/>
                <w:color w:val="auto"/>
                <w:kern w:val="0"/>
                <w:sz w:val="18"/>
                <w:szCs w:val="18"/>
                <w:highlight w:val="none"/>
              </w:rPr>
              <w:t>、建筑业</w:t>
            </w:r>
          </w:p>
        </w:tc>
        <w:tc>
          <w:tcPr>
            <w:tcW w:w="1387" w:type="dxa"/>
            <w:tcBorders>
              <w:top w:val="nil"/>
              <w:left w:val="nil"/>
              <w:bottom w:val="single" w:color="auto" w:sz="4" w:space="0"/>
              <w:right w:val="single" w:color="auto" w:sz="4" w:space="0"/>
            </w:tcBorders>
            <w:vAlign w:val="center"/>
          </w:tcPr>
          <w:p w14:paraId="7A4D0B96">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00" w:type="dxa"/>
            <w:tcBorders>
              <w:top w:val="nil"/>
              <w:left w:val="nil"/>
              <w:bottom w:val="single" w:color="auto" w:sz="4" w:space="0"/>
              <w:right w:val="single" w:color="auto" w:sz="4" w:space="0"/>
            </w:tcBorders>
            <w:vAlign w:val="center"/>
          </w:tcPr>
          <w:p w14:paraId="77EDB00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6000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80000</w:t>
            </w:r>
          </w:p>
        </w:tc>
        <w:tc>
          <w:tcPr>
            <w:tcW w:w="1575" w:type="dxa"/>
            <w:tcBorders>
              <w:top w:val="nil"/>
              <w:left w:val="nil"/>
              <w:bottom w:val="single" w:color="auto" w:sz="4" w:space="0"/>
              <w:right w:val="single" w:color="auto" w:sz="8" w:space="0"/>
            </w:tcBorders>
            <w:vAlign w:val="center"/>
          </w:tcPr>
          <w:p w14:paraId="47620003">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80000</w:t>
            </w:r>
          </w:p>
        </w:tc>
        <w:tc>
          <w:tcPr>
            <w:tcW w:w="1338" w:type="dxa"/>
            <w:tcBorders>
              <w:top w:val="nil"/>
              <w:left w:val="nil"/>
              <w:bottom w:val="single" w:color="auto" w:sz="4" w:space="0"/>
              <w:right w:val="single" w:color="auto" w:sz="4" w:space="0"/>
            </w:tcBorders>
            <w:vAlign w:val="center"/>
          </w:tcPr>
          <w:p w14:paraId="165C05C7">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00" w:type="dxa"/>
            <w:tcBorders>
              <w:top w:val="nil"/>
              <w:left w:val="nil"/>
              <w:bottom w:val="single" w:color="auto" w:sz="4" w:space="0"/>
              <w:right w:val="single" w:color="auto" w:sz="4" w:space="0"/>
            </w:tcBorders>
            <w:vAlign w:val="center"/>
          </w:tcPr>
          <w:p w14:paraId="53FBD912">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＜80000</w:t>
            </w:r>
          </w:p>
        </w:tc>
        <w:tc>
          <w:tcPr>
            <w:tcW w:w="1725" w:type="dxa"/>
            <w:tcBorders>
              <w:top w:val="nil"/>
              <w:left w:val="nil"/>
              <w:bottom w:val="single" w:color="auto" w:sz="4" w:space="0"/>
              <w:right w:val="single" w:color="auto" w:sz="8" w:space="0"/>
            </w:tcBorders>
            <w:vAlign w:val="center"/>
          </w:tcPr>
          <w:p w14:paraId="7798B74F">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300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Z</w:t>
            </w:r>
            <w:r>
              <w:rPr>
                <w:rFonts w:hint="eastAsia" w:ascii="宋体" w:hAnsi="宋体" w:cs="宋体"/>
                <w:color w:val="auto"/>
                <w:kern w:val="0"/>
                <w:sz w:val="18"/>
                <w:szCs w:val="18"/>
                <w:highlight w:val="none"/>
              </w:rPr>
              <w:t>＜80</w:t>
            </w:r>
            <w:r>
              <w:rPr>
                <w:rFonts w:hint="default" w:ascii="宋体" w:hAnsi="宋体" w:cs="宋体"/>
                <w:color w:val="auto"/>
                <w:kern w:val="0"/>
                <w:sz w:val="18"/>
                <w:szCs w:val="18"/>
                <w:highlight w:val="none"/>
              </w:rPr>
              <w:t>000</w:t>
            </w:r>
          </w:p>
        </w:tc>
        <w:tc>
          <w:tcPr>
            <w:tcW w:w="1375" w:type="dxa"/>
            <w:tcBorders>
              <w:top w:val="nil"/>
              <w:left w:val="nil"/>
              <w:bottom w:val="single" w:color="auto" w:sz="4" w:space="0"/>
              <w:right w:val="single" w:color="auto" w:sz="4" w:space="0"/>
            </w:tcBorders>
            <w:vAlign w:val="center"/>
          </w:tcPr>
          <w:p w14:paraId="15718800">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30" w:type="dxa"/>
            <w:tcBorders>
              <w:top w:val="nil"/>
              <w:left w:val="nil"/>
              <w:bottom w:val="single" w:color="auto" w:sz="4" w:space="0"/>
              <w:right w:val="single" w:color="auto" w:sz="4" w:space="0"/>
            </w:tcBorders>
            <w:vAlign w:val="center"/>
          </w:tcPr>
          <w:p w14:paraId="3BADA7E3">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300</w:t>
            </w:r>
          </w:p>
        </w:tc>
        <w:tc>
          <w:tcPr>
            <w:tcW w:w="1129" w:type="dxa"/>
            <w:tcBorders>
              <w:top w:val="nil"/>
              <w:left w:val="nil"/>
              <w:bottom w:val="single" w:color="auto" w:sz="4" w:space="0"/>
              <w:right w:val="single" w:color="auto" w:sz="8" w:space="0"/>
            </w:tcBorders>
            <w:vAlign w:val="center"/>
          </w:tcPr>
          <w:p w14:paraId="388F92C4">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300</w:t>
            </w:r>
          </w:p>
        </w:tc>
      </w:tr>
      <w:tr w14:paraId="2BA10E5A">
        <w:tblPrEx>
          <w:tblCellMar>
            <w:top w:w="0" w:type="dxa"/>
            <w:left w:w="108" w:type="dxa"/>
            <w:bottom w:w="0" w:type="dxa"/>
            <w:right w:w="108" w:type="dxa"/>
          </w:tblCellMar>
        </w:tblPrEx>
        <w:trPr>
          <w:trHeight w:val="468" w:hRule="atLeast"/>
        </w:trPr>
        <w:tc>
          <w:tcPr>
            <w:tcW w:w="2307" w:type="dxa"/>
            <w:tcBorders>
              <w:top w:val="nil"/>
              <w:left w:val="single" w:color="auto" w:sz="8" w:space="0"/>
              <w:bottom w:val="single" w:color="auto" w:sz="4" w:space="0"/>
              <w:right w:val="single" w:color="auto" w:sz="8" w:space="0"/>
            </w:tcBorders>
            <w:vAlign w:val="bottom"/>
          </w:tcPr>
          <w:p w14:paraId="6CCF78EE">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4</w:t>
            </w:r>
            <w:r>
              <w:rPr>
                <w:rFonts w:hint="eastAsia" w:ascii="宋体" w:hAnsi="宋体" w:cs="宋体"/>
                <w:color w:val="auto"/>
                <w:kern w:val="0"/>
                <w:sz w:val="18"/>
                <w:szCs w:val="18"/>
                <w:highlight w:val="none"/>
              </w:rPr>
              <w:t>、批发业</w:t>
            </w:r>
          </w:p>
        </w:tc>
        <w:tc>
          <w:tcPr>
            <w:tcW w:w="1387" w:type="dxa"/>
            <w:tcBorders>
              <w:top w:val="nil"/>
              <w:left w:val="nil"/>
              <w:bottom w:val="single" w:color="auto" w:sz="4" w:space="0"/>
              <w:right w:val="single" w:color="auto" w:sz="4" w:space="0"/>
            </w:tcBorders>
            <w:vAlign w:val="center"/>
          </w:tcPr>
          <w:p w14:paraId="1FC24656">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20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200</w:t>
            </w:r>
          </w:p>
        </w:tc>
        <w:tc>
          <w:tcPr>
            <w:tcW w:w="1600" w:type="dxa"/>
            <w:tcBorders>
              <w:top w:val="nil"/>
              <w:left w:val="nil"/>
              <w:bottom w:val="single" w:color="auto" w:sz="4" w:space="0"/>
              <w:right w:val="single" w:color="auto" w:sz="4" w:space="0"/>
            </w:tcBorders>
            <w:vAlign w:val="center"/>
          </w:tcPr>
          <w:p w14:paraId="7C14FECB">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40000</w:t>
            </w:r>
          </w:p>
        </w:tc>
        <w:tc>
          <w:tcPr>
            <w:tcW w:w="1575" w:type="dxa"/>
            <w:tcBorders>
              <w:top w:val="nil"/>
              <w:left w:val="nil"/>
              <w:bottom w:val="single" w:color="auto" w:sz="4" w:space="0"/>
              <w:right w:val="single" w:color="auto" w:sz="8" w:space="0"/>
            </w:tcBorders>
            <w:vAlign w:val="center"/>
          </w:tcPr>
          <w:p w14:paraId="11583923">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14:paraId="3C5A1D9F">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5</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w:t>
            </w:r>
            <w:r>
              <w:rPr>
                <w:rFonts w:hint="eastAsia" w:ascii="宋体" w:hAnsi="宋体" w:cs="宋体"/>
                <w:color w:val="auto"/>
                <w:kern w:val="0"/>
                <w:sz w:val="18"/>
                <w:szCs w:val="18"/>
                <w:highlight w:val="none"/>
              </w:rPr>
              <w:t>0</w:t>
            </w:r>
          </w:p>
        </w:tc>
        <w:tc>
          <w:tcPr>
            <w:tcW w:w="1500" w:type="dxa"/>
            <w:tcBorders>
              <w:top w:val="nil"/>
              <w:left w:val="nil"/>
              <w:bottom w:val="single" w:color="auto" w:sz="4" w:space="0"/>
              <w:right w:val="single" w:color="auto" w:sz="4" w:space="0"/>
            </w:tcBorders>
            <w:vAlign w:val="center"/>
          </w:tcPr>
          <w:p w14:paraId="2ED84CAB">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40</w:t>
            </w:r>
            <w:r>
              <w:rPr>
                <w:rFonts w:hint="eastAsia" w:ascii="宋体" w:hAnsi="宋体" w:cs="宋体"/>
                <w:color w:val="auto"/>
                <w:kern w:val="0"/>
                <w:sz w:val="18"/>
                <w:szCs w:val="18"/>
                <w:highlight w:val="none"/>
              </w:rPr>
              <w:t>0</w:t>
            </w:r>
            <w:r>
              <w:rPr>
                <w:rFonts w:hint="default" w:ascii="宋体" w:hAnsi="宋体" w:cs="宋体"/>
                <w:color w:val="auto"/>
                <w:kern w:val="0"/>
                <w:sz w:val="18"/>
                <w:szCs w:val="18"/>
                <w:highlight w:val="none"/>
              </w:rPr>
              <w:t>00</w:t>
            </w:r>
          </w:p>
        </w:tc>
        <w:tc>
          <w:tcPr>
            <w:tcW w:w="1725" w:type="dxa"/>
            <w:tcBorders>
              <w:top w:val="nil"/>
              <w:left w:val="nil"/>
              <w:bottom w:val="single" w:color="auto" w:sz="4" w:space="0"/>
              <w:right w:val="single" w:color="auto" w:sz="8" w:space="0"/>
            </w:tcBorders>
            <w:vAlign w:val="center"/>
          </w:tcPr>
          <w:p w14:paraId="0F34D8BC">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4" w:space="0"/>
              <w:right w:val="single" w:color="auto" w:sz="4" w:space="0"/>
            </w:tcBorders>
            <w:vAlign w:val="center"/>
          </w:tcPr>
          <w:p w14:paraId="6AA5CC9A">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5</w:t>
            </w:r>
          </w:p>
        </w:tc>
        <w:tc>
          <w:tcPr>
            <w:tcW w:w="1030" w:type="dxa"/>
            <w:tcBorders>
              <w:top w:val="nil"/>
              <w:left w:val="nil"/>
              <w:bottom w:val="single" w:color="auto" w:sz="4" w:space="0"/>
              <w:right w:val="single" w:color="auto" w:sz="4" w:space="0"/>
            </w:tcBorders>
            <w:vAlign w:val="center"/>
          </w:tcPr>
          <w:p w14:paraId="2D21DBD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1000</w:t>
            </w:r>
          </w:p>
        </w:tc>
        <w:tc>
          <w:tcPr>
            <w:tcW w:w="1129" w:type="dxa"/>
            <w:tcBorders>
              <w:top w:val="nil"/>
              <w:left w:val="nil"/>
              <w:bottom w:val="single" w:color="auto" w:sz="4" w:space="0"/>
              <w:right w:val="single" w:color="auto" w:sz="8" w:space="0"/>
            </w:tcBorders>
            <w:vAlign w:val="center"/>
          </w:tcPr>
          <w:p w14:paraId="4DB5182B">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451D5E83">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14:paraId="6DF33DD0">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5</w:t>
            </w:r>
            <w:r>
              <w:rPr>
                <w:rFonts w:hint="eastAsia" w:ascii="宋体" w:hAnsi="宋体" w:cs="宋体"/>
                <w:color w:val="auto"/>
                <w:kern w:val="0"/>
                <w:sz w:val="18"/>
                <w:szCs w:val="18"/>
                <w:highlight w:val="none"/>
              </w:rPr>
              <w:t>、零售业</w:t>
            </w:r>
          </w:p>
        </w:tc>
        <w:tc>
          <w:tcPr>
            <w:tcW w:w="1387" w:type="dxa"/>
            <w:tcBorders>
              <w:top w:val="nil"/>
              <w:left w:val="nil"/>
              <w:bottom w:val="single" w:color="auto" w:sz="4" w:space="0"/>
              <w:right w:val="single" w:color="auto" w:sz="4" w:space="0"/>
            </w:tcBorders>
            <w:vAlign w:val="center"/>
          </w:tcPr>
          <w:p w14:paraId="2D12DE18">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50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300</w:t>
            </w:r>
          </w:p>
        </w:tc>
        <w:tc>
          <w:tcPr>
            <w:tcW w:w="1600" w:type="dxa"/>
            <w:tcBorders>
              <w:top w:val="nil"/>
              <w:left w:val="nil"/>
              <w:bottom w:val="single" w:color="auto" w:sz="4" w:space="0"/>
              <w:right w:val="single" w:color="auto" w:sz="4" w:space="0"/>
            </w:tcBorders>
            <w:vAlign w:val="center"/>
          </w:tcPr>
          <w:p w14:paraId="1503716F">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500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20000</w:t>
            </w:r>
          </w:p>
        </w:tc>
        <w:tc>
          <w:tcPr>
            <w:tcW w:w="1575" w:type="dxa"/>
            <w:tcBorders>
              <w:top w:val="nil"/>
              <w:left w:val="nil"/>
              <w:bottom w:val="single" w:color="auto" w:sz="4" w:space="0"/>
              <w:right w:val="single" w:color="auto" w:sz="8" w:space="0"/>
            </w:tcBorders>
            <w:vAlign w:val="center"/>
          </w:tcPr>
          <w:p w14:paraId="03DD6895">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14:paraId="5B6D6BAA">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＜300</w:t>
            </w:r>
          </w:p>
        </w:tc>
        <w:tc>
          <w:tcPr>
            <w:tcW w:w="1500" w:type="dxa"/>
            <w:tcBorders>
              <w:top w:val="nil"/>
              <w:left w:val="nil"/>
              <w:bottom w:val="single" w:color="auto" w:sz="4" w:space="0"/>
              <w:right w:val="single" w:color="auto" w:sz="4" w:space="0"/>
            </w:tcBorders>
            <w:vAlign w:val="center"/>
          </w:tcPr>
          <w:p w14:paraId="0D71B71A">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＜200</w:t>
            </w:r>
            <w:r>
              <w:rPr>
                <w:rFonts w:hint="default" w:ascii="宋体" w:hAnsi="宋体" w:cs="宋体"/>
                <w:color w:val="auto"/>
                <w:kern w:val="0"/>
                <w:sz w:val="18"/>
                <w:szCs w:val="18"/>
                <w:highlight w:val="none"/>
              </w:rPr>
              <w:t>00</w:t>
            </w:r>
          </w:p>
        </w:tc>
        <w:tc>
          <w:tcPr>
            <w:tcW w:w="1725" w:type="dxa"/>
            <w:tcBorders>
              <w:top w:val="nil"/>
              <w:left w:val="nil"/>
              <w:bottom w:val="single" w:color="auto" w:sz="4" w:space="0"/>
              <w:right w:val="single" w:color="auto" w:sz="8" w:space="0"/>
            </w:tcBorders>
            <w:vAlign w:val="center"/>
          </w:tcPr>
          <w:p w14:paraId="66B3FD04">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4" w:space="0"/>
              <w:right w:val="single" w:color="auto" w:sz="4" w:space="0"/>
            </w:tcBorders>
            <w:vAlign w:val="center"/>
          </w:tcPr>
          <w:p w14:paraId="772A3915">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w:t>
            </w:r>
          </w:p>
        </w:tc>
        <w:tc>
          <w:tcPr>
            <w:tcW w:w="1030" w:type="dxa"/>
            <w:tcBorders>
              <w:top w:val="nil"/>
              <w:left w:val="nil"/>
              <w:bottom w:val="single" w:color="auto" w:sz="4" w:space="0"/>
              <w:right w:val="single" w:color="auto" w:sz="4" w:space="0"/>
            </w:tcBorders>
            <w:vAlign w:val="center"/>
          </w:tcPr>
          <w:p w14:paraId="1ED0B918">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w:t>
            </w:r>
          </w:p>
        </w:tc>
        <w:tc>
          <w:tcPr>
            <w:tcW w:w="1129" w:type="dxa"/>
            <w:tcBorders>
              <w:top w:val="nil"/>
              <w:left w:val="nil"/>
              <w:bottom w:val="single" w:color="auto" w:sz="4" w:space="0"/>
              <w:right w:val="single" w:color="auto" w:sz="8" w:space="0"/>
            </w:tcBorders>
            <w:vAlign w:val="center"/>
          </w:tcPr>
          <w:p w14:paraId="1F8C8C35">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5A051F4B">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14:paraId="7382A941">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6</w:t>
            </w:r>
            <w:r>
              <w:rPr>
                <w:rFonts w:hint="eastAsia" w:ascii="宋体" w:hAnsi="宋体" w:cs="宋体"/>
                <w:color w:val="auto"/>
                <w:kern w:val="0"/>
                <w:sz w:val="18"/>
                <w:szCs w:val="18"/>
                <w:highlight w:val="none"/>
              </w:rPr>
              <w:t>、交通运输业</w:t>
            </w:r>
          </w:p>
        </w:tc>
        <w:tc>
          <w:tcPr>
            <w:tcW w:w="1387" w:type="dxa"/>
            <w:tcBorders>
              <w:top w:val="nil"/>
              <w:left w:val="nil"/>
              <w:bottom w:val="single" w:color="auto" w:sz="4" w:space="0"/>
              <w:right w:val="single" w:color="auto" w:sz="4" w:space="0"/>
            </w:tcBorders>
            <w:vAlign w:val="center"/>
          </w:tcPr>
          <w:p w14:paraId="43CB2E73">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1000</w:t>
            </w:r>
          </w:p>
        </w:tc>
        <w:tc>
          <w:tcPr>
            <w:tcW w:w="1600" w:type="dxa"/>
            <w:tcBorders>
              <w:top w:val="nil"/>
              <w:left w:val="nil"/>
              <w:bottom w:val="single" w:color="auto" w:sz="4" w:space="0"/>
              <w:right w:val="single" w:color="auto" w:sz="4" w:space="0"/>
            </w:tcBorders>
            <w:vAlign w:val="center"/>
          </w:tcPr>
          <w:p w14:paraId="3B30A89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30000</w:t>
            </w:r>
          </w:p>
        </w:tc>
        <w:tc>
          <w:tcPr>
            <w:tcW w:w="1575" w:type="dxa"/>
            <w:tcBorders>
              <w:top w:val="nil"/>
              <w:left w:val="nil"/>
              <w:bottom w:val="single" w:color="auto" w:sz="4" w:space="0"/>
              <w:right w:val="single" w:color="auto" w:sz="8" w:space="0"/>
            </w:tcBorders>
            <w:vAlign w:val="center"/>
          </w:tcPr>
          <w:p w14:paraId="77CF38F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14:paraId="05CD5F86">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＜1000</w:t>
            </w:r>
          </w:p>
        </w:tc>
        <w:tc>
          <w:tcPr>
            <w:tcW w:w="1500" w:type="dxa"/>
            <w:tcBorders>
              <w:top w:val="nil"/>
              <w:left w:val="nil"/>
              <w:bottom w:val="single" w:color="auto" w:sz="4" w:space="0"/>
              <w:right w:val="single" w:color="auto" w:sz="4" w:space="0"/>
            </w:tcBorders>
            <w:vAlign w:val="center"/>
          </w:tcPr>
          <w:p w14:paraId="2969067A">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w:t>
            </w:r>
            <w:r>
              <w:rPr>
                <w:rFonts w:hint="eastAsia" w:ascii="宋体" w:hAnsi="宋体" w:cs="宋体"/>
                <w:color w:val="auto"/>
                <w:kern w:val="0"/>
                <w:sz w:val="18"/>
                <w:szCs w:val="18"/>
                <w:highlight w:val="none"/>
              </w:rPr>
              <w:t>0</w:t>
            </w:r>
            <w:r>
              <w:rPr>
                <w:rFonts w:hint="default" w:ascii="宋体" w:hAnsi="宋体" w:cs="宋体"/>
                <w:color w:val="auto"/>
                <w:kern w:val="0"/>
                <w:sz w:val="18"/>
                <w:szCs w:val="18"/>
                <w:highlight w:val="none"/>
              </w:rPr>
              <w:t>00</w:t>
            </w:r>
          </w:p>
        </w:tc>
        <w:tc>
          <w:tcPr>
            <w:tcW w:w="1725" w:type="dxa"/>
            <w:tcBorders>
              <w:top w:val="nil"/>
              <w:left w:val="nil"/>
              <w:bottom w:val="single" w:color="auto" w:sz="4" w:space="0"/>
              <w:right w:val="single" w:color="auto" w:sz="8" w:space="0"/>
            </w:tcBorders>
            <w:vAlign w:val="center"/>
          </w:tcPr>
          <w:p w14:paraId="25F8FC18">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4" w:space="0"/>
              <w:right w:val="single" w:color="auto" w:sz="4" w:space="0"/>
            </w:tcBorders>
            <w:vAlign w:val="center"/>
          </w:tcPr>
          <w:p w14:paraId="21D60E24">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w:t>
            </w:r>
          </w:p>
        </w:tc>
        <w:tc>
          <w:tcPr>
            <w:tcW w:w="1030" w:type="dxa"/>
            <w:tcBorders>
              <w:top w:val="nil"/>
              <w:left w:val="nil"/>
              <w:bottom w:val="single" w:color="auto" w:sz="4" w:space="0"/>
              <w:right w:val="single" w:color="auto" w:sz="4" w:space="0"/>
            </w:tcBorders>
            <w:vAlign w:val="center"/>
          </w:tcPr>
          <w:p w14:paraId="2AA97B3A">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V</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200</w:t>
            </w:r>
          </w:p>
        </w:tc>
        <w:tc>
          <w:tcPr>
            <w:tcW w:w="1129" w:type="dxa"/>
            <w:tcBorders>
              <w:top w:val="nil"/>
              <w:left w:val="nil"/>
              <w:bottom w:val="single" w:color="auto" w:sz="4" w:space="0"/>
              <w:right w:val="single" w:color="auto" w:sz="8" w:space="0"/>
            </w:tcBorders>
            <w:vAlign w:val="center"/>
          </w:tcPr>
          <w:p w14:paraId="4398C053">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7DC3E878">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14:paraId="274FB5DC">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7</w:t>
            </w:r>
            <w:r>
              <w:rPr>
                <w:rFonts w:hint="eastAsia" w:ascii="宋体" w:hAnsi="宋体" w:cs="宋体"/>
                <w:color w:val="auto"/>
                <w:kern w:val="0"/>
                <w:sz w:val="18"/>
                <w:szCs w:val="18"/>
                <w:highlight w:val="none"/>
              </w:rPr>
              <w:t>、仓储业</w:t>
            </w:r>
          </w:p>
        </w:tc>
        <w:tc>
          <w:tcPr>
            <w:tcW w:w="1387" w:type="dxa"/>
            <w:tcBorders>
              <w:top w:val="nil"/>
              <w:left w:val="nil"/>
              <w:bottom w:val="single" w:color="auto" w:sz="4" w:space="0"/>
              <w:right w:val="single" w:color="auto" w:sz="4" w:space="0"/>
            </w:tcBorders>
            <w:vAlign w:val="center"/>
          </w:tcPr>
          <w:p w14:paraId="20F5EA6C">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200</w:t>
            </w:r>
          </w:p>
        </w:tc>
        <w:tc>
          <w:tcPr>
            <w:tcW w:w="1600" w:type="dxa"/>
            <w:tcBorders>
              <w:top w:val="nil"/>
              <w:left w:val="nil"/>
              <w:bottom w:val="single" w:color="auto" w:sz="4" w:space="0"/>
              <w:right w:val="single" w:color="auto" w:sz="4" w:space="0"/>
            </w:tcBorders>
            <w:vAlign w:val="center"/>
          </w:tcPr>
          <w:p w14:paraId="631C2BAD">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30000</w:t>
            </w:r>
          </w:p>
        </w:tc>
        <w:tc>
          <w:tcPr>
            <w:tcW w:w="1575" w:type="dxa"/>
            <w:tcBorders>
              <w:top w:val="nil"/>
              <w:left w:val="nil"/>
              <w:bottom w:val="single" w:color="auto" w:sz="4" w:space="0"/>
              <w:right w:val="single" w:color="auto" w:sz="8" w:space="0"/>
            </w:tcBorders>
            <w:vAlign w:val="center"/>
          </w:tcPr>
          <w:p w14:paraId="7CF17A34">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14:paraId="151A4572">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＜2</w:t>
            </w:r>
            <w:r>
              <w:rPr>
                <w:rFonts w:hint="default" w:ascii="宋体" w:hAnsi="宋体" w:cs="宋体"/>
                <w:color w:val="auto"/>
                <w:kern w:val="0"/>
                <w:sz w:val="18"/>
                <w:szCs w:val="18"/>
                <w:highlight w:val="none"/>
              </w:rPr>
              <w:t>00</w:t>
            </w:r>
          </w:p>
        </w:tc>
        <w:tc>
          <w:tcPr>
            <w:tcW w:w="1500" w:type="dxa"/>
            <w:tcBorders>
              <w:top w:val="nil"/>
              <w:left w:val="nil"/>
              <w:bottom w:val="single" w:color="auto" w:sz="4" w:space="0"/>
              <w:right w:val="single" w:color="auto" w:sz="4" w:space="0"/>
            </w:tcBorders>
            <w:vAlign w:val="center"/>
          </w:tcPr>
          <w:p w14:paraId="4F4970E2">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＜3</w:t>
            </w:r>
            <w:r>
              <w:rPr>
                <w:rFonts w:hint="default" w:ascii="宋体" w:hAnsi="宋体" w:cs="宋体"/>
                <w:color w:val="auto"/>
                <w:kern w:val="0"/>
                <w:sz w:val="18"/>
                <w:szCs w:val="18"/>
                <w:highlight w:val="none"/>
              </w:rPr>
              <w:t>0</w:t>
            </w:r>
            <w:r>
              <w:rPr>
                <w:rFonts w:hint="eastAsia" w:ascii="宋体" w:hAnsi="宋体" w:cs="宋体"/>
                <w:color w:val="auto"/>
                <w:kern w:val="0"/>
                <w:sz w:val="18"/>
                <w:szCs w:val="18"/>
                <w:highlight w:val="none"/>
              </w:rPr>
              <w:t>0</w:t>
            </w:r>
            <w:r>
              <w:rPr>
                <w:rFonts w:hint="default" w:ascii="宋体" w:hAnsi="宋体" w:cs="宋体"/>
                <w:color w:val="auto"/>
                <w:kern w:val="0"/>
                <w:sz w:val="18"/>
                <w:szCs w:val="18"/>
                <w:highlight w:val="none"/>
              </w:rPr>
              <w:t>00</w:t>
            </w:r>
          </w:p>
        </w:tc>
        <w:tc>
          <w:tcPr>
            <w:tcW w:w="1725" w:type="dxa"/>
            <w:tcBorders>
              <w:top w:val="nil"/>
              <w:left w:val="nil"/>
              <w:bottom w:val="single" w:color="auto" w:sz="4" w:space="0"/>
              <w:right w:val="single" w:color="auto" w:sz="8" w:space="0"/>
            </w:tcBorders>
            <w:vAlign w:val="center"/>
          </w:tcPr>
          <w:p w14:paraId="0BCEAA4B">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4" w:space="0"/>
              <w:right w:val="single" w:color="auto" w:sz="4" w:space="0"/>
            </w:tcBorders>
            <w:vAlign w:val="center"/>
          </w:tcPr>
          <w:p w14:paraId="5DC0F934">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w:t>
            </w:r>
          </w:p>
        </w:tc>
        <w:tc>
          <w:tcPr>
            <w:tcW w:w="1030" w:type="dxa"/>
            <w:tcBorders>
              <w:top w:val="nil"/>
              <w:left w:val="nil"/>
              <w:bottom w:val="single" w:color="auto" w:sz="4" w:space="0"/>
              <w:right w:val="single" w:color="auto" w:sz="4" w:space="0"/>
            </w:tcBorders>
            <w:vAlign w:val="center"/>
          </w:tcPr>
          <w:p w14:paraId="78F8CB5B">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w:t>
            </w:r>
          </w:p>
        </w:tc>
        <w:tc>
          <w:tcPr>
            <w:tcW w:w="1129" w:type="dxa"/>
            <w:tcBorders>
              <w:top w:val="nil"/>
              <w:left w:val="nil"/>
              <w:bottom w:val="single" w:color="auto" w:sz="4" w:space="0"/>
              <w:right w:val="single" w:color="auto" w:sz="8" w:space="0"/>
            </w:tcBorders>
            <w:vAlign w:val="center"/>
          </w:tcPr>
          <w:p w14:paraId="7C173D67">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4C19E37B">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14:paraId="338CCC35">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8</w:t>
            </w:r>
            <w:r>
              <w:rPr>
                <w:rFonts w:hint="eastAsia" w:ascii="宋体" w:hAnsi="宋体" w:cs="宋体"/>
                <w:color w:val="auto"/>
                <w:kern w:val="0"/>
                <w:sz w:val="18"/>
                <w:szCs w:val="18"/>
                <w:highlight w:val="none"/>
              </w:rPr>
              <w:t>、邮政业</w:t>
            </w:r>
          </w:p>
        </w:tc>
        <w:tc>
          <w:tcPr>
            <w:tcW w:w="1387" w:type="dxa"/>
            <w:tcBorders>
              <w:top w:val="nil"/>
              <w:left w:val="nil"/>
              <w:bottom w:val="single" w:color="auto" w:sz="4" w:space="0"/>
              <w:right w:val="single" w:color="auto" w:sz="4" w:space="0"/>
            </w:tcBorders>
            <w:vAlign w:val="center"/>
          </w:tcPr>
          <w:p w14:paraId="06F2E4C6">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1000</w:t>
            </w:r>
          </w:p>
        </w:tc>
        <w:tc>
          <w:tcPr>
            <w:tcW w:w="1600" w:type="dxa"/>
            <w:tcBorders>
              <w:top w:val="nil"/>
              <w:left w:val="nil"/>
              <w:bottom w:val="single" w:color="auto" w:sz="4" w:space="0"/>
              <w:right w:val="single" w:color="auto" w:sz="4" w:space="0"/>
            </w:tcBorders>
            <w:vAlign w:val="center"/>
          </w:tcPr>
          <w:p w14:paraId="127AB0E6">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30000</w:t>
            </w:r>
          </w:p>
        </w:tc>
        <w:tc>
          <w:tcPr>
            <w:tcW w:w="1575" w:type="dxa"/>
            <w:tcBorders>
              <w:top w:val="nil"/>
              <w:left w:val="nil"/>
              <w:bottom w:val="single" w:color="auto" w:sz="4" w:space="0"/>
              <w:right w:val="single" w:color="auto" w:sz="8" w:space="0"/>
            </w:tcBorders>
            <w:vAlign w:val="center"/>
          </w:tcPr>
          <w:p w14:paraId="1F1945CC">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14:paraId="6DF61BB6">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＜100</w:t>
            </w:r>
            <w:r>
              <w:rPr>
                <w:rFonts w:hint="default" w:ascii="宋体" w:hAnsi="宋体" w:cs="宋体"/>
                <w:color w:val="auto"/>
                <w:kern w:val="0"/>
                <w:sz w:val="18"/>
                <w:szCs w:val="18"/>
                <w:highlight w:val="none"/>
              </w:rPr>
              <w:t>0</w:t>
            </w:r>
          </w:p>
        </w:tc>
        <w:tc>
          <w:tcPr>
            <w:tcW w:w="1500" w:type="dxa"/>
            <w:tcBorders>
              <w:top w:val="nil"/>
              <w:left w:val="nil"/>
              <w:bottom w:val="single" w:color="auto" w:sz="4" w:space="0"/>
              <w:right w:val="single" w:color="auto" w:sz="4" w:space="0"/>
            </w:tcBorders>
            <w:vAlign w:val="center"/>
          </w:tcPr>
          <w:p w14:paraId="084F5AC7">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＜30</w:t>
            </w:r>
            <w:r>
              <w:rPr>
                <w:rFonts w:hint="default" w:ascii="宋体" w:hAnsi="宋体" w:cs="宋体"/>
                <w:color w:val="auto"/>
                <w:kern w:val="0"/>
                <w:sz w:val="18"/>
                <w:szCs w:val="18"/>
                <w:highlight w:val="none"/>
              </w:rPr>
              <w:t>000</w:t>
            </w:r>
          </w:p>
        </w:tc>
        <w:tc>
          <w:tcPr>
            <w:tcW w:w="1725" w:type="dxa"/>
            <w:tcBorders>
              <w:top w:val="nil"/>
              <w:left w:val="nil"/>
              <w:bottom w:val="single" w:color="auto" w:sz="4" w:space="0"/>
              <w:right w:val="single" w:color="auto" w:sz="8" w:space="0"/>
            </w:tcBorders>
            <w:vAlign w:val="center"/>
          </w:tcPr>
          <w:p w14:paraId="74C638A5">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4" w:space="0"/>
              <w:right w:val="single" w:color="auto" w:sz="4" w:space="0"/>
            </w:tcBorders>
            <w:vAlign w:val="center"/>
          </w:tcPr>
          <w:p w14:paraId="27BE7066">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w:t>
            </w:r>
          </w:p>
        </w:tc>
        <w:tc>
          <w:tcPr>
            <w:tcW w:w="1030" w:type="dxa"/>
            <w:tcBorders>
              <w:top w:val="nil"/>
              <w:left w:val="nil"/>
              <w:bottom w:val="single" w:color="auto" w:sz="4" w:space="0"/>
              <w:right w:val="single" w:color="auto" w:sz="4" w:space="0"/>
            </w:tcBorders>
            <w:vAlign w:val="center"/>
          </w:tcPr>
          <w:p w14:paraId="4B876692">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w:t>
            </w:r>
          </w:p>
        </w:tc>
        <w:tc>
          <w:tcPr>
            <w:tcW w:w="1129" w:type="dxa"/>
            <w:tcBorders>
              <w:top w:val="nil"/>
              <w:left w:val="nil"/>
              <w:bottom w:val="single" w:color="auto" w:sz="4" w:space="0"/>
              <w:right w:val="single" w:color="auto" w:sz="8" w:space="0"/>
            </w:tcBorders>
            <w:vAlign w:val="center"/>
          </w:tcPr>
          <w:p w14:paraId="57437349">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37B1BCA7">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14:paraId="1136F410">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9</w:t>
            </w:r>
            <w:r>
              <w:rPr>
                <w:rFonts w:hint="eastAsia" w:ascii="宋体" w:hAnsi="宋体" w:cs="宋体"/>
                <w:color w:val="auto"/>
                <w:kern w:val="0"/>
                <w:sz w:val="18"/>
                <w:szCs w:val="18"/>
                <w:highlight w:val="none"/>
              </w:rPr>
              <w:t>、住宿业</w:t>
            </w:r>
          </w:p>
        </w:tc>
        <w:tc>
          <w:tcPr>
            <w:tcW w:w="1387" w:type="dxa"/>
            <w:tcBorders>
              <w:top w:val="nil"/>
              <w:left w:val="nil"/>
              <w:bottom w:val="single" w:color="auto" w:sz="4" w:space="0"/>
              <w:right w:val="single" w:color="auto" w:sz="4" w:space="0"/>
            </w:tcBorders>
            <w:vAlign w:val="center"/>
          </w:tcPr>
          <w:p w14:paraId="37E1EA57">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300</w:t>
            </w:r>
          </w:p>
        </w:tc>
        <w:tc>
          <w:tcPr>
            <w:tcW w:w="1600" w:type="dxa"/>
            <w:tcBorders>
              <w:top w:val="nil"/>
              <w:left w:val="nil"/>
              <w:bottom w:val="single" w:color="auto" w:sz="4" w:space="0"/>
              <w:right w:val="single" w:color="auto" w:sz="4" w:space="0"/>
            </w:tcBorders>
            <w:vAlign w:val="center"/>
          </w:tcPr>
          <w:p w14:paraId="26495078">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10000</w:t>
            </w:r>
          </w:p>
        </w:tc>
        <w:tc>
          <w:tcPr>
            <w:tcW w:w="1575" w:type="dxa"/>
            <w:tcBorders>
              <w:top w:val="nil"/>
              <w:left w:val="nil"/>
              <w:bottom w:val="single" w:color="auto" w:sz="4" w:space="0"/>
              <w:right w:val="single" w:color="auto" w:sz="8" w:space="0"/>
            </w:tcBorders>
            <w:vAlign w:val="center"/>
          </w:tcPr>
          <w:p w14:paraId="01F3ECCB">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14:paraId="2324973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＜3</w:t>
            </w:r>
            <w:r>
              <w:rPr>
                <w:rFonts w:hint="default" w:ascii="宋体" w:hAnsi="宋体" w:cs="宋体"/>
                <w:color w:val="auto"/>
                <w:kern w:val="0"/>
                <w:sz w:val="18"/>
                <w:szCs w:val="18"/>
                <w:highlight w:val="none"/>
              </w:rPr>
              <w:t>00</w:t>
            </w:r>
          </w:p>
        </w:tc>
        <w:tc>
          <w:tcPr>
            <w:tcW w:w="1500" w:type="dxa"/>
            <w:tcBorders>
              <w:top w:val="nil"/>
              <w:left w:val="nil"/>
              <w:bottom w:val="single" w:color="auto" w:sz="4" w:space="0"/>
              <w:right w:val="single" w:color="auto" w:sz="4" w:space="0"/>
            </w:tcBorders>
            <w:vAlign w:val="center"/>
          </w:tcPr>
          <w:p w14:paraId="7A265D0A">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＜10</w:t>
            </w:r>
            <w:r>
              <w:rPr>
                <w:rFonts w:hint="default" w:ascii="宋体" w:hAnsi="宋体" w:cs="宋体"/>
                <w:color w:val="auto"/>
                <w:kern w:val="0"/>
                <w:sz w:val="18"/>
                <w:szCs w:val="18"/>
                <w:highlight w:val="none"/>
              </w:rPr>
              <w:t>000</w:t>
            </w:r>
          </w:p>
        </w:tc>
        <w:tc>
          <w:tcPr>
            <w:tcW w:w="1725" w:type="dxa"/>
            <w:tcBorders>
              <w:top w:val="nil"/>
              <w:left w:val="nil"/>
              <w:bottom w:val="single" w:color="auto" w:sz="4" w:space="0"/>
              <w:right w:val="single" w:color="auto" w:sz="8" w:space="0"/>
            </w:tcBorders>
            <w:vAlign w:val="center"/>
          </w:tcPr>
          <w:p w14:paraId="68310CD6">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4" w:space="0"/>
              <w:right w:val="single" w:color="auto" w:sz="4" w:space="0"/>
            </w:tcBorders>
            <w:vAlign w:val="center"/>
          </w:tcPr>
          <w:p w14:paraId="3F3C6E15">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w:t>
            </w:r>
          </w:p>
        </w:tc>
        <w:tc>
          <w:tcPr>
            <w:tcW w:w="1030" w:type="dxa"/>
            <w:tcBorders>
              <w:top w:val="nil"/>
              <w:left w:val="nil"/>
              <w:bottom w:val="single" w:color="auto" w:sz="4" w:space="0"/>
              <w:right w:val="single" w:color="auto" w:sz="4" w:space="0"/>
            </w:tcBorders>
            <w:vAlign w:val="center"/>
          </w:tcPr>
          <w:p w14:paraId="0F118763">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w:t>
            </w:r>
          </w:p>
        </w:tc>
        <w:tc>
          <w:tcPr>
            <w:tcW w:w="1129" w:type="dxa"/>
            <w:tcBorders>
              <w:top w:val="nil"/>
              <w:left w:val="nil"/>
              <w:bottom w:val="single" w:color="auto" w:sz="4" w:space="0"/>
              <w:right w:val="single" w:color="auto" w:sz="8" w:space="0"/>
            </w:tcBorders>
            <w:vAlign w:val="center"/>
          </w:tcPr>
          <w:p w14:paraId="5FA30C94">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20C0A58A">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14:paraId="20E1FEF7">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w:t>
            </w:r>
            <w:r>
              <w:rPr>
                <w:rFonts w:hint="eastAsia" w:ascii="宋体" w:hAnsi="宋体" w:cs="宋体"/>
                <w:color w:val="auto"/>
                <w:kern w:val="0"/>
                <w:sz w:val="18"/>
                <w:szCs w:val="18"/>
                <w:highlight w:val="none"/>
              </w:rPr>
              <w:t>、餐饮业</w:t>
            </w:r>
          </w:p>
        </w:tc>
        <w:tc>
          <w:tcPr>
            <w:tcW w:w="1387" w:type="dxa"/>
            <w:tcBorders>
              <w:top w:val="nil"/>
              <w:left w:val="nil"/>
              <w:bottom w:val="single" w:color="auto" w:sz="4" w:space="0"/>
              <w:right w:val="single" w:color="auto" w:sz="4" w:space="0"/>
            </w:tcBorders>
            <w:vAlign w:val="center"/>
          </w:tcPr>
          <w:p w14:paraId="2E8B7852">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300</w:t>
            </w:r>
          </w:p>
        </w:tc>
        <w:tc>
          <w:tcPr>
            <w:tcW w:w="1600" w:type="dxa"/>
            <w:tcBorders>
              <w:top w:val="nil"/>
              <w:left w:val="nil"/>
              <w:bottom w:val="single" w:color="auto" w:sz="4" w:space="0"/>
              <w:right w:val="single" w:color="auto" w:sz="4" w:space="0"/>
            </w:tcBorders>
            <w:vAlign w:val="center"/>
          </w:tcPr>
          <w:p w14:paraId="5A59835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10000</w:t>
            </w:r>
          </w:p>
        </w:tc>
        <w:tc>
          <w:tcPr>
            <w:tcW w:w="1575" w:type="dxa"/>
            <w:tcBorders>
              <w:top w:val="nil"/>
              <w:left w:val="nil"/>
              <w:bottom w:val="single" w:color="auto" w:sz="4" w:space="0"/>
              <w:right w:val="single" w:color="auto" w:sz="8" w:space="0"/>
            </w:tcBorders>
            <w:vAlign w:val="center"/>
          </w:tcPr>
          <w:p w14:paraId="0F7EAF44">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14:paraId="70A4E15A">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＜3</w:t>
            </w:r>
            <w:r>
              <w:rPr>
                <w:rFonts w:hint="default" w:ascii="宋体" w:hAnsi="宋体" w:cs="宋体"/>
                <w:color w:val="auto"/>
                <w:kern w:val="0"/>
                <w:sz w:val="18"/>
                <w:szCs w:val="18"/>
                <w:highlight w:val="none"/>
              </w:rPr>
              <w:t>00</w:t>
            </w:r>
          </w:p>
        </w:tc>
        <w:tc>
          <w:tcPr>
            <w:tcW w:w="1500" w:type="dxa"/>
            <w:tcBorders>
              <w:top w:val="nil"/>
              <w:left w:val="nil"/>
              <w:bottom w:val="single" w:color="auto" w:sz="4" w:space="0"/>
              <w:right w:val="single" w:color="auto" w:sz="4" w:space="0"/>
            </w:tcBorders>
            <w:vAlign w:val="center"/>
          </w:tcPr>
          <w:p w14:paraId="29315092">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＜10</w:t>
            </w:r>
            <w:r>
              <w:rPr>
                <w:rFonts w:hint="default" w:ascii="宋体" w:hAnsi="宋体" w:cs="宋体"/>
                <w:color w:val="auto"/>
                <w:kern w:val="0"/>
                <w:sz w:val="18"/>
                <w:szCs w:val="18"/>
                <w:highlight w:val="none"/>
              </w:rPr>
              <w:t>000</w:t>
            </w:r>
          </w:p>
        </w:tc>
        <w:tc>
          <w:tcPr>
            <w:tcW w:w="1725" w:type="dxa"/>
            <w:tcBorders>
              <w:top w:val="nil"/>
              <w:left w:val="nil"/>
              <w:bottom w:val="single" w:color="auto" w:sz="4" w:space="0"/>
              <w:right w:val="single" w:color="auto" w:sz="8" w:space="0"/>
            </w:tcBorders>
            <w:vAlign w:val="center"/>
          </w:tcPr>
          <w:p w14:paraId="2D151CD8">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4" w:space="0"/>
              <w:right w:val="single" w:color="auto" w:sz="4" w:space="0"/>
            </w:tcBorders>
            <w:vAlign w:val="center"/>
          </w:tcPr>
          <w:p w14:paraId="25ACB084">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w:t>
            </w:r>
          </w:p>
        </w:tc>
        <w:tc>
          <w:tcPr>
            <w:tcW w:w="1030" w:type="dxa"/>
            <w:tcBorders>
              <w:top w:val="nil"/>
              <w:left w:val="nil"/>
              <w:bottom w:val="single" w:color="auto" w:sz="4" w:space="0"/>
              <w:right w:val="single" w:color="auto" w:sz="4" w:space="0"/>
            </w:tcBorders>
            <w:vAlign w:val="center"/>
          </w:tcPr>
          <w:p w14:paraId="5207CFA0">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V</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w:t>
            </w:r>
          </w:p>
        </w:tc>
        <w:tc>
          <w:tcPr>
            <w:tcW w:w="1129" w:type="dxa"/>
            <w:tcBorders>
              <w:top w:val="nil"/>
              <w:left w:val="nil"/>
              <w:bottom w:val="single" w:color="auto" w:sz="4" w:space="0"/>
              <w:right w:val="single" w:color="auto" w:sz="8" w:space="0"/>
            </w:tcBorders>
            <w:vAlign w:val="center"/>
          </w:tcPr>
          <w:p w14:paraId="3A2B633D">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12B335E2">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14:paraId="20A55A4A">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11</w:t>
            </w:r>
            <w:r>
              <w:rPr>
                <w:rFonts w:hint="eastAsia" w:ascii="宋体" w:hAnsi="宋体" w:cs="宋体"/>
                <w:color w:val="auto"/>
                <w:kern w:val="0"/>
                <w:sz w:val="18"/>
                <w:szCs w:val="18"/>
                <w:highlight w:val="none"/>
              </w:rPr>
              <w:t>、信息传输业</w:t>
            </w:r>
          </w:p>
        </w:tc>
        <w:tc>
          <w:tcPr>
            <w:tcW w:w="1387" w:type="dxa"/>
            <w:tcBorders>
              <w:top w:val="nil"/>
              <w:left w:val="nil"/>
              <w:bottom w:val="single" w:color="auto" w:sz="4" w:space="0"/>
              <w:right w:val="single" w:color="auto" w:sz="4" w:space="0"/>
            </w:tcBorders>
            <w:vAlign w:val="center"/>
          </w:tcPr>
          <w:p w14:paraId="20647007">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2000</w:t>
            </w:r>
          </w:p>
        </w:tc>
        <w:tc>
          <w:tcPr>
            <w:tcW w:w="1600" w:type="dxa"/>
            <w:tcBorders>
              <w:top w:val="nil"/>
              <w:left w:val="nil"/>
              <w:bottom w:val="single" w:color="auto" w:sz="4" w:space="0"/>
              <w:right w:val="single" w:color="auto" w:sz="4" w:space="0"/>
            </w:tcBorders>
            <w:vAlign w:val="center"/>
          </w:tcPr>
          <w:p w14:paraId="646EE69C">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100000</w:t>
            </w:r>
          </w:p>
        </w:tc>
        <w:tc>
          <w:tcPr>
            <w:tcW w:w="1575" w:type="dxa"/>
            <w:tcBorders>
              <w:top w:val="nil"/>
              <w:left w:val="nil"/>
              <w:bottom w:val="single" w:color="auto" w:sz="4" w:space="0"/>
              <w:right w:val="single" w:color="auto" w:sz="8" w:space="0"/>
            </w:tcBorders>
            <w:vAlign w:val="center"/>
          </w:tcPr>
          <w:p w14:paraId="73325B0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14:paraId="2C407040">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＜20</w:t>
            </w:r>
            <w:r>
              <w:rPr>
                <w:rFonts w:hint="default" w:ascii="宋体" w:hAnsi="宋体" w:cs="宋体"/>
                <w:color w:val="auto"/>
                <w:kern w:val="0"/>
                <w:sz w:val="18"/>
                <w:szCs w:val="18"/>
                <w:highlight w:val="none"/>
              </w:rPr>
              <w:t>00</w:t>
            </w:r>
          </w:p>
        </w:tc>
        <w:tc>
          <w:tcPr>
            <w:tcW w:w="1500" w:type="dxa"/>
            <w:tcBorders>
              <w:top w:val="nil"/>
              <w:left w:val="nil"/>
              <w:bottom w:val="single" w:color="auto" w:sz="4" w:space="0"/>
              <w:right w:val="single" w:color="auto" w:sz="4" w:space="0"/>
            </w:tcBorders>
            <w:vAlign w:val="center"/>
          </w:tcPr>
          <w:p w14:paraId="334CBB2D">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w:t>
            </w:r>
            <w:r>
              <w:rPr>
                <w:rFonts w:hint="eastAsia" w:ascii="宋体" w:hAnsi="宋体" w:cs="宋体"/>
                <w:color w:val="auto"/>
                <w:kern w:val="0"/>
                <w:sz w:val="18"/>
                <w:szCs w:val="18"/>
                <w:highlight w:val="none"/>
              </w:rPr>
              <w:t>00</w:t>
            </w:r>
            <w:r>
              <w:rPr>
                <w:rFonts w:hint="default" w:ascii="宋体" w:hAnsi="宋体" w:cs="宋体"/>
                <w:color w:val="auto"/>
                <w:kern w:val="0"/>
                <w:sz w:val="18"/>
                <w:szCs w:val="18"/>
                <w:highlight w:val="none"/>
              </w:rPr>
              <w:t>000</w:t>
            </w:r>
          </w:p>
        </w:tc>
        <w:tc>
          <w:tcPr>
            <w:tcW w:w="1725" w:type="dxa"/>
            <w:tcBorders>
              <w:top w:val="nil"/>
              <w:left w:val="nil"/>
              <w:bottom w:val="single" w:color="auto" w:sz="4" w:space="0"/>
              <w:right w:val="single" w:color="auto" w:sz="8" w:space="0"/>
            </w:tcBorders>
            <w:vAlign w:val="center"/>
          </w:tcPr>
          <w:p w14:paraId="35171F91">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4" w:space="0"/>
              <w:right w:val="single" w:color="auto" w:sz="4" w:space="0"/>
            </w:tcBorders>
            <w:vAlign w:val="center"/>
          </w:tcPr>
          <w:p w14:paraId="1C33A41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w:t>
            </w:r>
          </w:p>
        </w:tc>
        <w:tc>
          <w:tcPr>
            <w:tcW w:w="1030" w:type="dxa"/>
            <w:tcBorders>
              <w:top w:val="nil"/>
              <w:left w:val="nil"/>
              <w:bottom w:val="single" w:color="auto" w:sz="4" w:space="0"/>
              <w:right w:val="single" w:color="auto" w:sz="4" w:space="0"/>
            </w:tcBorders>
            <w:vAlign w:val="center"/>
          </w:tcPr>
          <w:p w14:paraId="1509BDAF">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w:t>
            </w:r>
          </w:p>
        </w:tc>
        <w:tc>
          <w:tcPr>
            <w:tcW w:w="1129" w:type="dxa"/>
            <w:tcBorders>
              <w:top w:val="nil"/>
              <w:left w:val="nil"/>
              <w:bottom w:val="single" w:color="auto" w:sz="4" w:space="0"/>
              <w:right w:val="single" w:color="auto" w:sz="8" w:space="0"/>
            </w:tcBorders>
            <w:vAlign w:val="center"/>
          </w:tcPr>
          <w:p w14:paraId="18EF496B">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4DFC4F2A">
        <w:tblPrEx>
          <w:tblCellMar>
            <w:top w:w="0" w:type="dxa"/>
            <w:left w:w="108" w:type="dxa"/>
            <w:bottom w:w="0" w:type="dxa"/>
            <w:right w:w="108" w:type="dxa"/>
          </w:tblCellMar>
        </w:tblPrEx>
        <w:trPr>
          <w:trHeight w:val="468" w:hRule="atLeast"/>
        </w:trPr>
        <w:tc>
          <w:tcPr>
            <w:tcW w:w="2307" w:type="dxa"/>
            <w:tcBorders>
              <w:top w:val="nil"/>
              <w:left w:val="single" w:color="auto" w:sz="8" w:space="0"/>
              <w:bottom w:val="single" w:color="auto" w:sz="4" w:space="0"/>
              <w:right w:val="single" w:color="auto" w:sz="8" w:space="0"/>
            </w:tcBorders>
            <w:vAlign w:val="bottom"/>
          </w:tcPr>
          <w:p w14:paraId="7712147D">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12</w:t>
            </w:r>
            <w:r>
              <w:rPr>
                <w:rFonts w:hint="eastAsia" w:ascii="宋体" w:hAnsi="宋体" w:cs="宋体"/>
                <w:color w:val="auto"/>
                <w:kern w:val="0"/>
                <w:sz w:val="18"/>
                <w:szCs w:val="18"/>
                <w:highlight w:val="none"/>
              </w:rPr>
              <w:t>、软件和信息技术服务业</w:t>
            </w:r>
          </w:p>
        </w:tc>
        <w:tc>
          <w:tcPr>
            <w:tcW w:w="1387" w:type="dxa"/>
            <w:tcBorders>
              <w:top w:val="nil"/>
              <w:left w:val="nil"/>
              <w:bottom w:val="single" w:color="auto" w:sz="4" w:space="0"/>
              <w:right w:val="single" w:color="auto" w:sz="4" w:space="0"/>
            </w:tcBorders>
            <w:vAlign w:val="center"/>
          </w:tcPr>
          <w:p w14:paraId="54E93E5F">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300</w:t>
            </w:r>
          </w:p>
        </w:tc>
        <w:tc>
          <w:tcPr>
            <w:tcW w:w="1600" w:type="dxa"/>
            <w:tcBorders>
              <w:top w:val="nil"/>
              <w:left w:val="nil"/>
              <w:bottom w:val="single" w:color="auto" w:sz="4" w:space="0"/>
              <w:right w:val="single" w:color="auto" w:sz="4" w:space="0"/>
            </w:tcBorders>
            <w:vAlign w:val="center"/>
          </w:tcPr>
          <w:p w14:paraId="3D5161D0">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10000</w:t>
            </w:r>
          </w:p>
        </w:tc>
        <w:tc>
          <w:tcPr>
            <w:tcW w:w="1575" w:type="dxa"/>
            <w:tcBorders>
              <w:top w:val="nil"/>
              <w:left w:val="nil"/>
              <w:bottom w:val="single" w:color="auto" w:sz="4" w:space="0"/>
              <w:right w:val="single" w:color="auto" w:sz="8" w:space="0"/>
            </w:tcBorders>
            <w:vAlign w:val="center"/>
          </w:tcPr>
          <w:p w14:paraId="5D9A1E32">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14:paraId="72A66DF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＜3</w:t>
            </w:r>
            <w:r>
              <w:rPr>
                <w:rFonts w:hint="default" w:ascii="宋体" w:hAnsi="宋体" w:cs="宋体"/>
                <w:color w:val="auto"/>
                <w:kern w:val="0"/>
                <w:sz w:val="18"/>
                <w:szCs w:val="18"/>
                <w:highlight w:val="none"/>
              </w:rPr>
              <w:t>00</w:t>
            </w:r>
          </w:p>
        </w:tc>
        <w:tc>
          <w:tcPr>
            <w:tcW w:w="1500" w:type="dxa"/>
            <w:tcBorders>
              <w:top w:val="nil"/>
              <w:left w:val="nil"/>
              <w:bottom w:val="single" w:color="auto" w:sz="4" w:space="0"/>
              <w:right w:val="single" w:color="auto" w:sz="4" w:space="0"/>
            </w:tcBorders>
            <w:vAlign w:val="center"/>
          </w:tcPr>
          <w:p w14:paraId="28735FF4">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50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w:t>
            </w:r>
            <w:r>
              <w:rPr>
                <w:rFonts w:hint="eastAsia" w:ascii="宋体" w:hAnsi="宋体" w:cs="宋体"/>
                <w:color w:val="auto"/>
                <w:kern w:val="0"/>
                <w:sz w:val="18"/>
                <w:szCs w:val="18"/>
                <w:highlight w:val="none"/>
              </w:rPr>
              <w:t>0</w:t>
            </w:r>
            <w:r>
              <w:rPr>
                <w:rFonts w:hint="default" w:ascii="宋体" w:hAnsi="宋体" w:cs="宋体"/>
                <w:color w:val="auto"/>
                <w:kern w:val="0"/>
                <w:sz w:val="18"/>
                <w:szCs w:val="18"/>
                <w:highlight w:val="none"/>
              </w:rPr>
              <w:t>000</w:t>
            </w:r>
          </w:p>
        </w:tc>
        <w:tc>
          <w:tcPr>
            <w:tcW w:w="1725" w:type="dxa"/>
            <w:tcBorders>
              <w:top w:val="nil"/>
              <w:left w:val="nil"/>
              <w:bottom w:val="single" w:color="auto" w:sz="4" w:space="0"/>
              <w:right w:val="single" w:color="auto" w:sz="8" w:space="0"/>
            </w:tcBorders>
            <w:vAlign w:val="center"/>
          </w:tcPr>
          <w:p w14:paraId="47756162">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4" w:space="0"/>
              <w:right w:val="single" w:color="auto" w:sz="4" w:space="0"/>
            </w:tcBorders>
            <w:vAlign w:val="center"/>
          </w:tcPr>
          <w:p w14:paraId="0E504CE7">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w:t>
            </w:r>
          </w:p>
        </w:tc>
        <w:tc>
          <w:tcPr>
            <w:tcW w:w="1030" w:type="dxa"/>
            <w:tcBorders>
              <w:top w:val="nil"/>
              <w:left w:val="nil"/>
              <w:bottom w:val="single" w:color="auto" w:sz="4" w:space="0"/>
              <w:right w:val="single" w:color="auto" w:sz="4" w:space="0"/>
            </w:tcBorders>
            <w:vAlign w:val="center"/>
          </w:tcPr>
          <w:p w14:paraId="21CDA74F">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50</w:t>
            </w:r>
          </w:p>
        </w:tc>
        <w:tc>
          <w:tcPr>
            <w:tcW w:w="1129" w:type="dxa"/>
            <w:tcBorders>
              <w:top w:val="nil"/>
              <w:left w:val="nil"/>
              <w:bottom w:val="single" w:color="auto" w:sz="4" w:space="0"/>
              <w:right w:val="single" w:color="auto" w:sz="8" w:space="0"/>
            </w:tcBorders>
            <w:vAlign w:val="center"/>
          </w:tcPr>
          <w:p w14:paraId="5A882B1A">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24D4958A">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14:paraId="087AA2A4">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13</w:t>
            </w:r>
            <w:r>
              <w:rPr>
                <w:rFonts w:hint="eastAsia" w:ascii="宋体" w:hAnsi="宋体" w:cs="宋体"/>
                <w:color w:val="auto"/>
                <w:kern w:val="0"/>
                <w:sz w:val="18"/>
                <w:szCs w:val="18"/>
                <w:highlight w:val="none"/>
              </w:rPr>
              <w:t>、房地产开发经营</w:t>
            </w:r>
          </w:p>
        </w:tc>
        <w:tc>
          <w:tcPr>
            <w:tcW w:w="1387" w:type="dxa"/>
            <w:tcBorders>
              <w:top w:val="nil"/>
              <w:left w:val="nil"/>
              <w:bottom w:val="single" w:color="auto" w:sz="4" w:space="0"/>
              <w:right w:val="single" w:color="auto" w:sz="4" w:space="0"/>
            </w:tcBorders>
            <w:vAlign w:val="center"/>
          </w:tcPr>
          <w:p w14:paraId="5A799FBC">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600" w:type="dxa"/>
            <w:tcBorders>
              <w:top w:val="nil"/>
              <w:left w:val="nil"/>
              <w:bottom w:val="single" w:color="auto" w:sz="4" w:space="0"/>
              <w:right w:val="single" w:color="auto" w:sz="4" w:space="0"/>
            </w:tcBorders>
            <w:vAlign w:val="center"/>
          </w:tcPr>
          <w:p w14:paraId="70087C53">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200000</w:t>
            </w:r>
          </w:p>
        </w:tc>
        <w:tc>
          <w:tcPr>
            <w:tcW w:w="1575" w:type="dxa"/>
            <w:tcBorders>
              <w:top w:val="nil"/>
              <w:left w:val="nil"/>
              <w:bottom w:val="single" w:color="auto" w:sz="4" w:space="0"/>
              <w:right w:val="single" w:color="auto" w:sz="8" w:space="0"/>
            </w:tcBorders>
            <w:vAlign w:val="center"/>
          </w:tcPr>
          <w:p w14:paraId="6ABD55B4">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10000</w:t>
            </w:r>
          </w:p>
        </w:tc>
        <w:tc>
          <w:tcPr>
            <w:tcW w:w="1338" w:type="dxa"/>
            <w:tcBorders>
              <w:top w:val="nil"/>
              <w:left w:val="nil"/>
              <w:bottom w:val="single" w:color="auto" w:sz="4" w:space="0"/>
              <w:right w:val="single" w:color="auto" w:sz="4" w:space="0"/>
            </w:tcBorders>
            <w:vAlign w:val="center"/>
          </w:tcPr>
          <w:p w14:paraId="746C9DF4">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00" w:type="dxa"/>
            <w:tcBorders>
              <w:top w:val="nil"/>
              <w:left w:val="nil"/>
              <w:bottom w:val="single" w:color="auto" w:sz="4" w:space="0"/>
              <w:right w:val="single" w:color="auto" w:sz="4" w:space="0"/>
            </w:tcBorders>
            <w:vAlign w:val="center"/>
          </w:tcPr>
          <w:p w14:paraId="0C414D5A">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＜200</w:t>
            </w:r>
            <w:r>
              <w:rPr>
                <w:rFonts w:hint="default" w:ascii="宋体" w:hAnsi="宋体" w:cs="宋体"/>
                <w:color w:val="auto"/>
                <w:kern w:val="0"/>
                <w:sz w:val="18"/>
                <w:szCs w:val="18"/>
                <w:highlight w:val="none"/>
              </w:rPr>
              <w:t>000</w:t>
            </w:r>
          </w:p>
        </w:tc>
        <w:tc>
          <w:tcPr>
            <w:tcW w:w="1725" w:type="dxa"/>
            <w:tcBorders>
              <w:top w:val="nil"/>
              <w:left w:val="nil"/>
              <w:bottom w:val="single" w:color="auto" w:sz="4" w:space="0"/>
              <w:right w:val="single" w:color="auto" w:sz="8" w:space="0"/>
            </w:tcBorders>
            <w:vAlign w:val="center"/>
          </w:tcPr>
          <w:p w14:paraId="67C563B5">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Z</w:t>
            </w:r>
            <w:r>
              <w:rPr>
                <w:rFonts w:hint="eastAsia" w:ascii="宋体" w:hAnsi="宋体" w:cs="宋体"/>
                <w:color w:val="auto"/>
                <w:kern w:val="0"/>
                <w:sz w:val="18"/>
                <w:szCs w:val="18"/>
                <w:highlight w:val="none"/>
              </w:rPr>
              <w:t>＜10</w:t>
            </w:r>
            <w:r>
              <w:rPr>
                <w:rFonts w:hint="default" w:ascii="宋体" w:hAnsi="宋体" w:cs="宋体"/>
                <w:color w:val="auto"/>
                <w:kern w:val="0"/>
                <w:sz w:val="18"/>
                <w:szCs w:val="18"/>
                <w:highlight w:val="none"/>
              </w:rPr>
              <w:t>000</w:t>
            </w:r>
          </w:p>
        </w:tc>
        <w:tc>
          <w:tcPr>
            <w:tcW w:w="1375" w:type="dxa"/>
            <w:tcBorders>
              <w:top w:val="nil"/>
              <w:left w:val="nil"/>
              <w:bottom w:val="single" w:color="auto" w:sz="4" w:space="0"/>
              <w:right w:val="single" w:color="auto" w:sz="4" w:space="0"/>
            </w:tcBorders>
            <w:vAlign w:val="center"/>
          </w:tcPr>
          <w:p w14:paraId="2CD339A5">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30" w:type="dxa"/>
            <w:tcBorders>
              <w:top w:val="nil"/>
              <w:left w:val="nil"/>
              <w:bottom w:val="single" w:color="auto" w:sz="4" w:space="0"/>
              <w:right w:val="single" w:color="auto" w:sz="4" w:space="0"/>
            </w:tcBorders>
            <w:vAlign w:val="center"/>
          </w:tcPr>
          <w:p w14:paraId="6BA5F6C0">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w:t>
            </w:r>
          </w:p>
        </w:tc>
        <w:tc>
          <w:tcPr>
            <w:tcW w:w="1129" w:type="dxa"/>
            <w:tcBorders>
              <w:top w:val="nil"/>
              <w:left w:val="nil"/>
              <w:bottom w:val="single" w:color="auto" w:sz="4" w:space="0"/>
              <w:right w:val="single" w:color="auto" w:sz="8" w:space="0"/>
            </w:tcBorders>
            <w:vAlign w:val="center"/>
          </w:tcPr>
          <w:p w14:paraId="7F4728A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2000</w:t>
            </w:r>
          </w:p>
        </w:tc>
      </w:tr>
      <w:tr w14:paraId="76CE227D">
        <w:tblPrEx>
          <w:tblCellMar>
            <w:top w:w="0" w:type="dxa"/>
            <w:left w:w="108" w:type="dxa"/>
            <w:bottom w:w="0" w:type="dxa"/>
            <w:right w:w="108" w:type="dxa"/>
          </w:tblCellMar>
        </w:tblPrEx>
        <w:trPr>
          <w:trHeight w:val="468" w:hRule="atLeast"/>
        </w:trPr>
        <w:tc>
          <w:tcPr>
            <w:tcW w:w="2307" w:type="dxa"/>
            <w:tcBorders>
              <w:top w:val="nil"/>
              <w:left w:val="single" w:color="auto" w:sz="8" w:space="0"/>
              <w:bottom w:val="single" w:color="auto" w:sz="4" w:space="0"/>
              <w:right w:val="single" w:color="auto" w:sz="8" w:space="0"/>
            </w:tcBorders>
            <w:vAlign w:val="bottom"/>
          </w:tcPr>
          <w:p w14:paraId="3E0FFD65">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14</w:t>
            </w:r>
            <w:r>
              <w:rPr>
                <w:rFonts w:hint="eastAsia" w:ascii="宋体" w:hAnsi="宋体" w:cs="宋体"/>
                <w:color w:val="auto"/>
                <w:kern w:val="0"/>
                <w:sz w:val="18"/>
                <w:szCs w:val="18"/>
                <w:highlight w:val="none"/>
              </w:rPr>
              <w:t>、物业管理</w:t>
            </w:r>
          </w:p>
        </w:tc>
        <w:tc>
          <w:tcPr>
            <w:tcW w:w="1387" w:type="dxa"/>
            <w:tcBorders>
              <w:top w:val="nil"/>
              <w:left w:val="nil"/>
              <w:bottom w:val="single" w:color="auto" w:sz="4" w:space="0"/>
              <w:right w:val="single" w:color="auto" w:sz="4" w:space="0"/>
            </w:tcBorders>
            <w:vAlign w:val="center"/>
          </w:tcPr>
          <w:p w14:paraId="68A098DC">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1000</w:t>
            </w:r>
          </w:p>
        </w:tc>
        <w:tc>
          <w:tcPr>
            <w:tcW w:w="1600" w:type="dxa"/>
            <w:tcBorders>
              <w:top w:val="nil"/>
              <w:left w:val="nil"/>
              <w:bottom w:val="single" w:color="auto" w:sz="4" w:space="0"/>
              <w:right w:val="single" w:color="auto" w:sz="4" w:space="0"/>
            </w:tcBorders>
            <w:vAlign w:val="center"/>
          </w:tcPr>
          <w:p w14:paraId="7D841E9D">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5000</w:t>
            </w:r>
          </w:p>
        </w:tc>
        <w:tc>
          <w:tcPr>
            <w:tcW w:w="1575" w:type="dxa"/>
            <w:tcBorders>
              <w:top w:val="nil"/>
              <w:left w:val="nil"/>
              <w:bottom w:val="single" w:color="auto" w:sz="4" w:space="0"/>
              <w:right w:val="single" w:color="auto" w:sz="8" w:space="0"/>
            </w:tcBorders>
            <w:vAlign w:val="center"/>
          </w:tcPr>
          <w:p w14:paraId="60F8C675">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4" w:space="0"/>
              <w:right w:val="single" w:color="auto" w:sz="4" w:space="0"/>
            </w:tcBorders>
            <w:vAlign w:val="center"/>
          </w:tcPr>
          <w:p w14:paraId="2FD78878">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＜10</w:t>
            </w:r>
            <w:r>
              <w:rPr>
                <w:rFonts w:hint="default" w:ascii="宋体" w:hAnsi="宋体" w:cs="宋体"/>
                <w:color w:val="auto"/>
                <w:kern w:val="0"/>
                <w:sz w:val="18"/>
                <w:szCs w:val="18"/>
                <w:highlight w:val="none"/>
              </w:rPr>
              <w:t>00</w:t>
            </w:r>
          </w:p>
        </w:tc>
        <w:tc>
          <w:tcPr>
            <w:tcW w:w="1500" w:type="dxa"/>
            <w:tcBorders>
              <w:top w:val="nil"/>
              <w:left w:val="nil"/>
              <w:bottom w:val="single" w:color="auto" w:sz="4" w:space="0"/>
              <w:right w:val="single" w:color="auto" w:sz="4" w:space="0"/>
            </w:tcBorders>
            <w:vAlign w:val="center"/>
          </w:tcPr>
          <w:p w14:paraId="2596BE58">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＜5</w:t>
            </w:r>
            <w:r>
              <w:rPr>
                <w:rFonts w:hint="default" w:ascii="宋体" w:hAnsi="宋体" w:cs="宋体"/>
                <w:color w:val="auto"/>
                <w:kern w:val="0"/>
                <w:sz w:val="18"/>
                <w:szCs w:val="18"/>
                <w:highlight w:val="none"/>
              </w:rPr>
              <w:t>000</w:t>
            </w:r>
          </w:p>
        </w:tc>
        <w:tc>
          <w:tcPr>
            <w:tcW w:w="1725" w:type="dxa"/>
            <w:tcBorders>
              <w:top w:val="nil"/>
              <w:left w:val="nil"/>
              <w:bottom w:val="single" w:color="auto" w:sz="4" w:space="0"/>
              <w:right w:val="single" w:color="auto" w:sz="8" w:space="0"/>
            </w:tcBorders>
            <w:vAlign w:val="center"/>
          </w:tcPr>
          <w:p w14:paraId="4D449DF5">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4" w:space="0"/>
              <w:right w:val="single" w:color="auto" w:sz="4" w:space="0"/>
            </w:tcBorders>
            <w:vAlign w:val="center"/>
          </w:tcPr>
          <w:p w14:paraId="0AB8D90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w:t>
            </w:r>
          </w:p>
        </w:tc>
        <w:tc>
          <w:tcPr>
            <w:tcW w:w="1030" w:type="dxa"/>
            <w:tcBorders>
              <w:top w:val="nil"/>
              <w:left w:val="nil"/>
              <w:bottom w:val="single" w:color="auto" w:sz="4" w:space="0"/>
              <w:right w:val="single" w:color="auto" w:sz="4" w:space="0"/>
            </w:tcBorders>
            <w:vAlign w:val="center"/>
          </w:tcPr>
          <w:p w14:paraId="7F8C252F">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500</w:t>
            </w:r>
          </w:p>
        </w:tc>
        <w:tc>
          <w:tcPr>
            <w:tcW w:w="1129" w:type="dxa"/>
            <w:tcBorders>
              <w:top w:val="nil"/>
              <w:left w:val="nil"/>
              <w:bottom w:val="single" w:color="auto" w:sz="4" w:space="0"/>
              <w:right w:val="single" w:color="auto" w:sz="8" w:space="0"/>
            </w:tcBorders>
            <w:vAlign w:val="center"/>
          </w:tcPr>
          <w:p w14:paraId="5C486B06">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43045700">
        <w:tblPrEx>
          <w:tblCellMar>
            <w:top w:w="0" w:type="dxa"/>
            <w:left w:w="108" w:type="dxa"/>
            <w:bottom w:w="0" w:type="dxa"/>
            <w:right w:w="108" w:type="dxa"/>
          </w:tblCellMar>
        </w:tblPrEx>
        <w:trPr>
          <w:trHeight w:val="468" w:hRule="atLeast"/>
        </w:trPr>
        <w:tc>
          <w:tcPr>
            <w:tcW w:w="2307" w:type="dxa"/>
            <w:tcBorders>
              <w:top w:val="nil"/>
              <w:left w:val="single" w:color="auto" w:sz="8" w:space="0"/>
              <w:bottom w:val="single" w:color="auto" w:sz="4" w:space="0"/>
              <w:right w:val="single" w:color="auto" w:sz="8" w:space="0"/>
            </w:tcBorders>
            <w:vAlign w:val="bottom"/>
          </w:tcPr>
          <w:p w14:paraId="79D82F5D">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15</w:t>
            </w:r>
            <w:r>
              <w:rPr>
                <w:rFonts w:hint="eastAsia" w:ascii="宋体" w:hAnsi="宋体" w:cs="宋体"/>
                <w:color w:val="auto"/>
                <w:kern w:val="0"/>
                <w:sz w:val="18"/>
                <w:szCs w:val="18"/>
                <w:highlight w:val="none"/>
              </w:rPr>
              <w:t>、租赁和商务服务业</w:t>
            </w:r>
          </w:p>
        </w:tc>
        <w:tc>
          <w:tcPr>
            <w:tcW w:w="1387" w:type="dxa"/>
            <w:tcBorders>
              <w:top w:val="nil"/>
              <w:left w:val="nil"/>
              <w:bottom w:val="single" w:color="auto" w:sz="4" w:space="0"/>
              <w:right w:val="single" w:color="auto" w:sz="4" w:space="0"/>
            </w:tcBorders>
            <w:vAlign w:val="center"/>
          </w:tcPr>
          <w:p w14:paraId="2BAF6063">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300</w:t>
            </w:r>
          </w:p>
        </w:tc>
        <w:tc>
          <w:tcPr>
            <w:tcW w:w="1600" w:type="dxa"/>
            <w:tcBorders>
              <w:top w:val="nil"/>
              <w:left w:val="nil"/>
              <w:bottom w:val="single" w:color="auto" w:sz="4" w:space="0"/>
              <w:right w:val="single" w:color="auto" w:sz="4" w:space="0"/>
            </w:tcBorders>
            <w:vAlign w:val="center"/>
          </w:tcPr>
          <w:p w14:paraId="3C632FCE">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75" w:type="dxa"/>
            <w:tcBorders>
              <w:top w:val="nil"/>
              <w:left w:val="nil"/>
              <w:bottom w:val="single" w:color="auto" w:sz="4" w:space="0"/>
              <w:right w:val="single" w:color="auto" w:sz="8" w:space="0"/>
            </w:tcBorders>
            <w:vAlign w:val="center"/>
          </w:tcPr>
          <w:p w14:paraId="4DE88921">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8000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120000</w:t>
            </w:r>
          </w:p>
        </w:tc>
        <w:tc>
          <w:tcPr>
            <w:tcW w:w="1338" w:type="dxa"/>
            <w:tcBorders>
              <w:top w:val="nil"/>
              <w:left w:val="nil"/>
              <w:bottom w:val="single" w:color="auto" w:sz="4" w:space="0"/>
              <w:right w:val="single" w:color="auto" w:sz="4" w:space="0"/>
            </w:tcBorders>
            <w:vAlign w:val="center"/>
          </w:tcPr>
          <w:p w14:paraId="61DA9457">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＜3</w:t>
            </w:r>
            <w:r>
              <w:rPr>
                <w:rFonts w:hint="default" w:ascii="宋体" w:hAnsi="宋体" w:cs="宋体"/>
                <w:color w:val="auto"/>
                <w:kern w:val="0"/>
                <w:sz w:val="18"/>
                <w:szCs w:val="18"/>
                <w:highlight w:val="none"/>
              </w:rPr>
              <w:t>00</w:t>
            </w:r>
          </w:p>
        </w:tc>
        <w:tc>
          <w:tcPr>
            <w:tcW w:w="1500" w:type="dxa"/>
            <w:tcBorders>
              <w:top w:val="nil"/>
              <w:left w:val="nil"/>
              <w:bottom w:val="single" w:color="auto" w:sz="4" w:space="0"/>
              <w:right w:val="single" w:color="auto" w:sz="4" w:space="0"/>
            </w:tcBorders>
            <w:vAlign w:val="center"/>
          </w:tcPr>
          <w:p w14:paraId="03FA7F68">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25" w:type="dxa"/>
            <w:tcBorders>
              <w:top w:val="nil"/>
              <w:left w:val="nil"/>
              <w:bottom w:val="single" w:color="auto" w:sz="4" w:space="0"/>
              <w:right w:val="single" w:color="auto" w:sz="8" w:space="0"/>
            </w:tcBorders>
            <w:vAlign w:val="center"/>
          </w:tcPr>
          <w:p w14:paraId="61F06056">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xml:space="preserve"> 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Z</w:t>
            </w:r>
            <w:r>
              <w:rPr>
                <w:rFonts w:hint="eastAsia" w:ascii="宋体" w:hAnsi="宋体" w:cs="宋体"/>
                <w:color w:val="auto"/>
                <w:kern w:val="0"/>
                <w:sz w:val="18"/>
                <w:szCs w:val="18"/>
                <w:highlight w:val="none"/>
              </w:rPr>
              <w:t>＜120</w:t>
            </w:r>
            <w:r>
              <w:rPr>
                <w:rFonts w:hint="default" w:ascii="宋体" w:hAnsi="宋体" w:cs="宋体"/>
                <w:color w:val="auto"/>
                <w:kern w:val="0"/>
                <w:sz w:val="18"/>
                <w:szCs w:val="18"/>
                <w:highlight w:val="none"/>
              </w:rPr>
              <w:t>000</w:t>
            </w:r>
          </w:p>
        </w:tc>
        <w:tc>
          <w:tcPr>
            <w:tcW w:w="1375" w:type="dxa"/>
            <w:tcBorders>
              <w:top w:val="nil"/>
              <w:left w:val="nil"/>
              <w:bottom w:val="single" w:color="auto" w:sz="4" w:space="0"/>
              <w:right w:val="single" w:color="auto" w:sz="4" w:space="0"/>
            </w:tcBorders>
            <w:vAlign w:val="center"/>
          </w:tcPr>
          <w:p w14:paraId="6AC81A5D">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w:t>
            </w:r>
          </w:p>
        </w:tc>
        <w:tc>
          <w:tcPr>
            <w:tcW w:w="1030" w:type="dxa"/>
            <w:tcBorders>
              <w:top w:val="nil"/>
              <w:left w:val="nil"/>
              <w:bottom w:val="single" w:color="auto" w:sz="4" w:space="0"/>
              <w:right w:val="single" w:color="auto" w:sz="4" w:space="0"/>
            </w:tcBorders>
            <w:vAlign w:val="center"/>
          </w:tcPr>
          <w:p w14:paraId="7881FAE6">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29" w:type="dxa"/>
            <w:tcBorders>
              <w:top w:val="nil"/>
              <w:left w:val="nil"/>
              <w:bottom w:val="single" w:color="auto" w:sz="4" w:space="0"/>
              <w:right w:val="single" w:color="auto" w:sz="8" w:space="0"/>
            </w:tcBorders>
            <w:vAlign w:val="center"/>
          </w:tcPr>
          <w:p w14:paraId="32FC503B">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100</w:t>
            </w:r>
          </w:p>
        </w:tc>
      </w:tr>
      <w:tr w14:paraId="58C61928">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8" w:space="0"/>
              <w:right w:val="single" w:color="auto" w:sz="8" w:space="0"/>
            </w:tcBorders>
            <w:vAlign w:val="bottom"/>
          </w:tcPr>
          <w:p w14:paraId="4B3FFD0B">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16</w:t>
            </w:r>
            <w:r>
              <w:rPr>
                <w:rFonts w:hint="eastAsia" w:ascii="宋体" w:hAnsi="宋体" w:cs="宋体"/>
                <w:color w:val="auto"/>
                <w:kern w:val="0"/>
                <w:sz w:val="18"/>
                <w:szCs w:val="18"/>
                <w:highlight w:val="none"/>
              </w:rPr>
              <w:t>、其他未列明行业</w:t>
            </w:r>
          </w:p>
        </w:tc>
        <w:tc>
          <w:tcPr>
            <w:tcW w:w="1387" w:type="dxa"/>
            <w:tcBorders>
              <w:top w:val="nil"/>
              <w:left w:val="nil"/>
              <w:bottom w:val="single" w:color="auto" w:sz="8" w:space="0"/>
              <w:right w:val="single" w:color="auto" w:sz="4" w:space="0"/>
            </w:tcBorders>
            <w:vAlign w:val="center"/>
          </w:tcPr>
          <w:p w14:paraId="58959CA7">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300</w:t>
            </w:r>
          </w:p>
        </w:tc>
        <w:tc>
          <w:tcPr>
            <w:tcW w:w="1600" w:type="dxa"/>
            <w:tcBorders>
              <w:top w:val="nil"/>
              <w:left w:val="nil"/>
              <w:bottom w:val="single" w:color="auto" w:sz="8" w:space="0"/>
              <w:right w:val="single" w:color="auto" w:sz="4" w:space="0"/>
            </w:tcBorders>
            <w:vAlign w:val="center"/>
          </w:tcPr>
          <w:p w14:paraId="6E416627">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75" w:type="dxa"/>
            <w:tcBorders>
              <w:top w:val="nil"/>
              <w:left w:val="nil"/>
              <w:bottom w:val="single" w:color="auto" w:sz="8" w:space="0"/>
              <w:right w:val="single" w:color="auto" w:sz="8" w:space="0"/>
            </w:tcBorders>
            <w:vAlign w:val="center"/>
          </w:tcPr>
          <w:p w14:paraId="0E43CE6B">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38" w:type="dxa"/>
            <w:tcBorders>
              <w:top w:val="nil"/>
              <w:left w:val="nil"/>
              <w:bottom w:val="single" w:color="auto" w:sz="8" w:space="0"/>
              <w:right w:val="single" w:color="auto" w:sz="4" w:space="0"/>
            </w:tcBorders>
            <w:vAlign w:val="center"/>
          </w:tcPr>
          <w:p w14:paraId="2794A567">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＜3</w:t>
            </w:r>
            <w:r>
              <w:rPr>
                <w:rFonts w:hint="default" w:ascii="宋体" w:hAnsi="宋体" w:cs="宋体"/>
                <w:color w:val="auto"/>
                <w:kern w:val="0"/>
                <w:sz w:val="18"/>
                <w:szCs w:val="18"/>
                <w:highlight w:val="none"/>
              </w:rPr>
              <w:t>00</w:t>
            </w:r>
          </w:p>
        </w:tc>
        <w:tc>
          <w:tcPr>
            <w:tcW w:w="1500" w:type="dxa"/>
            <w:tcBorders>
              <w:top w:val="nil"/>
              <w:left w:val="nil"/>
              <w:bottom w:val="single" w:color="auto" w:sz="8" w:space="0"/>
              <w:right w:val="single" w:color="auto" w:sz="4" w:space="0"/>
            </w:tcBorders>
            <w:vAlign w:val="center"/>
          </w:tcPr>
          <w:p w14:paraId="135C1874">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25" w:type="dxa"/>
            <w:tcBorders>
              <w:top w:val="nil"/>
              <w:left w:val="nil"/>
              <w:bottom w:val="single" w:color="auto" w:sz="8" w:space="0"/>
              <w:right w:val="single" w:color="auto" w:sz="8" w:space="0"/>
            </w:tcBorders>
            <w:vAlign w:val="center"/>
          </w:tcPr>
          <w:p w14:paraId="53E7E149">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375" w:type="dxa"/>
            <w:tcBorders>
              <w:top w:val="nil"/>
              <w:left w:val="nil"/>
              <w:bottom w:val="single" w:color="auto" w:sz="8" w:space="0"/>
              <w:right w:val="single" w:color="auto" w:sz="4" w:space="0"/>
            </w:tcBorders>
            <w:vAlign w:val="center"/>
          </w:tcPr>
          <w:p w14:paraId="041CD911">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hint="default" w:ascii="宋体" w:hAnsi="宋体" w:cs="宋体"/>
                <w:color w:val="auto"/>
                <w:kern w:val="0"/>
                <w:sz w:val="18"/>
                <w:szCs w:val="18"/>
                <w:highlight w:val="none"/>
              </w:rPr>
              <w:t>10</w:t>
            </w:r>
          </w:p>
        </w:tc>
        <w:tc>
          <w:tcPr>
            <w:tcW w:w="1030" w:type="dxa"/>
            <w:tcBorders>
              <w:top w:val="nil"/>
              <w:left w:val="nil"/>
              <w:bottom w:val="single" w:color="auto" w:sz="8" w:space="0"/>
              <w:right w:val="single" w:color="auto" w:sz="4" w:space="0"/>
            </w:tcBorders>
            <w:vAlign w:val="center"/>
          </w:tcPr>
          <w:p w14:paraId="03CE7418">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29" w:type="dxa"/>
            <w:tcBorders>
              <w:top w:val="nil"/>
              <w:left w:val="nil"/>
              <w:bottom w:val="single" w:color="auto" w:sz="8" w:space="0"/>
              <w:right w:val="single" w:color="auto" w:sz="8" w:space="0"/>
            </w:tcBorders>
            <w:vAlign w:val="center"/>
          </w:tcPr>
          <w:p w14:paraId="298C59E1">
            <w:pPr>
              <w:keepNext w:val="0"/>
              <w:keepLines w:val="0"/>
              <w:widowControl/>
              <w:suppressLineNumbers w:val="0"/>
              <w:shd w:val="clear"/>
              <w:spacing w:before="0" w:beforeAutospacing="0" w:after="0" w:afterAutospacing="0"/>
              <w:ind w:left="0" w:right="0"/>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14:paraId="262AAF41">
        <w:tblPrEx>
          <w:tblCellMar>
            <w:top w:w="0" w:type="dxa"/>
            <w:left w:w="108" w:type="dxa"/>
            <w:bottom w:w="0" w:type="dxa"/>
            <w:right w:w="108" w:type="dxa"/>
          </w:tblCellMar>
        </w:tblPrEx>
        <w:trPr>
          <w:trHeight w:val="826" w:hRule="atLeast"/>
        </w:trPr>
        <w:tc>
          <w:tcPr>
            <w:tcW w:w="14966" w:type="dxa"/>
            <w:gridSpan w:val="10"/>
            <w:tcBorders>
              <w:top w:val="nil"/>
              <w:left w:val="nil"/>
              <w:bottom w:val="nil"/>
              <w:right w:val="nil"/>
            </w:tcBorders>
            <w:vAlign w:val="bottom"/>
          </w:tcPr>
          <w:p w14:paraId="55A90E2D">
            <w:pPr>
              <w:keepNext w:val="0"/>
              <w:keepLines w:val="0"/>
              <w:widowControl/>
              <w:suppressLineNumbers w:val="0"/>
              <w:shd w:val="clear"/>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说明　</w:t>
            </w:r>
            <w:r>
              <w:rPr>
                <w:rFonts w:hint="default" w:ascii="宋体" w:hAnsi="宋体" w:cs="宋体"/>
                <w:color w:val="auto"/>
                <w:kern w:val="0"/>
                <w:sz w:val="18"/>
                <w:szCs w:val="18"/>
                <w:highlight w:val="none"/>
              </w:rPr>
              <w:t>1</w:t>
            </w:r>
            <w:r>
              <w:rPr>
                <w:rFonts w:hint="eastAsia" w:ascii="宋体" w:hAnsi="宋体" w:cs="宋体"/>
                <w:color w:val="auto"/>
                <w:kern w:val="0"/>
                <w:sz w:val="18"/>
                <w:szCs w:val="18"/>
                <w:highlight w:val="none"/>
              </w:rPr>
              <w:t>、企业类型的划分以统计部门的统计数据为依据。</w:t>
            </w:r>
          </w:p>
          <w:p w14:paraId="5463B445">
            <w:pPr>
              <w:keepNext w:val="0"/>
              <w:keepLines w:val="0"/>
              <w:widowControl/>
              <w:suppressLineNumbers w:val="0"/>
              <w:shd w:val="clear"/>
              <w:spacing w:before="0" w:beforeAutospacing="0" w:after="0" w:afterAutospacing="0"/>
              <w:ind w:left="0" w:right="0" w:firstLine="540" w:firstLineChars="30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2</w:t>
            </w:r>
            <w:r>
              <w:rPr>
                <w:rFonts w:hint="eastAsia" w:ascii="宋体" w:hAnsi="宋体" w:cs="宋体"/>
                <w:color w:val="auto"/>
                <w:kern w:val="0"/>
                <w:sz w:val="18"/>
                <w:szCs w:val="18"/>
                <w:highlight w:val="none"/>
              </w:rPr>
              <w:t>、个体工商户和本规定以外的行业，参照本规定进行划型。</w:t>
            </w:r>
          </w:p>
          <w:p w14:paraId="53CAE812">
            <w:pPr>
              <w:keepNext w:val="0"/>
              <w:keepLines w:val="0"/>
              <w:widowControl/>
              <w:suppressLineNumbers w:val="0"/>
              <w:shd w:val="clear"/>
              <w:spacing w:before="0" w:beforeAutospacing="0" w:after="0" w:afterAutospacing="0"/>
              <w:ind w:left="0" w:right="0" w:firstLine="540" w:firstLineChars="30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3</w:t>
            </w:r>
            <w:r>
              <w:rPr>
                <w:rFonts w:hint="eastAsia" w:ascii="宋体" w:hAnsi="宋体" w:cs="宋体"/>
                <w:color w:val="auto"/>
                <w:kern w:val="0"/>
                <w:sz w:val="18"/>
                <w:szCs w:val="18"/>
                <w:highlight w:val="none"/>
              </w:rPr>
              <w:t>、本规定的中型企业标准上限即为大型企业标准的下限。</w:t>
            </w:r>
          </w:p>
        </w:tc>
      </w:tr>
    </w:tbl>
    <w:p w14:paraId="07F29BE0">
      <w:pPr>
        <w:pStyle w:val="23"/>
        <w:shd w:val="clear"/>
        <w:ind w:firstLine="0" w:firstLineChars="0"/>
        <w:rPr>
          <w:color w:val="auto"/>
          <w:highlight w:val="none"/>
        </w:rPr>
      </w:pPr>
    </w:p>
    <w:bookmarkEnd w:id="7"/>
    <w:sectPr>
      <w:headerReference r:id="rId6" w:type="default"/>
      <w:pgSz w:w="16838" w:h="11906" w:orient="landscape"/>
      <w:pgMar w:top="567" w:right="1440" w:bottom="567"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2000000000000000000"/>
    <w:charset w:val="86"/>
    <w:family w:val="script"/>
    <w:pitch w:val="default"/>
    <w:sig w:usb0="00000000" w:usb1="00000000" w:usb2="00000012" w:usb3="00000000" w:csb0="00040001"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圆体-简">
    <w:altName w:val="宋体"/>
    <w:panose1 w:val="00000000000000000000"/>
    <w:charset w:val="86"/>
    <w:family w:val="roma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AD72">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2" name="文本框 1"/>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a:effectLst/>
                    </wps:spPr>
                    <wps:txbx>
                      <w:txbxContent>
                        <w:p w14:paraId="38558D35">
                          <w:pPr>
                            <w:pStyle w:val="33"/>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w:t>
                          </w:r>
                          <w:r>
                            <w:fldChar w:fldCharType="begin"/>
                          </w:r>
                          <w:r>
                            <w:instrText xml:space="preserve"> NUMPAGES  \* MERGEFORMAT </w:instrText>
                          </w:r>
                          <w:r>
                            <w:fldChar w:fldCharType="separate"/>
                          </w:r>
                          <w:r>
                            <w:t>58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BDvMPLOAIAAGEEAAAOAAAAAAAAAAEAIAAAACEBAABkcnMvZTJvRG9j&#10;LnhtbFBLBQYAAAAABgAGAFkBAADLBQAAAAA=&#10;">
              <v:fill on="f" focussize="0,0"/>
              <v:stroke on="f" weight="0.5pt"/>
              <v:imagedata o:title=""/>
              <o:lock v:ext="edit" aspectratio="f"/>
              <v:textbox inset="0mm,0mm,0mm,0mm" style="mso-fit-shape-to-text:t;">
                <w:txbxContent>
                  <w:p w14:paraId="38558D35">
                    <w:pPr>
                      <w:pStyle w:val="33"/>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w:t>
                    </w:r>
                    <w:r>
                      <w:fldChar w:fldCharType="begin"/>
                    </w:r>
                    <w:r>
                      <w:instrText xml:space="preserve"> NUMPAGES  \* MERGEFORMAT </w:instrText>
                    </w:r>
                    <w:r>
                      <w:fldChar w:fldCharType="separate"/>
                    </w:r>
                    <w:r>
                      <w:t>58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3F7A8">
    <w:pPr>
      <w:pStyle w:val="3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3" name="文本框 2"/>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a:effectLst/>
                    </wps:spPr>
                    <wps:txbx>
                      <w:txbxContent>
                        <w:p w14:paraId="3313AA69">
                          <w:pPr>
                            <w:pStyle w:val="33"/>
                          </w:pPr>
                          <w:r>
                            <w:rPr>
                              <w:rFonts w:hint="eastAsia"/>
                            </w:rPr>
                            <w:t xml:space="preserve">第 </w:t>
                          </w:r>
                          <w:r>
                            <w:fldChar w:fldCharType="begin"/>
                          </w:r>
                          <w:r>
                            <w:instrText xml:space="preserve"> PAGE  \* MERGEFORMAT </w:instrText>
                          </w:r>
                          <w:r>
                            <w:fldChar w:fldCharType="separate"/>
                          </w:r>
                          <w:r>
                            <w:t>28</w:t>
                          </w:r>
                          <w:r>
                            <w:fldChar w:fldCharType="end"/>
                          </w:r>
                          <w:r>
                            <w:rPr>
                              <w:rFonts w:hint="eastAsia"/>
                            </w:rPr>
                            <w:t xml:space="preserve"> 页 共 </w:t>
                          </w:r>
                          <w:r>
                            <w:fldChar w:fldCharType="begin"/>
                          </w:r>
                          <w:r>
                            <w:instrText xml:space="preserve"> NUMPAGES  \* MERGEFORMAT </w:instrText>
                          </w:r>
                          <w:r>
                            <w:fldChar w:fldCharType="separate"/>
                          </w:r>
                          <w:r>
                            <w:t>58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AdF6OfOAIAAGEEAAAOAAAAAAAAAAEAIAAAACEBAABkcnMvZTJvRG9j&#10;LnhtbFBLBQYAAAAABgAGAFkBAADLBQAAAAA=&#10;">
              <v:fill on="f" focussize="0,0"/>
              <v:stroke on="f" weight="0.5pt"/>
              <v:imagedata o:title=""/>
              <o:lock v:ext="edit" aspectratio="f"/>
              <v:textbox inset="0mm,0mm,0mm,0mm" style="mso-fit-shape-to-text:t;">
                <w:txbxContent>
                  <w:p w14:paraId="3313AA69">
                    <w:pPr>
                      <w:pStyle w:val="33"/>
                    </w:pPr>
                    <w:r>
                      <w:rPr>
                        <w:rFonts w:hint="eastAsia"/>
                      </w:rPr>
                      <w:t xml:space="preserve">第 </w:t>
                    </w:r>
                    <w:r>
                      <w:fldChar w:fldCharType="begin"/>
                    </w:r>
                    <w:r>
                      <w:instrText xml:space="preserve"> PAGE  \* MERGEFORMAT </w:instrText>
                    </w:r>
                    <w:r>
                      <w:fldChar w:fldCharType="separate"/>
                    </w:r>
                    <w:r>
                      <w:t>28</w:t>
                    </w:r>
                    <w:r>
                      <w:fldChar w:fldCharType="end"/>
                    </w:r>
                    <w:r>
                      <w:rPr>
                        <w:rFonts w:hint="eastAsia"/>
                      </w:rPr>
                      <w:t xml:space="preserve"> 页 共 </w:t>
                    </w:r>
                    <w:r>
                      <w:fldChar w:fldCharType="begin"/>
                    </w:r>
                    <w:r>
                      <w:instrText xml:space="preserve"> NUMPAGES  \* MERGEFORMAT </w:instrText>
                    </w:r>
                    <w:r>
                      <w:fldChar w:fldCharType="separate"/>
                    </w:r>
                    <w:r>
                      <w:t>58</w:t>
                    </w:r>
                    <w:r>
                      <w:fldChar w:fldCharType="end"/>
                    </w:r>
                    <w:r>
                      <w:rPr>
                        <w:rFonts w:hint="eastAsia"/>
                      </w:rPr>
                      <w:t xml:space="preserve"> 页</w:t>
                    </w:r>
                  </w:p>
                </w:txbxContent>
              </v:textbox>
            </v:shape>
          </w:pict>
        </mc:Fallback>
      </mc:AlternateContent>
    </w:r>
  </w:p>
  <w:p w14:paraId="3C50ED09">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84C64">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台州市政府采购招标文件</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28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14:paraId="700B633E">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1216A">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B351F"/>
    <w:multiLevelType w:val="singleLevel"/>
    <w:tmpl w:val="81DB351F"/>
    <w:lvl w:ilvl="0" w:tentative="0">
      <w:start w:val="1"/>
      <w:numFmt w:val="decimal"/>
      <w:lvlText w:val="%1."/>
      <w:lvlJc w:val="left"/>
      <w:pPr>
        <w:ind w:left="425" w:hanging="425"/>
      </w:pPr>
      <w:rPr>
        <w:rFonts w:hint="default"/>
      </w:rPr>
    </w:lvl>
  </w:abstractNum>
  <w:abstractNum w:abstractNumId="1">
    <w:nsid w:val="8906E671"/>
    <w:multiLevelType w:val="singleLevel"/>
    <w:tmpl w:val="8906E671"/>
    <w:lvl w:ilvl="0" w:tentative="0">
      <w:start w:val="1"/>
      <w:numFmt w:val="decimal"/>
      <w:suff w:val="space"/>
      <w:lvlText w:val="%1."/>
      <w:lvlJc w:val="left"/>
      <w:pPr>
        <w:ind w:left="454" w:hanging="454"/>
      </w:pPr>
      <w:rPr>
        <w:rFonts w:hint="default"/>
      </w:rPr>
    </w:lvl>
  </w:abstractNum>
  <w:abstractNum w:abstractNumId="2">
    <w:nsid w:val="A7226F28"/>
    <w:multiLevelType w:val="singleLevel"/>
    <w:tmpl w:val="A7226F28"/>
    <w:lvl w:ilvl="0" w:tentative="0">
      <w:start w:val="2"/>
      <w:numFmt w:val="chineseCounting"/>
      <w:suff w:val="nothing"/>
      <w:lvlText w:val="%1、"/>
      <w:lvlJc w:val="left"/>
      <w:rPr>
        <w:rFonts w:hint="eastAsia"/>
      </w:rPr>
    </w:lvl>
  </w:abstractNum>
  <w:abstractNum w:abstractNumId="3">
    <w:nsid w:val="A87EFCEA"/>
    <w:multiLevelType w:val="singleLevel"/>
    <w:tmpl w:val="A87EFCEA"/>
    <w:lvl w:ilvl="0" w:tentative="0">
      <w:start w:val="1"/>
      <w:numFmt w:val="decimal"/>
      <w:lvlText w:val="%1."/>
      <w:lvlJc w:val="left"/>
      <w:pPr>
        <w:ind w:left="1134" w:hanging="425"/>
      </w:pPr>
      <w:rPr>
        <w:rFonts w:hint="default"/>
      </w:rPr>
    </w:lvl>
  </w:abstractNum>
  <w:abstractNum w:abstractNumId="4">
    <w:nsid w:val="AC019F3D"/>
    <w:multiLevelType w:val="singleLevel"/>
    <w:tmpl w:val="AC019F3D"/>
    <w:lvl w:ilvl="0" w:tentative="0">
      <w:start w:val="1"/>
      <w:numFmt w:val="decimal"/>
      <w:lvlText w:val="%1."/>
      <w:lvlJc w:val="left"/>
      <w:pPr>
        <w:ind w:left="425" w:hanging="425"/>
      </w:pPr>
      <w:rPr>
        <w:rFonts w:hint="default"/>
      </w:rPr>
    </w:lvl>
  </w:abstractNum>
  <w:abstractNum w:abstractNumId="5">
    <w:nsid w:val="AE2D8F7B"/>
    <w:multiLevelType w:val="singleLevel"/>
    <w:tmpl w:val="AE2D8F7B"/>
    <w:lvl w:ilvl="0" w:tentative="0">
      <w:start w:val="1"/>
      <w:numFmt w:val="decimal"/>
      <w:pStyle w:val="16"/>
      <w:lvlText w:val="%1."/>
      <w:lvlJc w:val="left"/>
      <w:pPr>
        <w:tabs>
          <w:tab w:val="left" w:pos="360"/>
        </w:tabs>
        <w:ind w:left="360" w:hanging="360"/>
      </w:pPr>
    </w:lvl>
  </w:abstractNum>
  <w:abstractNum w:abstractNumId="6">
    <w:nsid w:val="BC09FFDB"/>
    <w:multiLevelType w:val="singleLevel"/>
    <w:tmpl w:val="BC09FFDB"/>
    <w:lvl w:ilvl="0" w:tentative="0">
      <w:start w:val="1"/>
      <w:numFmt w:val="decimal"/>
      <w:suff w:val="space"/>
      <w:lvlText w:val="%1."/>
      <w:lvlJc w:val="left"/>
    </w:lvl>
  </w:abstractNum>
  <w:abstractNum w:abstractNumId="7">
    <w:nsid w:val="C588194D"/>
    <w:multiLevelType w:val="singleLevel"/>
    <w:tmpl w:val="C588194D"/>
    <w:lvl w:ilvl="0" w:tentative="0">
      <w:start w:val="1"/>
      <w:numFmt w:val="chineseCounting"/>
      <w:suff w:val="space"/>
      <w:lvlText w:val="第%1章"/>
      <w:lvlJc w:val="left"/>
      <w:rPr>
        <w:rFonts w:hint="eastAsia"/>
      </w:rPr>
    </w:lvl>
  </w:abstractNum>
  <w:abstractNum w:abstractNumId="8">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9">
    <w:nsid w:val="CFED0344"/>
    <w:multiLevelType w:val="singleLevel"/>
    <w:tmpl w:val="CFED0344"/>
    <w:lvl w:ilvl="0" w:tentative="0">
      <w:start w:val="1"/>
      <w:numFmt w:val="decimal"/>
      <w:suff w:val="nothing"/>
      <w:lvlText w:val="%1．"/>
      <w:lvlJc w:val="left"/>
      <w:pPr>
        <w:ind w:left="0" w:firstLine="400"/>
      </w:pPr>
      <w:rPr>
        <w:rFonts w:hint="default"/>
      </w:rPr>
    </w:lvl>
  </w:abstractNum>
  <w:abstractNum w:abstractNumId="10">
    <w:nsid w:val="D09F2148"/>
    <w:multiLevelType w:val="singleLevel"/>
    <w:tmpl w:val="D09F2148"/>
    <w:lvl w:ilvl="0" w:tentative="0">
      <w:start w:val="1"/>
      <w:numFmt w:val="decimal"/>
      <w:lvlText w:val="%1."/>
      <w:lvlJc w:val="left"/>
      <w:pPr>
        <w:ind w:left="425" w:hanging="425"/>
      </w:pPr>
      <w:rPr>
        <w:rFonts w:hint="default"/>
      </w:rPr>
    </w:lvl>
  </w:abstractNum>
  <w:abstractNum w:abstractNumId="11">
    <w:nsid w:val="E2144295"/>
    <w:multiLevelType w:val="singleLevel"/>
    <w:tmpl w:val="E2144295"/>
    <w:lvl w:ilvl="0" w:tentative="0">
      <w:start w:val="1"/>
      <w:numFmt w:val="decimalEnclosedCircleChinese"/>
      <w:suff w:val="nothing"/>
      <w:lvlText w:val="%1　"/>
      <w:lvlJc w:val="left"/>
      <w:pPr>
        <w:ind w:left="0" w:firstLine="400"/>
      </w:pPr>
      <w:rPr>
        <w:rFonts w:hint="eastAsia"/>
      </w:rPr>
    </w:lvl>
  </w:abstractNum>
  <w:abstractNum w:abstractNumId="12">
    <w:nsid w:val="E52BB1A9"/>
    <w:multiLevelType w:val="singleLevel"/>
    <w:tmpl w:val="E52BB1A9"/>
    <w:lvl w:ilvl="0" w:tentative="0">
      <w:start w:val="1"/>
      <w:numFmt w:val="chineseCounting"/>
      <w:suff w:val="nothing"/>
      <w:lvlText w:val="（%1）"/>
      <w:lvlJc w:val="left"/>
      <w:rPr>
        <w:rFonts w:hint="eastAsia"/>
      </w:rPr>
    </w:lvl>
  </w:abstractNum>
  <w:abstractNum w:abstractNumId="13">
    <w:nsid w:val="EB1BD96B"/>
    <w:multiLevelType w:val="singleLevel"/>
    <w:tmpl w:val="EB1BD96B"/>
    <w:lvl w:ilvl="0" w:tentative="0">
      <w:start w:val="2"/>
      <w:numFmt w:val="decimal"/>
      <w:suff w:val="nothing"/>
      <w:lvlText w:val="（%1）"/>
      <w:lvlJc w:val="left"/>
    </w:lvl>
  </w:abstractNum>
  <w:abstractNum w:abstractNumId="14">
    <w:nsid w:val="FAEE2C8F"/>
    <w:multiLevelType w:val="singleLevel"/>
    <w:tmpl w:val="FAEE2C8F"/>
    <w:lvl w:ilvl="0" w:tentative="0">
      <w:start w:val="1"/>
      <w:numFmt w:val="chineseCounting"/>
      <w:suff w:val="nothing"/>
      <w:lvlText w:val="%1、"/>
      <w:lvlJc w:val="left"/>
      <w:pPr>
        <w:ind w:left="-272"/>
      </w:pPr>
      <w:rPr>
        <w:rFonts w:hint="eastAsia"/>
      </w:rPr>
    </w:lvl>
  </w:abstractNum>
  <w:abstractNum w:abstractNumId="15">
    <w:nsid w:val="FF27596F"/>
    <w:multiLevelType w:val="singleLevel"/>
    <w:tmpl w:val="FF27596F"/>
    <w:lvl w:ilvl="0" w:tentative="0">
      <w:start w:val="1"/>
      <w:numFmt w:val="decimal"/>
      <w:lvlText w:val="%1."/>
      <w:lvlJc w:val="left"/>
      <w:pPr>
        <w:ind w:left="425" w:hanging="425"/>
      </w:pPr>
      <w:rPr>
        <w:rFonts w:hint="default"/>
      </w:rPr>
    </w:lvl>
  </w:abstractNum>
  <w:abstractNum w:abstractNumId="16">
    <w:nsid w:val="0000000E"/>
    <w:multiLevelType w:val="multilevel"/>
    <w:tmpl w:val="0000000E"/>
    <w:lvl w:ilvl="0" w:tentative="0">
      <w:start w:val="1"/>
      <w:numFmt w:val="decimal"/>
      <w:pStyle w:val="389"/>
      <w:lvlText w:val="%1."/>
      <w:lvlJc w:val="left"/>
      <w:pPr>
        <w:tabs>
          <w:tab w:val="left" w:pos="420"/>
        </w:tabs>
        <w:ind w:left="420" w:hanging="4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7">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18">
    <w:nsid w:val="0A760F1C"/>
    <w:multiLevelType w:val="multilevel"/>
    <w:tmpl w:val="0A760F1C"/>
    <w:lvl w:ilvl="0" w:tentative="0">
      <w:start w:val="1"/>
      <w:numFmt w:val="decimal"/>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pStyle w:val="395"/>
      <w:suff w:val="space"/>
      <w:lvlText w:val="%1.%2.%3"/>
      <w:lvlJc w:val="left"/>
      <w:pPr>
        <w:ind w:left="426" w:firstLine="0"/>
      </w:pPr>
      <w:rPr>
        <w:rFonts w:hint="eastAsia" w:ascii="黑体" w:hAnsi="黑体" w:eastAsia="黑体"/>
        <w:sz w:val="28"/>
      </w:rPr>
    </w:lvl>
    <w:lvl w:ilvl="3" w:tentative="0">
      <w:start w:val="1"/>
      <w:numFmt w:val="decimal"/>
      <w:pStyle w:val="394"/>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9">
    <w:nsid w:val="18BE30EF"/>
    <w:multiLevelType w:val="singleLevel"/>
    <w:tmpl w:val="18BE30EF"/>
    <w:lvl w:ilvl="0" w:tentative="0">
      <w:start w:val="1"/>
      <w:numFmt w:val="decimal"/>
      <w:lvlText w:val="%1."/>
      <w:lvlJc w:val="left"/>
      <w:pPr>
        <w:ind w:left="425" w:hanging="425"/>
      </w:pPr>
      <w:rPr>
        <w:rFonts w:hint="default"/>
      </w:rPr>
    </w:lvl>
  </w:abstractNum>
  <w:abstractNum w:abstractNumId="20">
    <w:nsid w:val="19DCF4C9"/>
    <w:multiLevelType w:val="singleLevel"/>
    <w:tmpl w:val="19DCF4C9"/>
    <w:lvl w:ilvl="0" w:tentative="0">
      <w:start w:val="1"/>
      <w:numFmt w:val="decimal"/>
      <w:lvlText w:val="%1."/>
      <w:lvlJc w:val="left"/>
      <w:pPr>
        <w:ind w:left="425" w:hanging="425"/>
      </w:pPr>
      <w:rPr>
        <w:rFonts w:hint="default"/>
      </w:rPr>
    </w:lvl>
  </w:abstractNum>
  <w:abstractNum w:abstractNumId="21">
    <w:nsid w:val="3B363D98"/>
    <w:multiLevelType w:val="multilevel"/>
    <w:tmpl w:val="3B363D98"/>
    <w:lvl w:ilvl="0" w:tentative="0">
      <w:start w:val="1"/>
      <w:numFmt w:val="decimal"/>
      <w:pStyle w:val="18"/>
      <w:suff w:val="space"/>
      <w:lvlText w:val="图%1."/>
      <w:lvlJc w:val="left"/>
      <w:pPr>
        <w:ind w:left="2263"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22">
    <w:nsid w:val="461E5E94"/>
    <w:multiLevelType w:val="singleLevel"/>
    <w:tmpl w:val="461E5E94"/>
    <w:lvl w:ilvl="0" w:tentative="0">
      <w:start w:val="2"/>
      <w:numFmt w:val="chineseCounting"/>
      <w:suff w:val="space"/>
      <w:lvlText w:val="第%1章"/>
      <w:lvlJc w:val="left"/>
      <w:rPr>
        <w:rFonts w:hint="eastAsia"/>
      </w:rPr>
    </w:lvl>
  </w:abstractNum>
  <w:abstractNum w:abstractNumId="23">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24">
    <w:nsid w:val="4B0BFCF4"/>
    <w:multiLevelType w:val="singleLevel"/>
    <w:tmpl w:val="4B0BFCF4"/>
    <w:lvl w:ilvl="0" w:tentative="0">
      <w:start w:val="1"/>
      <w:numFmt w:val="decimal"/>
      <w:pStyle w:val="8"/>
      <w:lvlText w:val="%1."/>
      <w:lvlJc w:val="left"/>
      <w:pPr>
        <w:tabs>
          <w:tab w:val="left" w:pos="780"/>
        </w:tabs>
        <w:ind w:left="780" w:hanging="360"/>
      </w:pPr>
    </w:lvl>
  </w:abstractNum>
  <w:abstractNum w:abstractNumId="25">
    <w:nsid w:val="4EB1C310"/>
    <w:multiLevelType w:val="singleLevel"/>
    <w:tmpl w:val="4EB1C310"/>
    <w:lvl w:ilvl="0" w:tentative="0">
      <w:start w:val="1"/>
      <w:numFmt w:val="decimal"/>
      <w:lvlText w:val="%1."/>
      <w:lvlJc w:val="left"/>
      <w:pPr>
        <w:ind w:left="425" w:hanging="425"/>
      </w:pPr>
      <w:rPr>
        <w:rFonts w:hint="default"/>
      </w:rPr>
    </w:lvl>
  </w:abstractNum>
  <w:abstractNum w:abstractNumId="26">
    <w:nsid w:val="53F985B4"/>
    <w:multiLevelType w:val="singleLevel"/>
    <w:tmpl w:val="53F985B4"/>
    <w:lvl w:ilvl="0" w:tentative="0">
      <w:start w:val="1"/>
      <w:numFmt w:val="decimal"/>
      <w:lvlText w:val="%1."/>
      <w:lvlJc w:val="left"/>
      <w:pPr>
        <w:tabs>
          <w:tab w:val="left" w:pos="312"/>
        </w:tabs>
      </w:pPr>
    </w:lvl>
  </w:abstractNum>
  <w:abstractNum w:abstractNumId="27">
    <w:nsid w:val="561F21D4"/>
    <w:multiLevelType w:val="multilevel"/>
    <w:tmpl w:val="561F21D4"/>
    <w:lvl w:ilvl="0" w:tentative="0">
      <w:start w:val="1"/>
      <w:numFmt w:val="bullet"/>
      <w:pStyle w:val="38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56FB16F3"/>
    <w:multiLevelType w:val="multilevel"/>
    <w:tmpl w:val="56FB16F3"/>
    <w:lvl w:ilvl="0" w:tentative="0">
      <w:start w:val="1"/>
      <w:numFmt w:val="decimal"/>
      <w:pStyle w:val="420"/>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9">
    <w:nsid w:val="632B4536"/>
    <w:multiLevelType w:val="singleLevel"/>
    <w:tmpl w:val="632B4536"/>
    <w:lvl w:ilvl="0" w:tentative="0">
      <w:start w:val="1"/>
      <w:numFmt w:val="decimal"/>
      <w:lvlText w:val="%1."/>
      <w:lvlJc w:val="left"/>
      <w:pPr>
        <w:ind w:left="425" w:hanging="425"/>
      </w:pPr>
      <w:rPr>
        <w:rFonts w:hint="default"/>
      </w:rPr>
    </w:lvl>
  </w:abstractNum>
  <w:abstractNum w:abstractNumId="30">
    <w:nsid w:val="6A6E8E67"/>
    <w:multiLevelType w:val="singleLevel"/>
    <w:tmpl w:val="6A6E8E67"/>
    <w:lvl w:ilvl="0" w:tentative="0">
      <w:start w:val="1"/>
      <w:numFmt w:val="decimal"/>
      <w:suff w:val="space"/>
      <w:lvlText w:val="%1."/>
      <w:lvlJc w:val="left"/>
      <w:pPr>
        <w:ind w:left="454" w:hanging="454"/>
      </w:pPr>
      <w:rPr>
        <w:rFonts w:hint="default"/>
      </w:rPr>
    </w:lvl>
  </w:abstractNum>
  <w:abstractNum w:abstractNumId="31">
    <w:nsid w:val="70C45358"/>
    <w:multiLevelType w:val="multilevel"/>
    <w:tmpl w:val="70C45358"/>
    <w:lvl w:ilvl="0" w:tentative="0">
      <w:start w:val="1"/>
      <w:numFmt w:val="decimal"/>
      <w:lvlText w:val="第%1章 "/>
      <w:lvlJc w:val="left"/>
      <w:pPr>
        <w:tabs>
          <w:tab w:val="left" w:pos="567"/>
        </w:tabs>
        <w:ind w:left="0" w:firstLine="0"/>
      </w:pPr>
      <w:rPr>
        <w:rFonts w:cs="Times New Roman"/>
        <w:lang w:val="en-US"/>
      </w:rPr>
    </w:lvl>
    <w:lvl w:ilvl="1" w:tentative="0">
      <w:start w:val="1"/>
      <w:numFmt w:val="decimal"/>
      <w:pStyle w:val="90"/>
      <w:lvlText w:val="%1.%2"/>
      <w:lvlJc w:val="left"/>
      <w:pPr>
        <w:tabs>
          <w:tab w:val="left" w:pos="993"/>
        </w:tabs>
        <w:ind w:left="426" w:firstLine="0"/>
      </w:pPr>
      <w:rPr>
        <w:rFonts w:cs="Times New Roman"/>
      </w:rPr>
    </w:lvl>
    <w:lvl w:ilvl="2" w:tentative="0">
      <w:start w:val="1"/>
      <w:numFmt w:val="decimal"/>
      <w:pStyle w:val="91"/>
      <w:lvlText w:val="%1.%2.%3"/>
      <w:lvlJc w:val="left"/>
      <w:pPr>
        <w:tabs>
          <w:tab w:val="left" w:pos="98"/>
        </w:tabs>
        <w:ind w:left="-639" w:firstLine="0"/>
      </w:pPr>
      <w:rPr>
        <w:rFonts w:cs="Times New Roman"/>
      </w:rPr>
    </w:lvl>
    <w:lvl w:ilvl="3" w:tentative="0">
      <w:start w:val="1"/>
      <w:numFmt w:val="decimal"/>
      <w:pStyle w:val="92"/>
      <w:lvlText w:val="%1.%2.%3.%4"/>
      <w:lvlJc w:val="left"/>
      <w:pPr>
        <w:tabs>
          <w:tab w:val="left" w:pos="-72"/>
        </w:tabs>
        <w:ind w:left="-639" w:firstLine="0"/>
      </w:pPr>
      <w:rPr>
        <w:rFonts w:cs="Times New Roman"/>
      </w:rPr>
    </w:lvl>
    <w:lvl w:ilvl="4" w:tentative="0">
      <w:start w:val="1"/>
      <w:numFmt w:val="decimal"/>
      <w:lvlText w:val="%1.%2.%3.%4.%5"/>
      <w:lvlJc w:val="left"/>
      <w:pPr>
        <w:tabs>
          <w:tab w:val="left" w:pos="-72"/>
        </w:tabs>
        <w:ind w:left="-639" w:firstLine="0"/>
      </w:pPr>
      <w:rPr>
        <w:rFonts w:cs="Times New Roman"/>
      </w:rPr>
    </w:lvl>
    <w:lvl w:ilvl="5" w:tentative="0">
      <w:start w:val="1"/>
      <w:numFmt w:val="decimal"/>
      <w:lvlText w:val="%1.%2.%3.%4.%5.%6."/>
      <w:lvlJc w:val="left"/>
      <w:pPr>
        <w:tabs>
          <w:tab w:val="left" w:pos="495"/>
        </w:tabs>
        <w:ind w:left="495" w:hanging="1134"/>
      </w:pPr>
      <w:rPr>
        <w:rFonts w:cs="Times New Roman"/>
      </w:rPr>
    </w:lvl>
    <w:lvl w:ilvl="6" w:tentative="0">
      <w:start w:val="1"/>
      <w:numFmt w:val="decimal"/>
      <w:lvlText w:val="%1.%2.%3.%4.%5.%6.%7."/>
      <w:lvlJc w:val="left"/>
      <w:pPr>
        <w:tabs>
          <w:tab w:val="left" w:pos="637"/>
        </w:tabs>
        <w:ind w:left="637" w:hanging="1276"/>
      </w:pPr>
      <w:rPr>
        <w:rFonts w:cs="Times New Roman"/>
      </w:rPr>
    </w:lvl>
    <w:lvl w:ilvl="7" w:tentative="0">
      <w:start w:val="1"/>
      <w:numFmt w:val="decimal"/>
      <w:lvlText w:val="%1.%2.%3.%4.%5.%6.%7.%8."/>
      <w:lvlJc w:val="left"/>
      <w:pPr>
        <w:tabs>
          <w:tab w:val="left" w:pos="779"/>
        </w:tabs>
        <w:ind w:left="779" w:hanging="1418"/>
      </w:pPr>
      <w:rPr>
        <w:rFonts w:cs="Times New Roman"/>
      </w:rPr>
    </w:lvl>
    <w:lvl w:ilvl="8" w:tentative="0">
      <w:start w:val="1"/>
      <w:numFmt w:val="decimal"/>
      <w:lvlText w:val="%1.%2.%3.%4.%5.%6.%7.%8.%9."/>
      <w:lvlJc w:val="left"/>
      <w:pPr>
        <w:tabs>
          <w:tab w:val="left" w:pos="920"/>
        </w:tabs>
        <w:ind w:left="920" w:hanging="1559"/>
      </w:pPr>
      <w:rPr>
        <w:rFonts w:cs="Times New Roman"/>
      </w:rPr>
    </w:lvl>
  </w:abstractNum>
  <w:num w:numId="1">
    <w:abstractNumId w:val="24"/>
  </w:num>
  <w:num w:numId="2">
    <w:abstractNumId w:val="5"/>
  </w:num>
  <w:num w:numId="3">
    <w:abstractNumId w:val="2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6"/>
  </w:num>
  <w:num w:numId="7">
    <w:abstractNumId w:val="18"/>
  </w:num>
  <w:num w:numId="8">
    <w:abstractNumId w:val="28"/>
  </w:num>
  <w:num w:numId="9">
    <w:abstractNumId w:val="23"/>
  </w:num>
  <w:num w:numId="10">
    <w:abstractNumId w:val="7"/>
  </w:num>
  <w:num w:numId="11">
    <w:abstractNumId w:val="11"/>
  </w:num>
  <w:num w:numId="12">
    <w:abstractNumId w:val="22"/>
  </w:num>
  <w:num w:numId="13">
    <w:abstractNumId w:val="3"/>
  </w:num>
  <w:num w:numId="14">
    <w:abstractNumId w:val="10"/>
  </w:num>
  <w:num w:numId="15">
    <w:abstractNumId w:val="1"/>
  </w:num>
  <w:num w:numId="16">
    <w:abstractNumId w:val="8"/>
  </w:num>
  <w:num w:numId="17">
    <w:abstractNumId w:val="13"/>
  </w:num>
  <w:num w:numId="18">
    <w:abstractNumId w:val="0"/>
  </w:num>
  <w:num w:numId="19">
    <w:abstractNumId w:val="29"/>
  </w:num>
  <w:num w:numId="20">
    <w:abstractNumId w:val="30"/>
  </w:num>
  <w:num w:numId="21">
    <w:abstractNumId w:val="4"/>
  </w:num>
  <w:num w:numId="22">
    <w:abstractNumId w:val="15"/>
  </w:num>
  <w:num w:numId="23">
    <w:abstractNumId w:val="20"/>
  </w:num>
  <w:num w:numId="24">
    <w:abstractNumId w:val="25"/>
  </w:num>
  <w:num w:numId="25">
    <w:abstractNumId w:val="19"/>
  </w:num>
  <w:num w:numId="26">
    <w:abstractNumId w:val="14"/>
  </w:num>
  <w:num w:numId="27">
    <w:abstractNumId w:val="6"/>
  </w:num>
  <w:num w:numId="28">
    <w:abstractNumId w:val="2"/>
  </w:num>
  <w:num w:numId="29">
    <w:abstractNumId w:val="12"/>
  </w:num>
  <w:num w:numId="30">
    <w:abstractNumId w:val="17"/>
  </w:num>
  <w:num w:numId="31">
    <w:abstractNumId w:val="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MTZkNmE0NDQ3ODIwN2JmZmU5NDI1OTJmMTY1ZjIifQ=="/>
  </w:docVars>
  <w:rsids>
    <w:rsidRoot w:val="00172A27"/>
    <w:rsid w:val="00046E15"/>
    <w:rsid w:val="0006294D"/>
    <w:rsid w:val="00062AB3"/>
    <w:rsid w:val="000903D5"/>
    <w:rsid w:val="000936C9"/>
    <w:rsid w:val="00107BF6"/>
    <w:rsid w:val="0012305D"/>
    <w:rsid w:val="00130920"/>
    <w:rsid w:val="00131E56"/>
    <w:rsid w:val="00157DF0"/>
    <w:rsid w:val="00165F2A"/>
    <w:rsid w:val="00172A27"/>
    <w:rsid w:val="00201D62"/>
    <w:rsid w:val="0021318F"/>
    <w:rsid w:val="00224964"/>
    <w:rsid w:val="0023456F"/>
    <w:rsid w:val="00242EEC"/>
    <w:rsid w:val="0025202F"/>
    <w:rsid w:val="002A1620"/>
    <w:rsid w:val="002B48B8"/>
    <w:rsid w:val="003102FB"/>
    <w:rsid w:val="0031277A"/>
    <w:rsid w:val="00332E30"/>
    <w:rsid w:val="0037125A"/>
    <w:rsid w:val="00382DD1"/>
    <w:rsid w:val="003B0C36"/>
    <w:rsid w:val="003B2B7B"/>
    <w:rsid w:val="003C5E00"/>
    <w:rsid w:val="003F595C"/>
    <w:rsid w:val="003F78E0"/>
    <w:rsid w:val="0042462B"/>
    <w:rsid w:val="00441FAE"/>
    <w:rsid w:val="00446CEF"/>
    <w:rsid w:val="004530E3"/>
    <w:rsid w:val="004635CB"/>
    <w:rsid w:val="00472F98"/>
    <w:rsid w:val="0048507C"/>
    <w:rsid w:val="00491BDF"/>
    <w:rsid w:val="004972D1"/>
    <w:rsid w:val="004B4165"/>
    <w:rsid w:val="004C75E9"/>
    <w:rsid w:val="004D19C1"/>
    <w:rsid w:val="004E0884"/>
    <w:rsid w:val="005136E3"/>
    <w:rsid w:val="00533F91"/>
    <w:rsid w:val="005367EF"/>
    <w:rsid w:val="00551DEA"/>
    <w:rsid w:val="00552448"/>
    <w:rsid w:val="00580CF7"/>
    <w:rsid w:val="005A0636"/>
    <w:rsid w:val="005A6E52"/>
    <w:rsid w:val="005D2872"/>
    <w:rsid w:val="005F6730"/>
    <w:rsid w:val="00616E31"/>
    <w:rsid w:val="00633CCC"/>
    <w:rsid w:val="00655E3C"/>
    <w:rsid w:val="00672712"/>
    <w:rsid w:val="00674363"/>
    <w:rsid w:val="00674C42"/>
    <w:rsid w:val="00691A5A"/>
    <w:rsid w:val="006A1C16"/>
    <w:rsid w:val="006F4DFE"/>
    <w:rsid w:val="00707674"/>
    <w:rsid w:val="007335C3"/>
    <w:rsid w:val="007462BF"/>
    <w:rsid w:val="00772676"/>
    <w:rsid w:val="007A236B"/>
    <w:rsid w:val="007A2629"/>
    <w:rsid w:val="007A373B"/>
    <w:rsid w:val="007C1005"/>
    <w:rsid w:val="007F3C66"/>
    <w:rsid w:val="00802325"/>
    <w:rsid w:val="00847BE5"/>
    <w:rsid w:val="0088009B"/>
    <w:rsid w:val="0088066B"/>
    <w:rsid w:val="0089471E"/>
    <w:rsid w:val="008A53AD"/>
    <w:rsid w:val="008D7912"/>
    <w:rsid w:val="00903A43"/>
    <w:rsid w:val="00906412"/>
    <w:rsid w:val="00912983"/>
    <w:rsid w:val="00913BD5"/>
    <w:rsid w:val="00923621"/>
    <w:rsid w:val="00947AA5"/>
    <w:rsid w:val="009B3E22"/>
    <w:rsid w:val="009B4CA9"/>
    <w:rsid w:val="009D56DB"/>
    <w:rsid w:val="009D5E8E"/>
    <w:rsid w:val="009E4231"/>
    <w:rsid w:val="009F3459"/>
    <w:rsid w:val="00A30B75"/>
    <w:rsid w:val="00A355C4"/>
    <w:rsid w:val="00A41902"/>
    <w:rsid w:val="00A41DFA"/>
    <w:rsid w:val="00A730CA"/>
    <w:rsid w:val="00A968FC"/>
    <w:rsid w:val="00AB2DE5"/>
    <w:rsid w:val="00B17E6F"/>
    <w:rsid w:val="00BB106D"/>
    <w:rsid w:val="00BC4555"/>
    <w:rsid w:val="00BE081B"/>
    <w:rsid w:val="00C425B3"/>
    <w:rsid w:val="00C52E14"/>
    <w:rsid w:val="00C72B8C"/>
    <w:rsid w:val="00C767D4"/>
    <w:rsid w:val="00C86AB9"/>
    <w:rsid w:val="00CB2012"/>
    <w:rsid w:val="00CC232E"/>
    <w:rsid w:val="00CD1804"/>
    <w:rsid w:val="00CE2C33"/>
    <w:rsid w:val="00CF25D3"/>
    <w:rsid w:val="00CF6EFD"/>
    <w:rsid w:val="00D13C71"/>
    <w:rsid w:val="00D21762"/>
    <w:rsid w:val="00D27612"/>
    <w:rsid w:val="00D323E8"/>
    <w:rsid w:val="00D556E6"/>
    <w:rsid w:val="00D61084"/>
    <w:rsid w:val="00D61A6A"/>
    <w:rsid w:val="00D97D78"/>
    <w:rsid w:val="00DA1022"/>
    <w:rsid w:val="00DB2CA8"/>
    <w:rsid w:val="00DF68EA"/>
    <w:rsid w:val="00E319E7"/>
    <w:rsid w:val="00E35A25"/>
    <w:rsid w:val="00E42FAF"/>
    <w:rsid w:val="00E5547D"/>
    <w:rsid w:val="00E73EE1"/>
    <w:rsid w:val="00E94D5A"/>
    <w:rsid w:val="00EB1C8A"/>
    <w:rsid w:val="00EB4E41"/>
    <w:rsid w:val="00EC69DC"/>
    <w:rsid w:val="00ED7F52"/>
    <w:rsid w:val="00EE25F8"/>
    <w:rsid w:val="00EE34AF"/>
    <w:rsid w:val="00EF2797"/>
    <w:rsid w:val="00F05C63"/>
    <w:rsid w:val="00F127FF"/>
    <w:rsid w:val="00F15903"/>
    <w:rsid w:val="00F82981"/>
    <w:rsid w:val="00FA6516"/>
    <w:rsid w:val="00FB70BA"/>
    <w:rsid w:val="0108599E"/>
    <w:rsid w:val="011B6997"/>
    <w:rsid w:val="0122167A"/>
    <w:rsid w:val="01245453"/>
    <w:rsid w:val="013E4022"/>
    <w:rsid w:val="01825BAD"/>
    <w:rsid w:val="01935887"/>
    <w:rsid w:val="02291D3B"/>
    <w:rsid w:val="02370322"/>
    <w:rsid w:val="02862D86"/>
    <w:rsid w:val="03016255"/>
    <w:rsid w:val="03117BB8"/>
    <w:rsid w:val="033605E0"/>
    <w:rsid w:val="037B33D3"/>
    <w:rsid w:val="038F65D0"/>
    <w:rsid w:val="04255409"/>
    <w:rsid w:val="04B019C0"/>
    <w:rsid w:val="04C55DC3"/>
    <w:rsid w:val="04CC341D"/>
    <w:rsid w:val="04E2157A"/>
    <w:rsid w:val="04F8157B"/>
    <w:rsid w:val="05035F45"/>
    <w:rsid w:val="05137CD7"/>
    <w:rsid w:val="05382B9E"/>
    <w:rsid w:val="0599415A"/>
    <w:rsid w:val="05EB3658"/>
    <w:rsid w:val="05FA5187"/>
    <w:rsid w:val="060B26E0"/>
    <w:rsid w:val="061C17FE"/>
    <w:rsid w:val="06293766"/>
    <w:rsid w:val="06364625"/>
    <w:rsid w:val="06F51849"/>
    <w:rsid w:val="07260533"/>
    <w:rsid w:val="074109F4"/>
    <w:rsid w:val="08505D37"/>
    <w:rsid w:val="08507AD0"/>
    <w:rsid w:val="087314A3"/>
    <w:rsid w:val="08752E31"/>
    <w:rsid w:val="08AF6781"/>
    <w:rsid w:val="08B06CBC"/>
    <w:rsid w:val="09994E82"/>
    <w:rsid w:val="09CA7C8A"/>
    <w:rsid w:val="0A0E3EBB"/>
    <w:rsid w:val="0A7E73DA"/>
    <w:rsid w:val="0AAE1995"/>
    <w:rsid w:val="0AC97250"/>
    <w:rsid w:val="0AF85654"/>
    <w:rsid w:val="0B420AE2"/>
    <w:rsid w:val="0B925AA8"/>
    <w:rsid w:val="0BCF2109"/>
    <w:rsid w:val="0BE40A94"/>
    <w:rsid w:val="0BE51A12"/>
    <w:rsid w:val="0BFA1D66"/>
    <w:rsid w:val="0C0735A2"/>
    <w:rsid w:val="0C1E2BA0"/>
    <w:rsid w:val="0C765CB2"/>
    <w:rsid w:val="0CC83A2C"/>
    <w:rsid w:val="0CFA78FF"/>
    <w:rsid w:val="0D075B79"/>
    <w:rsid w:val="0DFE4729"/>
    <w:rsid w:val="0E1F781C"/>
    <w:rsid w:val="0E7604E4"/>
    <w:rsid w:val="0E9658AF"/>
    <w:rsid w:val="0E970358"/>
    <w:rsid w:val="0EE45269"/>
    <w:rsid w:val="0F0C5A02"/>
    <w:rsid w:val="0F6A1A20"/>
    <w:rsid w:val="0FD0632B"/>
    <w:rsid w:val="10093FC5"/>
    <w:rsid w:val="10392EAE"/>
    <w:rsid w:val="10646958"/>
    <w:rsid w:val="10706EC2"/>
    <w:rsid w:val="10872B54"/>
    <w:rsid w:val="109F6B76"/>
    <w:rsid w:val="10D3404B"/>
    <w:rsid w:val="11021474"/>
    <w:rsid w:val="11220530"/>
    <w:rsid w:val="114E5D29"/>
    <w:rsid w:val="114F40BB"/>
    <w:rsid w:val="120C1CC5"/>
    <w:rsid w:val="124503FC"/>
    <w:rsid w:val="127C0CA6"/>
    <w:rsid w:val="12807280"/>
    <w:rsid w:val="12D84FB6"/>
    <w:rsid w:val="12FC24B4"/>
    <w:rsid w:val="13280C38"/>
    <w:rsid w:val="13546461"/>
    <w:rsid w:val="13636FCF"/>
    <w:rsid w:val="13F17AA5"/>
    <w:rsid w:val="14490CA5"/>
    <w:rsid w:val="145713EB"/>
    <w:rsid w:val="147D0790"/>
    <w:rsid w:val="148463E6"/>
    <w:rsid w:val="148D4AB1"/>
    <w:rsid w:val="14D20D9B"/>
    <w:rsid w:val="14F046FB"/>
    <w:rsid w:val="15616E77"/>
    <w:rsid w:val="15A72BED"/>
    <w:rsid w:val="15BF56EC"/>
    <w:rsid w:val="1621170E"/>
    <w:rsid w:val="16D818E3"/>
    <w:rsid w:val="17E02DC1"/>
    <w:rsid w:val="18B91D2B"/>
    <w:rsid w:val="18C40414"/>
    <w:rsid w:val="18EC37D3"/>
    <w:rsid w:val="192A45C3"/>
    <w:rsid w:val="193F5D85"/>
    <w:rsid w:val="19414DFD"/>
    <w:rsid w:val="19840504"/>
    <w:rsid w:val="19B55BB8"/>
    <w:rsid w:val="19D16D8A"/>
    <w:rsid w:val="1A6A6D44"/>
    <w:rsid w:val="1A6D331F"/>
    <w:rsid w:val="1A817123"/>
    <w:rsid w:val="1ACD4228"/>
    <w:rsid w:val="1B4B17D0"/>
    <w:rsid w:val="1BC212B7"/>
    <w:rsid w:val="1BF711C7"/>
    <w:rsid w:val="1C093ECB"/>
    <w:rsid w:val="1C1D644D"/>
    <w:rsid w:val="1C652823"/>
    <w:rsid w:val="1C9D4412"/>
    <w:rsid w:val="1CE4433A"/>
    <w:rsid w:val="1D0A1321"/>
    <w:rsid w:val="1D5B72C3"/>
    <w:rsid w:val="1D89079B"/>
    <w:rsid w:val="1DDF2F9A"/>
    <w:rsid w:val="1DE539F7"/>
    <w:rsid w:val="1DFF298B"/>
    <w:rsid w:val="1E1E6F53"/>
    <w:rsid w:val="1EE84AA8"/>
    <w:rsid w:val="1EF6145A"/>
    <w:rsid w:val="1F0D6046"/>
    <w:rsid w:val="1F3C0CC1"/>
    <w:rsid w:val="1F6542F4"/>
    <w:rsid w:val="1F7550C2"/>
    <w:rsid w:val="1F8930AC"/>
    <w:rsid w:val="1FA35DFA"/>
    <w:rsid w:val="1FBC0993"/>
    <w:rsid w:val="1FE67646"/>
    <w:rsid w:val="20011CF5"/>
    <w:rsid w:val="20411AAD"/>
    <w:rsid w:val="20623C58"/>
    <w:rsid w:val="206C4540"/>
    <w:rsid w:val="20831C11"/>
    <w:rsid w:val="20B428CF"/>
    <w:rsid w:val="20D963A1"/>
    <w:rsid w:val="21001F85"/>
    <w:rsid w:val="211E6D74"/>
    <w:rsid w:val="21637056"/>
    <w:rsid w:val="21873FA6"/>
    <w:rsid w:val="2193143C"/>
    <w:rsid w:val="21C47A14"/>
    <w:rsid w:val="22154B0D"/>
    <w:rsid w:val="2236615E"/>
    <w:rsid w:val="22556F69"/>
    <w:rsid w:val="228447E5"/>
    <w:rsid w:val="22BB5608"/>
    <w:rsid w:val="23424F53"/>
    <w:rsid w:val="236E14E2"/>
    <w:rsid w:val="23AB029F"/>
    <w:rsid w:val="24093984"/>
    <w:rsid w:val="247E7129"/>
    <w:rsid w:val="24CE146A"/>
    <w:rsid w:val="24E76928"/>
    <w:rsid w:val="25057870"/>
    <w:rsid w:val="25113937"/>
    <w:rsid w:val="25B10E34"/>
    <w:rsid w:val="25C95F4D"/>
    <w:rsid w:val="260B2FF2"/>
    <w:rsid w:val="26254107"/>
    <w:rsid w:val="26B92096"/>
    <w:rsid w:val="26F5563E"/>
    <w:rsid w:val="26FB5993"/>
    <w:rsid w:val="27441A30"/>
    <w:rsid w:val="27447783"/>
    <w:rsid w:val="2769687D"/>
    <w:rsid w:val="2798423C"/>
    <w:rsid w:val="2953145F"/>
    <w:rsid w:val="29D148D0"/>
    <w:rsid w:val="2A094A20"/>
    <w:rsid w:val="2A0D1DA9"/>
    <w:rsid w:val="2A2E68CF"/>
    <w:rsid w:val="2A3E3DF9"/>
    <w:rsid w:val="2A43565C"/>
    <w:rsid w:val="2A64753C"/>
    <w:rsid w:val="2AC803DC"/>
    <w:rsid w:val="2ACD0D4B"/>
    <w:rsid w:val="2AF418F0"/>
    <w:rsid w:val="2AFB68A2"/>
    <w:rsid w:val="2B14447A"/>
    <w:rsid w:val="2B362300"/>
    <w:rsid w:val="2B657F18"/>
    <w:rsid w:val="2B902755"/>
    <w:rsid w:val="2BB30714"/>
    <w:rsid w:val="2C2A611C"/>
    <w:rsid w:val="2C776EE0"/>
    <w:rsid w:val="2D0C1A6D"/>
    <w:rsid w:val="2D5044F0"/>
    <w:rsid w:val="2DE0494E"/>
    <w:rsid w:val="2DE65084"/>
    <w:rsid w:val="2DEC5949"/>
    <w:rsid w:val="2DF5334F"/>
    <w:rsid w:val="2E334E31"/>
    <w:rsid w:val="2E5F4568"/>
    <w:rsid w:val="2ED20301"/>
    <w:rsid w:val="2F111A11"/>
    <w:rsid w:val="2F9E10B4"/>
    <w:rsid w:val="2FA30C45"/>
    <w:rsid w:val="2FAD4EC2"/>
    <w:rsid w:val="2FBE318F"/>
    <w:rsid w:val="2FCE3214"/>
    <w:rsid w:val="30143D85"/>
    <w:rsid w:val="30603468"/>
    <w:rsid w:val="3084077F"/>
    <w:rsid w:val="30FE43B2"/>
    <w:rsid w:val="31734783"/>
    <w:rsid w:val="31752B09"/>
    <w:rsid w:val="323853F3"/>
    <w:rsid w:val="3285251E"/>
    <w:rsid w:val="328C4DF3"/>
    <w:rsid w:val="32A16455"/>
    <w:rsid w:val="333D37F1"/>
    <w:rsid w:val="335069BC"/>
    <w:rsid w:val="33EB1F16"/>
    <w:rsid w:val="33FF675D"/>
    <w:rsid w:val="341548E3"/>
    <w:rsid w:val="34476D51"/>
    <w:rsid w:val="34FF0747"/>
    <w:rsid w:val="35000D96"/>
    <w:rsid w:val="352E7439"/>
    <w:rsid w:val="359A1F3F"/>
    <w:rsid w:val="35D24FF6"/>
    <w:rsid w:val="35E531B2"/>
    <w:rsid w:val="36333F5A"/>
    <w:rsid w:val="3648776F"/>
    <w:rsid w:val="365478A4"/>
    <w:rsid w:val="367D0D15"/>
    <w:rsid w:val="36933729"/>
    <w:rsid w:val="36D500B5"/>
    <w:rsid w:val="370B23AB"/>
    <w:rsid w:val="37191134"/>
    <w:rsid w:val="37621ECE"/>
    <w:rsid w:val="37663AEE"/>
    <w:rsid w:val="37712A39"/>
    <w:rsid w:val="37800E94"/>
    <w:rsid w:val="37831A17"/>
    <w:rsid w:val="37E020D2"/>
    <w:rsid w:val="386C2B80"/>
    <w:rsid w:val="38932B53"/>
    <w:rsid w:val="38A24236"/>
    <w:rsid w:val="38D7659C"/>
    <w:rsid w:val="39280784"/>
    <w:rsid w:val="39761340"/>
    <w:rsid w:val="39B272A1"/>
    <w:rsid w:val="39E55D12"/>
    <w:rsid w:val="3AAF1BDA"/>
    <w:rsid w:val="3ABA5325"/>
    <w:rsid w:val="3AE50133"/>
    <w:rsid w:val="3AE636B8"/>
    <w:rsid w:val="3AF61231"/>
    <w:rsid w:val="3B345EA5"/>
    <w:rsid w:val="3BE35465"/>
    <w:rsid w:val="3BF20317"/>
    <w:rsid w:val="3C2356AF"/>
    <w:rsid w:val="3C57218D"/>
    <w:rsid w:val="3C834D58"/>
    <w:rsid w:val="3CAA65A9"/>
    <w:rsid w:val="3CCE342B"/>
    <w:rsid w:val="3D962EF2"/>
    <w:rsid w:val="3DB531EC"/>
    <w:rsid w:val="3DCC30CB"/>
    <w:rsid w:val="3E201336"/>
    <w:rsid w:val="3E394E0C"/>
    <w:rsid w:val="3E744678"/>
    <w:rsid w:val="3E7A7D45"/>
    <w:rsid w:val="3E7E033A"/>
    <w:rsid w:val="3EAB6F07"/>
    <w:rsid w:val="3EF55C06"/>
    <w:rsid w:val="3EFE63F7"/>
    <w:rsid w:val="3F0B51D7"/>
    <w:rsid w:val="3F3F55C7"/>
    <w:rsid w:val="3F731F4D"/>
    <w:rsid w:val="3F7C4432"/>
    <w:rsid w:val="3FA94DD3"/>
    <w:rsid w:val="3FF14728"/>
    <w:rsid w:val="403A1C7C"/>
    <w:rsid w:val="40BF6EB5"/>
    <w:rsid w:val="40DD5CD2"/>
    <w:rsid w:val="411B272D"/>
    <w:rsid w:val="4131094E"/>
    <w:rsid w:val="41442AAE"/>
    <w:rsid w:val="414940CE"/>
    <w:rsid w:val="414B0D5B"/>
    <w:rsid w:val="415A4A27"/>
    <w:rsid w:val="420E187D"/>
    <w:rsid w:val="421671F5"/>
    <w:rsid w:val="428021C4"/>
    <w:rsid w:val="42D502B7"/>
    <w:rsid w:val="43036342"/>
    <w:rsid w:val="432B139E"/>
    <w:rsid w:val="433C63C3"/>
    <w:rsid w:val="43894FCF"/>
    <w:rsid w:val="43C615A1"/>
    <w:rsid w:val="43D2500C"/>
    <w:rsid w:val="43FF65D9"/>
    <w:rsid w:val="44010B62"/>
    <w:rsid w:val="443C255B"/>
    <w:rsid w:val="447B10FE"/>
    <w:rsid w:val="447C24FE"/>
    <w:rsid w:val="447C7AED"/>
    <w:rsid w:val="44B731D8"/>
    <w:rsid w:val="44DA2976"/>
    <w:rsid w:val="44EA1B73"/>
    <w:rsid w:val="45172894"/>
    <w:rsid w:val="45634690"/>
    <w:rsid w:val="4563730C"/>
    <w:rsid w:val="457173E6"/>
    <w:rsid w:val="46454873"/>
    <w:rsid w:val="46AA7D34"/>
    <w:rsid w:val="4736526E"/>
    <w:rsid w:val="477039AB"/>
    <w:rsid w:val="47E629E2"/>
    <w:rsid w:val="480C62D5"/>
    <w:rsid w:val="484212CB"/>
    <w:rsid w:val="48625C43"/>
    <w:rsid w:val="48694FA0"/>
    <w:rsid w:val="488E768B"/>
    <w:rsid w:val="489D7366"/>
    <w:rsid w:val="48BB582D"/>
    <w:rsid w:val="491633CD"/>
    <w:rsid w:val="495F7D2E"/>
    <w:rsid w:val="498F622E"/>
    <w:rsid w:val="49B241EB"/>
    <w:rsid w:val="49CC5F9C"/>
    <w:rsid w:val="49F41D5E"/>
    <w:rsid w:val="4A325E82"/>
    <w:rsid w:val="4A3721D1"/>
    <w:rsid w:val="4AA0530C"/>
    <w:rsid w:val="4AAF46FD"/>
    <w:rsid w:val="4AB6441D"/>
    <w:rsid w:val="4ADA01C5"/>
    <w:rsid w:val="4AE77A07"/>
    <w:rsid w:val="4B1E31F7"/>
    <w:rsid w:val="4B243BCC"/>
    <w:rsid w:val="4B9B2B3F"/>
    <w:rsid w:val="4BBF0F5D"/>
    <w:rsid w:val="4BCB3573"/>
    <w:rsid w:val="4BE92C6E"/>
    <w:rsid w:val="4BEC43EA"/>
    <w:rsid w:val="4C285D0E"/>
    <w:rsid w:val="4C3A128C"/>
    <w:rsid w:val="4C3C131C"/>
    <w:rsid w:val="4CAF4277"/>
    <w:rsid w:val="4CB16394"/>
    <w:rsid w:val="4CC103F7"/>
    <w:rsid w:val="4CE75373"/>
    <w:rsid w:val="4D0B0117"/>
    <w:rsid w:val="4D0C7397"/>
    <w:rsid w:val="4DBC54C9"/>
    <w:rsid w:val="4E125B2D"/>
    <w:rsid w:val="4E297F85"/>
    <w:rsid w:val="4E3A0519"/>
    <w:rsid w:val="4E656969"/>
    <w:rsid w:val="4EA97723"/>
    <w:rsid w:val="4EDF54B5"/>
    <w:rsid w:val="4FD71D64"/>
    <w:rsid w:val="50136BDE"/>
    <w:rsid w:val="50400BF6"/>
    <w:rsid w:val="508765A0"/>
    <w:rsid w:val="50B94F2C"/>
    <w:rsid w:val="51A7715F"/>
    <w:rsid w:val="521B4E34"/>
    <w:rsid w:val="5235516D"/>
    <w:rsid w:val="5265216E"/>
    <w:rsid w:val="52B5075F"/>
    <w:rsid w:val="52BD67C2"/>
    <w:rsid w:val="52C8298A"/>
    <w:rsid w:val="52D620D6"/>
    <w:rsid w:val="52DA2233"/>
    <w:rsid w:val="531541D9"/>
    <w:rsid w:val="531A6B64"/>
    <w:rsid w:val="53E1102E"/>
    <w:rsid w:val="549855E2"/>
    <w:rsid w:val="54E970AC"/>
    <w:rsid w:val="5523184A"/>
    <w:rsid w:val="552A1579"/>
    <w:rsid w:val="55770053"/>
    <w:rsid w:val="55816518"/>
    <w:rsid w:val="55C77B84"/>
    <w:rsid w:val="55DD6C4D"/>
    <w:rsid w:val="564306B8"/>
    <w:rsid w:val="564D6A26"/>
    <w:rsid w:val="566D4B95"/>
    <w:rsid w:val="5674202D"/>
    <w:rsid w:val="567C0D51"/>
    <w:rsid w:val="57103BAF"/>
    <w:rsid w:val="572656D4"/>
    <w:rsid w:val="57616FF6"/>
    <w:rsid w:val="57651379"/>
    <w:rsid w:val="57780353"/>
    <w:rsid w:val="578D035B"/>
    <w:rsid w:val="579E65C5"/>
    <w:rsid w:val="57B9623A"/>
    <w:rsid w:val="580D51F7"/>
    <w:rsid w:val="58573E31"/>
    <w:rsid w:val="58664A9E"/>
    <w:rsid w:val="58742FAB"/>
    <w:rsid w:val="58E25DA4"/>
    <w:rsid w:val="59050A31"/>
    <w:rsid w:val="591B6B95"/>
    <w:rsid w:val="596960DB"/>
    <w:rsid w:val="59A059CB"/>
    <w:rsid w:val="59AD06A4"/>
    <w:rsid w:val="59D70A4F"/>
    <w:rsid w:val="5A1120F8"/>
    <w:rsid w:val="5A4D586D"/>
    <w:rsid w:val="5A6249B0"/>
    <w:rsid w:val="5A650D5A"/>
    <w:rsid w:val="5A960EAB"/>
    <w:rsid w:val="5AF641B2"/>
    <w:rsid w:val="5B023921"/>
    <w:rsid w:val="5B4473DA"/>
    <w:rsid w:val="5BA75F0B"/>
    <w:rsid w:val="5BD36737"/>
    <w:rsid w:val="5C484A27"/>
    <w:rsid w:val="5C60554B"/>
    <w:rsid w:val="5CB54A63"/>
    <w:rsid w:val="5CC25D8E"/>
    <w:rsid w:val="5D4E3FA5"/>
    <w:rsid w:val="5D765B27"/>
    <w:rsid w:val="5D7F3676"/>
    <w:rsid w:val="5E4979C9"/>
    <w:rsid w:val="5E71670A"/>
    <w:rsid w:val="5EE84C68"/>
    <w:rsid w:val="5EF40F0B"/>
    <w:rsid w:val="5EFB4D25"/>
    <w:rsid w:val="5F1910B9"/>
    <w:rsid w:val="5F285855"/>
    <w:rsid w:val="5F414965"/>
    <w:rsid w:val="5F75144C"/>
    <w:rsid w:val="5F7E5731"/>
    <w:rsid w:val="5FAD59C4"/>
    <w:rsid w:val="5FE3043E"/>
    <w:rsid w:val="60364892"/>
    <w:rsid w:val="60DE186A"/>
    <w:rsid w:val="61282C8B"/>
    <w:rsid w:val="61422EA1"/>
    <w:rsid w:val="61CD250B"/>
    <w:rsid w:val="61E91B05"/>
    <w:rsid w:val="61F11111"/>
    <w:rsid w:val="621D5BA4"/>
    <w:rsid w:val="62616A1D"/>
    <w:rsid w:val="635B6748"/>
    <w:rsid w:val="63947A95"/>
    <w:rsid w:val="63C153F0"/>
    <w:rsid w:val="63C714BF"/>
    <w:rsid w:val="63E90322"/>
    <w:rsid w:val="641B1986"/>
    <w:rsid w:val="646622C5"/>
    <w:rsid w:val="64CD06F0"/>
    <w:rsid w:val="655645C6"/>
    <w:rsid w:val="6557284E"/>
    <w:rsid w:val="65AA5795"/>
    <w:rsid w:val="65AB2B63"/>
    <w:rsid w:val="65CC7F7F"/>
    <w:rsid w:val="66020836"/>
    <w:rsid w:val="667C16E8"/>
    <w:rsid w:val="66943411"/>
    <w:rsid w:val="66A108CB"/>
    <w:rsid w:val="66C307DC"/>
    <w:rsid w:val="66CF63DE"/>
    <w:rsid w:val="671F6C89"/>
    <w:rsid w:val="6728723E"/>
    <w:rsid w:val="67765F64"/>
    <w:rsid w:val="67B167D1"/>
    <w:rsid w:val="67BB7ACC"/>
    <w:rsid w:val="67C1070A"/>
    <w:rsid w:val="67C8546A"/>
    <w:rsid w:val="68147595"/>
    <w:rsid w:val="6844766A"/>
    <w:rsid w:val="685F1C50"/>
    <w:rsid w:val="68666428"/>
    <w:rsid w:val="686B2706"/>
    <w:rsid w:val="689F4646"/>
    <w:rsid w:val="68A85138"/>
    <w:rsid w:val="68CA3EEA"/>
    <w:rsid w:val="68DE7E55"/>
    <w:rsid w:val="68F25237"/>
    <w:rsid w:val="69407BC8"/>
    <w:rsid w:val="69883AB0"/>
    <w:rsid w:val="699022E9"/>
    <w:rsid w:val="69996604"/>
    <w:rsid w:val="69B94C0E"/>
    <w:rsid w:val="69C72C9E"/>
    <w:rsid w:val="69D247C7"/>
    <w:rsid w:val="6A2A15CC"/>
    <w:rsid w:val="6A3F7A87"/>
    <w:rsid w:val="6A5D2D6C"/>
    <w:rsid w:val="6A714498"/>
    <w:rsid w:val="6A8E0ABC"/>
    <w:rsid w:val="6B4C6CF4"/>
    <w:rsid w:val="6BAA31DE"/>
    <w:rsid w:val="6BAE0F48"/>
    <w:rsid w:val="6C58188C"/>
    <w:rsid w:val="6CB452F9"/>
    <w:rsid w:val="6CBE247C"/>
    <w:rsid w:val="6D33687C"/>
    <w:rsid w:val="6D6467B2"/>
    <w:rsid w:val="6DA04EE5"/>
    <w:rsid w:val="6DCD2F33"/>
    <w:rsid w:val="6E601F01"/>
    <w:rsid w:val="6E8D0D3D"/>
    <w:rsid w:val="6ED8459B"/>
    <w:rsid w:val="6F0741F3"/>
    <w:rsid w:val="6F2B261F"/>
    <w:rsid w:val="6F3510C4"/>
    <w:rsid w:val="6F3E3D9B"/>
    <w:rsid w:val="6F7B555E"/>
    <w:rsid w:val="6FB80CEF"/>
    <w:rsid w:val="6FC634EE"/>
    <w:rsid w:val="6FDE7453"/>
    <w:rsid w:val="702A119A"/>
    <w:rsid w:val="70304D45"/>
    <w:rsid w:val="70345B2D"/>
    <w:rsid w:val="7065082F"/>
    <w:rsid w:val="70913F9E"/>
    <w:rsid w:val="709D04F4"/>
    <w:rsid w:val="70D44E46"/>
    <w:rsid w:val="70ED402C"/>
    <w:rsid w:val="713F2A8A"/>
    <w:rsid w:val="714375FF"/>
    <w:rsid w:val="719566C0"/>
    <w:rsid w:val="71D52E2E"/>
    <w:rsid w:val="72587127"/>
    <w:rsid w:val="72A27523"/>
    <w:rsid w:val="72A930FC"/>
    <w:rsid w:val="72F61171"/>
    <w:rsid w:val="731B7071"/>
    <w:rsid w:val="732127B7"/>
    <w:rsid w:val="73657593"/>
    <w:rsid w:val="737C0DB1"/>
    <w:rsid w:val="73AD6A5C"/>
    <w:rsid w:val="745919C6"/>
    <w:rsid w:val="74702A9A"/>
    <w:rsid w:val="74883655"/>
    <w:rsid w:val="748A309D"/>
    <w:rsid w:val="74A311D9"/>
    <w:rsid w:val="74E92E35"/>
    <w:rsid w:val="74ED462C"/>
    <w:rsid w:val="752743F5"/>
    <w:rsid w:val="75464B5B"/>
    <w:rsid w:val="75B14EE1"/>
    <w:rsid w:val="75D869F6"/>
    <w:rsid w:val="75EB5CDA"/>
    <w:rsid w:val="75F378C9"/>
    <w:rsid w:val="761C2BBB"/>
    <w:rsid w:val="763306FC"/>
    <w:rsid w:val="76A3778E"/>
    <w:rsid w:val="76BD5CD9"/>
    <w:rsid w:val="77091498"/>
    <w:rsid w:val="77194B2C"/>
    <w:rsid w:val="772C33D8"/>
    <w:rsid w:val="776A1DE8"/>
    <w:rsid w:val="778F2F6E"/>
    <w:rsid w:val="77AE550D"/>
    <w:rsid w:val="780D64CD"/>
    <w:rsid w:val="78191F72"/>
    <w:rsid w:val="785D00CA"/>
    <w:rsid w:val="786F4FC1"/>
    <w:rsid w:val="78786AB0"/>
    <w:rsid w:val="78A53944"/>
    <w:rsid w:val="78CD06B7"/>
    <w:rsid w:val="78D74DC8"/>
    <w:rsid w:val="78E20029"/>
    <w:rsid w:val="795804BC"/>
    <w:rsid w:val="79627C43"/>
    <w:rsid w:val="79635820"/>
    <w:rsid w:val="79D03D4B"/>
    <w:rsid w:val="79DA30F6"/>
    <w:rsid w:val="7A156DB0"/>
    <w:rsid w:val="7A6C197B"/>
    <w:rsid w:val="7AA1536C"/>
    <w:rsid w:val="7AD83918"/>
    <w:rsid w:val="7AE6195B"/>
    <w:rsid w:val="7B73169F"/>
    <w:rsid w:val="7BDB302C"/>
    <w:rsid w:val="7C264ADD"/>
    <w:rsid w:val="7C5456C7"/>
    <w:rsid w:val="7C713EFD"/>
    <w:rsid w:val="7C927B30"/>
    <w:rsid w:val="7C931089"/>
    <w:rsid w:val="7D2D0B46"/>
    <w:rsid w:val="7D3E1A0A"/>
    <w:rsid w:val="7D426594"/>
    <w:rsid w:val="7D4A5A41"/>
    <w:rsid w:val="7D4D6A5F"/>
    <w:rsid w:val="7D503F42"/>
    <w:rsid w:val="7D6E5BA2"/>
    <w:rsid w:val="7DDD6CEA"/>
    <w:rsid w:val="7E1C1443"/>
    <w:rsid w:val="7E242E7A"/>
    <w:rsid w:val="7E251DE7"/>
    <w:rsid w:val="7E4308E9"/>
    <w:rsid w:val="7E636E14"/>
    <w:rsid w:val="7E664DEE"/>
    <w:rsid w:val="7EF149A4"/>
    <w:rsid w:val="7F33321A"/>
    <w:rsid w:val="7F437B5A"/>
    <w:rsid w:val="7F484FD6"/>
    <w:rsid w:val="7F5848DA"/>
    <w:rsid w:val="7F664B03"/>
    <w:rsid w:val="7F8E0716"/>
    <w:rsid w:val="7F9372F6"/>
    <w:rsid w:val="7FD42887"/>
    <w:rsid w:val="7FE377DD"/>
    <w:rsid w:val="9F3F9D5B"/>
    <w:rsid w:val="AF7F8F8E"/>
    <w:rsid w:val="B9FF972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iPriority="99" w:semiHidden="0" w:name="page number"/>
    <w:lsdException w:uiPriority="0" w:name="endnote reference"/>
    <w:lsdException w:uiPriority="0" w:name="endnote text"/>
    <w:lsdException w:qFormat="1"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5"/>
    <w:qFormat/>
    <w:uiPriority w:val="99"/>
    <w:pPr>
      <w:keepNext/>
      <w:keepLines/>
      <w:spacing w:line="578" w:lineRule="auto"/>
      <w:ind w:left="425" w:hanging="425"/>
      <w:outlineLvl w:val="0"/>
    </w:pPr>
    <w:rPr>
      <w:rFonts w:ascii="宋体" w:hAnsi="宋体" w:cs="宋体"/>
      <w:b/>
      <w:bCs/>
      <w:kern w:val="44"/>
      <w:sz w:val="44"/>
      <w:szCs w:val="44"/>
    </w:rPr>
  </w:style>
  <w:style w:type="paragraph" w:styleId="4">
    <w:name w:val="heading 2"/>
    <w:basedOn w:val="1"/>
    <w:next w:val="1"/>
    <w:link w:val="9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1"/>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9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8"/>
    <w:next w:val="9"/>
    <w:link w:val="96"/>
    <w:unhideWhenUsed/>
    <w:qFormat/>
    <w:uiPriority w:val="9"/>
    <w:pPr>
      <w:keepNext/>
      <w:keepLines/>
      <w:tabs>
        <w:tab w:val="left" w:pos="780"/>
      </w:tabs>
      <w:spacing w:line="376" w:lineRule="auto"/>
      <w:ind w:left="2125" w:hanging="425"/>
      <w:outlineLvl w:val="4"/>
    </w:pPr>
    <w:rPr>
      <w:rFonts w:ascii="宋体" w:hAnsi="宋体" w:cs="宋体"/>
      <w:b/>
      <w:bCs/>
      <w:kern w:val="0"/>
      <w:sz w:val="28"/>
      <w:szCs w:val="28"/>
    </w:rPr>
  </w:style>
  <w:style w:type="paragraph" w:styleId="10">
    <w:name w:val="heading 6"/>
    <w:basedOn w:val="1"/>
    <w:next w:val="1"/>
    <w:link w:val="97"/>
    <w:unhideWhenUsed/>
    <w:qFormat/>
    <w:uiPriority w:val="9"/>
    <w:pPr>
      <w:keepNext/>
      <w:keepLines/>
      <w:spacing w:line="320" w:lineRule="auto"/>
      <w:ind w:left="2550" w:hanging="425"/>
      <w:outlineLvl w:val="5"/>
    </w:pPr>
    <w:rPr>
      <w:rFonts w:asciiTheme="majorHAnsi" w:hAnsiTheme="majorHAnsi" w:cstheme="majorBidi"/>
      <w:b/>
      <w:bCs/>
      <w:kern w:val="0"/>
      <w:sz w:val="24"/>
    </w:rPr>
  </w:style>
  <w:style w:type="paragraph" w:styleId="11">
    <w:name w:val="heading 7"/>
    <w:basedOn w:val="1"/>
    <w:next w:val="1"/>
    <w:link w:val="98"/>
    <w:unhideWhenUsed/>
    <w:qFormat/>
    <w:uiPriority w:val="9"/>
    <w:pPr>
      <w:keepNext/>
      <w:keepLines/>
      <w:spacing w:line="320" w:lineRule="auto"/>
      <w:ind w:left="2975" w:hanging="425"/>
      <w:outlineLvl w:val="6"/>
    </w:pPr>
    <w:rPr>
      <w:rFonts w:ascii="宋体" w:hAnsi="宋体" w:cs="宋体"/>
      <w:b/>
      <w:bCs/>
      <w:kern w:val="0"/>
      <w:sz w:val="24"/>
    </w:rPr>
  </w:style>
  <w:style w:type="paragraph" w:styleId="12">
    <w:name w:val="heading 8"/>
    <w:basedOn w:val="1"/>
    <w:next w:val="1"/>
    <w:link w:val="99"/>
    <w:unhideWhenUsed/>
    <w:qFormat/>
    <w:uiPriority w:val="9"/>
    <w:pPr>
      <w:keepNext/>
      <w:keepLines/>
      <w:spacing w:line="320" w:lineRule="auto"/>
      <w:ind w:left="3400" w:hanging="425"/>
      <w:outlineLvl w:val="7"/>
    </w:pPr>
    <w:rPr>
      <w:rFonts w:asciiTheme="majorHAnsi" w:hAnsiTheme="majorHAnsi" w:cstheme="majorBidi"/>
      <w:b/>
      <w:kern w:val="0"/>
      <w:sz w:val="24"/>
    </w:rPr>
  </w:style>
  <w:style w:type="paragraph" w:styleId="13">
    <w:name w:val="heading 9"/>
    <w:basedOn w:val="1"/>
    <w:next w:val="1"/>
    <w:link w:val="100"/>
    <w:unhideWhenUsed/>
    <w:qFormat/>
    <w:uiPriority w:val="9"/>
    <w:pPr>
      <w:keepNext/>
      <w:keepLines/>
      <w:spacing w:line="320" w:lineRule="auto"/>
      <w:ind w:left="3825" w:hanging="425"/>
      <w:outlineLvl w:val="8"/>
    </w:pPr>
    <w:rPr>
      <w:rFonts w:asciiTheme="majorHAnsi" w:hAnsiTheme="majorHAnsi" w:cstheme="majorBidi"/>
      <w:b/>
      <w:kern w:val="0"/>
      <w:sz w:val="24"/>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8">
    <w:name w:val="List Number 2"/>
    <w:basedOn w:val="1"/>
    <w:semiHidden/>
    <w:unhideWhenUsed/>
    <w:qFormat/>
    <w:uiPriority w:val="0"/>
    <w:pPr>
      <w:numPr>
        <w:ilvl w:val="0"/>
        <w:numId w:val="1"/>
      </w:numPr>
    </w:p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4">
    <w:name w:val="toc 7"/>
    <w:basedOn w:val="1"/>
    <w:next w:val="1"/>
    <w:unhideWhenUsed/>
    <w:qFormat/>
    <w:uiPriority w:val="39"/>
    <w:pPr>
      <w:widowControl/>
      <w:ind w:left="2520" w:leftChars="1200"/>
      <w:jc w:val="left"/>
    </w:pPr>
    <w:rPr>
      <w:rFonts w:ascii="宋体" w:hAnsi="宋体" w:cs="宋体"/>
      <w:kern w:val="0"/>
      <w:sz w:val="24"/>
    </w:rPr>
  </w:style>
  <w:style w:type="paragraph" w:styleId="15">
    <w:name w:val="table of authorities"/>
    <w:basedOn w:val="1"/>
    <w:next w:val="1"/>
    <w:qFormat/>
    <w:uiPriority w:val="0"/>
    <w:pPr>
      <w:ind w:left="420" w:leftChars="200"/>
    </w:pPr>
  </w:style>
  <w:style w:type="paragraph" w:styleId="16">
    <w:name w:val="List Number"/>
    <w:basedOn w:val="1"/>
    <w:qFormat/>
    <w:uiPriority w:val="0"/>
    <w:pPr>
      <w:numPr>
        <w:ilvl w:val="0"/>
        <w:numId w:val="2"/>
      </w:numPr>
    </w:pPr>
  </w:style>
  <w:style w:type="paragraph" w:styleId="17">
    <w:name w:val="Normal Indent"/>
    <w:basedOn w:val="1"/>
    <w:next w:val="1"/>
    <w:qFormat/>
    <w:uiPriority w:val="0"/>
    <w:pPr>
      <w:ind w:firstLine="420"/>
    </w:pPr>
    <w:rPr>
      <w:szCs w:val="20"/>
    </w:rPr>
  </w:style>
  <w:style w:type="paragraph" w:styleId="18">
    <w:name w:val="caption"/>
    <w:basedOn w:val="1"/>
    <w:next w:val="1"/>
    <w:link w:val="408"/>
    <w:unhideWhenUsed/>
    <w:qFormat/>
    <w:uiPriority w:val="35"/>
    <w:pPr>
      <w:numPr>
        <w:ilvl w:val="0"/>
        <w:numId w:val="3"/>
      </w:numPr>
      <w:spacing w:line="360" w:lineRule="auto"/>
      <w:ind w:firstLine="0"/>
      <w:jc w:val="center"/>
    </w:pPr>
    <w:rPr>
      <w:rFonts w:ascii="Arial Unicode MS" w:hAnsi="Arial Unicode MS" w:cs="宋体"/>
      <w:kern w:val="0"/>
      <w:sz w:val="24"/>
      <w:szCs w:val="20"/>
    </w:rPr>
  </w:style>
  <w:style w:type="paragraph" w:styleId="19">
    <w:name w:val="Document Map"/>
    <w:basedOn w:val="1"/>
    <w:link w:val="102"/>
    <w:unhideWhenUsed/>
    <w:qFormat/>
    <w:uiPriority w:val="99"/>
    <w:pPr>
      <w:widowControl/>
      <w:jc w:val="left"/>
    </w:pPr>
    <w:rPr>
      <w:rFonts w:ascii="宋体" w:hAnsi="宋体" w:cs="宋体"/>
      <w:kern w:val="0"/>
      <w:sz w:val="18"/>
      <w:szCs w:val="18"/>
    </w:r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7"/>
    <w:qFormat/>
    <w:uiPriority w:val="0"/>
    <w:pPr>
      <w:jc w:val="left"/>
    </w:pPr>
  </w:style>
  <w:style w:type="paragraph" w:styleId="22">
    <w:name w:val="Body Text"/>
    <w:basedOn w:val="1"/>
    <w:next w:val="23"/>
    <w:link w:val="108"/>
    <w:qFormat/>
    <w:uiPriority w:val="99"/>
    <w:pPr>
      <w:spacing w:line="360" w:lineRule="exact"/>
    </w:pPr>
    <w:rPr>
      <w:sz w:val="24"/>
    </w:rPr>
  </w:style>
  <w:style w:type="paragraph" w:styleId="23">
    <w:name w:val="Body Text First Indent"/>
    <w:basedOn w:val="1"/>
    <w:next w:val="24"/>
    <w:link w:val="109"/>
    <w:unhideWhenUsed/>
    <w:qFormat/>
    <w:uiPriority w:val="99"/>
    <w:pPr>
      <w:widowControl/>
      <w:spacing w:after="120" w:line="240" w:lineRule="auto"/>
      <w:ind w:firstLine="420" w:firstLineChars="100"/>
      <w:jc w:val="left"/>
    </w:pPr>
    <w:rPr>
      <w:color w:val="000000"/>
      <w:spacing w:val="12"/>
      <w:kern w:val="0"/>
      <w:sz w:val="28"/>
      <w:szCs w:val="20"/>
    </w:rPr>
  </w:style>
  <w:style w:type="paragraph" w:styleId="24">
    <w:name w:val="toc 6"/>
    <w:basedOn w:val="1"/>
    <w:next w:val="1"/>
    <w:unhideWhenUsed/>
    <w:qFormat/>
    <w:uiPriority w:val="39"/>
    <w:pPr>
      <w:widowControl/>
      <w:ind w:left="2100" w:leftChars="1000"/>
      <w:jc w:val="left"/>
    </w:pPr>
    <w:rPr>
      <w:rFonts w:ascii="宋体" w:hAnsi="宋体" w:cs="宋体"/>
      <w:kern w:val="0"/>
      <w:sz w:val="24"/>
    </w:rPr>
  </w:style>
  <w:style w:type="paragraph" w:styleId="25">
    <w:name w:val="Body Text Indent"/>
    <w:basedOn w:val="1"/>
    <w:next w:val="1"/>
    <w:link w:val="80"/>
    <w:qFormat/>
    <w:uiPriority w:val="0"/>
    <w:pPr>
      <w:spacing w:after="120"/>
      <w:ind w:left="420" w:leftChars="200"/>
    </w:pPr>
  </w:style>
  <w:style w:type="paragraph" w:styleId="26">
    <w:name w:val="toc 5"/>
    <w:basedOn w:val="1"/>
    <w:next w:val="1"/>
    <w:unhideWhenUsed/>
    <w:qFormat/>
    <w:uiPriority w:val="39"/>
    <w:pPr>
      <w:widowControl/>
      <w:ind w:left="1680" w:leftChars="800"/>
      <w:jc w:val="left"/>
    </w:pPr>
    <w:rPr>
      <w:rFonts w:ascii="宋体" w:hAnsi="宋体" w:cs="宋体"/>
      <w:kern w:val="0"/>
      <w:sz w:val="24"/>
    </w:rPr>
  </w:style>
  <w:style w:type="paragraph" w:styleId="27">
    <w:name w:val="toc 3"/>
    <w:basedOn w:val="1"/>
    <w:next w:val="1"/>
    <w:unhideWhenUsed/>
    <w:qFormat/>
    <w:uiPriority w:val="39"/>
    <w:pPr>
      <w:widowControl/>
      <w:spacing w:line="360" w:lineRule="auto"/>
      <w:ind w:firstLine="400" w:firstLineChars="400"/>
      <w:jc w:val="left"/>
    </w:pPr>
    <w:rPr>
      <w:rFonts w:cs="宋体"/>
      <w:kern w:val="0"/>
      <w:sz w:val="24"/>
    </w:rPr>
  </w:style>
  <w:style w:type="paragraph" w:styleId="28">
    <w:name w:val="Plain Text"/>
    <w:basedOn w:val="1"/>
    <w:next w:val="29"/>
    <w:link w:val="84"/>
    <w:qFormat/>
    <w:uiPriority w:val="0"/>
    <w:rPr>
      <w:rFonts w:ascii="宋体" w:hAnsi="Courier New" w:cstheme="minorBidi"/>
    </w:rPr>
  </w:style>
  <w:style w:type="paragraph" w:styleId="29">
    <w:name w:val="Date"/>
    <w:basedOn w:val="1"/>
    <w:next w:val="1"/>
    <w:link w:val="410"/>
    <w:qFormat/>
    <w:uiPriority w:val="99"/>
    <w:pPr>
      <w:ind w:left="2500" w:leftChars="2500"/>
    </w:pPr>
    <w:rPr>
      <w:rFonts w:eastAsia="楷体_GB2312" w:asciiTheme="minorHAnsi" w:hAnsiTheme="minorHAnsi" w:cstheme="minorBidi"/>
      <w:sz w:val="32"/>
      <w:szCs w:val="22"/>
    </w:rPr>
  </w:style>
  <w:style w:type="paragraph" w:styleId="30">
    <w:name w:val="toc 8"/>
    <w:basedOn w:val="1"/>
    <w:next w:val="1"/>
    <w:unhideWhenUsed/>
    <w:qFormat/>
    <w:uiPriority w:val="39"/>
    <w:pPr>
      <w:widowControl/>
      <w:ind w:left="2940" w:leftChars="1400"/>
      <w:jc w:val="left"/>
    </w:pPr>
    <w:rPr>
      <w:rFonts w:ascii="宋体" w:hAnsi="宋体" w:cs="宋体"/>
      <w:kern w:val="0"/>
      <w:sz w:val="24"/>
    </w:rPr>
  </w:style>
  <w:style w:type="paragraph" w:styleId="31">
    <w:name w:val="Body Text Indent 2"/>
    <w:basedOn w:val="1"/>
    <w:link w:val="104"/>
    <w:unhideWhenUsed/>
    <w:qFormat/>
    <w:uiPriority w:val="99"/>
    <w:pPr>
      <w:widowControl/>
      <w:spacing w:after="120" w:line="480" w:lineRule="auto"/>
      <w:ind w:left="420" w:leftChars="200"/>
      <w:jc w:val="left"/>
    </w:pPr>
    <w:rPr>
      <w:rFonts w:ascii="宋体" w:hAnsi="宋体" w:cs="宋体"/>
      <w:kern w:val="0"/>
      <w:sz w:val="24"/>
    </w:rPr>
  </w:style>
  <w:style w:type="paragraph" w:styleId="32">
    <w:name w:val="Balloon Text"/>
    <w:basedOn w:val="1"/>
    <w:link w:val="79"/>
    <w:qFormat/>
    <w:uiPriority w:val="99"/>
    <w:rPr>
      <w:sz w:val="18"/>
      <w:szCs w:val="18"/>
    </w:rPr>
  </w:style>
  <w:style w:type="paragraph" w:styleId="33">
    <w:name w:val="footer"/>
    <w:basedOn w:val="1"/>
    <w:link w:val="105"/>
    <w:qFormat/>
    <w:uiPriority w:val="99"/>
    <w:pPr>
      <w:tabs>
        <w:tab w:val="center" w:pos="4153"/>
        <w:tab w:val="right" w:pos="8306"/>
      </w:tabs>
      <w:snapToGrid w:val="0"/>
      <w:jc w:val="left"/>
    </w:pPr>
    <w:rPr>
      <w:sz w:val="18"/>
    </w:rPr>
  </w:style>
  <w:style w:type="paragraph" w:styleId="34">
    <w:name w:val="header"/>
    <w:basedOn w:val="1"/>
    <w:link w:val="10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5">
    <w:name w:val="toc 1"/>
    <w:basedOn w:val="1"/>
    <w:next w:val="1"/>
    <w:unhideWhenUsed/>
    <w:qFormat/>
    <w:uiPriority w:val="39"/>
    <w:pPr>
      <w:widowControl/>
      <w:jc w:val="left"/>
    </w:pPr>
    <w:rPr>
      <w:rFonts w:cs="宋体"/>
      <w:b/>
      <w:color w:val="000000" w:themeColor="text1"/>
      <w:kern w:val="0"/>
      <w:sz w:val="28"/>
      <w14:textFill>
        <w14:solidFill>
          <w14:schemeClr w14:val="tx1"/>
        </w14:solidFill>
      </w14:textFill>
    </w:rPr>
  </w:style>
  <w:style w:type="paragraph" w:styleId="36">
    <w:name w:val="toc 4"/>
    <w:basedOn w:val="1"/>
    <w:next w:val="1"/>
    <w:unhideWhenUsed/>
    <w:qFormat/>
    <w:uiPriority w:val="39"/>
    <w:pPr>
      <w:widowControl/>
      <w:ind w:left="1260" w:leftChars="600"/>
      <w:jc w:val="left"/>
    </w:pPr>
    <w:rPr>
      <w:rFonts w:ascii="宋体" w:hAnsi="宋体" w:cs="宋体"/>
      <w:kern w:val="0"/>
      <w:sz w:val="24"/>
    </w:rPr>
  </w:style>
  <w:style w:type="paragraph" w:styleId="37">
    <w:name w:val="List"/>
    <w:basedOn w:val="1"/>
    <w:qFormat/>
    <w:uiPriority w:val="0"/>
    <w:pPr>
      <w:ind w:left="200" w:hanging="200" w:hangingChars="200"/>
    </w:pPr>
  </w:style>
  <w:style w:type="paragraph" w:styleId="38">
    <w:name w:val="footnote text"/>
    <w:basedOn w:val="1"/>
    <w:link w:val="107"/>
    <w:unhideWhenUsed/>
    <w:qFormat/>
    <w:uiPriority w:val="99"/>
    <w:pPr>
      <w:widowControl/>
      <w:snapToGrid w:val="0"/>
      <w:jc w:val="left"/>
    </w:pPr>
    <w:rPr>
      <w:rFonts w:ascii="宋体" w:hAnsi="宋体" w:cs="宋体"/>
      <w:kern w:val="0"/>
      <w:sz w:val="18"/>
      <w:szCs w:val="18"/>
    </w:rPr>
  </w:style>
  <w:style w:type="paragraph" w:styleId="39">
    <w:name w:val="Body Text Indent 3"/>
    <w:basedOn w:val="1"/>
    <w:qFormat/>
    <w:uiPriority w:val="0"/>
    <w:pPr>
      <w:spacing w:after="120"/>
      <w:ind w:left="420" w:leftChars="200"/>
    </w:pPr>
    <w:rPr>
      <w:sz w:val="16"/>
      <w:szCs w:val="16"/>
    </w:rPr>
  </w:style>
  <w:style w:type="paragraph" w:styleId="40">
    <w:name w:val="toc 2"/>
    <w:basedOn w:val="1"/>
    <w:next w:val="1"/>
    <w:unhideWhenUsed/>
    <w:qFormat/>
    <w:uiPriority w:val="39"/>
    <w:pPr>
      <w:widowControl/>
      <w:spacing w:line="360" w:lineRule="auto"/>
      <w:ind w:firstLine="200" w:firstLineChars="200"/>
      <w:jc w:val="left"/>
    </w:pPr>
    <w:rPr>
      <w:rFonts w:cs="宋体"/>
      <w:kern w:val="0"/>
      <w:sz w:val="24"/>
    </w:rPr>
  </w:style>
  <w:style w:type="paragraph" w:styleId="41">
    <w:name w:val="toc 9"/>
    <w:basedOn w:val="1"/>
    <w:next w:val="1"/>
    <w:unhideWhenUsed/>
    <w:qFormat/>
    <w:uiPriority w:val="39"/>
    <w:pPr>
      <w:widowControl/>
      <w:ind w:left="3360" w:leftChars="1600"/>
      <w:jc w:val="left"/>
    </w:pPr>
    <w:rPr>
      <w:rFonts w:ascii="宋体" w:hAnsi="宋体" w:cs="宋体"/>
      <w:kern w:val="0"/>
      <w:sz w:val="24"/>
    </w:rPr>
  </w:style>
  <w:style w:type="paragraph" w:styleId="42">
    <w:name w:val="HTML Preformatted"/>
    <w:basedOn w:val="1"/>
    <w:link w:val="4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Title"/>
    <w:basedOn w:val="1"/>
    <w:next w:val="1"/>
    <w:link w:val="413"/>
    <w:qFormat/>
    <w:uiPriority w:val="0"/>
    <w:pPr>
      <w:spacing w:before="240" w:after="60" w:line="360" w:lineRule="auto"/>
      <w:jc w:val="center"/>
      <w:outlineLvl w:val="0"/>
    </w:pPr>
    <w:rPr>
      <w:rFonts w:ascii="Arial" w:hAnsi="Arial"/>
      <w:b/>
      <w:bCs/>
      <w:kern w:val="36"/>
      <w:sz w:val="32"/>
      <w:szCs w:val="32"/>
    </w:rPr>
  </w:style>
  <w:style w:type="paragraph" w:styleId="44">
    <w:name w:val="annotation subject"/>
    <w:basedOn w:val="21"/>
    <w:next w:val="21"/>
    <w:link w:val="78"/>
    <w:qFormat/>
    <w:uiPriority w:val="99"/>
    <w:rPr>
      <w:b/>
      <w:bCs/>
    </w:rPr>
  </w:style>
  <w:style w:type="paragraph" w:styleId="45">
    <w:name w:val="Body Text First Indent 2"/>
    <w:basedOn w:val="25"/>
    <w:next w:val="1"/>
    <w:link w:val="110"/>
    <w:qFormat/>
    <w:uiPriority w:val="0"/>
    <w:pPr>
      <w:widowControl/>
      <w:snapToGrid w:val="0"/>
      <w:spacing w:afterLines="100"/>
      <w:ind w:left="200" w:firstLine="210" w:firstLineChars="200"/>
      <w:jc w:val="left"/>
    </w:pPr>
    <w:rPr>
      <w:rFonts w:ascii="宋体" w:hAnsi="宋体" w:cs="宋体"/>
      <w:kern w:val="28"/>
      <w:sz w:val="24"/>
      <w:lang w:val="zh-CN"/>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0"/>
    <w:rPr>
      <w:b/>
    </w:rPr>
  </w:style>
  <w:style w:type="character" w:styleId="50">
    <w:name w:val="page number"/>
    <w:basedOn w:val="48"/>
    <w:unhideWhenUsed/>
    <w:qFormat/>
    <w:uiPriority w:val="99"/>
  </w:style>
  <w:style w:type="character" w:styleId="51">
    <w:name w:val="FollowedHyperlink"/>
    <w:basedOn w:val="48"/>
    <w:unhideWhenUsed/>
    <w:qFormat/>
    <w:uiPriority w:val="99"/>
    <w:rPr>
      <w:color w:val="800080"/>
      <w:u w:val="single"/>
    </w:rPr>
  </w:style>
  <w:style w:type="character" w:styleId="52">
    <w:name w:val="Emphasis"/>
    <w:basedOn w:val="48"/>
    <w:qFormat/>
    <w:uiPriority w:val="20"/>
    <w:rPr>
      <w:i/>
      <w:iCs/>
    </w:rPr>
  </w:style>
  <w:style w:type="character" w:styleId="53">
    <w:name w:val="Hyperlink"/>
    <w:basedOn w:val="48"/>
    <w:qFormat/>
    <w:uiPriority w:val="99"/>
    <w:rPr>
      <w:color w:val="0000FF"/>
      <w:u w:val="single"/>
    </w:rPr>
  </w:style>
  <w:style w:type="character" w:styleId="54">
    <w:name w:val="annotation reference"/>
    <w:basedOn w:val="48"/>
    <w:qFormat/>
    <w:uiPriority w:val="0"/>
    <w:rPr>
      <w:sz w:val="21"/>
      <w:szCs w:val="21"/>
    </w:rPr>
  </w:style>
  <w:style w:type="character" w:styleId="55">
    <w:name w:val="footnote reference"/>
    <w:basedOn w:val="48"/>
    <w:unhideWhenUsed/>
    <w:qFormat/>
    <w:uiPriority w:val="99"/>
    <w:rPr>
      <w:vertAlign w:val="superscript"/>
    </w:rPr>
  </w:style>
  <w:style w:type="paragraph" w:customStyle="1" w:styleId="56">
    <w:name w:val="[Normal]"/>
    <w:qFormat/>
    <w:uiPriority w:val="0"/>
    <w:rPr>
      <w:rFonts w:ascii="宋体" w:hAnsi="宋体" w:eastAsia="宋体" w:cs="Times New Roman"/>
      <w:sz w:val="24"/>
      <w:szCs w:val="22"/>
      <w:lang w:val="zh-CN" w:eastAsia="zh-CN" w:bidi="ar-SA"/>
    </w:rPr>
  </w:style>
  <w:style w:type="paragraph" w:customStyle="1" w:styleId="57">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58">
    <w:name w:val="表格文字"/>
    <w:basedOn w:val="28"/>
    <w:next w:val="22"/>
    <w:qFormat/>
    <w:uiPriority w:val="0"/>
    <w:rPr>
      <w:sz w:val="24"/>
    </w:rPr>
  </w:style>
  <w:style w:type="paragraph" w:customStyle="1" w:styleId="59">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60">
    <w:name w:val="无间隔1"/>
    <w:qFormat/>
    <w:uiPriority w:val="1"/>
    <w:pPr>
      <w:adjustRightInd w:val="0"/>
      <w:snapToGrid w:val="0"/>
    </w:pPr>
    <w:rPr>
      <w:rFonts w:ascii="Tahoma" w:hAnsi="Tahoma" w:eastAsia="微软雅黑" w:cstheme="minorBidi"/>
      <w:sz w:val="22"/>
      <w:szCs w:val="22"/>
      <w:lang w:val="en-US" w:eastAsia="zh-CN" w:bidi="ar-SA"/>
    </w:rPr>
  </w:style>
  <w:style w:type="paragraph" w:customStyle="1" w:styleId="6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62">
    <w:name w:val="List Paragraph"/>
    <w:basedOn w:val="1"/>
    <w:link w:val="398"/>
    <w:qFormat/>
    <w:uiPriority w:val="34"/>
    <w:pPr>
      <w:ind w:firstLine="420" w:firstLineChars="200"/>
    </w:pPr>
    <w:rPr>
      <w:rFonts w:ascii="Calibri" w:hAnsi="Calibri"/>
      <w:szCs w:val="22"/>
    </w:rPr>
  </w:style>
  <w:style w:type="paragraph" w:customStyle="1" w:styleId="63">
    <w:name w:val="列出段落1"/>
    <w:basedOn w:val="1"/>
    <w:qFormat/>
    <w:uiPriority w:val="34"/>
    <w:pPr>
      <w:ind w:firstLine="420" w:firstLineChars="200"/>
    </w:pPr>
    <w:rPr>
      <w:rFonts w:ascii="Calibri" w:hAnsi="Calibri"/>
      <w:kern w:val="0"/>
      <w:szCs w:val="20"/>
    </w:rPr>
  </w:style>
  <w:style w:type="paragraph" w:customStyle="1" w:styleId="6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6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14"/>
    <w:qFormat/>
    <w:uiPriority w:val="0"/>
    <w:rPr>
      <w:rFonts w:ascii="Times New Roman" w:hAnsi="Times New Roman" w:eastAsia="宋体" w:cs="Times New Roman"/>
      <w:sz w:val="21"/>
      <w:szCs w:val="22"/>
      <w:lang w:val="en-US" w:eastAsia="zh-CN" w:bidi="ar-SA"/>
    </w:rPr>
  </w:style>
  <w:style w:type="paragraph" w:customStyle="1" w:styleId="6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纯文本_3"/>
    <w:basedOn w:val="70"/>
    <w:qFormat/>
    <w:uiPriority w:val="0"/>
    <w:pPr>
      <w:widowControl/>
      <w:jc w:val="left"/>
    </w:pPr>
    <w:rPr>
      <w:rFonts w:ascii="宋体" w:hAnsi="Courier New" w:eastAsiaTheme="minorEastAsia" w:cstheme="minorBidi"/>
      <w:szCs w:val="21"/>
    </w:rPr>
  </w:style>
  <w:style w:type="paragraph" w:customStyle="1" w:styleId="72">
    <w:name w:val="纯文本_0_1"/>
    <w:basedOn w:val="1"/>
    <w:qFormat/>
    <w:uiPriority w:val="0"/>
    <w:pPr>
      <w:widowControl/>
      <w:jc w:val="left"/>
    </w:pPr>
    <w:rPr>
      <w:rFonts w:ascii="宋体" w:hAnsi="Courier New" w:eastAsiaTheme="minorEastAsia" w:cstheme="minorBidi"/>
      <w:szCs w:val="21"/>
    </w:rPr>
  </w:style>
  <w:style w:type="paragraph" w:customStyle="1" w:styleId="7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77">
    <w:name w:val="批注文字 Char"/>
    <w:basedOn w:val="48"/>
    <w:link w:val="21"/>
    <w:qFormat/>
    <w:uiPriority w:val="0"/>
    <w:rPr>
      <w:rFonts w:ascii="Times New Roman" w:hAnsi="Times New Roman" w:eastAsia="宋体" w:cs="Times New Roman"/>
      <w:kern w:val="2"/>
      <w:sz w:val="21"/>
      <w:szCs w:val="24"/>
    </w:rPr>
  </w:style>
  <w:style w:type="character" w:customStyle="1" w:styleId="78">
    <w:name w:val="批注主题 Char"/>
    <w:basedOn w:val="77"/>
    <w:link w:val="44"/>
    <w:qFormat/>
    <w:uiPriority w:val="99"/>
    <w:rPr>
      <w:rFonts w:ascii="Times New Roman" w:hAnsi="Times New Roman" w:eastAsia="宋体" w:cs="Times New Roman"/>
      <w:b/>
      <w:bCs/>
      <w:kern w:val="2"/>
      <w:sz w:val="21"/>
      <w:szCs w:val="24"/>
    </w:rPr>
  </w:style>
  <w:style w:type="character" w:customStyle="1" w:styleId="79">
    <w:name w:val="批注框文本 Char"/>
    <w:basedOn w:val="48"/>
    <w:link w:val="32"/>
    <w:qFormat/>
    <w:uiPriority w:val="99"/>
    <w:rPr>
      <w:rFonts w:ascii="Times New Roman" w:hAnsi="Times New Roman" w:eastAsia="宋体" w:cs="Times New Roman"/>
      <w:kern w:val="2"/>
      <w:sz w:val="18"/>
      <w:szCs w:val="18"/>
    </w:rPr>
  </w:style>
  <w:style w:type="character" w:customStyle="1" w:styleId="80">
    <w:name w:val="正文文本缩进 Char"/>
    <w:basedOn w:val="48"/>
    <w:link w:val="25"/>
    <w:qFormat/>
    <w:uiPriority w:val="0"/>
    <w:rPr>
      <w:kern w:val="2"/>
      <w:sz w:val="21"/>
      <w:szCs w:val="24"/>
    </w:rPr>
  </w:style>
  <w:style w:type="paragraph" w:customStyle="1" w:styleId="8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_Style 2"/>
    <w:basedOn w:val="1"/>
    <w:qFormat/>
    <w:uiPriority w:val="99"/>
    <w:pPr>
      <w:adjustRightInd w:val="0"/>
      <w:snapToGrid w:val="0"/>
    </w:pPr>
    <w:rPr>
      <w:rFonts w:ascii="Tahoma" w:hAnsi="Tahoma" w:eastAsia="微软雅黑" w:cs="Tahoma"/>
      <w:sz w:val="22"/>
      <w:szCs w:val="22"/>
    </w:rPr>
  </w:style>
  <w:style w:type="paragraph" w:customStyle="1" w:styleId="83">
    <w:name w:val="Table Paragraph"/>
    <w:basedOn w:val="1"/>
    <w:qFormat/>
    <w:uiPriority w:val="1"/>
    <w:rPr>
      <w:rFonts w:ascii="Noto Sans Mono CJK JP Regular" w:hAnsi="Noto Sans Mono CJK JP Regular" w:eastAsia="Noto Sans Mono CJK JP Regular" w:cs="Noto Sans Mono CJK JP Regular"/>
    </w:rPr>
  </w:style>
  <w:style w:type="character" w:customStyle="1" w:styleId="84">
    <w:name w:val="纯文本 Char"/>
    <w:basedOn w:val="48"/>
    <w:link w:val="28"/>
    <w:qFormat/>
    <w:uiPriority w:val="0"/>
    <w:rPr>
      <w:rFonts w:ascii="宋体" w:hAnsi="Courier New" w:cstheme="minorBidi"/>
      <w:kern w:val="2"/>
      <w:sz w:val="21"/>
      <w:szCs w:val="24"/>
    </w:rPr>
  </w:style>
  <w:style w:type="paragraph" w:customStyle="1" w:styleId="85">
    <w:name w:val="*正文"/>
    <w:link w:val="86"/>
    <w:qFormat/>
    <w:uiPriority w:val="0"/>
    <w:pPr>
      <w:spacing w:line="360" w:lineRule="auto"/>
      <w:ind w:firstLine="200" w:firstLineChars="200"/>
      <w:jc w:val="both"/>
      <w:textAlignment w:val="baseline"/>
    </w:pPr>
    <w:rPr>
      <w:rFonts w:ascii="Times New Roman" w:hAnsi="Times New Roman" w:eastAsia="宋体" w:cs="Times New Roman"/>
      <w:color w:val="000000"/>
      <w:sz w:val="24"/>
      <w:lang w:val="en-US" w:eastAsia="zh-CN" w:bidi="ar-SA"/>
    </w:rPr>
  </w:style>
  <w:style w:type="character" w:customStyle="1" w:styleId="86">
    <w:name w:val="*正文 Char"/>
    <w:link w:val="85"/>
    <w:qFormat/>
    <w:uiPriority w:val="0"/>
    <w:rPr>
      <w:color w:val="000000"/>
      <w:sz w:val="24"/>
    </w:rPr>
  </w:style>
  <w:style w:type="paragraph" w:customStyle="1" w:styleId="87">
    <w:name w:val="正文（深信服）"/>
    <w:link w:val="88"/>
    <w:qFormat/>
    <w:uiPriority w:val="0"/>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 w:type="character" w:customStyle="1" w:styleId="88">
    <w:name w:val="正文（深信服） 字符"/>
    <w:link w:val="87"/>
    <w:qFormat/>
    <w:uiPriority w:val="0"/>
    <w:rPr>
      <w:sz w:val="24"/>
      <w:szCs w:val="21"/>
    </w:rPr>
  </w:style>
  <w:style w:type="paragraph" w:customStyle="1" w:styleId="89">
    <w:name w:val="内容文本"/>
    <w:basedOn w:val="1"/>
    <w:qFormat/>
    <w:uiPriority w:val="0"/>
    <w:pPr>
      <w:spacing w:line="360" w:lineRule="auto"/>
      <w:ind w:firstLine="200" w:firstLineChars="200"/>
      <w:contextualSpacing/>
      <w:jc w:val="left"/>
    </w:pPr>
    <w:rPr>
      <w:rFonts w:ascii="宋体" w:hAnsi="宋体"/>
      <w:kern w:val="0"/>
      <w:sz w:val="24"/>
      <w:lang w:eastAsia="en-US" w:bidi="en-US"/>
    </w:rPr>
  </w:style>
  <w:style w:type="paragraph" w:customStyle="1" w:styleId="90">
    <w:name w:val="SANGFOR_2_标题2"/>
    <w:basedOn w:val="4"/>
    <w:next w:val="1"/>
    <w:qFormat/>
    <w:uiPriority w:val="0"/>
    <w:pPr>
      <w:numPr>
        <w:ilvl w:val="1"/>
        <w:numId w:val="4"/>
      </w:numPr>
      <w:tabs>
        <w:tab w:val="left" w:pos="360"/>
        <w:tab w:val="left" w:pos="426"/>
        <w:tab w:val="left" w:pos="567"/>
        <w:tab w:val="left" w:pos="1206"/>
        <w:tab w:val="clear" w:pos="993"/>
      </w:tabs>
      <w:snapToGrid w:val="0"/>
      <w:spacing w:beforeLines="50" w:afterLines="50" w:line="240" w:lineRule="auto"/>
      <w:ind w:left="0"/>
    </w:pPr>
    <w:rPr>
      <w:rFonts w:eastAsia="微软雅黑" w:cs="Times New Roman"/>
      <w:kern w:val="0"/>
      <w:sz w:val="30"/>
      <w:szCs w:val="30"/>
    </w:rPr>
  </w:style>
  <w:style w:type="paragraph" w:customStyle="1" w:styleId="91">
    <w:name w:val="SANGFOR_3_标题3"/>
    <w:basedOn w:val="5"/>
    <w:next w:val="1"/>
    <w:qFormat/>
    <w:uiPriority w:val="0"/>
    <w:pPr>
      <w:numPr>
        <w:ilvl w:val="2"/>
        <w:numId w:val="4"/>
      </w:numPr>
      <w:tabs>
        <w:tab w:val="left" w:pos="0"/>
        <w:tab w:val="left" w:pos="360"/>
        <w:tab w:val="left" w:pos="426"/>
        <w:tab w:val="left" w:pos="567"/>
        <w:tab w:val="left" w:pos="1206"/>
      </w:tabs>
      <w:snapToGrid w:val="0"/>
      <w:spacing w:beforeLines="50" w:afterLines="50" w:line="240" w:lineRule="auto"/>
    </w:pPr>
    <w:rPr>
      <w:rFonts w:ascii="宋体" w:hAnsi="宋体" w:eastAsia="微软雅黑"/>
      <w:kern w:val="0"/>
    </w:rPr>
  </w:style>
  <w:style w:type="paragraph" w:customStyle="1" w:styleId="92">
    <w:name w:val="SANGFOR_4_标题4"/>
    <w:basedOn w:val="6"/>
    <w:next w:val="1"/>
    <w:qFormat/>
    <w:uiPriority w:val="0"/>
    <w:pPr>
      <w:numPr>
        <w:ilvl w:val="3"/>
        <w:numId w:val="4"/>
      </w:numPr>
      <w:tabs>
        <w:tab w:val="left" w:pos="360"/>
        <w:tab w:val="left" w:pos="567"/>
        <w:tab w:val="left" w:pos="1206"/>
        <w:tab w:val="clear" w:pos="-72"/>
      </w:tabs>
      <w:snapToGrid w:val="0"/>
      <w:spacing w:beforeLines="50" w:afterLines="50" w:line="240" w:lineRule="auto"/>
      <w:ind w:left="0" w:right="100" w:rightChars="100"/>
    </w:pPr>
    <w:rPr>
      <w:rFonts w:ascii="Arial" w:hAnsi="Arial" w:eastAsia="微软雅黑" w:cs="Times New Roman"/>
      <w:bCs w:val="0"/>
      <w:kern w:val="0"/>
    </w:rPr>
  </w:style>
  <w:style w:type="character" w:customStyle="1" w:styleId="93">
    <w:name w:val="标题 2 Char"/>
    <w:basedOn w:val="48"/>
    <w:link w:val="4"/>
    <w:qFormat/>
    <w:uiPriority w:val="9"/>
    <w:rPr>
      <w:rFonts w:asciiTheme="majorHAnsi" w:hAnsiTheme="majorHAnsi" w:eastAsiaTheme="majorEastAsia" w:cstheme="majorBidi"/>
      <w:b/>
      <w:bCs/>
      <w:kern w:val="2"/>
      <w:sz w:val="32"/>
      <w:szCs w:val="32"/>
    </w:rPr>
  </w:style>
  <w:style w:type="character" w:customStyle="1" w:styleId="94">
    <w:name w:val="标题 4 Char"/>
    <w:basedOn w:val="48"/>
    <w:link w:val="6"/>
    <w:qFormat/>
    <w:uiPriority w:val="9"/>
    <w:rPr>
      <w:rFonts w:asciiTheme="majorHAnsi" w:hAnsiTheme="majorHAnsi" w:eastAsiaTheme="majorEastAsia" w:cstheme="majorBidi"/>
      <w:b/>
      <w:bCs/>
      <w:kern w:val="2"/>
      <w:sz w:val="28"/>
      <w:szCs w:val="28"/>
    </w:rPr>
  </w:style>
  <w:style w:type="character" w:customStyle="1" w:styleId="95">
    <w:name w:val="标题 1 Char"/>
    <w:basedOn w:val="48"/>
    <w:link w:val="3"/>
    <w:qFormat/>
    <w:uiPriority w:val="99"/>
    <w:rPr>
      <w:rFonts w:ascii="宋体" w:hAnsi="宋体" w:cs="宋体"/>
      <w:b/>
      <w:bCs/>
      <w:kern w:val="44"/>
      <w:sz w:val="44"/>
      <w:szCs w:val="44"/>
    </w:rPr>
  </w:style>
  <w:style w:type="character" w:customStyle="1" w:styleId="96">
    <w:name w:val="标题 5 Char"/>
    <w:basedOn w:val="48"/>
    <w:link w:val="7"/>
    <w:qFormat/>
    <w:uiPriority w:val="9"/>
    <w:rPr>
      <w:rFonts w:ascii="宋体" w:hAnsi="宋体" w:cs="宋体"/>
      <w:b/>
      <w:bCs/>
      <w:sz w:val="28"/>
      <w:szCs w:val="28"/>
    </w:rPr>
  </w:style>
  <w:style w:type="character" w:customStyle="1" w:styleId="97">
    <w:name w:val="标题 6 Char"/>
    <w:basedOn w:val="48"/>
    <w:link w:val="10"/>
    <w:qFormat/>
    <w:uiPriority w:val="9"/>
    <w:rPr>
      <w:rFonts w:asciiTheme="majorHAnsi" w:hAnsiTheme="majorHAnsi" w:cstheme="majorBidi"/>
      <w:b/>
      <w:bCs/>
      <w:sz w:val="24"/>
      <w:szCs w:val="24"/>
    </w:rPr>
  </w:style>
  <w:style w:type="character" w:customStyle="1" w:styleId="98">
    <w:name w:val="标题 7 Char"/>
    <w:basedOn w:val="48"/>
    <w:link w:val="11"/>
    <w:qFormat/>
    <w:uiPriority w:val="9"/>
    <w:rPr>
      <w:rFonts w:ascii="宋体" w:hAnsi="宋体" w:cs="宋体"/>
      <w:b/>
      <w:bCs/>
      <w:sz w:val="24"/>
      <w:szCs w:val="24"/>
    </w:rPr>
  </w:style>
  <w:style w:type="character" w:customStyle="1" w:styleId="99">
    <w:name w:val="标题 8 Char"/>
    <w:basedOn w:val="48"/>
    <w:link w:val="12"/>
    <w:qFormat/>
    <w:uiPriority w:val="9"/>
    <w:rPr>
      <w:rFonts w:asciiTheme="majorHAnsi" w:hAnsiTheme="majorHAnsi" w:cstheme="majorBidi"/>
      <w:b/>
      <w:sz w:val="24"/>
      <w:szCs w:val="24"/>
    </w:rPr>
  </w:style>
  <w:style w:type="character" w:customStyle="1" w:styleId="100">
    <w:name w:val="标题 9 Char"/>
    <w:basedOn w:val="48"/>
    <w:link w:val="13"/>
    <w:qFormat/>
    <w:uiPriority w:val="9"/>
    <w:rPr>
      <w:rFonts w:asciiTheme="majorHAnsi" w:hAnsiTheme="majorHAnsi" w:cstheme="majorBidi"/>
      <w:b/>
      <w:sz w:val="24"/>
      <w:szCs w:val="21"/>
    </w:rPr>
  </w:style>
  <w:style w:type="character" w:customStyle="1" w:styleId="101">
    <w:name w:val="标题 3 Char"/>
    <w:basedOn w:val="48"/>
    <w:link w:val="5"/>
    <w:qFormat/>
    <w:uiPriority w:val="9"/>
    <w:rPr>
      <w:b/>
      <w:bCs/>
      <w:kern w:val="2"/>
      <w:sz w:val="32"/>
      <w:szCs w:val="32"/>
    </w:rPr>
  </w:style>
  <w:style w:type="character" w:customStyle="1" w:styleId="102">
    <w:name w:val="文档结构图 Char"/>
    <w:basedOn w:val="48"/>
    <w:link w:val="19"/>
    <w:qFormat/>
    <w:uiPriority w:val="99"/>
    <w:rPr>
      <w:rFonts w:ascii="宋体" w:hAnsi="宋体" w:cs="宋体"/>
      <w:sz w:val="18"/>
      <w:szCs w:val="18"/>
    </w:rPr>
  </w:style>
  <w:style w:type="character" w:customStyle="1" w:styleId="103">
    <w:name w:val="正文文本 Char"/>
    <w:basedOn w:val="48"/>
    <w:qFormat/>
    <w:uiPriority w:val="99"/>
    <w:rPr>
      <w:rFonts w:ascii="宋体" w:hAnsi="宋体" w:eastAsia="宋体" w:cs="宋体"/>
      <w:kern w:val="0"/>
      <w:sz w:val="24"/>
    </w:rPr>
  </w:style>
  <w:style w:type="character" w:customStyle="1" w:styleId="104">
    <w:name w:val="正文文本缩进 2 Char"/>
    <w:basedOn w:val="48"/>
    <w:link w:val="31"/>
    <w:qFormat/>
    <w:uiPriority w:val="99"/>
    <w:rPr>
      <w:rFonts w:ascii="宋体" w:hAnsi="宋体" w:cs="宋体"/>
      <w:sz w:val="24"/>
      <w:szCs w:val="24"/>
    </w:rPr>
  </w:style>
  <w:style w:type="character" w:customStyle="1" w:styleId="105">
    <w:name w:val="页脚 Char"/>
    <w:basedOn w:val="48"/>
    <w:link w:val="33"/>
    <w:qFormat/>
    <w:uiPriority w:val="99"/>
    <w:rPr>
      <w:kern w:val="2"/>
      <w:sz w:val="18"/>
      <w:szCs w:val="24"/>
    </w:rPr>
  </w:style>
  <w:style w:type="character" w:customStyle="1" w:styleId="106">
    <w:name w:val="页眉 Char"/>
    <w:basedOn w:val="48"/>
    <w:link w:val="34"/>
    <w:qFormat/>
    <w:uiPriority w:val="99"/>
    <w:rPr>
      <w:kern w:val="2"/>
      <w:sz w:val="18"/>
      <w:szCs w:val="24"/>
    </w:rPr>
  </w:style>
  <w:style w:type="character" w:customStyle="1" w:styleId="107">
    <w:name w:val="脚注文本 Char"/>
    <w:basedOn w:val="48"/>
    <w:link w:val="38"/>
    <w:qFormat/>
    <w:uiPriority w:val="99"/>
    <w:rPr>
      <w:rFonts w:ascii="宋体" w:hAnsi="宋体" w:cs="宋体"/>
      <w:sz w:val="18"/>
      <w:szCs w:val="18"/>
    </w:rPr>
  </w:style>
  <w:style w:type="character" w:customStyle="1" w:styleId="108">
    <w:name w:val="正文文本 Char1"/>
    <w:basedOn w:val="48"/>
    <w:link w:val="22"/>
    <w:qFormat/>
    <w:uiPriority w:val="99"/>
    <w:rPr>
      <w:kern w:val="2"/>
      <w:sz w:val="24"/>
      <w:szCs w:val="24"/>
    </w:rPr>
  </w:style>
  <w:style w:type="character" w:customStyle="1" w:styleId="109">
    <w:name w:val="正文首行缩进 Char"/>
    <w:basedOn w:val="108"/>
    <w:link w:val="23"/>
    <w:qFormat/>
    <w:uiPriority w:val="99"/>
    <w:rPr>
      <w:color w:val="000000"/>
      <w:spacing w:val="12"/>
      <w:kern w:val="2"/>
      <w:sz w:val="28"/>
      <w:szCs w:val="24"/>
    </w:rPr>
  </w:style>
  <w:style w:type="character" w:customStyle="1" w:styleId="110">
    <w:name w:val="正文首行缩进 2 Char"/>
    <w:basedOn w:val="80"/>
    <w:link w:val="45"/>
    <w:qFormat/>
    <w:uiPriority w:val="0"/>
    <w:rPr>
      <w:rFonts w:ascii="宋体" w:hAnsi="宋体" w:cs="宋体"/>
      <w:kern w:val="28"/>
      <w:sz w:val="24"/>
      <w:szCs w:val="24"/>
      <w:lang w:val="zh-CN"/>
    </w:rPr>
  </w:style>
  <w:style w:type="paragraph" w:styleId="111">
    <w:name w:val="No Spacing"/>
    <w:link w:val="112"/>
    <w:qFormat/>
    <w:uiPriority w:val="1"/>
    <w:rPr>
      <w:rFonts w:asciiTheme="minorHAnsi" w:hAnsiTheme="minorHAnsi" w:eastAsiaTheme="minorEastAsia" w:cstheme="minorBidi"/>
      <w:sz w:val="22"/>
      <w:szCs w:val="22"/>
      <w:lang w:val="en-US" w:eastAsia="zh-CN" w:bidi="ar-SA"/>
    </w:rPr>
  </w:style>
  <w:style w:type="character" w:customStyle="1" w:styleId="112">
    <w:name w:val="无间隔 Char"/>
    <w:basedOn w:val="48"/>
    <w:link w:val="111"/>
    <w:qFormat/>
    <w:uiPriority w:val="1"/>
    <w:rPr>
      <w:rFonts w:asciiTheme="minorHAnsi" w:hAnsiTheme="minorHAnsi" w:eastAsiaTheme="minorEastAsia" w:cstheme="minorBidi"/>
      <w:sz w:val="22"/>
      <w:szCs w:val="22"/>
    </w:rPr>
  </w:style>
  <w:style w:type="character" w:customStyle="1" w:styleId="113">
    <w:name w:val="font31"/>
    <w:basedOn w:val="48"/>
    <w:qFormat/>
    <w:uiPriority w:val="0"/>
    <w:rPr>
      <w:rFonts w:hint="eastAsia" w:ascii="宋体" w:hAnsi="宋体" w:eastAsia="宋体" w:cs="宋体"/>
      <w:color w:val="FF0000"/>
      <w:kern w:val="0"/>
      <w:sz w:val="21"/>
      <w:szCs w:val="21"/>
      <w:u w:val="none"/>
      <w:lang w:eastAsia="en-US"/>
    </w:rPr>
  </w:style>
  <w:style w:type="character" w:customStyle="1" w:styleId="114">
    <w:name w:val="font11"/>
    <w:basedOn w:val="48"/>
    <w:qFormat/>
    <w:uiPriority w:val="0"/>
    <w:rPr>
      <w:rFonts w:hint="eastAsia" w:ascii="微软雅黑" w:hAnsi="微软雅黑" w:eastAsia="微软雅黑" w:cs="微软雅黑"/>
      <w:color w:val="000000"/>
      <w:kern w:val="0"/>
      <w:sz w:val="20"/>
      <w:szCs w:val="20"/>
      <w:u w:val="single"/>
      <w:lang w:eastAsia="en-US"/>
    </w:rPr>
  </w:style>
  <w:style w:type="character" w:customStyle="1" w:styleId="115">
    <w:name w:val="font21"/>
    <w:basedOn w:val="48"/>
    <w:qFormat/>
    <w:uiPriority w:val="0"/>
    <w:rPr>
      <w:rFonts w:hint="eastAsia" w:ascii="宋体" w:hAnsi="宋体" w:eastAsia="宋体" w:cs="宋体"/>
      <w:color w:val="000000"/>
      <w:kern w:val="0"/>
      <w:sz w:val="22"/>
      <w:szCs w:val="22"/>
      <w:u w:val="none"/>
      <w:lang w:eastAsia="en-US"/>
    </w:rPr>
  </w:style>
  <w:style w:type="character" w:customStyle="1" w:styleId="116">
    <w:name w:val="font61"/>
    <w:basedOn w:val="48"/>
    <w:qFormat/>
    <w:uiPriority w:val="0"/>
    <w:rPr>
      <w:rFonts w:hint="eastAsia" w:ascii="仿宋" w:hAnsi="仿宋" w:eastAsia="仿宋" w:cs="仿宋"/>
      <w:color w:val="000000"/>
      <w:kern w:val="0"/>
      <w:sz w:val="20"/>
      <w:szCs w:val="20"/>
      <w:u w:val="none"/>
      <w:lang w:eastAsia="en-US"/>
    </w:rPr>
  </w:style>
  <w:style w:type="character" w:customStyle="1" w:styleId="117">
    <w:name w:val="font41"/>
    <w:basedOn w:val="48"/>
    <w:qFormat/>
    <w:uiPriority w:val="0"/>
    <w:rPr>
      <w:rFonts w:hint="eastAsia" w:ascii="微软雅黑" w:hAnsi="微软雅黑" w:eastAsia="微软雅黑" w:cs="微软雅黑"/>
      <w:color w:val="000000"/>
      <w:kern w:val="0"/>
      <w:sz w:val="24"/>
      <w:szCs w:val="24"/>
      <w:u w:val="single"/>
      <w:lang w:eastAsia="en-US"/>
    </w:rPr>
  </w:style>
  <w:style w:type="paragraph" w:customStyle="1" w:styleId="118">
    <w:name w:val="正文 样式"/>
    <w:basedOn w:val="1"/>
    <w:link w:val="119"/>
    <w:qFormat/>
    <w:uiPriority w:val="0"/>
    <w:pPr>
      <w:widowControl/>
      <w:spacing w:before="260" w:line="360" w:lineRule="auto"/>
      <w:ind w:firstLine="480" w:firstLineChars="200"/>
      <w:jc w:val="left"/>
    </w:pPr>
    <w:rPr>
      <w:rFonts w:ascii="宋体" w:hAnsi="宋体" w:cs="宋体"/>
      <w:kern w:val="0"/>
      <w:sz w:val="24"/>
    </w:rPr>
  </w:style>
  <w:style w:type="character" w:customStyle="1" w:styleId="119">
    <w:name w:val="正文 样式 Char"/>
    <w:link w:val="118"/>
    <w:qFormat/>
    <w:locked/>
    <w:uiPriority w:val="0"/>
    <w:rPr>
      <w:rFonts w:ascii="宋体" w:hAnsi="宋体" w:cs="宋体"/>
      <w:sz w:val="24"/>
      <w:szCs w:val="24"/>
    </w:rPr>
  </w:style>
  <w:style w:type="paragraph" w:customStyle="1" w:styleId="120">
    <w:name w:val="p17"/>
    <w:basedOn w:val="1"/>
    <w:qFormat/>
    <w:uiPriority w:val="0"/>
    <w:pPr>
      <w:widowControl/>
      <w:spacing w:before="260" w:after="120" w:line="415" w:lineRule="auto"/>
      <w:ind w:firstLine="420"/>
      <w:jc w:val="left"/>
    </w:pPr>
    <w:rPr>
      <w:rFonts w:cs="宋体"/>
      <w:kern w:val="0"/>
      <w:sz w:val="28"/>
      <w:szCs w:val="28"/>
    </w:rPr>
  </w:style>
  <w:style w:type="character" w:customStyle="1" w:styleId="121">
    <w:name w:val="apple-converted-space"/>
    <w:basedOn w:val="48"/>
    <w:qFormat/>
    <w:uiPriority w:val="0"/>
  </w:style>
  <w:style w:type="paragraph" w:customStyle="1" w:styleId="122">
    <w:name w:val="序号1."/>
    <w:basedOn w:val="1"/>
    <w:qFormat/>
    <w:uiPriority w:val="0"/>
    <w:pPr>
      <w:widowControl/>
      <w:tabs>
        <w:tab w:val="left" w:pos="720"/>
      </w:tabs>
      <w:adjustRightInd w:val="0"/>
      <w:snapToGrid w:val="0"/>
      <w:spacing w:line="360" w:lineRule="auto"/>
      <w:ind w:left="720" w:hanging="720" w:firstLineChars="200"/>
      <w:jc w:val="left"/>
    </w:pPr>
    <w:rPr>
      <w:kern w:val="0"/>
      <w:sz w:val="24"/>
    </w:rPr>
  </w:style>
  <w:style w:type="paragraph" w:customStyle="1" w:styleId="123">
    <w:name w:val="正文1"/>
    <w:next w:val="1"/>
    <w:qFormat/>
    <w:uiPriority w:val="0"/>
    <w:pPr>
      <w:jc w:val="both"/>
    </w:pPr>
    <w:rPr>
      <w:rFonts w:ascii="Times New Roman" w:hAnsi="Times New Roman" w:eastAsia="宋体" w:cs="Times New Roman"/>
      <w:kern w:val="2"/>
      <w:sz w:val="21"/>
      <w:szCs w:val="21"/>
      <w:lang w:val="en-US" w:eastAsia="zh-CN" w:bidi="ar-SA"/>
    </w:rPr>
  </w:style>
  <w:style w:type="character" w:customStyle="1" w:styleId="124">
    <w:name w:val="15"/>
    <w:basedOn w:val="48"/>
    <w:qFormat/>
    <w:uiPriority w:val="0"/>
    <w:rPr>
      <w:rFonts w:hint="eastAsia" w:ascii="宋体" w:hAnsi="宋体" w:eastAsia="宋体" w:cs="Times New Roman"/>
      <w:b/>
      <w:bCs/>
      <w:sz w:val="32"/>
      <w:szCs w:val="32"/>
    </w:rPr>
  </w:style>
  <w:style w:type="paragraph" w:customStyle="1" w:styleId="125">
    <w:name w:val="文章正文"/>
    <w:basedOn w:val="1"/>
    <w:qFormat/>
    <w:uiPriority w:val="0"/>
    <w:pPr>
      <w:widowControl/>
      <w:spacing w:line="360" w:lineRule="auto"/>
      <w:ind w:firstLine="560" w:firstLineChars="200"/>
      <w:jc w:val="left"/>
    </w:pPr>
    <w:rPr>
      <w:rFonts w:eastAsia="仿宋_GB2312"/>
      <w:kern w:val="0"/>
      <w:sz w:val="28"/>
    </w:rPr>
  </w:style>
  <w:style w:type="paragraph" w:customStyle="1" w:styleId="126">
    <w:name w:val="列出段落2"/>
    <w:basedOn w:val="1"/>
    <w:unhideWhenUsed/>
    <w:qFormat/>
    <w:uiPriority w:val="99"/>
    <w:pPr>
      <w:widowControl/>
      <w:spacing w:line="360" w:lineRule="auto"/>
      <w:ind w:firstLine="420" w:firstLineChars="200"/>
      <w:jc w:val="left"/>
    </w:pPr>
    <w:rPr>
      <w:rFonts w:cs="宋体"/>
      <w:kern w:val="0"/>
      <w:sz w:val="24"/>
    </w:rPr>
  </w:style>
  <w:style w:type="paragraph" w:customStyle="1" w:styleId="127">
    <w:name w:val="列出段落3"/>
    <w:basedOn w:val="1"/>
    <w:next w:val="1"/>
    <w:qFormat/>
    <w:uiPriority w:val="34"/>
    <w:pPr>
      <w:widowControl/>
      <w:spacing w:beforeLines="20" w:afterLines="20"/>
      <w:jc w:val="left"/>
      <w:outlineLvl w:val="4"/>
    </w:pPr>
    <w:rPr>
      <w:rFonts w:eastAsia="黑体"/>
      <w:b/>
      <w:kern w:val="0"/>
      <w:sz w:val="24"/>
    </w:rPr>
  </w:style>
  <w:style w:type="paragraph" w:customStyle="1" w:styleId="128">
    <w:name w:val="表格表头"/>
    <w:basedOn w:val="1"/>
    <w:qFormat/>
    <w:uiPriority w:val="0"/>
    <w:pPr>
      <w:widowControl/>
      <w:spacing w:beforeLines="50" w:afterLines="50" w:line="360" w:lineRule="auto"/>
      <w:jc w:val="center"/>
    </w:pPr>
    <w:rPr>
      <w:b/>
      <w:kern w:val="0"/>
      <w:sz w:val="24"/>
      <w:szCs w:val="21"/>
    </w:rPr>
  </w:style>
  <w:style w:type="paragraph" w:customStyle="1" w:styleId="129">
    <w:name w:val="表格正文"/>
    <w:basedOn w:val="1"/>
    <w:link w:val="130"/>
    <w:qFormat/>
    <w:uiPriority w:val="0"/>
    <w:pPr>
      <w:widowControl/>
      <w:spacing w:line="360" w:lineRule="auto"/>
      <w:jc w:val="left"/>
    </w:pPr>
    <w:rPr>
      <w:kern w:val="0"/>
      <w:sz w:val="24"/>
      <w:lang w:val="zh-CN"/>
    </w:rPr>
  </w:style>
  <w:style w:type="character" w:customStyle="1" w:styleId="130">
    <w:name w:val="表格正文 Char"/>
    <w:link w:val="129"/>
    <w:qFormat/>
    <w:uiPriority w:val="0"/>
    <w:rPr>
      <w:sz w:val="24"/>
      <w:szCs w:val="24"/>
      <w:lang w:val="zh-CN"/>
    </w:rPr>
  </w:style>
  <w:style w:type="paragraph" w:customStyle="1" w:styleId="131">
    <w:name w:val="TOC 标题1"/>
    <w:basedOn w:val="3"/>
    <w:next w:val="1"/>
    <w:unhideWhenUsed/>
    <w:qFormat/>
    <w:uiPriority w:val="39"/>
    <w:pPr>
      <w:widowControl/>
      <w:spacing w:before="480" w:line="276" w:lineRule="auto"/>
      <w:ind w:left="0" w:firstLine="0"/>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132">
    <w:name w:val="表格文字（居左）"/>
    <w:basedOn w:val="133"/>
    <w:qFormat/>
    <w:uiPriority w:val="0"/>
    <w:pPr>
      <w:jc w:val="left"/>
    </w:pPr>
  </w:style>
  <w:style w:type="paragraph" w:customStyle="1" w:styleId="133">
    <w:name w:val="表格文字（居中）"/>
    <w:basedOn w:val="1"/>
    <w:qFormat/>
    <w:uiPriority w:val="0"/>
    <w:pPr>
      <w:widowControl/>
      <w:jc w:val="center"/>
    </w:pPr>
    <w:rPr>
      <w:kern w:val="0"/>
      <w:sz w:val="24"/>
    </w:rPr>
  </w:style>
  <w:style w:type="paragraph" w:customStyle="1" w:styleId="134">
    <w:name w:val="表格标题/图片标题/日期格式/图片居中"/>
    <w:qFormat/>
    <w:uiPriority w:val="0"/>
    <w:pPr>
      <w:jc w:val="center"/>
    </w:pPr>
    <w:rPr>
      <w:rFonts w:ascii="Times New Roman" w:hAnsi="Times New Roman" w:eastAsia="宋体" w:cs="Times New Roman"/>
      <w:b/>
      <w:kern w:val="2"/>
      <w:sz w:val="21"/>
      <w:szCs w:val="24"/>
      <w:lang w:val="en-US" w:eastAsia="zh-CN" w:bidi="ar-SA"/>
    </w:rPr>
  </w:style>
  <w:style w:type="paragraph" w:customStyle="1" w:styleId="1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7">
    <w:name w:val="font7"/>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38">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9">
    <w:name w:val="font9"/>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40">
    <w:name w:val="font10"/>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41">
    <w:name w:val="font1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42">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3">
    <w:name w:val="font14"/>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4">
    <w:name w:val="font15"/>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5">
    <w:name w:val="font1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6">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7">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49">
    <w:name w:val="xl105"/>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5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51">
    <w:name w:val="xl107"/>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15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54">
    <w:name w:val="xl11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55">
    <w:name w:val="xl111"/>
    <w:basedOn w:val="1"/>
    <w:qFormat/>
    <w:uiPriority w:val="0"/>
    <w:pPr>
      <w:widowControl/>
      <w:shd w:val="clear" w:color="000000" w:fill="BFBFBF"/>
      <w:spacing w:before="100" w:beforeAutospacing="1" w:after="100" w:afterAutospacing="1"/>
      <w:jc w:val="center"/>
    </w:pPr>
    <w:rPr>
      <w:rFonts w:ascii="Arial" w:hAnsi="Arial" w:cs="Arial"/>
      <w:kern w:val="0"/>
      <w:sz w:val="20"/>
      <w:szCs w:val="20"/>
    </w:rPr>
  </w:style>
  <w:style w:type="paragraph" w:customStyle="1" w:styleId="156">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color w:val="000000"/>
      <w:kern w:val="0"/>
      <w:sz w:val="20"/>
      <w:szCs w:val="20"/>
    </w:rPr>
  </w:style>
  <w:style w:type="paragraph" w:customStyle="1" w:styleId="15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6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6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9">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7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2">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3">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5">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7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0">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84">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5">
    <w:name w:val="xl1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87">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8">
    <w:name w:val="xl144"/>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189">
    <w:name w:val="xl145"/>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190">
    <w:name w:val="xl146"/>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191">
    <w:name w:val="列出段落4"/>
    <w:basedOn w:val="1"/>
    <w:unhideWhenUsed/>
    <w:qFormat/>
    <w:uiPriority w:val="99"/>
    <w:pPr>
      <w:widowControl/>
      <w:spacing w:line="360" w:lineRule="auto"/>
      <w:ind w:firstLine="420" w:firstLineChars="200"/>
      <w:jc w:val="left"/>
    </w:pPr>
    <w:rPr>
      <w:rFonts w:cs="宋体"/>
      <w:kern w:val="0"/>
      <w:sz w:val="24"/>
    </w:rPr>
  </w:style>
  <w:style w:type="paragraph" w:customStyle="1" w:styleId="19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93">
    <w:name w:val="xl103"/>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94">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195">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96">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7">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98">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99">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0">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1">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2">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0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4">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5">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6">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7">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8">
    <w:name w:val="xl16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09">
    <w:name w:val="xl162"/>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10">
    <w:name w:val="xl163"/>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11">
    <w:name w:val="xl164"/>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12">
    <w:name w:val="xl165"/>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213">
    <w:name w:val="font19"/>
    <w:basedOn w:val="1"/>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214">
    <w:name w:val="font20"/>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15">
    <w:name w:val="font22"/>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16">
    <w:name w:val="font23"/>
    <w:basedOn w:val="1"/>
    <w:qFormat/>
    <w:uiPriority w:val="0"/>
    <w:pPr>
      <w:widowControl/>
      <w:spacing w:before="100" w:beforeAutospacing="1" w:after="100" w:afterAutospacing="1"/>
      <w:jc w:val="left"/>
    </w:pPr>
    <w:rPr>
      <w:kern w:val="0"/>
      <w:sz w:val="18"/>
      <w:szCs w:val="18"/>
    </w:rPr>
  </w:style>
  <w:style w:type="paragraph" w:customStyle="1" w:styleId="217">
    <w:name w:val="font24"/>
    <w:basedOn w:val="1"/>
    <w:qFormat/>
    <w:uiPriority w:val="0"/>
    <w:pPr>
      <w:widowControl/>
      <w:spacing w:before="100" w:beforeAutospacing="1" w:after="100" w:afterAutospacing="1"/>
      <w:jc w:val="left"/>
    </w:pPr>
    <w:rPr>
      <w:kern w:val="0"/>
      <w:sz w:val="18"/>
      <w:szCs w:val="18"/>
    </w:rPr>
  </w:style>
  <w:style w:type="paragraph" w:customStyle="1" w:styleId="218">
    <w:name w:val="font25"/>
    <w:basedOn w:val="1"/>
    <w:qFormat/>
    <w:uiPriority w:val="0"/>
    <w:pPr>
      <w:widowControl/>
      <w:spacing w:before="100" w:beforeAutospacing="1" w:after="100" w:afterAutospacing="1"/>
      <w:jc w:val="left"/>
    </w:pPr>
    <w:rPr>
      <w:rFonts w:ascii="宋体" w:hAnsi="宋体" w:cs="宋体"/>
      <w:b/>
      <w:bCs/>
      <w:kern w:val="0"/>
      <w:sz w:val="20"/>
      <w:szCs w:val="20"/>
      <w:u w:val="single"/>
    </w:rPr>
  </w:style>
  <w:style w:type="paragraph" w:customStyle="1" w:styleId="219">
    <w:name w:val="font26"/>
    <w:basedOn w:val="1"/>
    <w:qFormat/>
    <w:uiPriority w:val="0"/>
    <w:pPr>
      <w:widowControl/>
      <w:spacing w:before="100" w:beforeAutospacing="1" w:after="100" w:afterAutospacing="1"/>
      <w:jc w:val="left"/>
    </w:pPr>
    <w:rPr>
      <w:rFonts w:ascii="Arial" w:hAnsi="Arial" w:cs="Arial"/>
      <w:b/>
      <w:bCs/>
      <w:kern w:val="0"/>
      <w:sz w:val="20"/>
      <w:szCs w:val="20"/>
      <w:u w:val="single"/>
    </w:rPr>
  </w:style>
  <w:style w:type="paragraph" w:customStyle="1" w:styleId="22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2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2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2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36">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37">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38">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40">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41">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42">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4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4">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5">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46">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7">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4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9">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0">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1">
    <w:name w:val="xl1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2">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53">
    <w:name w:val="xl1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4">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5">
    <w:name w:val="xl1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6">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257">
    <w:name w:val="xl187"/>
    <w:basedOn w:val="1"/>
    <w:qFormat/>
    <w:uiPriority w:val="0"/>
    <w:pPr>
      <w:widowControl/>
      <w:shd w:val="clear" w:color="000000" w:fill="FFFF00"/>
      <w:spacing w:before="100" w:beforeAutospacing="1" w:after="100" w:afterAutospacing="1"/>
      <w:jc w:val="center"/>
    </w:pPr>
    <w:rPr>
      <w:rFonts w:ascii="Arial" w:hAnsi="Arial" w:cs="Arial"/>
      <w:kern w:val="0"/>
      <w:sz w:val="20"/>
      <w:szCs w:val="20"/>
    </w:rPr>
  </w:style>
  <w:style w:type="paragraph" w:customStyle="1" w:styleId="258">
    <w:name w:val="xl18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259">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6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61">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262">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63">
    <w:name w:val="xl1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64">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265">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7">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68">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69">
    <w:name w:val="xl19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270">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71">
    <w:name w:val="TOC 标题2"/>
    <w:basedOn w:val="3"/>
    <w:next w:val="1"/>
    <w:semiHidden/>
    <w:unhideWhenUsed/>
    <w:qFormat/>
    <w:uiPriority w:val="39"/>
    <w:pPr>
      <w:widowControl/>
      <w:spacing w:before="480" w:line="276" w:lineRule="auto"/>
      <w:ind w:left="0" w:firstLine="0"/>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272">
    <w:name w:val="font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3">
    <w:name w:val="font27"/>
    <w:basedOn w:val="1"/>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274">
    <w:name w:val="font28"/>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75">
    <w:name w:val="font2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76">
    <w:name w:val="xl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277">
    <w:name w:val="xl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278">
    <w:name w:val="xl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279">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80">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81">
    <w:name w:val="xl206"/>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282">
    <w:name w:val="xl20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3">
    <w:name w:val="xl20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4">
    <w:name w:val="xl20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5">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6">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8">
    <w:name w:val="xl84"/>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89">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90">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color w:val="000000"/>
      <w:kern w:val="0"/>
      <w:sz w:val="20"/>
      <w:szCs w:val="20"/>
    </w:rPr>
  </w:style>
  <w:style w:type="paragraph" w:customStyle="1" w:styleId="291">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2">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93">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4">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5">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6">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97">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kern w:val="0"/>
      <w:sz w:val="20"/>
      <w:szCs w:val="20"/>
    </w:rPr>
  </w:style>
  <w:style w:type="paragraph" w:customStyle="1" w:styleId="298">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9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0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1">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u w:val="single"/>
    </w:rPr>
  </w:style>
  <w:style w:type="paragraph" w:customStyle="1" w:styleId="302">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03">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04">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5">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306">
    <w:name w:val="xl22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07">
    <w:name w:val="xl230"/>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08">
    <w:name w:val="xl2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9">
    <w:name w:val="xl2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0">
    <w:name w:val="xl2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1">
    <w:name w:val="xl234"/>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2">
    <w:name w:val="xl2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3">
    <w:name w:val="xl236"/>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4">
    <w:name w:val="xl2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5">
    <w:name w:val="xl238"/>
    <w:basedOn w:val="1"/>
    <w:qFormat/>
    <w:uiPriority w:val="0"/>
    <w:pPr>
      <w:widowControl/>
      <w:pBdr>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16">
    <w:name w:val="xl239"/>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17">
    <w:name w:val="xl24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18">
    <w:name w:val="xl241"/>
    <w:basedOn w:val="1"/>
    <w:qFormat/>
    <w:uiPriority w:val="0"/>
    <w:pPr>
      <w:widowControl/>
      <w:pBdr>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19">
    <w:name w:val="xl242"/>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2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1">
    <w:name w:val="xl24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xl2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323">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324">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25">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6">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27">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8">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29">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0">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1">
    <w:name w:val="xl2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2">
    <w:name w:val="xl25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3">
    <w:name w:val="xl25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33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3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3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3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3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34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kern w:val="0"/>
      <w:sz w:val="20"/>
      <w:szCs w:val="20"/>
    </w:rPr>
  </w:style>
  <w:style w:type="paragraph" w:customStyle="1" w:styleId="34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kern w:val="0"/>
      <w:sz w:val="20"/>
      <w:szCs w:val="20"/>
    </w:rPr>
  </w:style>
  <w:style w:type="paragraph" w:customStyle="1" w:styleId="34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kern w:val="0"/>
      <w:sz w:val="20"/>
      <w:szCs w:val="20"/>
    </w:rPr>
  </w:style>
  <w:style w:type="paragraph" w:customStyle="1" w:styleId="34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kern w:val="0"/>
      <w:sz w:val="20"/>
      <w:szCs w:val="20"/>
    </w:rPr>
  </w:style>
  <w:style w:type="paragraph" w:customStyle="1" w:styleId="346">
    <w:name w:val="xl76"/>
    <w:basedOn w:val="1"/>
    <w:qFormat/>
    <w:uiPriority w:val="0"/>
    <w:pPr>
      <w:widowControl/>
      <w:spacing w:before="100" w:beforeAutospacing="1" w:after="100" w:afterAutospacing="1"/>
      <w:jc w:val="left"/>
    </w:pPr>
    <w:rPr>
      <w:rFonts w:ascii="Arial" w:hAnsi="Arial" w:cs="Arial"/>
      <w:kern w:val="0"/>
      <w:sz w:val="24"/>
    </w:rPr>
  </w:style>
  <w:style w:type="paragraph" w:customStyle="1" w:styleId="34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348">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34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right"/>
      <w:textAlignment w:val="center"/>
    </w:pPr>
    <w:rPr>
      <w:rFonts w:ascii="Arial" w:hAnsi="Arial" w:cs="Arial"/>
      <w:b/>
      <w:bCs/>
      <w:color w:val="000000"/>
      <w:kern w:val="0"/>
      <w:sz w:val="20"/>
      <w:szCs w:val="20"/>
    </w:rPr>
  </w:style>
  <w:style w:type="paragraph" w:customStyle="1" w:styleId="35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4"/>
    </w:rPr>
  </w:style>
  <w:style w:type="paragraph" w:customStyle="1" w:styleId="35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5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3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character" w:customStyle="1" w:styleId="354">
    <w:name w:val="font01"/>
    <w:basedOn w:val="48"/>
    <w:qFormat/>
    <w:uiPriority w:val="0"/>
    <w:rPr>
      <w:rFonts w:hint="eastAsia" w:ascii="宋体" w:hAnsi="宋体" w:eastAsia="宋体" w:cs="宋体"/>
      <w:color w:val="000000"/>
      <w:sz w:val="20"/>
      <w:szCs w:val="20"/>
      <w:u w:val="none"/>
    </w:rPr>
  </w:style>
  <w:style w:type="character" w:customStyle="1" w:styleId="355">
    <w:name w:val="font191"/>
    <w:basedOn w:val="48"/>
    <w:qFormat/>
    <w:uiPriority w:val="0"/>
    <w:rPr>
      <w:rFonts w:hint="eastAsia" w:ascii="宋体" w:hAnsi="宋体" w:eastAsia="宋体" w:cs="宋体"/>
      <w:b/>
      <w:color w:val="000000"/>
      <w:sz w:val="20"/>
      <w:szCs w:val="20"/>
      <w:u w:val="none"/>
    </w:rPr>
  </w:style>
  <w:style w:type="character" w:customStyle="1" w:styleId="356">
    <w:name w:val="font161"/>
    <w:basedOn w:val="48"/>
    <w:qFormat/>
    <w:uiPriority w:val="0"/>
    <w:rPr>
      <w:rFonts w:hint="default" w:ascii="Arial" w:hAnsi="Arial" w:cs="Arial"/>
      <w:b/>
      <w:color w:val="000000"/>
      <w:sz w:val="20"/>
      <w:szCs w:val="20"/>
      <w:u w:val="none"/>
    </w:rPr>
  </w:style>
  <w:style w:type="character" w:customStyle="1" w:styleId="357">
    <w:name w:val="font181"/>
    <w:basedOn w:val="48"/>
    <w:qFormat/>
    <w:uiPriority w:val="0"/>
    <w:rPr>
      <w:rFonts w:hint="eastAsia" w:ascii="宋体" w:hAnsi="宋体" w:eastAsia="宋体" w:cs="宋体"/>
      <w:color w:val="000000"/>
      <w:sz w:val="20"/>
      <w:szCs w:val="20"/>
      <w:u w:val="none"/>
    </w:rPr>
  </w:style>
  <w:style w:type="character" w:customStyle="1" w:styleId="358">
    <w:name w:val="font171"/>
    <w:basedOn w:val="48"/>
    <w:qFormat/>
    <w:uiPriority w:val="0"/>
    <w:rPr>
      <w:rFonts w:hint="default" w:ascii="Arial" w:hAnsi="Arial" w:cs="Arial"/>
      <w:color w:val="000000"/>
      <w:sz w:val="20"/>
      <w:szCs w:val="20"/>
      <w:u w:val="none"/>
    </w:rPr>
  </w:style>
  <w:style w:type="character" w:customStyle="1" w:styleId="359">
    <w:name w:val="font112"/>
    <w:basedOn w:val="48"/>
    <w:qFormat/>
    <w:uiPriority w:val="0"/>
    <w:rPr>
      <w:rFonts w:hint="default" w:ascii="Arial" w:hAnsi="Arial" w:cs="Arial"/>
      <w:color w:val="000000"/>
      <w:sz w:val="16"/>
      <w:szCs w:val="16"/>
      <w:u w:val="none"/>
    </w:rPr>
  </w:style>
  <w:style w:type="character" w:customStyle="1" w:styleId="360">
    <w:name w:val="font101"/>
    <w:basedOn w:val="48"/>
    <w:qFormat/>
    <w:uiPriority w:val="0"/>
    <w:rPr>
      <w:rFonts w:hint="eastAsia" w:ascii="宋体" w:hAnsi="宋体" w:eastAsia="宋体" w:cs="宋体"/>
      <w:b/>
      <w:color w:val="000000"/>
      <w:sz w:val="20"/>
      <w:szCs w:val="20"/>
      <w:u w:val="none"/>
    </w:rPr>
  </w:style>
  <w:style w:type="character" w:customStyle="1" w:styleId="361">
    <w:name w:val="font91"/>
    <w:basedOn w:val="48"/>
    <w:qFormat/>
    <w:uiPriority w:val="0"/>
    <w:rPr>
      <w:rFonts w:ascii="Segoe UI Symbol" w:hAnsi="Segoe UI Symbol" w:eastAsia="Segoe UI Symbol" w:cs="Segoe UI Symbol"/>
      <w:color w:val="000000"/>
      <w:sz w:val="20"/>
      <w:szCs w:val="20"/>
      <w:u w:val="none"/>
    </w:rPr>
  </w:style>
  <w:style w:type="character" w:customStyle="1" w:styleId="362">
    <w:name w:val="font81"/>
    <w:basedOn w:val="48"/>
    <w:qFormat/>
    <w:uiPriority w:val="0"/>
    <w:rPr>
      <w:rFonts w:hint="default" w:ascii="Arial" w:hAnsi="Arial" w:cs="Arial"/>
      <w:color w:val="000000"/>
      <w:sz w:val="24"/>
      <w:szCs w:val="24"/>
      <w:u w:val="none"/>
      <w:vertAlign w:val="superscript"/>
    </w:rPr>
  </w:style>
  <w:style w:type="character" w:customStyle="1" w:styleId="363">
    <w:name w:val="font212"/>
    <w:basedOn w:val="48"/>
    <w:qFormat/>
    <w:uiPriority w:val="0"/>
    <w:rPr>
      <w:rFonts w:hint="default" w:ascii="Arial" w:hAnsi="Arial" w:cs="Arial"/>
      <w:color w:val="000000"/>
      <w:sz w:val="20"/>
      <w:szCs w:val="20"/>
      <w:u w:val="none"/>
    </w:rPr>
  </w:style>
  <w:style w:type="character" w:customStyle="1" w:styleId="364">
    <w:name w:val="font131"/>
    <w:basedOn w:val="48"/>
    <w:qFormat/>
    <w:uiPriority w:val="0"/>
    <w:rPr>
      <w:rFonts w:hint="eastAsia" w:ascii="宋体" w:hAnsi="宋体" w:eastAsia="宋体" w:cs="宋体"/>
      <w:color w:val="000000"/>
      <w:sz w:val="20"/>
      <w:szCs w:val="20"/>
      <w:u w:val="none"/>
    </w:rPr>
  </w:style>
  <w:style w:type="character" w:customStyle="1" w:styleId="365">
    <w:name w:val="font241"/>
    <w:basedOn w:val="48"/>
    <w:qFormat/>
    <w:uiPriority w:val="0"/>
    <w:rPr>
      <w:rFonts w:hint="eastAsia" w:ascii="宋体" w:hAnsi="宋体" w:eastAsia="宋体" w:cs="宋体"/>
      <w:color w:val="000000"/>
      <w:sz w:val="20"/>
      <w:szCs w:val="20"/>
      <w:u w:val="none"/>
    </w:rPr>
  </w:style>
  <w:style w:type="character" w:customStyle="1" w:styleId="366">
    <w:name w:val="font231"/>
    <w:basedOn w:val="48"/>
    <w:qFormat/>
    <w:uiPriority w:val="0"/>
    <w:rPr>
      <w:rFonts w:hint="default" w:ascii="Arial" w:hAnsi="Arial" w:cs="Arial"/>
      <w:color w:val="000000"/>
      <w:sz w:val="20"/>
      <w:szCs w:val="20"/>
      <w:u w:val="none"/>
    </w:rPr>
  </w:style>
  <w:style w:type="character" w:customStyle="1" w:styleId="367">
    <w:name w:val="font71"/>
    <w:basedOn w:val="48"/>
    <w:qFormat/>
    <w:uiPriority w:val="0"/>
    <w:rPr>
      <w:rFonts w:ascii="微软雅黑" w:hAnsi="微软雅黑" w:eastAsia="微软雅黑" w:cs="微软雅黑"/>
      <w:color w:val="000000"/>
      <w:sz w:val="20"/>
      <w:szCs w:val="20"/>
      <w:u w:val="none"/>
    </w:rPr>
  </w:style>
  <w:style w:type="character" w:customStyle="1" w:styleId="368">
    <w:name w:val="font51"/>
    <w:basedOn w:val="48"/>
    <w:qFormat/>
    <w:uiPriority w:val="0"/>
    <w:rPr>
      <w:rFonts w:hint="eastAsia" w:ascii="宋体" w:hAnsi="宋体" w:eastAsia="宋体" w:cs="宋体"/>
      <w:color w:val="000000"/>
      <w:sz w:val="20"/>
      <w:szCs w:val="20"/>
      <w:u w:val="none"/>
    </w:rPr>
  </w:style>
  <w:style w:type="character" w:customStyle="1" w:styleId="369">
    <w:name w:val="font121"/>
    <w:basedOn w:val="48"/>
    <w:qFormat/>
    <w:uiPriority w:val="0"/>
    <w:rPr>
      <w:rFonts w:hint="default" w:ascii="Arial" w:hAnsi="Arial" w:cs="Arial"/>
      <w:color w:val="000000"/>
      <w:sz w:val="20"/>
      <w:szCs w:val="20"/>
      <w:u w:val="none"/>
    </w:rPr>
  </w:style>
  <w:style w:type="character" w:customStyle="1" w:styleId="370">
    <w:name w:val="font132"/>
    <w:basedOn w:val="48"/>
    <w:qFormat/>
    <w:uiPriority w:val="0"/>
    <w:rPr>
      <w:rFonts w:hint="eastAsia" w:ascii="宋体" w:hAnsi="宋体" w:eastAsia="宋体" w:cs="宋体"/>
      <w:color w:val="000000"/>
      <w:sz w:val="20"/>
      <w:szCs w:val="20"/>
      <w:u w:val="none"/>
    </w:rPr>
  </w:style>
  <w:style w:type="character" w:customStyle="1" w:styleId="371">
    <w:name w:val="font111"/>
    <w:basedOn w:val="48"/>
    <w:qFormat/>
    <w:uiPriority w:val="0"/>
    <w:rPr>
      <w:rFonts w:hint="default" w:ascii="Arial" w:hAnsi="Arial" w:cs="Arial"/>
      <w:color w:val="000000"/>
      <w:sz w:val="20"/>
      <w:szCs w:val="20"/>
      <w:u w:val="none"/>
    </w:rPr>
  </w:style>
  <w:style w:type="character" w:customStyle="1" w:styleId="372">
    <w:name w:val="font122"/>
    <w:basedOn w:val="48"/>
    <w:qFormat/>
    <w:uiPriority w:val="0"/>
    <w:rPr>
      <w:rFonts w:hint="eastAsia" w:ascii="宋体" w:hAnsi="宋体" w:eastAsia="宋体" w:cs="宋体"/>
      <w:color w:val="000000"/>
      <w:sz w:val="20"/>
      <w:szCs w:val="20"/>
      <w:u w:val="none"/>
    </w:rPr>
  </w:style>
  <w:style w:type="character" w:customStyle="1" w:styleId="373">
    <w:name w:val="font222"/>
    <w:basedOn w:val="48"/>
    <w:qFormat/>
    <w:uiPriority w:val="0"/>
    <w:rPr>
      <w:rFonts w:hint="eastAsia" w:ascii="宋体" w:hAnsi="宋体" w:eastAsia="宋体" w:cs="宋体"/>
      <w:b/>
      <w:color w:val="000000"/>
      <w:sz w:val="20"/>
      <w:szCs w:val="20"/>
      <w:u w:val="none"/>
    </w:rPr>
  </w:style>
  <w:style w:type="character" w:customStyle="1" w:styleId="374">
    <w:name w:val="font211"/>
    <w:basedOn w:val="48"/>
    <w:qFormat/>
    <w:uiPriority w:val="0"/>
    <w:rPr>
      <w:rFonts w:hint="default" w:ascii="Arial" w:hAnsi="Arial" w:cs="Arial"/>
      <w:color w:val="000000"/>
      <w:sz w:val="20"/>
      <w:szCs w:val="20"/>
      <w:u w:val="none"/>
    </w:rPr>
  </w:style>
  <w:style w:type="character" w:customStyle="1" w:styleId="375">
    <w:name w:val="font201"/>
    <w:basedOn w:val="48"/>
    <w:qFormat/>
    <w:uiPriority w:val="0"/>
    <w:rPr>
      <w:rFonts w:hint="default" w:ascii="Arial" w:hAnsi="Arial" w:cs="Arial"/>
      <w:color w:val="000000"/>
      <w:sz w:val="20"/>
      <w:szCs w:val="20"/>
      <w:u w:val="none"/>
    </w:rPr>
  </w:style>
  <w:style w:type="character" w:customStyle="1" w:styleId="376">
    <w:name w:val="font151"/>
    <w:basedOn w:val="48"/>
    <w:qFormat/>
    <w:uiPriority w:val="0"/>
    <w:rPr>
      <w:rFonts w:hint="eastAsia" w:ascii="宋体" w:hAnsi="宋体" w:eastAsia="宋体" w:cs="宋体"/>
      <w:color w:val="000000"/>
      <w:sz w:val="16"/>
      <w:szCs w:val="16"/>
      <w:u w:val="none"/>
    </w:rPr>
  </w:style>
  <w:style w:type="character" w:customStyle="1" w:styleId="377">
    <w:name w:val="font141"/>
    <w:basedOn w:val="48"/>
    <w:qFormat/>
    <w:uiPriority w:val="0"/>
    <w:rPr>
      <w:rFonts w:hint="eastAsia" w:ascii="宋体" w:hAnsi="宋体" w:eastAsia="宋体" w:cs="宋体"/>
      <w:b/>
      <w:color w:val="000000"/>
      <w:sz w:val="20"/>
      <w:szCs w:val="20"/>
      <w:u w:val="none"/>
    </w:rPr>
  </w:style>
  <w:style w:type="paragraph" w:customStyle="1" w:styleId="37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0">
    <w:name w:val="编号，小四"/>
    <w:basedOn w:val="1"/>
    <w:qFormat/>
    <w:uiPriority w:val="0"/>
    <w:pPr>
      <w:widowControl/>
      <w:tabs>
        <w:tab w:val="left" w:pos="2211"/>
      </w:tabs>
      <w:spacing w:line="360" w:lineRule="auto"/>
      <w:ind w:left="2211" w:hanging="510"/>
      <w:jc w:val="left"/>
    </w:pPr>
    <w:rPr>
      <w:rFonts w:ascii="Arial" w:hAnsi="Arial" w:cs="宋体"/>
      <w:kern w:val="0"/>
      <w:sz w:val="24"/>
      <w:szCs w:val="20"/>
    </w:rPr>
  </w:style>
  <w:style w:type="paragraph" w:customStyle="1" w:styleId="381">
    <w:name w:val="标准正文"/>
    <w:basedOn w:val="1"/>
    <w:qFormat/>
    <w:uiPriority w:val="0"/>
    <w:pPr>
      <w:widowControl/>
      <w:spacing w:before="156" w:after="156" w:line="360" w:lineRule="auto"/>
      <w:ind w:firstLine="480" w:firstLineChars="200"/>
      <w:jc w:val="left"/>
    </w:pPr>
    <w:rPr>
      <w:kern w:val="0"/>
      <w:sz w:val="24"/>
      <w:szCs w:val="20"/>
      <w:lang w:val="zh-CN"/>
    </w:rPr>
  </w:style>
  <w:style w:type="paragraph" w:customStyle="1" w:styleId="382">
    <w:name w:val="首行缩进"/>
    <w:basedOn w:val="1"/>
    <w:qFormat/>
    <w:uiPriority w:val="0"/>
    <w:pPr>
      <w:widowControl/>
      <w:ind w:firstLine="480" w:firstLineChars="200"/>
      <w:jc w:val="left"/>
    </w:pPr>
    <w:rPr>
      <w:rFonts w:ascii="宋体" w:hAnsi="宋体" w:cs="宋体"/>
      <w:kern w:val="0"/>
      <w:sz w:val="24"/>
      <w:lang w:val="zh-CN"/>
    </w:rPr>
  </w:style>
  <w:style w:type="paragraph" w:customStyle="1" w:styleId="383">
    <w:name w:val="SANGFOR_6_正文"/>
    <w:basedOn w:val="1"/>
    <w:qFormat/>
    <w:uiPriority w:val="0"/>
    <w:pPr>
      <w:widowControl/>
      <w:spacing w:line="360" w:lineRule="auto"/>
      <w:jc w:val="left"/>
    </w:pPr>
    <w:rPr>
      <w:rFonts w:ascii="宋体" w:hAnsi="宋体" w:cs="宋体"/>
      <w:kern w:val="0"/>
      <w:sz w:val="24"/>
      <w:szCs w:val="21"/>
    </w:rPr>
  </w:style>
  <w:style w:type="paragraph" w:customStyle="1" w:styleId="384">
    <w:name w:val="列表段落1"/>
    <w:basedOn w:val="1"/>
    <w:qFormat/>
    <w:uiPriority w:val="34"/>
    <w:pPr>
      <w:widowControl/>
      <w:ind w:firstLine="420" w:firstLineChars="200"/>
      <w:jc w:val="left"/>
    </w:pPr>
    <w:rPr>
      <w:rFonts w:ascii="宋体" w:hAnsi="宋体" w:cs="宋体"/>
      <w:kern w:val="0"/>
      <w:sz w:val="24"/>
    </w:rPr>
  </w:style>
  <w:style w:type="paragraph" w:customStyle="1" w:styleId="38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86">
    <w:name w:val="样式2 Char Char"/>
    <w:link w:val="387"/>
    <w:qFormat/>
    <w:uiPriority w:val="0"/>
    <w:rPr>
      <w:rFonts w:ascii="Calibri" w:hAnsi="Calibri" w:eastAsia="微软雅黑"/>
      <w:b/>
      <w:color w:val="FF6600"/>
      <w:sz w:val="24"/>
    </w:rPr>
  </w:style>
  <w:style w:type="paragraph" w:customStyle="1" w:styleId="387">
    <w:name w:val="样式2"/>
    <w:basedOn w:val="1"/>
    <w:link w:val="386"/>
    <w:qFormat/>
    <w:uiPriority w:val="0"/>
    <w:pPr>
      <w:widowControl/>
      <w:overflowPunct w:val="0"/>
      <w:autoSpaceDE w:val="0"/>
      <w:autoSpaceDN w:val="0"/>
      <w:adjustRightInd w:val="0"/>
      <w:spacing w:line="336" w:lineRule="auto"/>
      <w:jc w:val="left"/>
    </w:pPr>
    <w:rPr>
      <w:rFonts w:ascii="Calibri" w:hAnsi="Calibri" w:eastAsia="微软雅黑"/>
      <w:b/>
      <w:color w:val="FF6600"/>
      <w:kern w:val="0"/>
      <w:sz w:val="24"/>
      <w:szCs w:val="20"/>
    </w:rPr>
  </w:style>
  <w:style w:type="paragraph" w:customStyle="1" w:styleId="388">
    <w:name w:val="样式4"/>
    <w:basedOn w:val="1"/>
    <w:qFormat/>
    <w:uiPriority w:val="0"/>
    <w:pPr>
      <w:numPr>
        <w:ilvl w:val="0"/>
        <w:numId w:val="5"/>
      </w:numPr>
      <w:tabs>
        <w:tab w:val="left" w:pos="720"/>
      </w:tabs>
      <w:overflowPunct w:val="0"/>
      <w:autoSpaceDE w:val="0"/>
      <w:autoSpaceDN w:val="0"/>
      <w:adjustRightInd w:val="0"/>
      <w:spacing w:line="336" w:lineRule="auto"/>
      <w:jc w:val="left"/>
    </w:pPr>
    <w:rPr>
      <w:rFonts w:ascii="Calibri" w:hAnsi="Calibri" w:eastAsia="微软雅黑"/>
      <w:color w:val="808080"/>
      <w:kern w:val="0"/>
      <w:sz w:val="24"/>
      <w:szCs w:val="21"/>
    </w:rPr>
  </w:style>
  <w:style w:type="paragraph" w:customStyle="1" w:styleId="389">
    <w:name w:val="样式3"/>
    <w:basedOn w:val="1"/>
    <w:qFormat/>
    <w:uiPriority w:val="0"/>
    <w:pPr>
      <w:numPr>
        <w:ilvl w:val="0"/>
        <w:numId w:val="6"/>
      </w:numPr>
      <w:tabs>
        <w:tab w:val="left" w:pos="360"/>
      </w:tabs>
      <w:overflowPunct w:val="0"/>
      <w:autoSpaceDE w:val="0"/>
      <w:autoSpaceDN w:val="0"/>
      <w:adjustRightInd w:val="0"/>
      <w:spacing w:line="336" w:lineRule="auto"/>
      <w:ind w:right="210" w:rightChars="100"/>
      <w:jc w:val="left"/>
    </w:pPr>
    <w:rPr>
      <w:rFonts w:ascii="Calibri" w:hAnsi="Calibri" w:eastAsia="微软雅黑" w:cs="宋体"/>
      <w:color w:val="808080"/>
      <w:kern w:val="0"/>
      <w:sz w:val="24"/>
      <w:lang w:val="zh-CN"/>
    </w:rPr>
  </w:style>
  <w:style w:type="character" w:customStyle="1" w:styleId="390">
    <w:name w:val="3zw1"/>
    <w:qFormat/>
    <w:uiPriority w:val="0"/>
    <w:rPr>
      <w:rFonts w:ascii="Times New Roman"/>
    </w:rPr>
  </w:style>
  <w:style w:type="paragraph" w:customStyle="1" w:styleId="39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92">
    <w:name w:val="正文首行缩进（深信服）"/>
    <w:basedOn w:val="1"/>
    <w:qFormat/>
    <w:uiPriority w:val="0"/>
    <w:pPr>
      <w:widowControl/>
      <w:spacing w:after="50" w:line="360" w:lineRule="auto"/>
      <w:ind w:firstLine="480" w:firstLineChars="200"/>
      <w:jc w:val="left"/>
    </w:pPr>
    <w:rPr>
      <w:rFonts w:ascii="Arial" w:hAnsi="Arial"/>
      <w:kern w:val="0"/>
      <w:sz w:val="24"/>
      <w:szCs w:val="21"/>
    </w:rPr>
  </w:style>
  <w:style w:type="paragraph" w:customStyle="1" w:styleId="393">
    <w:name w:val="正文首行缩进1"/>
    <w:basedOn w:val="22"/>
    <w:qFormat/>
    <w:uiPriority w:val="0"/>
    <w:pPr>
      <w:widowControl/>
      <w:spacing w:line="360" w:lineRule="auto"/>
      <w:ind w:firstLine="200" w:firstLineChars="200"/>
      <w:jc w:val="left"/>
    </w:pPr>
    <w:rPr>
      <w:rFonts w:eastAsia="仿宋_GB2312"/>
      <w:kern w:val="0"/>
      <w:sz w:val="28"/>
    </w:rPr>
  </w:style>
  <w:style w:type="paragraph" w:customStyle="1" w:styleId="394">
    <w:name w:val="4级标题"/>
    <w:basedOn w:val="63"/>
    <w:qFormat/>
    <w:uiPriority w:val="0"/>
    <w:pPr>
      <w:keepLines/>
      <w:widowControl/>
      <w:numPr>
        <w:ilvl w:val="3"/>
        <w:numId w:val="7"/>
      </w:numPr>
      <w:spacing w:line="360" w:lineRule="auto"/>
      <w:ind w:firstLineChars="0"/>
      <w:contextualSpacing/>
      <w:jc w:val="left"/>
      <w:outlineLvl w:val="3"/>
    </w:pPr>
    <w:rPr>
      <w:rFonts w:ascii="黑体" w:hAnsi="黑体" w:eastAsia="黑体"/>
      <w:sz w:val="24"/>
      <w:szCs w:val="24"/>
      <w:lang w:eastAsia="en-US" w:bidi="en-US"/>
    </w:rPr>
  </w:style>
  <w:style w:type="paragraph" w:customStyle="1" w:styleId="395">
    <w:name w:val="3级标题"/>
    <w:basedOn w:val="63"/>
    <w:link w:val="397"/>
    <w:qFormat/>
    <w:uiPriority w:val="0"/>
    <w:pPr>
      <w:keepLines/>
      <w:widowControl/>
      <w:numPr>
        <w:ilvl w:val="2"/>
        <w:numId w:val="7"/>
      </w:numPr>
      <w:spacing w:before="120" w:after="120" w:line="360" w:lineRule="auto"/>
      <w:ind w:firstLineChars="0"/>
      <w:contextualSpacing/>
      <w:jc w:val="left"/>
      <w:outlineLvl w:val="2"/>
    </w:pPr>
    <w:rPr>
      <w:rFonts w:ascii="黑体" w:hAnsi="黑体" w:eastAsia="黑体"/>
      <w:sz w:val="28"/>
      <w:szCs w:val="36"/>
      <w:lang w:eastAsia="en-US" w:bidi="en-US"/>
    </w:rPr>
  </w:style>
  <w:style w:type="paragraph" w:customStyle="1" w:styleId="396">
    <w:name w:val="样式 首行缩进:  0 字符"/>
    <w:basedOn w:val="1"/>
    <w:link w:val="399"/>
    <w:qFormat/>
    <w:uiPriority w:val="0"/>
    <w:pPr>
      <w:widowControl/>
      <w:spacing w:line="360" w:lineRule="auto"/>
      <w:ind w:firstLine="200" w:firstLineChars="200"/>
      <w:jc w:val="left"/>
    </w:pPr>
    <w:rPr>
      <w:rFonts w:cs="宋体"/>
      <w:kern w:val="0"/>
      <w:sz w:val="24"/>
      <w:szCs w:val="20"/>
    </w:rPr>
  </w:style>
  <w:style w:type="character" w:customStyle="1" w:styleId="397">
    <w:name w:val="3级标题 Char"/>
    <w:link w:val="395"/>
    <w:qFormat/>
    <w:uiPriority w:val="0"/>
    <w:rPr>
      <w:rFonts w:ascii="黑体" w:hAnsi="黑体" w:eastAsia="黑体"/>
      <w:sz w:val="28"/>
      <w:szCs w:val="36"/>
      <w:lang w:eastAsia="en-US" w:bidi="en-US"/>
    </w:rPr>
  </w:style>
  <w:style w:type="character" w:customStyle="1" w:styleId="398">
    <w:name w:val="列出段落 Char"/>
    <w:link w:val="62"/>
    <w:qFormat/>
    <w:locked/>
    <w:uiPriority w:val="34"/>
    <w:rPr>
      <w:rFonts w:ascii="Calibri" w:hAnsi="Calibri"/>
      <w:kern w:val="2"/>
      <w:sz w:val="21"/>
      <w:szCs w:val="22"/>
    </w:rPr>
  </w:style>
  <w:style w:type="character" w:customStyle="1" w:styleId="399">
    <w:name w:val="样式 首行缩进:  0 字符 Char"/>
    <w:link w:val="396"/>
    <w:qFormat/>
    <w:locked/>
    <w:uiPriority w:val="0"/>
    <w:rPr>
      <w:rFonts w:cs="宋体"/>
      <w:sz w:val="24"/>
    </w:rPr>
  </w:style>
  <w:style w:type="paragraph" w:customStyle="1" w:styleId="40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01">
    <w:name w:val="正文 A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02">
    <w:name w:val="列表段落11"/>
    <w:basedOn w:val="1"/>
    <w:qFormat/>
    <w:uiPriority w:val="34"/>
    <w:pPr>
      <w:ind w:firstLine="420" w:firstLineChars="200"/>
    </w:pPr>
    <w:rPr>
      <w:rFonts w:ascii="Calibri" w:hAnsi="Calibri"/>
      <w:szCs w:val="22"/>
    </w:rPr>
  </w:style>
  <w:style w:type="paragraph" w:customStyle="1" w:styleId="403">
    <w:name w:val="0表格样式"/>
    <w:qFormat/>
    <w:uiPriority w:val="0"/>
    <w:rPr>
      <w:rFonts w:ascii="Calibri" w:hAnsi="Calibri" w:eastAsia="仿宋" w:cs="仿宋_GB2312"/>
      <w:kern w:val="2"/>
      <w:sz w:val="21"/>
      <w:szCs w:val="28"/>
      <w:lang w:val="en-US" w:eastAsia="zh-CN" w:bidi="ar-SA"/>
    </w:rPr>
  </w:style>
  <w:style w:type="paragraph" w:customStyle="1" w:styleId="404">
    <w:name w:val="修订3"/>
    <w:hidden/>
    <w:semiHidden/>
    <w:qFormat/>
    <w:uiPriority w:val="99"/>
    <w:rPr>
      <w:rFonts w:ascii="宋体" w:hAnsi="宋体" w:eastAsia="宋体" w:cs="宋体"/>
      <w:sz w:val="24"/>
      <w:szCs w:val="24"/>
      <w:lang w:val="en-US" w:eastAsia="zh-CN" w:bidi="ar-SA"/>
    </w:rPr>
  </w:style>
  <w:style w:type="character" w:customStyle="1" w:styleId="405">
    <w:name w:val="方案正文 Char"/>
    <w:link w:val="406"/>
    <w:qFormat/>
    <w:locked/>
    <w:uiPriority w:val="0"/>
    <w:rPr>
      <w:rFonts w:ascii="宋体" w:hAnsi="宋体" w:eastAsia="微软雅黑" w:cs="宋体"/>
      <w:color w:val="000000"/>
      <w:sz w:val="24"/>
    </w:rPr>
  </w:style>
  <w:style w:type="paragraph" w:customStyle="1" w:styleId="406">
    <w:name w:val="方案正文"/>
    <w:basedOn w:val="1"/>
    <w:link w:val="405"/>
    <w:qFormat/>
    <w:uiPriority w:val="0"/>
    <w:pPr>
      <w:widowControl/>
      <w:adjustRightInd w:val="0"/>
      <w:snapToGrid w:val="0"/>
      <w:spacing w:line="288" w:lineRule="auto"/>
      <w:ind w:firstLine="200" w:firstLineChars="200"/>
    </w:pPr>
    <w:rPr>
      <w:rFonts w:ascii="宋体" w:hAnsi="宋体" w:eastAsia="微软雅黑" w:cs="宋体"/>
      <w:color w:val="000000"/>
      <w:kern w:val="0"/>
      <w:sz w:val="24"/>
      <w:szCs w:val="20"/>
    </w:rPr>
  </w:style>
  <w:style w:type="paragraph" w:customStyle="1" w:styleId="407">
    <w:name w:val="技术文档正文"/>
    <w:basedOn w:val="1"/>
    <w:qFormat/>
    <w:uiPriority w:val="0"/>
    <w:pPr>
      <w:spacing w:line="360" w:lineRule="auto"/>
      <w:ind w:firstLine="200" w:firstLineChars="200"/>
    </w:pPr>
    <w:rPr>
      <w:rFonts w:cstheme="minorBidi"/>
      <w:sz w:val="24"/>
      <w:szCs w:val="21"/>
    </w:rPr>
  </w:style>
  <w:style w:type="character" w:customStyle="1" w:styleId="408">
    <w:name w:val="题注 Char"/>
    <w:link w:val="18"/>
    <w:qFormat/>
    <w:uiPriority w:val="35"/>
    <w:rPr>
      <w:rFonts w:ascii="Arial Unicode MS" w:hAnsi="Arial Unicode MS" w:cs="宋体"/>
      <w:sz w:val="24"/>
    </w:rPr>
  </w:style>
  <w:style w:type="character" w:customStyle="1" w:styleId="409">
    <w:name w:val="Unresolved Mention"/>
    <w:basedOn w:val="48"/>
    <w:semiHidden/>
    <w:unhideWhenUsed/>
    <w:qFormat/>
    <w:uiPriority w:val="99"/>
    <w:rPr>
      <w:color w:val="605E5C"/>
      <w:shd w:val="clear" w:color="auto" w:fill="E1DFDD"/>
    </w:rPr>
  </w:style>
  <w:style w:type="character" w:customStyle="1" w:styleId="410">
    <w:name w:val="日期 Char"/>
    <w:basedOn w:val="48"/>
    <w:link w:val="29"/>
    <w:qFormat/>
    <w:uiPriority w:val="99"/>
    <w:rPr>
      <w:rFonts w:eastAsia="楷体_GB2312" w:asciiTheme="minorHAnsi" w:hAnsiTheme="minorHAnsi" w:cstheme="minorBidi"/>
      <w:kern w:val="2"/>
      <w:sz w:val="32"/>
      <w:szCs w:val="22"/>
    </w:rPr>
  </w:style>
  <w:style w:type="character" w:customStyle="1" w:styleId="411">
    <w:name w:val="param-explain"/>
    <w:basedOn w:val="48"/>
    <w:qFormat/>
    <w:uiPriority w:val="0"/>
  </w:style>
  <w:style w:type="character" w:customStyle="1" w:styleId="412">
    <w:name w:val="HTML 预设格式 Char"/>
    <w:basedOn w:val="48"/>
    <w:link w:val="42"/>
    <w:qFormat/>
    <w:uiPriority w:val="99"/>
    <w:rPr>
      <w:rFonts w:ascii="宋体" w:hAnsi="宋体" w:cs="宋体"/>
      <w:sz w:val="24"/>
      <w:szCs w:val="24"/>
    </w:rPr>
  </w:style>
  <w:style w:type="character" w:customStyle="1" w:styleId="413">
    <w:name w:val="标题 Char"/>
    <w:basedOn w:val="48"/>
    <w:link w:val="43"/>
    <w:qFormat/>
    <w:uiPriority w:val="0"/>
    <w:rPr>
      <w:rFonts w:ascii="Arial" w:hAnsi="Arial"/>
      <w:b/>
      <w:bCs/>
      <w:kern w:val="36"/>
      <w:sz w:val="32"/>
      <w:szCs w:val="32"/>
    </w:rPr>
  </w:style>
  <w:style w:type="paragraph" w:customStyle="1" w:styleId="414">
    <w:name w:val="Char1"/>
    <w:basedOn w:val="1"/>
    <w:qFormat/>
    <w:uiPriority w:val="0"/>
    <w:rPr>
      <w:rFonts w:ascii="Tahoma" w:hAnsi="Tahoma"/>
      <w:sz w:val="24"/>
      <w:szCs w:val="20"/>
    </w:rPr>
  </w:style>
  <w:style w:type="paragraph" w:customStyle="1" w:styleId="415">
    <w:name w:val="正文（首行缩进2字符）"/>
    <w:basedOn w:val="1"/>
    <w:qFormat/>
    <w:uiPriority w:val="0"/>
    <w:pPr>
      <w:ind w:firstLine="480" w:firstLineChars="200"/>
    </w:pPr>
    <w:rPr>
      <w:sz w:val="24"/>
      <w:szCs w:val="20"/>
    </w:rPr>
  </w:style>
  <w:style w:type="paragraph" w:customStyle="1" w:styleId="416">
    <w:name w:val="表格内文"/>
    <w:basedOn w:val="1"/>
    <w:qFormat/>
    <w:uiPriority w:val="99"/>
    <w:pPr>
      <w:spacing w:line="400" w:lineRule="exact"/>
    </w:pPr>
    <w:rPr>
      <w:rFonts w:ascii="Arial" w:hAnsi="Arial" w:cs="宋体"/>
      <w:szCs w:val="20"/>
    </w:rPr>
  </w:style>
  <w:style w:type="paragraph" w:customStyle="1" w:styleId="417">
    <w:name w:val="_Style 1"/>
    <w:qFormat/>
    <w:uiPriority w:val="99"/>
    <w:rPr>
      <w:rFonts w:ascii="Calibri" w:hAnsi="Calibri" w:eastAsia="宋体" w:cs="Times New Roman"/>
      <w:kern w:val="2"/>
      <w:sz w:val="28"/>
      <w:szCs w:val="22"/>
      <w:lang w:val="en-US" w:eastAsia="zh-CN" w:bidi="ar-SA"/>
    </w:rPr>
  </w:style>
  <w:style w:type="character" w:customStyle="1" w:styleId="418">
    <w:name w:val="NormalCharacter"/>
    <w:semiHidden/>
    <w:qFormat/>
    <w:uiPriority w:val="0"/>
  </w:style>
  <w:style w:type="paragraph" w:customStyle="1" w:styleId="419">
    <w:name w:val="_Style 116"/>
    <w:qFormat/>
    <w:uiPriority w:val="99"/>
    <w:rPr>
      <w:rFonts w:ascii="Times New Roman" w:hAnsi="Times New Roman" w:eastAsia="宋体" w:cs="Times New Roman"/>
      <w:sz w:val="24"/>
      <w:szCs w:val="22"/>
      <w:lang w:val="en-US" w:eastAsia="zh-CN" w:bidi="ar-SA"/>
    </w:rPr>
  </w:style>
  <w:style w:type="paragraph" w:customStyle="1" w:styleId="420">
    <w:name w:val="hea"/>
    <w:basedOn w:val="1"/>
    <w:next w:val="1"/>
    <w:qFormat/>
    <w:uiPriority w:val="0"/>
    <w:pPr>
      <w:keepNext/>
      <w:keepLines/>
      <w:numPr>
        <w:ilvl w:val="0"/>
        <w:numId w:val="8"/>
      </w:numPr>
      <w:spacing w:before="340" w:after="330" w:line="578" w:lineRule="auto"/>
      <w:outlineLvl w:val="0"/>
    </w:pPr>
    <w:rPr>
      <w:b/>
      <w:bCs/>
      <w:kern w:val="44"/>
      <w:sz w:val="44"/>
      <w:szCs w:val="44"/>
    </w:rPr>
  </w:style>
  <w:style w:type="paragraph" w:customStyle="1" w:styleId="421">
    <w:name w:val="￥正文"/>
    <w:basedOn w:val="1"/>
    <w:qFormat/>
    <w:uiPriority w:val="0"/>
    <w:pPr>
      <w:ind w:firstLine="200" w:firstLineChars="200"/>
    </w:pPr>
    <w:rPr>
      <w:rFonts w:ascii="Calibri" w:hAnsi="Calibri"/>
    </w:rPr>
  </w:style>
  <w:style w:type="paragraph" w:customStyle="1" w:styleId="422">
    <w:name w:val="正文空格"/>
    <w:basedOn w:val="1"/>
    <w:next w:val="1"/>
    <w:qFormat/>
    <w:uiPriority w:val="0"/>
    <w:pPr>
      <w:spacing w:line="400" w:lineRule="exact"/>
      <w:ind w:firstLine="200" w:firstLineChars="200"/>
    </w:pPr>
    <w:rPr>
      <w:sz w:val="24"/>
      <w:szCs w:val="22"/>
    </w:rPr>
  </w:style>
  <w:style w:type="paragraph" w:customStyle="1" w:styleId="423">
    <w:name w:val="纯文本11"/>
    <w:basedOn w:val="1"/>
    <w:qFormat/>
    <w:uiPriority w:val="0"/>
    <w:rPr>
      <w:rFonts w:ascii="宋体" w:hAnsi="Courier New"/>
    </w:rPr>
  </w:style>
  <w:style w:type="paragraph" w:customStyle="1" w:styleId="424">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42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27">
    <w:name w:val="H正文文本"/>
    <w:basedOn w:val="1"/>
    <w:qFormat/>
    <w:uiPriority w:val="0"/>
    <w:pPr>
      <w:spacing w:line="360" w:lineRule="auto"/>
      <w:ind w:firstLine="420" w:firstLineChars="200"/>
    </w:pPr>
    <w:rPr>
      <w:sz w:val="24"/>
    </w:rPr>
  </w:style>
  <w:style w:type="paragraph" w:customStyle="1" w:styleId="428">
    <w:name w:val="一级无"/>
    <w:basedOn w:val="1"/>
    <w:qFormat/>
    <w:uiPriority w:val="0"/>
    <w:pPr>
      <w:widowControl/>
      <w:jc w:val="left"/>
      <w:outlineLvl w:val="2"/>
    </w:pPr>
    <w:rPr>
      <w:rFonts w:ascii="宋体"/>
      <w:kern w:val="0"/>
      <w:szCs w:val="21"/>
    </w:rPr>
  </w:style>
  <w:style w:type="paragraph" w:customStyle="1" w:styleId="42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30">
    <w:name w:val="Heading3"/>
    <w:basedOn w:val="1"/>
    <w:next w:val="1"/>
    <w:qFormat/>
    <w:uiPriority w:val="0"/>
    <w:pPr>
      <w:spacing w:before="120" w:after="120" w:line="300" w:lineRule="auto"/>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74</Pages>
  <Words>17945</Words>
  <Characters>19199</Characters>
  <Lines>235</Lines>
  <Paragraphs>66</Paragraphs>
  <TotalTime>7</TotalTime>
  <ScaleCrop>false</ScaleCrop>
  <LinksUpToDate>false</LinksUpToDate>
  <CharactersWithSpaces>19400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2021-07-08T01:31:00Z</dcterms:created>
  <dc:creator>S-mile</dc:creator>
  <cp:lastModifiedBy>ushop</cp:lastModifiedBy>
  <cp:lastPrinted>2024-01-12T22:11:00Z</cp:lastPrinted>
  <dcterms:modified xsi:type="dcterms:W3CDTF">2025-07-04T06:37:52Z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7D0665C892A24D5AA12774722808139C_13</vt:lpwstr>
  </property>
  <property fmtid="{D5CDD505-2E9C-101B-9397-08002B2CF9AE}" pid="4" name="KSOTemplateDocerSaveRecord">
    <vt:lpwstr>eyJoZGlkIjoiNWM4MTczYTkxNjQxNTZmZDJkMjkyZjJjNjUxMzRhMzgiLCJ1c2VySWQiOiI3MjUwNjk1MzIifQ==</vt:lpwstr>
  </property>
</Properties>
</file>